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982A01">
      <w:pPr>
        <w:widowControl/>
        <w:kinsoku w:val="0"/>
        <w:autoSpaceDE w:val="0"/>
        <w:autoSpaceDN w:val="0"/>
        <w:adjustRightInd w:val="0"/>
        <w:snapToGrid w:val="0"/>
        <w:spacing w:before="140" w:line="575" w:lineRule="exact"/>
        <w:jc w:val="center"/>
        <w:textAlignment w:val="baseline"/>
        <w:rPr>
          <w:rFonts w:hint="eastAsia" w:ascii="宋体" w:hAnsi="宋体" w:eastAsia="宋体" w:cs="宋体"/>
          <w:b/>
          <w:bCs/>
          <w:snapToGrid w:val="0"/>
          <w:color w:val="auto"/>
          <w:spacing w:val="3"/>
          <w:kern w:val="0"/>
          <w:position w:val="2"/>
          <w:sz w:val="32"/>
          <w:szCs w:val="32"/>
          <w:lang w:val="en-US" w:eastAsia="zh-CN"/>
        </w:rPr>
      </w:pPr>
      <w:r>
        <w:rPr>
          <w:rFonts w:hint="eastAsia" w:ascii="宋体" w:hAnsi="宋体" w:eastAsia="宋体" w:cs="宋体"/>
          <w:b/>
          <w:bCs/>
          <w:snapToGrid w:val="0"/>
          <w:color w:val="auto"/>
          <w:spacing w:val="3"/>
          <w:kern w:val="0"/>
          <w:position w:val="2"/>
          <w:sz w:val="32"/>
          <w:szCs w:val="32"/>
          <w:lang w:eastAsia="zh-CN"/>
        </w:rPr>
        <w:t>第一节</w:t>
      </w:r>
      <w:r>
        <w:rPr>
          <w:rFonts w:hint="eastAsia" w:ascii="宋体" w:hAnsi="宋体" w:eastAsia="宋体" w:cs="宋体"/>
          <w:b/>
          <w:bCs/>
          <w:snapToGrid w:val="0"/>
          <w:color w:val="auto"/>
          <w:spacing w:val="3"/>
          <w:kern w:val="0"/>
          <w:position w:val="2"/>
          <w:sz w:val="32"/>
          <w:szCs w:val="32"/>
          <w:lang w:val="en-US" w:eastAsia="zh-CN"/>
        </w:rPr>
        <w:t xml:space="preserve"> 服务要求</w:t>
      </w:r>
    </w:p>
    <w:p w14:paraId="0294131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00" w:lineRule="exact"/>
        <w:ind w:left="0" w:leftChars="0" w:right="0" w:rightChars="0" w:firstLine="420" w:firstLineChars="200"/>
        <w:jc w:val="both"/>
        <w:textAlignment w:val="baseline"/>
        <w:rPr>
          <w:rFonts w:hint="eastAsia" w:ascii="宋体" w:hAnsi="宋体" w:eastAsia="宋体" w:cs="宋体"/>
          <w:snapToGrid w:val="0"/>
          <w:color w:val="auto"/>
          <w:spacing w:val="0"/>
          <w:w w:val="100"/>
          <w:kern w:val="2"/>
          <w:sz w:val="21"/>
          <w:szCs w:val="21"/>
          <w:lang w:val="en-US" w:eastAsia="en-US" w:bidi="ar-SA"/>
        </w:rPr>
      </w:pPr>
      <w:r>
        <w:rPr>
          <w:rFonts w:hint="eastAsia" w:ascii="宋体" w:hAnsi="宋体" w:eastAsia="宋体" w:cs="宋体"/>
          <w:snapToGrid w:val="0"/>
          <w:color w:val="auto"/>
          <w:spacing w:val="0"/>
          <w:w w:val="100"/>
          <w:kern w:val="2"/>
          <w:sz w:val="21"/>
          <w:szCs w:val="21"/>
          <w:lang w:val="en-US" w:eastAsia="en-US" w:bidi="ar-SA"/>
        </w:rPr>
        <w:t>一、</w:t>
      </w:r>
      <w:r>
        <w:rPr>
          <w:rFonts w:hint="eastAsia" w:ascii="宋体" w:hAnsi="宋体" w:eastAsia="宋体" w:cs="宋体"/>
          <w:b/>
          <w:bCs/>
          <w:snapToGrid w:val="0"/>
          <w:color w:val="auto"/>
          <w:spacing w:val="0"/>
          <w:w w:val="100"/>
          <w:kern w:val="2"/>
          <w:sz w:val="21"/>
          <w:szCs w:val="21"/>
          <w:lang w:val="en-US" w:eastAsia="zh-CN" w:bidi="ar-SA"/>
        </w:rPr>
        <w:t>项目名称：</w:t>
      </w:r>
      <w:r>
        <w:rPr>
          <w:rFonts w:hint="eastAsia" w:ascii="宋体" w:hAnsi="宋体" w:eastAsia="宋体" w:cs="宋体"/>
          <w:snapToGrid w:val="0"/>
          <w:color w:val="auto"/>
          <w:spacing w:val="0"/>
          <w:w w:val="100"/>
          <w:kern w:val="2"/>
          <w:sz w:val="21"/>
          <w:szCs w:val="21"/>
          <w:lang w:val="en-US" w:eastAsia="zh-CN" w:bidi="ar-SA"/>
        </w:rPr>
        <w:t>常宁市2026年秋粮抗逆防灾项目</w:t>
      </w:r>
    </w:p>
    <w:p w14:paraId="6350149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00" w:lineRule="exact"/>
        <w:ind w:left="0" w:leftChars="0" w:right="0" w:rightChars="0" w:firstLine="422" w:firstLineChars="200"/>
        <w:jc w:val="both"/>
        <w:textAlignment w:val="baseline"/>
        <w:rPr>
          <w:rFonts w:hint="eastAsia" w:ascii="宋体" w:hAnsi="宋体" w:eastAsia="宋体" w:cs="宋体"/>
          <w:b/>
          <w:bCs/>
          <w:snapToGrid w:val="0"/>
          <w:color w:val="auto"/>
          <w:spacing w:val="0"/>
          <w:w w:val="100"/>
          <w:kern w:val="2"/>
          <w:sz w:val="21"/>
          <w:szCs w:val="21"/>
          <w:lang w:val="en-US" w:eastAsia="en-US" w:bidi="ar-SA"/>
        </w:rPr>
      </w:pPr>
      <w:r>
        <w:rPr>
          <w:rFonts w:hint="eastAsia" w:ascii="宋体" w:hAnsi="宋体" w:eastAsia="宋体" w:cs="宋体"/>
          <w:b/>
          <w:bCs/>
          <w:snapToGrid w:val="0"/>
          <w:color w:val="auto"/>
          <w:spacing w:val="0"/>
          <w:w w:val="100"/>
          <w:kern w:val="2"/>
          <w:sz w:val="21"/>
          <w:szCs w:val="21"/>
          <w:lang w:val="en-US" w:eastAsia="en-US" w:bidi="ar-SA"/>
        </w:rPr>
        <w:t xml:space="preserve">二、项目概况 </w:t>
      </w:r>
    </w:p>
    <w:p w14:paraId="04E2896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00" w:lineRule="exact"/>
        <w:ind w:left="0" w:leftChars="0" w:right="0" w:rightChars="0" w:firstLine="420" w:firstLineChars="200"/>
        <w:jc w:val="both"/>
        <w:textAlignment w:val="baseline"/>
        <w:rPr>
          <w:rFonts w:hint="eastAsia" w:ascii="宋体" w:hAnsi="宋体" w:eastAsia="宋体" w:cs="宋体"/>
          <w:snapToGrid w:val="0"/>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为切实做好农业防灾减灾工作，抓实秋粮抗逆防灾增产关键措施，有效应对高温热害、洪涝干旱、寒露风、病虫害等灾害风险，全力以赴夺取秋粮丰收。根据《湖南省2026年秋粮“秋粮抗逆防灾”实施方案》文件精神，结合我市水稻生产实际，</w:t>
      </w:r>
      <w:r>
        <w:rPr>
          <w:rFonts w:hint="eastAsia" w:ascii="宋体" w:hAnsi="宋体" w:eastAsia="宋体" w:cs="宋体"/>
          <w:snapToGrid/>
          <w:color w:val="auto"/>
          <w:spacing w:val="0"/>
          <w:w w:val="100"/>
          <w:kern w:val="2"/>
          <w:sz w:val="21"/>
          <w:szCs w:val="21"/>
          <w:lang w:val="en-US" w:eastAsia="zh-CN" w:bidi="ar-SA"/>
        </w:rPr>
        <w:t>采购本项目</w:t>
      </w:r>
      <w:r>
        <w:rPr>
          <w:rFonts w:hint="eastAsia" w:ascii="宋体" w:hAnsi="宋体" w:eastAsia="宋体" w:cs="宋体"/>
          <w:snapToGrid/>
          <w:color w:val="auto"/>
          <w:spacing w:val="0"/>
          <w:w w:val="100"/>
          <w:kern w:val="2"/>
          <w:sz w:val="21"/>
          <w:szCs w:val="21"/>
          <w:lang w:val="en-US" w:eastAsia="en-US" w:bidi="ar-SA"/>
        </w:rPr>
        <w:t xml:space="preserve">。  </w:t>
      </w:r>
      <w:r>
        <w:rPr>
          <w:rFonts w:hint="eastAsia" w:ascii="宋体" w:hAnsi="宋体" w:eastAsia="宋体" w:cs="宋体"/>
          <w:snapToGrid w:val="0"/>
          <w:color w:val="auto"/>
          <w:spacing w:val="0"/>
          <w:w w:val="100"/>
          <w:kern w:val="2"/>
          <w:sz w:val="21"/>
          <w:szCs w:val="21"/>
          <w:lang w:val="en-US" w:eastAsia="en-US" w:bidi="ar-SA"/>
        </w:rPr>
        <w:t xml:space="preserve"> </w:t>
      </w:r>
    </w:p>
    <w:p w14:paraId="3054385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00" w:lineRule="exact"/>
        <w:ind w:left="0" w:leftChars="0" w:right="0" w:rightChars="0" w:firstLine="420" w:firstLineChars="200"/>
        <w:jc w:val="both"/>
        <w:textAlignment w:val="baseline"/>
        <w:rPr>
          <w:rFonts w:hint="eastAsia" w:ascii="宋体" w:hAnsi="宋体" w:eastAsia="宋体" w:cs="宋体"/>
          <w:snapToGrid w:val="0"/>
          <w:color w:val="auto"/>
          <w:spacing w:val="0"/>
          <w:w w:val="100"/>
          <w:kern w:val="2"/>
          <w:sz w:val="21"/>
          <w:szCs w:val="21"/>
          <w:lang w:val="en-US" w:eastAsia="en-US" w:bidi="ar-SA"/>
        </w:rPr>
      </w:pPr>
      <w:r>
        <w:rPr>
          <w:rFonts w:hint="eastAsia" w:ascii="宋体" w:hAnsi="宋体" w:eastAsia="宋体" w:cs="宋体"/>
          <w:snapToGrid w:val="0"/>
          <w:color w:val="auto"/>
          <w:spacing w:val="0"/>
          <w:w w:val="100"/>
          <w:kern w:val="2"/>
          <w:sz w:val="21"/>
          <w:szCs w:val="21"/>
          <w:lang w:val="en-US" w:eastAsia="en-US" w:bidi="ar-SA"/>
        </w:rPr>
        <w:t>三、</w:t>
      </w:r>
      <w:r>
        <w:rPr>
          <w:rFonts w:hint="eastAsia" w:ascii="宋体" w:hAnsi="宋体" w:eastAsia="宋体" w:cs="宋体"/>
          <w:b/>
          <w:bCs/>
          <w:snapToGrid w:val="0"/>
          <w:color w:val="auto"/>
          <w:spacing w:val="0"/>
          <w:w w:val="100"/>
          <w:kern w:val="2"/>
          <w:sz w:val="21"/>
          <w:szCs w:val="21"/>
          <w:lang w:val="en-US" w:eastAsia="en-US" w:bidi="ar-SA"/>
        </w:rPr>
        <w:t xml:space="preserve">目标任务 </w:t>
      </w:r>
      <w:r>
        <w:rPr>
          <w:rFonts w:hint="eastAsia" w:ascii="宋体" w:hAnsi="宋体" w:eastAsia="宋体" w:cs="宋体"/>
          <w:snapToGrid w:val="0"/>
          <w:color w:val="auto"/>
          <w:spacing w:val="0"/>
          <w:w w:val="100"/>
          <w:kern w:val="2"/>
          <w:sz w:val="21"/>
          <w:szCs w:val="21"/>
          <w:lang w:val="en-US" w:eastAsia="en-US" w:bidi="ar-SA"/>
        </w:rPr>
        <w:t xml:space="preserve">  </w:t>
      </w:r>
    </w:p>
    <w:p w14:paraId="0390EE3C">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坚持“因地制宜、分类施策、精选药肥、科学喷施”的原则，突出关口前移、预防为主、综合防控。聚焦全市晚稻主产区，重点防范洪涝灾害、高温热害、旱涝急转、寒露风天气及水稻重大病虫害，因地因苗精准开展统防统治作业，实现防病、防虫、防早衰、抗逆、增产多重效果，全力保障秋粮稳产增收。</w:t>
      </w:r>
    </w:p>
    <w:p w14:paraId="755A13A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00" w:lineRule="exact"/>
        <w:ind w:right="0" w:rightChars="0" w:firstLine="422" w:firstLineChars="200"/>
        <w:jc w:val="both"/>
        <w:textAlignment w:val="baseline"/>
        <w:rPr>
          <w:rFonts w:hint="eastAsia" w:ascii="宋体" w:hAnsi="宋体" w:eastAsia="宋体" w:cs="宋体"/>
          <w:b/>
          <w:bCs/>
          <w:snapToGrid w:val="0"/>
          <w:color w:val="auto"/>
          <w:spacing w:val="0"/>
          <w:w w:val="100"/>
          <w:kern w:val="2"/>
          <w:sz w:val="21"/>
          <w:szCs w:val="21"/>
          <w:lang w:val="en-US" w:eastAsia="en-US" w:bidi="ar-SA"/>
        </w:rPr>
      </w:pPr>
      <w:r>
        <w:rPr>
          <w:rFonts w:hint="eastAsia" w:ascii="宋体" w:hAnsi="宋体" w:eastAsia="宋体" w:cs="宋体"/>
          <w:b/>
          <w:bCs/>
          <w:snapToGrid w:val="0"/>
          <w:color w:val="auto"/>
          <w:spacing w:val="0"/>
          <w:w w:val="100"/>
          <w:kern w:val="2"/>
          <w:sz w:val="21"/>
          <w:szCs w:val="21"/>
          <w:lang w:val="en-US" w:eastAsia="zh-CN" w:bidi="ar-SA"/>
        </w:rPr>
        <w:t>四、采购需求</w:t>
      </w:r>
    </w:p>
    <w:p w14:paraId="5245CE3C">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00" w:lineRule="exact"/>
        <w:ind w:left="0" w:leftChars="0" w:right="0" w:rightChars="0" w:firstLine="422" w:firstLineChars="200"/>
        <w:jc w:val="both"/>
        <w:textAlignment w:val="baseline"/>
        <w:rPr>
          <w:rFonts w:hint="eastAsia" w:ascii="宋体" w:hAnsi="宋体" w:eastAsia="宋体" w:cs="宋体"/>
          <w:b/>
          <w:bCs/>
          <w:snapToGrid w:val="0"/>
          <w:color w:val="auto"/>
          <w:spacing w:val="0"/>
          <w:w w:val="100"/>
          <w:kern w:val="2"/>
          <w:sz w:val="21"/>
          <w:szCs w:val="21"/>
          <w:lang w:val="en-US" w:eastAsia="en-US" w:bidi="ar-SA"/>
        </w:rPr>
      </w:pPr>
      <w:r>
        <w:rPr>
          <w:rFonts w:hint="eastAsia" w:ascii="宋体" w:hAnsi="宋体" w:eastAsia="宋体" w:cs="宋体"/>
          <w:b/>
          <w:bCs/>
          <w:snapToGrid w:val="0"/>
          <w:color w:val="auto"/>
          <w:spacing w:val="0"/>
          <w:w w:val="100"/>
          <w:kern w:val="2"/>
          <w:sz w:val="21"/>
          <w:szCs w:val="21"/>
          <w:lang w:val="en-US" w:eastAsia="en-US" w:bidi="ar-SA"/>
        </w:rPr>
        <w:t xml:space="preserve">实施情况见下表： </w:t>
      </w:r>
    </w:p>
    <w:p w14:paraId="1CBD5F5A">
      <w:pPr>
        <w:keepNext w:val="0"/>
        <w:keepLines w:val="0"/>
        <w:pageBreakBefore w:val="0"/>
        <w:widowControl/>
        <w:kinsoku/>
        <w:wordWrap/>
        <w:overflowPunct/>
        <w:topLinePunct w:val="0"/>
        <w:autoSpaceDE w:val="0"/>
        <w:autoSpaceDN w:val="0"/>
        <w:bidi w:val="0"/>
        <w:adjustRightInd w:val="0"/>
        <w:snapToGrid w:val="0"/>
        <w:spacing w:line="500" w:lineRule="exact"/>
        <w:ind w:right="0" w:firstLine="422" w:firstLineChars="200"/>
        <w:jc w:val="both"/>
        <w:textAlignment w:val="baseline"/>
        <w:rPr>
          <w:rFonts w:hint="eastAsia" w:ascii="宋体" w:hAnsi="宋体" w:eastAsia="宋体" w:cs="宋体"/>
          <w:b/>
          <w:bCs/>
          <w:snapToGrid/>
          <w:color w:val="auto"/>
          <w:spacing w:val="0"/>
          <w:w w:val="100"/>
          <w:kern w:val="2"/>
          <w:sz w:val="21"/>
          <w:szCs w:val="21"/>
          <w:lang w:val="en-US" w:eastAsia="zh-CN" w:bidi="ar-SA"/>
        </w:rPr>
      </w:pPr>
      <w:r>
        <w:rPr>
          <w:rFonts w:hint="eastAsia" w:ascii="宋体" w:hAnsi="宋体" w:eastAsia="宋体" w:cs="宋体"/>
          <w:b/>
          <w:bCs/>
          <w:snapToGrid/>
          <w:color w:val="auto"/>
          <w:spacing w:val="0"/>
          <w:w w:val="100"/>
          <w:kern w:val="2"/>
          <w:sz w:val="21"/>
          <w:szCs w:val="21"/>
          <w:lang w:val="en-US" w:eastAsia="zh-CN" w:bidi="ar-SA"/>
        </w:rPr>
        <w:t>包1：</w:t>
      </w:r>
    </w:p>
    <w:tbl>
      <w:tblPr>
        <w:tblStyle w:val="2"/>
        <w:tblW w:w="495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3660"/>
        <w:gridCol w:w="3510"/>
      </w:tblGrid>
      <w:tr w14:paraId="77249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40409FB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outlineLvl w:val="9"/>
              <w:rPr>
                <w:rFonts w:hint="eastAsia" w:ascii="仿宋" w:hAnsi="仿宋" w:eastAsia="仿宋" w:cs="仿宋"/>
                <w:sz w:val="21"/>
                <w:szCs w:val="21"/>
                <w:lang w:eastAsia="zh-CN"/>
              </w:rPr>
            </w:pPr>
            <w:r>
              <w:rPr>
                <w:rFonts w:hint="eastAsia" w:ascii="仿宋" w:hAnsi="仿宋" w:eastAsia="仿宋" w:cs="仿宋"/>
                <w:sz w:val="21"/>
                <w:szCs w:val="21"/>
                <w:lang w:eastAsia="zh-CN"/>
              </w:rPr>
              <w:t>序号</w:t>
            </w:r>
          </w:p>
        </w:tc>
        <w:tc>
          <w:tcPr>
            <w:tcW w:w="2168" w:type="pct"/>
            <w:vAlign w:val="center"/>
          </w:tcPr>
          <w:p w14:paraId="3440A7A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outlineLvl w:val="9"/>
              <w:rPr>
                <w:rFonts w:hint="eastAsia" w:ascii="仿宋" w:hAnsi="仿宋" w:eastAsia="仿宋" w:cs="仿宋"/>
                <w:sz w:val="21"/>
                <w:szCs w:val="21"/>
                <w:lang w:eastAsia="zh-CN"/>
              </w:rPr>
            </w:pPr>
            <w:r>
              <w:rPr>
                <w:rFonts w:hint="eastAsia" w:ascii="仿宋" w:hAnsi="仿宋" w:eastAsia="仿宋" w:cs="仿宋"/>
                <w:sz w:val="21"/>
                <w:szCs w:val="21"/>
                <w:lang w:eastAsia="zh-CN"/>
              </w:rPr>
              <w:t>乡镇（街道）</w:t>
            </w:r>
          </w:p>
        </w:tc>
        <w:tc>
          <w:tcPr>
            <w:tcW w:w="2079" w:type="pct"/>
            <w:vAlign w:val="center"/>
          </w:tcPr>
          <w:p w14:paraId="30CF8D7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outlineLvl w:val="9"/>
              <w:rPr>
                <w:rFonts w:hint="eastAsia" w:ascii="仿宋" w:hAnsi="仿宋" w:eastAsia="仿宋" w:cs="仿宋"/>
                <w:sz w:val="21"/>
                <w:szCs w:val="21"/>
                <w:lang w:val="en-US" w:eastAsia="zh-CN"/>
              </w:rPr>
            </w:pPr>
            <w:r>
              <w:rPr>
                <w:rFonts w:hint="eastAsia" w:ascii="仿宋" w:hAnsi="仿宋" w:eastAsia="仿宋" w:cs="仿宋"/>
                <w:sz w:val="21"/>
                <w:szCs w:val="21"/>
                <w:lang w:eastAsia="zh-CN"/>
              </w:rPr>
              <w:t>作业面积（亩）</w:t>
            </w:r>
          </w:p>
        </w:tc>
      </w:tr>
      <w:tr w14:paraId="5C51D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44BDC3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3660" w:type="dxa"/>
            <w:shd w:val="clear" w:color="auto" w:fill="auto"/>
            <w:vAlign w:val="center"/>
          </w:tcPr>
          <w:p w14:paraId="1B624D7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胜桥镇</w:t>
            </w:r>
          </w:p>
        </w:tc>
        <w:tc>
          <w:tcPr>
            <w:tcW w:w="3510" w:type="dxa"/>
            <w:shd w:val="clear" w:color="auto" w:fill="auto"/>
            <w:vAlign w:val="center"/>
          </w:tcPr>
          <w:p w14:paraId="30ED429A">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7500</w:t>
            </w:r>
          </w:p>
        </w:tc>
      </w:tr>
      <w:tr w14:paraId="025A9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6D18CF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3660" w:type="dxa"/>
            <w:shd w:val="clear" w:color="auto" w:fill="auto"/>
            <w:vAlign w:val="center"/>
          </w:tcPr>
          <w:p w14:paraId="586DBFC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板桥镇</w:t>
            </w:r>
          </w:p>
        </w:tc>
        <w:tc>
          <w:tcPr>
            <w:tcW w:w="3510" w:type="dxa"/>
            <w:shd w:val="clear" w:color="auto" w:fill="auto"/>
            <w:vAlign w:val="center"/>
          </w:tcPr>
          <w:p w14:paraId="1E5B13BE">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5000</w:t>
            </w:r>
          </w:p>
        </w:tc>
      </w:tr>
      <w:tr w14:paraId="47973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607735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w:t>
            </w:r>
          </w:p>
        </w:tc>
        <w:tc>
          <w:tcPr>
            <w:tcW w:w="3660" w:type="dxa"/>
            <w:shd w:val="clear" w:color="auto" w:fill="auto"/>
            <w:vAlign w:val="center"/>
          </w:tcPr>
          <w:p w14:paraId="2ED75BC4">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曲潭街道</w:t>
            </w:r>
          </w:p>
        </w:tc>
        <w:tc>
          <w:tcPr>
            <w:tcW w:w="3510" w:type="dxa"/>
            <w:vAlign w:val="center"/>
          </w:tcPr>
          <w:p w14:paraId="63D5BD31">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2000</w:t>
            </w:r>
          </w:p>
        </w:tc>
      </w:tr>
      <w:tr w14:paraId="5B2A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48F637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w:t>
            </w:r>
          </w:p>
        </w:tc>
        <w:tc>
          <w:tcPr>
            <w:tcW w:w="3660" w:type="dxa"/>
            <w:shd w:val="clear" w:color="auto" w:fill="auto"/>
            <w:vAlign w:val="center"/>
          </w:tcPr>
          <w:p w14:paraId="5063D841">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西岭镇</w:t>
            </w:r>
          </w:p>
        </w:tc>
        <w:tc>
          <w:tcPr>
            <w:tcW w:w="3510" w:type="dxa"/>
            <w:vAlign w:val="center"/>
          </w:tcPr>
          <w:p w14:paraId="60EA38BD">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5500</w:t>
            </w:r>
          </w:p>
        </w:tc>
      </w:tr>
      <w:tr w14:paraId="23DF2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74B3AE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5</w:t>
            </w:r>
          </w:p>
        </w:tc>
        <w:tc>
          <w:tcPr>
            <w:tcW w:w="3660" w:type="dxa"/>
            <w:shd w:val="clear" w:color="auto" w:fill="auto"/>
            <w:vAlign w:val="center"/>
          </w:tcPr>
          <w:p w14:paraId="30B0DA5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荫田镇</w:t>
            </w:r>
          </w:p>
        </w:tc>
        <w:tc>
          <w:tcPr>
            <w:tcW w:w="3510" w:type="dxa"/>
            <w:shd w:val="clear" w:color="auto" w:fill="auto"/>
            <w:vAlign w:val="center"/>
          </w:tcPr>
          <w:p w14:paraId="7663E4AB">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3300</w:t>
            </w:r>
          </w:p>
        </w:tc>
      </w:tr>
      <w:tr w14:paraId="20827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532555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6</w:t>
            </w:r>
          </w:p>
        </w:tc>
        <w:tc>
          <w:tcPr>
            <w:tcW w:w="3660" w:type="dxa"/>
            <w:shd w:val="clear" w:color="auto" w:fill="auto"/>
            <w:vAlign w:val="center"/>
          </w:tcPr>
          <w:p w14:paraId="73D9EAE6">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白沙镇</w:t>
            </w:r>
          </w:p>
        </w:tc>
        <w:tc>
          <w:tcPr>
            <w:tcW w:w="3510" w:type="dxa"/>
            <w:vAlign w:val="center"/>
          </w:tcPr>
          <w:p w14:paraId="7BB5A500">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700</w:t>
            </w:r>
          </w:p>
        </w:tc>
      </w:tr>
      <w:tr w14:paraId="74C69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66975F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7</w:t>
            </w:r>
          </w:p>
        </w:tc>
        <w:tc>
          <w:tcPr>
            <w:tcW w:w="3660" w:type="dxa"/>
            <w:shd w:val="clear" w:color="auto" w:fill="auto"/>
            <w:vAlign w:val="center"/>
          </w:tcPr>
          <w:p w14:paraId="3598F892">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新河镇</w:t>
            </w:r>
          </w:p>
        </w:tc>
        <w:tc>
          <w:tcPr>
            <w:tcW w:w="3510" w:type="dxa"/>
            <w:vAlign w:val="center"/>
          </w:tcPr>
          <w:p w14:paraId="038CFB26">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3400</w:t>
            </w:r>
          </w:p>
        </w:tc>
      </w:tr>
      <w:tr w14:paraId="3426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04BA73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8</w:t>
            </w:r>
          </w:p>
        </w:tc>
        <w:tc>
          <w:tcPr>
            <w:tcW w:w="3660" w:type="dxa"/>
            <w:shd w:val="clear" w:color="auto" w:fill="auto"/>
            <w:vAlign w:val="center"/>
          </w:tcPr>
          <w:p w14:paraId="17E9CF3A">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大堡乡</w:t>
            </w:r>
          </w:p>
        </w:tc>
        <w:tc>
          <w:tcPr>
            <w:tcW w:w="3510" w:type="dxa"/>
            <w:vAlign w:val="center"/>
          </w:tcPr>
          <w:p w14:paraId="3E2FDCBF">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3500</w:t>
            </w:r>
          </w:p>
        </w:tc>
      </w:tr>
      <w:tr w14:paraId="4CC4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400B2E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9</w:t>
            </w:r>
          </w:p>
        </w:tc>
        <w:tc>
          <w:tcPr>
            <w:tcW w:w="3660" w:type="dxa"/>
            <w:shd w:val="clear" w:color="auto" w:fill="auto"/>
            <w:vAlign w:val="center"/>
          </w:tcPr>
          <w:p w14:paraId="31964B34">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烟洲镇</w:t>
            </w:r>
          </w:p>
        </w:tc>
        <w:tc>
          <w:tcPr>
            <w:tcW w:w="3510" w:type="dxa"/>
            <w:vAlign w:val="center"/>
          </w:tcPr>
          <w:p w14:paraId="3F7A254E">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2000</w:t>
            </w:r>
          </w:p>
        </w:tc>
      </w:tr>
      <w:tr w14:paraId="1377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2C581A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10</w:t>
            </w:r>
          </w:p>
        </w:tc>
        <w:tc>
          <w:tcPr>
            <w:tcW w:w="3660" w:type="dxa"/>
            <w:shd w:val="clear" w:color="auto" w:fill="auto"/>
            <w:vAlign w:val="center"/>
          </w:tcPr>
          <w:p w14:paraId="71073C5A">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水口山镇</w:t>
            </w:r>
          </w:p>
        </w:tc>
        <w:tc>
          <w:tcPr>
            <w:tcW w:w="3510" w:type="dxa"/>
            <w:vAlign w:val="center"/>
          </w:tcPr>
          <w:p w14:paraId="42A2C8BA">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1200</w:t>
            </w:r>
          </w:p>
        </w:tc>
      </w:tr>
      <w:tr w14:paraId="498DF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20" w:type="pct"/>
            <w:gridSpan w:val="2"/>
            <w:vAlign w:val="center"/>
          </w:tcPr>
          <w:p w14:paraId="20BC5767">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outlineLvl w:val="9"/>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合计</w:t>
            </w:r>
          </w:p>
        </w:tc>
        <w:tc>
          <w:tcPr>
            <w:tcW w:w="2079" w:type="pct"/>
            <w:vAlign w:val="center"/>
          </w:tcPr>
          <w:p w14:paraId="0ECD6BE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outlineLvl w:val="9"/>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341000</w:t>
            </w:r>
          </w:p>
        </w:tc>
      </w:tr>
    </w:tbl>
    <w:p w14:paraId="7369A87F">
      <w:pPr>
        <w:keepNext w:val="0"/>
        <w:keepLines w:val="0"/>
        <w:pageBreakBefore w:val="0"/>
        <w:widowControl/>
        <w:kinsoku/>
        <w:wordWrap/>
        <w:overflowPunct/>
        <w:topLinePunct w:val="0"/>
        <w:autoSpaceDE w:val="0"/>
        <w:autoSpaceDN w:val="0"/>
        <w:bidi w:val="0"/>
        <w:adjustRightInd w:val="0"/>
        <w:snapToGrid w:val="0"/>
        <w:spacing w:line="500" w:lineRule="exact"/>
        <w:ind w:right="0" w:firstLine="422" w:firstLineChars="200"/>
        <w:jc w:val="both"/>
        <w:textAlignment w:val="baseline"/>
        <w:rPr>
          <w:rFonts w:hint="eastAsia" w:ascii="宋体" w:hAnsi="宋体" w:eastAsia="宋体" w:cs="宋体"/>
          <w:b/>
          <w:bCs/>
          <w:snapToGrid/>
          <w:color w:val="auto"/>
          <w:spacing w:val="0"/>
          <w:w w:val="100"/>
          <w:kern w:val="2"/>
          <w:sz w:val="21"/>
          <w:szCs w:val="21"/>
          <w:lang w:val="en-US" w:eastAsia="zh-CN" w:bidi="ar-SA"/>
        </w:rPr>
      </w:pPr>
      <w:r>
        <w:rPr>
          <w:rFonts w:hint="eastAsia" w:ascii="宋体" w:hAnsi="宋体" w:eastAsia="宋体" w:cs="宋体"/>
          <w:b/>
          <w:bCs/>
          <w:snapToGrid/>
          <w:color w:val="auto"/>
          <w:spacing w:val="0"/>
          <w:w w:val="100"/>
          <w:kern w:val="2"/>
          <w:sz w:val="21"/>
          <w:szCs w:val="21"/>
          <w:lang w:val="en-US" w:eastAsia="zh-CN" w:bidi="ar-SA"/>
        </w:rPr>
        <w:t>包2：</w:t>
      </w:r>
    </w:p>
    <w:tbl>
      <w:tblPr>
        <w:tblStyle w:val="2"/>
        <w:tblW w:w="495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3660"/>
        <w:gridCol w:w="3510"/>
      </w:tblGrid>
      <w:tr w14:paraId="461C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590CB8B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outlineLvl w:val="9"/>
              <w:rPr>
                <w:rFonts w:hint="eastAsia" w:ascii="仿宋" w:hAnsi="仿宋" w:eastAsia="仿宋" w:cs="仿宋"/>
                <w:sz w:val="21"/>
                <w:szCs w:val="21"/>
                <w:lang w:eastAsia="zh-CN"/>
              </w:rPr>
            </w:pPr>
            <w:r>
              <w:rPr>
                <w:rFonts w:hint="eastAsia" w:ascii="仿宋" w:hAnsi="仿宋" w:eastAsia="仿宋" w:cs="仿宋"/>
                <w:sz w:val="21"/>
                <w:szCs w:val="21"/>
                <w:lang w:eastAsia="zh-CN"/>
              </w:rPr>
              <w:t>序号</w:t>
            </w:r>
          </w:p>
        </w:tc>
        <w:tc>
          <w:tcPr>
            <w:tcW w:w="2168" w:type="pct"/>
            <w:vAlign w:val="center"/>
          </w:tcPr>
          <w:p w14:paraId="4A95090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outlineLvl w:val="9"/>
              <w:rPr>
                <w:rFonts w:hint="eastAsia" w:ascii="仿宋" w:hAnsi="仿宋" w:eastAsia="仿宋" w:cs="仿宋"/>
                <w:sz w:val="21"/>
                <w:szCs w:val="21"/>
                <w:lang w:eastAsia="zh-CN"/>
              </w:rPr>
            </w:pPr>
            <w:r>
              <w:rPr>
                <w:rFonts w:hint="eastAsia" w:ascii="仿宋" w:hAnsi="仿宋" w:eastAsia="仿宋" w:cs="仿宋"/>
                <w:sz w:val="21"/>
                <w:szCs w:val="21"/>
                <w:lang w:eastAsia="zh-CN"/>
              </w:rPr>
              <w:t>乡镇（街道）</w:t>
            </w:r>
          </w:p>
        </w:tc>
        <w:tc>
          <w:tcPr>
            <w:tcW w:w="2079" w:type="pct"/>
            <w:vAlign w:val="center"/>
          </w:tcPr>
          <w:p w14:paraId="45AD59F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outlineLvl w:val="9"/>
              <w:rPr>
                <w:rFonts w:hint="eastAsia" w:ascii="仿宋" w:hAnsi="仿宋" w:eastAsia="仿宋" w:cs="仿宋"/>
                <w:sz w:val="21"/>
                <w:szCs w:val="21"/>
                <w:lang w:val="en-US" w:eastAsia="zh-CN"/>
              </w:rPr>
            </w:pPr>
            <w:r>
              <w:rPr>
                <w:rFonts w:hint="eastAsia" w:ascii="仿宋" w:hAnsi="仿宋" w:eastAsia="仿宋" w:cs="仿宋"/>
                <w:sz w:val="21"/>
                <w:szCs w:val="21"/>
                <w:lang w:eastAsia="zh-CN"/>
              </w:rPr>
              <w:t>作业面积（亩）</w:t>
            </w:r>
          </w:p>
        </w:tc>
      </w:tr>
      <w:tr w14:paraId="32483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7CEFA1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3660" w:type="dxa"/>
            <w:shd w:val="clear" w:color="auto" w:fill="auto"/>
            <w:vAlign w:val="center"/>
          </w:tcPr>
          <w:p w14:paraId="5609540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罗桥镇</w:t>
            </w:r>
          </w:p>
        </w:tc>
        <w:tc>
          <w:tcPr>
            <w:tcW w:w="3510" w:type="dxa"/>
            <w:shd w:val="clear" w:color="auto" w:fill="auto"/>
            <w:vAlign w:val="center"/>
          </w:tcPr>
          <w:p w14:paraId="3528D398">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8500</w:t>
            </w:r>
          </w:p>
        </w:tc>
      </w:tr>
      <w:tr w14:paraId="1661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38D07D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3660" w:type="dxa"/>
            <w:shd w:val="clear" w:color="auto" w:fill="auto"/>
            <w:vAlign w:val="center"/>
          </w:tcPr>
          <w:p w14:paraId="02ABC8C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洋泉镇</w:t>
            </w:r>
          </w:p>
        </w:tc>
        <w:tc>
          <w:tcPr>
            <w:tcW w:w="3510" w:type="dxa"/>
            <w:shd w:val="clear" w:color="auto" w:fill="auto"/>
            <w:vAlign w:val="center"/>
          </w:tcPr>
          <w:p w14:paraId="2BEBB1DB">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7200</w:t>
            </w:r>
          </w:p>
        </w:tc>
      </w:tr>
      <w:tr w14:paraId="4E27D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7B1351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w:t>
            </w:r>
          </w:p>
        </w:tc>
        <w:tc>
          <w:tcPr>
            <w:tcW w:w="3660" w:type="dxa"/>
            <w:shd w:val="clear" w:color="auto" w:fill="auto"/>
            <w:vAlign w:val="center"/>
          </w:tcPr>
          <w:p w14:paraId="65E901EB">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三角塘镇</w:t>
            </w:r>
          </w:p>
        </w:tc>
        <w:tc>
          <w:tcPr>
            <w:tcW w:w="3510" w:type="dxa"/>
            <w:vAlign w:val="center"/>
          </w:tcPr>
          <w:p w14:paraId="302DB6FE">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4600</w:t>
            </w:r>
          </w:p>
        </w:tc>
      </w:tr>
      <w:tr w14:paraId="4A5A5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1DAEDF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w:t>
            </w:r>
          </w:p>
        </w:tc>
        <w:tc>
          <w:tcPr>
            <w:tcW w:w="3660" w:type="dxa"/>
            <w:shd w:val="clear" w:color="auto" w:fill="auto"/>
            <w:vAlign w:val="center"/>
          </w:tcPr>
          <w:p w14:paraId="48C961BB">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官岭镇</w:t>
            </w:r>
          </w:p>
        </w:tc>
        <w:tc>
          <w:tcPr>
            <w:tcW w:w="3510" w:type="dxa"/>
            <w:vAlign w:val="center"/>
          </w:tcPr>
          <w:p w14:paraId="6E8849C8">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2500</w:t>
            </w:r>
          </w:p>
        </w:tc>
      </w:tr>
      <w:tr w14:paraId="62569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0A1DF8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5</w:t>
            </w:r>
          </w:p>
        </w:tc>
        <w:tc>
          <w:tcPr>
            <w:tcW w:w="3660" w:type="dxa"/>
            <w:shd w:val="clear" w:color="auto" w:fill="auto"/>
            <w:vAlign w:val="center"/>
          </w:tcPr>
          <w:p w14:paraId="786FE4E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兰江乡</w:t>
            </w:r>
          </w:p>
        </w:tc>
        <w:tc>
          <w:tcPr>
            <w:tcW w:w="3510" w:type="dxa"/>
            <w:shd w:val="clear" w:color="auto" w:fill="auto"/>
            <w:vAlign w:val="center"/>
          </w:tcPr>
          <w:p w14:paraId="458E3F7D">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2100</w:t>
            </w:r>
          </w:p>
        </w:tc>
      </w:tr>
      <w:tr w14:paraId="72A2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40A2CB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6</w:t>
            </w:r>
          </w:p>
        </w:tc>
        <w:tc>
          <w:tcPr>
            <w:tcW w:w="3660" w:type="dxa"/>
            <w:shd w:val="clear" w:color="auto" w:fill="auto"/>
            <w:vAlign w:val="center"/>
          </w:tcPr>
          <w:p w14:paraId="5F677508">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宜阳街道</w:t>
            </w:r>
          </w:p>
        </w:tc>
        <w:tc>
          <w:tcPr>
            <w:tcW w:w="3510" w:type="dxa"/>
            <w:vAlign w:val="center"/>
          </w:tcPr>
          <w:p w14:paraId="68A7F620">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1500</w:t>
            </w:r>
          </w:p>
        </w:tc>
      </w:tr>
      <w:tr w14:paraId="7805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35A219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7</w:t>
            </w:r>
          </w:p>
        </w:tc>
        <w:tc>
          <w:tcPr>
            <w:tcW w:w="3660" w:type="dxa"/>
            <w:shd w:val="clear" w:color="auto" w:fill="auto"/>
            <w:vAlign w:val="center"/>
          </w:tcPr>
          <w:p w14:paraId="78FFBAEC">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柏坊镇</w:t>
            </w:r>
          </w:p>
        </w:tc>
        <w:tc>
          <w:tcPr>
            <w:tcW w:w="3510" w:type="dxa"/>
            <w:vAlign w:val="center"/>
          </w:tcPr>
          <w:p w14:paraId="440EED3D">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2900</w:t>
            </w:r>
          </w:p>
        </w:tc>
      </w:tr>
      <w:tr w14:paraId="57A83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134118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8</w:t>
            </w:r>
          </w:p>
        </w:tc>
        <w:tc>
          <w:tcPr>
            <w:tcW w:w="3660" w:type="dxa"/>
            <w:shd w:val="clear" w:color="auto" w:fill="auto"/>
            <w:vAlign w:val="center"/>
          </w:tcPr>
          <w:p w14:paraId="1676220D">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庙前镇</w:t>
            </w:r>
          </w:p>
        </w:tc>
        <w:tc>
          <w:tcPr>
            <w:tcW w:w="3510" w:type="dxa"/>
            <w:vAlign w:val="center"/>
          </w:tcPr>
          <w:p w14:paraId="716233B2">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1900</w:t>
            </w:r>
          </w:p>
        </w:tc>
      </w:tr>
      <w:tr w14:paraId="2605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6D1364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9</w:t>
            </w:r>
          </w:p>
        </w:tc>
        <w:tc>
          <w:tcPr>
            <w:tcW w:w="3660" w:type="dxa"/>
            <w:shd w:val="clear" w:color="auto" w:fill="auto"/>
            <w:vAlign w:val="center"/>
          </w:tcPr>
          <w:p w14:paraId="1677FB36">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蓬塘乡</w:t>
            </w:r>
          </w:p>
        </w:tc>
        <w:tc>
          <w:tcPr>
            <w:tcW w:w="3510" w:type="dxa"/>
            <w:vAlign w:val="center"/>
          </w:tcPr>
          <w:p w14:paraId="6EC064CE">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2600</w:t>
            </w:r>
          </w:p>
        </w:tc>
      </w:tr>
      <w:tr w14:paraId="5A12A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0D702F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10</w:t>
            </w:r>
          </w:p>
        </w:tc>
        <w:tc>
          <w:tcPr>
            <w:tcW w:w="3660" w:type="dxa"/>
            <w:shd w:val="clear" w:color="auto" w:fill="auto"/>
            <w:vAlign w:val="center"/>
          </w:tcPr>
          <w:p w14:paraId="2997E78E">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培元街道</w:t>
            </w:r>
          </w:p>
        </w:tc>
        <w:tc>
          <w:tcPr>
            <w:tcW w:w="3510" w:type="dxa"/>
            <w:vAlign w:val="center"/>
          </w:tcPr>
          <w:p w14:paraId="3E0384F0">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200</w:t>
            </w:r>
          </w:p>
        </w:tc>
      </w:tr>
      <w:tr w14:paraId="51DA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751" w:type="pct"/>
            <w:vAlign w:val="center"/>
          </w:tcPr>
          <w:p w14:paraId="22F146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11</w:t>
            </w:r>
          </w:p>
        </w:tc>
        <w:tc>
          <w:tcPr>
            <w:tcW w:w="3660" w:type="dxa"/>
            <w:shd w:val="clear" w:color="auto" w:fill="auto"/>
            <w:vAlign w:val="center"/>
          </w:tcPr>
          <w:p w14:paraId="0C9A2B2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泉峰街道</w:t>
            </w:r>
          </w:p>
        </w:tc>
        <w:tc>
          <w:tcPr>
            <w:tcW w:w="3510" w:type="dxa"/>
            <w:vAlign w:val="center"/>
          </w:tcPr>
          <w:p w14:paraId="1E28AB9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200</w:t>
            </w:r>
          </w:p>
        </w:tc>
      </w:tr>
      <w:tr w14:paraId="4AA7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20" w:type="pct"/>
            <w:gridSpan w:val="2"/>
            <w:vAlign w:val="center"/>
          </w:tcPr>
          <w:p w14:paraId="6F606F3A">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outlineLvl w:val="9"/>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合计</w:t>
            </w:r>
          </w:p>
        </w:tc>
        <w:tc>
          <w:tcPr>
            <w:tcW w:w="2079" w:type="pct"/>
            <w:vAlign w:val="center"/>
          </w:tcPr>
          <w:p w14:paraId="1046AF28">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outlineLvl w:val="9"/>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342000</w:t>
            </w:r>
          </w:p>
        </w:tc>
      </w:tr>
    </w:tbl>
    <w:p w14:paraId="3B9DBD8A">
      <w:pPr>
        <w:keepNext w:val="0"/>
        <w:keepLines w:val="0"/>
        <w:pageBreakBefore w:val="0"/>
        <w:widowControl/>
        <w:kinsoku/>
        <w:wordWrap/>
        <w:overflowPunct/>
        <w:topLinePunct w:val="0"/>
        <w:autoSpaceDE w:val="0"/>
        <w:autoSpaceDN w:val="0"/>
        <w:bidi w:val="0"/>
        <w:adjustRightInd w:val="0"/>
        <w:snapToGrid w:val="0"/>
        <w:spacing w:line="500" w:lineRule="exact"/>
        <w:ind w:right="0" w:firstLine="422"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b/>
          <w:bCs/>
          <w:snapToGrid/>
          <w:color w:val="auto"/>
          <w:spacing w:val="0"/>
          <w:w w:val="100"/>
          <w:kern w:val="2"/>
          <w:sz w:val="21"/>
          <w:szCs w:val="21"/>
          <w:lang w:val="en-US" w:eastAsia="en-US" w:bidi="ar-SA"/>
        </w:rPr>
        <w:t>（二）技术要求</w:t>
      </w:r>
    </w:p>
    <w:p w14:paraId="33402EEB">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zh-CN" w:bidi="ar-SA"/>
        </w:rPr>
      </w:pPr>
      <w:r>
        <w:rPr>
          <w:rFonts w:hint="eastAsia" w:ascii="宋体" w:hAnsi="宋体" w:eastAsia="宋体" w:cs="宋体"/>
          <w:snapToGrid/>
          <w:color w:val="auto"/>
          <w:spacing w:val="0"/>
          <w:w w:val="100"/>
          <w:kern w:val="2"/>
          <w:sz w:val="21"/>
          <w:szCs w:val="21"/>
          <w:lang w:val="en-US" w:eastAsia="en-US" w:bidi="ar-SA"/>
        </w:rPr>
        <w:t>(</w:t>
      </w:r>
      <w:r>
        <w:rPr>
          <w:rFonts w:hint="eastAsia" w:ascii="宋体" w:hAnsi="宋体" w:eastAsia="宋体" w:cs="宋体"/>
          <w:snapToGrid/>
          <w:color w:val="auto"/>
          <w:spacing w:val="0"/>
          <w:w w:val="100"/>
          <w:kern w:val="2"/>
          <w:sz w:val="21"/>
          <w:szCs w:val="21"/>
          <w:lang w:val="en-US" w:eastAsia="zh-CN" w:bidi="ar-SA"/>
        </w:rPr>
        <w:t>1</w:t>
      </w:r>
      <w:r>
        <w:rPr>
          <w:rFonts w:hint="eastAsia" w:ascii="宋体" w:hAnsi="宋体" w:eastAsia="宋体" w:cs="宋体"/>
          <w:snapToGrid/>
          <w:color w:val="auto"/>
          <w:spacing w:val="0"/>
          <w:w w:val="100"/>
          <w:kern w:val="2"/>
          <w:sz w:val="21"/>
          <w:szCs w:val="21"/>
          <w:lang w:val="en-US" w:eastAsia="en-US" w:bidi="ar-SA"/>
        </w:rPr>
        <w:t>)合规选择施用药肥。严格按照湖南省秋粮抗逆防灾实施方案统一技术要求执行，采用“含氨基酸水溶肥+高钾大量元素水溶肥+芸苔素内酯”科学组合配方，每亩标准配比为:符合NY/T1973-2021标准的含氨基酸水溶肥50毫升、符合NY1107-2020标准的高钾型大量元素水溶肥50克、0.01%28-表高芸苔素内酯(可溶液剂型)20毫升，统一配比、统一喷施、统一技术标准。所有药肥产品必须三证齐全、手续完备，具备正规登记证、生产资质、出厂质检报告，产品水不溶物指标符合无人机飞防作业标准，不堵塞喷头、不产生沉淀分层。严禁使用无登记证、三无、过期变质、不合格药肥产品。全程科学配比、规范混配、安全施用，严格防范肥害、药害风险，全面保障田间作业安全、农业生态安全和农产品质量安全</w:t>
      </w:r>
      <w:r>
        <w:rPr>
          <w:rFonts w:hint="eastAsia" w:ascii="宋体" w:hAnsi="宋体" w:eastAsia="宋体" w:cs="宋体"/>
          <w:snapToGrid/>
          <w:color w:val="auto"/>
          <w:spacing w:val="0"/>
          <w:w w:val="100"/>
          <w:kern w:val="2"/>
          <w:sz w:val="21"/>
          <w:szCs w:val="21"/>
          <w:lang w:val="en-US" w:eastAsia="zh-CN" w:bidi="ar-SA"/>
        </w:rPr>
        <w:t>。</w:t>
      </w:r>
    </w:p>
    <w:p w14:paraId="04944960">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w:t>
      </w:r>
      <w:r>
        <w:rPr>
          <w:rFonts w:hint="eastAsia" w:ascii="宋体" w:hAnsi="宋体" w:eastAsia="宋体" w:cs="宋体"/>
          <w:snapToGrid/>
          <w:color w:val="auto"/>
          <w:spacing w:val="0"/>
          <w:w w:val="100"/>
          <w:kern w:val="2"/>
          <w:sz w:val="21"/>
          <w:szCs w:val="21"/>
          <w:lang w:val="en-US" w:eastAsia="zh-CN" w:bidi="ar-SA"/>
        </w:rPr>
        <w:t>2</w:t>
      </w:r>
      <w:r>
        <w:rPr>
          <w:rFonts w:hint="eastAsia" w:ascii="宋体" w:hAnsi="宋体" w:eastAsia="宋体" w:cs="宋体"/>
          <w:snapToGrid/>
          <w:color w:val="auto"/>
          <w:spacing w:val="0"/>
          <w:w w:val="100"/>
          <w:kern w:val="2"/>
          <w:sz w:val="21"/>
          <w:szCs w:val="21"/>
          <w:lang w:val="en-US" w:eastAsia="en-US" w:bidi="ar-SA"/>
        </w:rPr>
        <w:t>)科学规范喷施作业。根据天气、苗情合理安排作业时段，优先选择无风、无雨、晴好天气早晚凉爽时段开展无人机喷施作业，严禁正午高温、大风、降雨前后作业，有效规避药液漂移、药剂流失、局部药害等问题，确保作业效果稳定、安全可控。</w:t>
      </w:r>
    </w:p>
    <w:p w14:paraId="01A70538">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w:t>
      </w:r>
      <w:r>
        <w:rPr>
          <w:rFonts w:hint="eastAsia" w:ascii="宋体" w:hAnsi="宋体" w:eastAsia="宋体" w:cs="宋体"/>
          <w:snapToGrid/>
          <w:color w:val="auto"/>
          <w:spacing w:val="0"/>
          <w:w w:val="100"/>
          <w:kern w:val="2"/>
          <w:sz w:val="21"/>
          <w:szCs w:val="21"/>
          <w:lang w:val="en-US" w:eastAsia="zh-CN" w:bidi="ar-SA"/>
        </w:rPr>
        <w:t>3</w:t>
      </w:r>
      <w:r>
        <w:rPr>
          <w:rFonts w:hint="eastAsia" w:ascii="宋体" w:hAnsi="宋体" w:eastAsia="宋体" w:cs="宋体"/>
          <w:snapToGrid/>
          <w:color w:val="auto"/>
          <w:spacing w:val="0"/>
          <w:w w:val="100"/>
          <w:kern w:val="2"/>
          <w:sz w:val="21"/>
          <w:szCs w:val="21"/>
          <w:lang w:val="en-US" w:eastAsia="en-US" w:bidi="ar-SA"/>
        </w:rPr>
        <w:t>)严格把控作业质量。飞防作业须全覆盖、无死角、均匀喷施，做到不漏喷、不重喷、不空白。保证药液均匀附着稻株叶面、叶背，无人机亩喷施液量必须达到行业技术规范标准，确保实现降温抗逆、防早衰、增粒增重的综合增产效果。</w:t>
      </w:r>
    </w:p>
    <w:p w14:paraId="11301A6B">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w:t>
      </w:r>
      <w:r>
        <w:rPr>
          <w:rFonts w:hint="eastAsia" w:ascii="宋体" w:hAnsi="宋体" w:eastAsia="宋体" w:cs="宋体"/>
          <w:snapToGrid/>
          <w:color w:val="auto"/>
          <w:spacing w:val="0"/>
          <w:w w:val="100"/>
          <w:kern w:val="2"/>
          <w:sz w:val="21"/>
          <w:szCs w:val="21"/>
          <w:lang w:val="en-US" w:eastAsia="zh-CN" w:bidi="ar-SA"/>
        </w:rPr>
        <w:t>4</w:t>
      </w:r>
      <w:r>
        <w:rPr>
          <w:rFonts w:hint="eastAsia" w:ascii="宋体" w:hAnsi="宋体" w:eastAsia="宋体" w:cs="宋体"/>
          <w:snapToGrid/>
          <w:color w:val="auto"/>
          <w:spacing w:val="0"/>
          <w:w w:val="100"/>
          <w:kern w:val="2"/>
          <w:sz w:val="21"/>
          <w:szCs w:val="21"/>
          <w:lang w:val="en-US" w:eastAsia="en-US" w:bidi="ar-SA"/>
        </w:rPr>
        <w:t>)规范作业面积及质量验收。本项目实行日常监管与集中验收一体化工作机制，综合运用GPS轨迹核验、台账资料审查、现场抽核方式开展验收，确保作业真实、作业质量合规、作业数据准确。</w:t>
      </w:r>
    </w:p>
    <w:p w14:paraId="5E7D6BD4">
      <w:pPr>
        <w:keepNext w:val="0"/>
        <w:keepLines w:val="0"/>
        <w:pageBreakBefore w:val="0"/>
        <w:widowControl/>
        <w:kinsoku/>
        <w:wordWrap/>
        <w:overflowPunct/>
        <w:topLinePunct w:val="0"/>
        <w:autoSpaceDE w:val="0"/>
        <w:autoSpaceDN w:val="0"/>
        <w:bidi w:val="0"/>
        <w:adjustRightInd w:val="0"/>
        <w:snapToGrid w:val="0"/>
        <w:spacing w:line="500" w:lineRule="exact"/>
        <w:ind w:right="0" w:firstLine="422" w:firstLineChars="200"/>
        <w:jc w:val="both"/>
        <w:textAlignment w:val="baseline"/>
        <w:rPr>
          <w:rFonts w:hint="eastAsia" w:ascii="宋体" w:hAnsi="宋体" w:eastAsia="宋体" w:cs="宋体"/>
          <w:snapToGrid/>
          <w:color w:val="auto"/>
          <w:spacing w:val="0"/>
          <w:w w:val="100"/>
          <w:kern w:val="2"/>
          <w:sz w:val="21"/>
          <w:szCs w:val="21"/>
          <w:lang w:val="en-US" w:eastAsia="zh-CN" w:bidi="ar-SA"/>
        </w:rPr>
      </w:pPr>
      <w:r>
        <w:rPr>
          <w:rFonts w:hint="eastAsia" w:ascii="宋体" w:hAnsi="宋体" w:eastAsia="宋体" w:cs="宋体"/>
          <w:b/>
          <w:bCs/>
          <w:snapToGrid/>
          <w:color w:val="auto"/>
          <w:spacing w:val="0"/>
          <w:w w:val="100"/>
          <w:kern w:val="2"/>
          <w:sz w:val="21"/>
          <w:szCs w:val="21"/>
          <w:lang w:val="en-US" w:eastAsia="zh-CN" w:bidi="ar-SA"/>
        </w:rPr>
        <w:t>（三）服务时间：</w:t>
      </w:r>
      <w:r>
        <w:rPr>
          <w:rFonts w:hint="eastAsia" w:ascii="宋体" w:hAnsi="宋体" w:eastAsia="宋体" w:cs="宋体"/>
          <w:snapToGrid/>
          <w:color w:val="auto"/>
          <w:spacing w:val="0"/>
          <w:w w:val="100"/>
          <w:kern w:val="2"/>
          <w:sz w:val="21"/>
          <w:szCs w:val="21"/>
          <w:lang w:val="en-US" w:eastAsia="zh-CN" w:bidi="ar-SA"/>
        </w:rPr>
        <w:t xml:space="preserve">合同签订后5天内完成任务。  </w:t>
      </w:r>
    </w:p>
    <w:p w14:paraId="1CEAD827">
      <w:pPr>
        <w:keepNext w:val="0"/>
        <w:keepLines w:val="0"/>
        <w:pageBreakBefore w:val="0"/>
        <w:widowControl/>
        <w:kinsoku/>
        <w:wordWrap/>
        <w:overflowPunct/>
        <w:topLinePunct w:val="0"/>
        <w:autoSpaceDE w:val="0"/>
        <w:autoSpaceDN w:val="0"/>
        <w:bidi w:val="0"/>
        <w:adjustRightInd w:val="0"/>
        <w:snapToGrid w:val="0"/>
        <w:spacing w:line="500" w:lineRule="exact"/>
        <w:ind w:right="0" w:firstLine="422" w:firstLineChars="200"/>
        <w:jc w:val="both"/>
        <w:textAlignment w:val="baseline"/>
        <w:rPr>
          <w:rFonts w:hint="eastAsia" w:ascii="宋体" w:hAnsi="宋体" w:eastAsia="宋体" w:cs="宋体"/>
          <w:snapToGrid/>
          <w:color w:val="auto"/>
          <w:spacing w:val="0"/>
          <w:w w:val="100"/>
          <w:kern w:val="2"/>
          <w:sz w:val="21"/>
          <w:szCs w:val="21"/>
          <w:lang w:val="en-US" w:eastAsia="zh-CN" w:bidi="ar-SA"/>
        </w:rPr>
      </w:pPr>
      <w:r>
        <w:rPr>
          <w:rFonts w:hint="eastAsia" w:ascii="宋体" w:hAnsi="宋体" w:eastAsia="宋体" w:cs="宋体"/>
          <w:b/>
          <w:bCs/>
          <w:snapToGrid/>
          <w:color w:val="auto"/>
          <w:spacing w:val="0"/>
          <w:w w:val="100"/>
          <w:kern w:val="2"/>
          <w:sz w:val="21"/>
          <w:szCs w:val="21"/>
          <w:lang w:val="en-US" w:eastAsia="zh-CN" w:bidi="ar-SA"/>
        </w:rPr>
        <w:t>（四） 产品要求</w:t>
      </w:r>
    </w:p>
    <w:p w14:paraId="26C936F0">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1、</w:t>
      </w:r>
      <w:r>
        <w:rPr>
          <w:rFonts w:hint="eastAsia" w:ascii="宋体" w:hAnsi="宋体" w:eastAsia="宋体" w:cs="宋体"/>
          <w:snapToGrid/>
          <w:color w:val="auto"/>
          <w:spacing w:val="0"/>
          <w:w w:val="100"/>
          <w:kern w:val="2"/>
          <w:sz w:val="21"/>
          <w:szCs w:val="21"/>
          <w:lang w:val="en-US" w:eastAsia="zh-CN" w:bidi="ar-SA"/>
        </w:rPr>
        <w:t>成交供应商</w:t>
      </w:r>
      <w:r>
        <w:rPr>
          <w:rFonts w:hint="eastAsia" w:ascii="宋体" w:hAnsi="宋体" w:eastAsia="宋体" w:cs="宋体"/>
          <w:snapToGrid/>
          <w:color w:val="auto"/>
          <w:spacing w:val="0"/>
          <w:w w:val="100"/>
          <w:kern w:val="2"/>
          <w:sz w:val="21"/>
          <w:szCs w:val="21"/>
          <w:lang w:val="en-US" w:eastAsia="en-US" w:bidi="ar-SA"/>
        </w:rPr>
        <w:t>保证出</w:t>
      </w:r>
      <w:r>
        <w:rPr>
          <w:rFonts w:hint="eastAsia" w:ascii="宋体" w:hAnsi="宋体" w:eastAsia="宋体" w:cs="宋体"/>
          <w:snapToGrid/>
          <w:color w:val="auto"/>
          <w:spacing w:val="0"/>
          <w:w w:val="100"/>
          <w:kern w:val="2"/>
          <w:sz w:val="21"/>
          <w:szCs w:val="21"/>
          <w:lang w:val="en-US" w:eastAsia="zh-CN" w:bidi="ar-SA"/>
        </w:rPr>
        <w:t>售</w:t>
      </w:r>
      <w:r>
        <w:rPr>
          <w:rFonts w:hint="eastAsia" w:ascii="宋体" w:hAnsi="宋体" w:eastAsia="宋体" w:cs="宋体"/>
          <w:snapToGrid/>
          <w:color w:val="auto"/>
          <w:spacing w:val="0"/>
          <w:w w:val="100"/>
          <w:kern w:val="2"/>
          <w:sz w:val="21"/>
          <w:szCs w:val="21"/>
          <w:lang w:val="en-US" w:eastAsia="en-US" w:bidi="ar-SA"/>
        </w:rPr>
        <w:t>给采购人的产品或产品任何部分非他人所有或与他人共有，未设有抵押权、租赁权，未侵犯他人的专利权、版权、商标权等知识产权。一旦出现侵权，</w:t>
      </w:r>
      <w:r>
        <w:rPr>
          <w:rFonts w:hint="eastAsia" w:ascii="宋体" w:hAnsi="宋体" w:eastAsia="宋体" w:cs="宋体"/>
          <w:snapToGrid/>
          <w:color w:val="auto"/>
          <w:spacing w:val="0"/>
          <w:w w:val="100"/>
          <w:kern w:val="2"/>
          <w:sz w:val="21"/>
          <w:szCs w:val="21"/>
          <w:lang w:val="en-US" w:eastAsia="zh-CN" w:bidi="ar-SA"/>
        </w:rPr>
        <w:t>成交</w:t>
      </w:r>
      <w:r>
        <w:rPr>
          <w:rFonts w:hint="eastAsia" w:ascii="宋体" w:hAnsi="宋体" w:eastAsia="宋体" w:cs="宋体"/>
          <w:snapToGrid/>
          <w:color w:val="auto"/>
          <w:spacing w:val="0"/>
          <w:w w:val="100"/>
          <w:kern w:val="2"/>
          <w:sz w:val="21"/>
          <w:szCs w:val="21"/>
          <w:lang w:val="en-US" w:eastAsia="en-US" w:bidi="ar-SA"/>
        </w:rPr>
        <w:t>方应承担全部责任。</w:t>
      </w:r>
    </w:p>
    <w:p w14:paraId="0EFA4935">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2、产品质量与包装</w:t>
      </w:r>
    </w:p>
    <w:p w14:paraId="53E3123B">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（1）单证齐全：应有产品合格证（或质量证明）、发票和其它应具有的单证；</w:t>
      </w:r>
    </w:p>
    <w:p w14:paraId="7B9F81FC">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（2）产品质量应符合中华人民共和国国家安全质量标准、环保标准、行业标准或货物来源国官方标准；</w:t>
      </w:r>
    </w:p>
    <w:p w14:paraId="3F51EB87">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3、货物为原厂商未启封全新包装，可追索查阅。</w:t>
      </w:r>
    </w:p>
    <w:p w14:paraId="3F558150">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4、产品运输、保险及其他</w:t>
      </w:r>
    </w:p>
    <w:p w14:paraId="4861872E">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（1）</w:t>
      </w:r>
      <w:r>
        <w:rPr>
          <w:rFonts w:hint="eastAsia" w:ascii="宋体" w:hAnsi="宋体" w:eastAsia="宋体" w:cs="宋体"/>
          <w:snapToGrid/>
          <w:color w:val="auto"/>
          <w:spacing w:val="0"/>
          <w:w w:val="100"/>
          <w:kern w:val="2"/>
          <w:sz w:val="21"/>
          <w:szCs w:val="21"/>
          <w:lang w:val="en-US" w:eastAsia="zh-CN" w:bidi="ar-SA"/>
        </w:rPr>
        <w:t>成交供应商</w:t>
      </w:r>
      <w:r>
        <w:rPr>
          <w:rFonts w:hint="eastAsia" w:ascii="宋体" w:hAnsi="宋体" w:eastAsia="宋体" w:cs="宋体"/>
          <w:snapToGrid/>
          <w:color w:val="auto"/>
          <w:spacing w:val="0"/>
          <w:w w:val="100"/>
          <w:kern w:val="2"/>
          <w:sz w:val="21"/>
          <w:szCs w:val="21"/>
          <w:lang w:val="en-US" w:eastAsia="en-US" w:bidi="ar-SA"/>
        </w:rPr>
        <w:t>负责产品到</w:t>
      </w:r>
      <w:r>
        <w:rPr>
          <w:rFonts w:hint="eastAsia" w:ascii="宋体" w:hAnsi="宋体" w:eastAsia="宋体" w:cs="宋体"/>
          <w:snapToGrid/>
          <w:color w:val="auto"/>
          <w:spacing w:val="0"/>
          <w:w w:val="100"/>
          <w:kern w:val="2"/>
          <w:sz w:val="21"/>
          <w:szCs w:val="21"/>
          <w:lang w:val="en-US" w:eastAsia="zh-CN" w:bidi="ar-SA"/>
        </w:rPr>
        <w:t>实施</w:t>
      </w:r>
      <w:r>
        <w:rPr>
          <w:rFonts w:hint="eastAsia" w:ascii="宋体" w:hAnsi="宋体" w:eastAsia="宋体" w:cs="宋体"/>
          <w:snapToGrid/>
          <w:color w:val="auto"/>
          <w:spacing w:val="0"/>
          <w:w w:val="100"/>
          <w:kern w:val="2"/>
          <w:sz w:val="21"/>
          <w:szCs w:val="21"/>
          <w:lang w:val="en-US" w:eastAsia="en-US" w:bidi="ar-SA"/>
        </w:rPr>
        <w:t>地点的全部运输，包括转运、装卸及现场搬运等。</w:t>
      </w:r>
    </w:p>
    <w:p w14:paraId="03855C60">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（2）</w:t>
      </w:r>
      <w:r>
        <w:rPr>
          <w:rFonts w:hint="eastAsia" w:ascii="宋体" w:hAnsi="宋体" w:eastAsia="宋体" w:cs="宋体"/>
          <w:snapToGrid/>
          <w:color w:val="auto"/>
          <w:spacing w:val="0"/>
          <w:w w:val="100"/>
          <w:kern w:val="2"/>
          <w:sz w:val="21"/>
          <w:szCs w:val="21"/>
          <w:lang w:val="en-US" w:eastAsia="zh-CN" w:bidi="ar-SA"/>
        </w:rPr>
        <w:t>成交供应商</w:t>
      </w:r>
      <w:r>
        <w:rPr>
          <w:rFonts w:hint="eastAsia" w:ascii="宋体" w:hAnsi="宋体" w:eastAsia="宋体" w:cs="宋体"/>
          <w:snapToGrid/>
          <w:color w:val="auto"/>
          <w:spacing w:val="0"/>
          <w:w w:val="100"/>
          <w:kern w:val="2"/>
          <w:sz w:val="21"/>
          <w:szCs w:val="21"/>
          <w:lang w:val="en-US" w:eastAsia="en-US" w:bidi="ar-SA"/>
        </w:rPr>
        <w:t>负责材料设备在</w:t>
      </w:r>
      <w:r>
        <w:rPr>
          <w:rFonts w:hint="eastAsia" w:ascii="宋体" w:hAnsi="宋体" w:eastAsia="宋体" w:cs="宋体"/>
          <w:snapToGrid/>
          <w:color w:val="auto"/>
          <w:spacing w:val="0"/>
          <w:w w:val="100"/>
          <w:kern w:val="2"/>
          <w:sz w:val="21"/>
          <w:szCs w:val="21"/>
          <w:lang w:val="en-US" w:eastAsia="zh-CN" w:bidi="ar-SA"/>
        </w:rPr>
        <w:t>实施</w:t>
      </w:r>
      <w:r>
        <w:rPr>
          <w:rFonts w:hint="eastAsia" w:ascii="宋体" w:hAnsi="宋体" w:eastAsia="宋体" w:cs="宋体"/>
          <w:snapToGrid/>
          <w:color w:val="auto"/>
          <w:spacing w:val="0"/>
          <w:w w:val="100"/>
          <w:kern w:val="2"/>
          <w:sz w:val="21"/>
          <w:szCs w:val="21"/>
          <w:lang w:val="en-US" w:eastAsia="en-US" w:bidi="ar-SA"/>
        </w:rPr>
        <w:t>地点的保管，直至项目验收合格。</w:t>
      </w:r>
    </w:p>
    <w:p w14:paraId="397C24BA">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（3）</w:t>
      </w:r>
      <w:r>
        <w:rPr>
          <w:rFonts w:hint="eastAsia" w:ascii="宋体" w:hAnsi="宋体" w:eastAsia="宋体" w:cs="宋体"/>
          <w:snapToGrid/>
          <w:color w:val="auto"/>
          <w:spacing w:val="0"/>
          <w:w w:val="100"/>
          <w:kern w:val="2"/>
          <w:sz w:val="21"/>
          <w:szCs w:val="21"/>
          <w:lang w:val="en-US" w:eastAsia="zh-CN" w:bidi="ar-SA"/>
        </w:rPr>
        <w:t>成交供应商</w:t>
      </w:r>
      <w:r>
        <w:rPr>
          <w:rFonts w:hint="eastAsia" w:ascii="宋体" w:hAnsi="宋体" w:eastAsia="宋体" w:cs="宋体"/>
          <w:snapToGrid/>
          <w:color w:val="auto"/>
          <w:spacing w:val="0"/>
          <w:w w:val="100"/>
          <w:kern w:val="2"/>
          <w:sz w:val="21"/>
          <w:szCs w:val="21"/>
          <w:lang w:val="en-US" w:eastAsia="en-US" w:bidi="ar-SA"/>
        </w:rPr>
        <w:t>负责进行</w:t>
      </w:r>
      <w:r>
        <w:rPr>
          <w:rFonts w:hint="eastAsia" w:ascii="宋体" w:hAnsi="宋体" w:eastAsia="宋体" w:cs="宋体"/>
          <w:snapToGrid/>
          <w:color w:val="auto"/>
          <w:spacing w:val="0"/>
          <w:w w:val="100"/>
          <w:kern w:val="2"/>
          <w:sz w:val="21"/>
          <w:szCs w:val="21"/>
          <w:lang w:val="en-US" w:eastAsia="zh-CN" w:bidi="ar-SA"/>
        </w:rPr>
        <w:t>药物的运输和转运</w:t>
      </w:r>
      <w:r>
        <w:rPr>
          <w:rFonts w:hint="eastAsia" w:ascii="宋体" w:hAnsi="宋体" w:eastAsia="宋体" w:cs="宋体"/>
          <w:snapToGrid/>
          <w:color w:val="auto"/>
          <w:spacing w:val="0"/>
          <w:w w:val="100"/>
          <w:kern w:val="2"/>
          <w:sz w:val="21"/>
          <w:szCs w:val="21"/>
          <w:lang w:val="en-US" w:eastAsia="en-US" w:bidi="ar-SA"/>
        </w:rPr>
        <w:t>，负责其派出、聘请的</w:t>
      </w:r>
      <w:r>
        <w:rPr>
          <w:rFonts w:hint="eastAsia" w:ascii="宋体" w:hAnsi="宋体" w:eastAsia="宋体" w:cs="宋体"/>
          <w:snapToGrid/>
          <w:color w:val="auto"/>
          <w:spacing w:val="0"/>
          <w:w w:val="100"/>
          <w:kern w:val="2"/>
          <w:sz w:val="21"/>
          <w:szCs w:val="21"/>
          <w:lang w:val="en-US" w:eastAsia="zh-CN" w:bidi="ar-SA"/>
        </w:rPr>
        <w:t>实施</w:t>
      </w:r>
      <w:r>
        <w:rPr>
          <w:rFonts w:hint="eastAsia" w:ascii="宋体" w:hAnsi="宋体" w:eastAsia="宋体" w:cs="宋体"/>
          <w:snapToGrid/>
          <w:color w:val="auto"/>
          <w:spacing w:val="0"/>
          <w:w w:val="100"/>
          <w:kern w:val="2"/>
          <w:sz w:val="21"/>
          <w:szCs w:val="21"/>
          <w:lang w:val="en-US" w:eastAsia="en-US" w:bidi="ar-SA"/>
        </w:rPr>
        <w:t>人员的人身安全及人身意外保险。</w:t>
      </w:r>
    </w:p>
    <w:p w14:paraId="1E26BFEB">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（4）</w:t>
      </w:r>
      <w:r>
        <w:rPr>
          <w:rFonts w:hint="eastAsia" w:ascii="宋体" w:hAnsi="宋体" w:eastAsia="宋体" w:cs="宋体"/>
          <w:snapToGrid/>
          <w:color w:val="auto"/>
          <w:spacing w:val="0"/>
          <w:w w:val="100"/>
          <w:kern w:val="2"/>
          <w:sz w:val="21"/>
          <w:szCs w:val="21"/>
          <w:lang w:val="en-US" w:eastAsia="zh-CN" w:bidi="ar-SA"/>
        </w:rPr>
        <w:t>成交供应商</w:t>
      </w:r>
      <w:r>
        <w:rPr>
          <w:rFonts w:hint="eastAsia" w:ascii="宋体" w:hAnsi="宋体" w:eastAsia="宋体" w:cs="宋体"/>
          <w:snapToGrid/>
          <w:color w:val="auto"/>
          <w:spacing w:val="0"/>
          <w:w w:val="100"/>
          <w:kern w:val="2"/>
          <w:sz w:val="21"/>
          <w:szCs w:val="21"/>
          <w:lang w:val="en-US" w:eastAsia="en-US" w:bidi="ar-SA"/>
        </w:rPr>
        <w:t>在作业过程中不得将产品</w:t>
      </w:r>
      <w:r>
        <w:rPr>
          <w:rFonts w:hint="eastAsia" w:ascii="宋体" w:hAnsi="宋体" w:eastAsia="宋体" w:cs="宋体"/>
          <w:snapToGrid/>
          <w:color w:val="auto"/>
          <w:spacing w:val="0"/>
          <w:w w:val="100"/>
          <w:kern w:val="2"/>
          <w:sz w:val="21"/>
          <w:szCs w:val="21"/>
          <w:lang w:val="en-US" w:eastAsia="zh-CN" w:bidi="ar-SA"/>
        </w:rPr>
        <w:t>及包装</w:t>
      </w:r>
      <w:r>
        <w:rPr>
          <w:rFonts w:hint="eastAsia" w:ascii="宋体" w:hAnsi="宋体" w:eastAsia="宋体" w:cs="宋体"/>
          <w:snapToGrid/>
          <w:color w:val="auto"/>
          <w:spacing w:val="0"/>
          <w:w w:val="100"/>
          <w:kern w:val="2"/>
          <w:sz w:val="21"/>
          <w:szCs w:val="21"/>
          <w:lang w:val="en-US" w:eastAsia="en-US" w:bidi="ar-SA"/>
        </w:rPr>
        <w:t>泄漏、污染、破坏其他环境。</w:t>
      </w:r>
    </w:p>
    <w:p w14:paraId="60546290">
      <w:pPr>
        <w:keepNext w:val="0"/>
        <w:keepLines w:val="0"/>
        <w:pageBreakBefore w:val="0"/>
        <w:widowControl/>
        <w:kinsoku/>
        <w:wordWrap/>
        <w:overflowPunct/>
        <w:topLinePunct w:val="0"/>
        <w:autoSpaceDE w:val="0"/>
        <w:autoSpaceDN w:val="0"/>
        <w:bidi w:val="0"/>
        <w:adjustRightInd w:val="0"/>
        <w:snapToGrid w:val="0"/>
        <w:spacing w:line="500" w:lineRule="exact"/>
        <w:ind w:right="0" w:firstLine="422" w:firstLineChars="200"/>
        <w:jc w:val="both"/>
        <w:textAlignment w:val="baseline"/>
        <w:rPr>
          <w:rFonts w:hint="eastAsia" w:ascii="宋体" w:hAnsi="宋体" w:eastAsia="宋体" w:cs="宋体"/>
          <w:b/>
          <w:bCs/>
          <w:snapToGrid/>
          <w:color w:val="auto"/>
          <w:spacing w:val="0"/>
          <w:w w:val="100"/>
          <w:kern w:val="2"/>
          <w:sz w:val="21"/>
          <w:szCs w:val="21"/>
          <w:lang w:val="en-US" w:eastAsia="en-US" w:bidi="ar-SA"/>
        </w:rPr>
      </w:pPr>
      <w:r>
        <w:rPr>
          <w:rFonts w:hint="eastAsia" w:ascii="宋体" w:hAnsi="宋体" w:eastAsia="宋体" w:cs="宋体"/>
          <w:b/>
          <w:bCs/>
          <w:snapToGrid/>
          <w:color w:val="auto"/>
          <w:spacing w:val="0"/>
          <w:w w:val="100"/>
          <w:kern w:val="2"/>
          <w:sz w:val="21"/>
          <w:szCs w:val="21"/>
          <w:lang w:val="en-US" w:eastAsia="zh-CN" w:bidi="ar-SA"/>
        </w:rPr>
        <w:t>（五）</w:t>
      </w:r>
      <w:r>
        <w:rPr>
          <w:rFonts w:hint="eastAsia" w:ascii="宋体" w:hAnsi="宋体" w:eastAsia="宋体" w:cs="宋体"/>
          <w:b/>
          <w:bCs/>
          <w:snapToGrid/>
          <w:color w:val="auto"/>
          <w:spacing w:val="0"/>
          <w:w w:val="100"/>
          <w:kern w:val="2"/>
          <w:sz w:val="21"/>
          <w:szCs w:val="21"/>
          <w:lang w:val="en-US" w:eastAsia="en-US" w:bidi="ar-SA"/>
        </w:rPr>
        <w:t>售后服务</w:t>
      </w:r>
    </w:p>
    <w:p w14:paraId="4B3701C7">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（1）项目实施期间提供 24 小时的技术咨询服务，紧急情况需</w:t>
      </w:r>
      <w:r>
        <w:rPr>
          <w:rFonts w:hint="eastAsia" w:ascii="宋体" w:hAnsi="宋体" w:eastAsia="宋体" w:cs="宋体"/>
          <w:snapToGrid/>
          <w:color w:val="auto"/>
          <w:spacing w:val="0"/>
          <w:w w:val="100"/>
          <w:kern w:val="2"/>
          <w:sz w:val="21"/>
          <w:szCs w:val="21"/>
          <w:lang w:val="en-US" w:eastAsia="zh-CN" w:bidi="ar-SA"/>
        </w:rPr>
        <w:t>及时</w:t>
      </w:r>
      <w:r>
        <w:rPr>
          <w:rFonts w:hint="eastAsia" w:ascii="宋体" w:hAnsi="宋体" w:eastAsia="宋体" w:cs="宋体"/>
          <w:snapToGrid/>
          <w:color w:val="auto"/>
          <w:spacing w:val="0"/>
          <w:w w:val="100"/>
          <w:kern w:val="2"/>
          <w:sz w:val="21"/>
          <w:szCs w:val="21"/>
          <w:lang w:val="en-US" w:eastAsia="en-US" w:bidi="ar-SA"/>
        </w:rPr>
        <w:t>到达现场处理。</w:t>
      </w:r>
    </w:p>
    <w:p w14:paraId="1B797D54">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（2）重要农业生产时期、节假日须提供技术人员值守服务。</w:t>
      </w:r>
    </w:p>
    <w:p w14:paraId="53D89802">
      <w:pPr>
        <w:keepNext w:val="0"/>
        <w:keepLines w:val="0"/>
        <w:pageBreakBefore w:val="0"/>
        <w:widowControl/>
        <w:kinsoku/>
        <w:wordWrap/>
        <w:overflowPunct/>
        <w:topLinePunct w:val="0"/>
        <w:autoSpaceDE w:val="0"/>
        <w:autoSpaceDN w:val="0"/>
        <w:bidi w:val="0"/>
        <w:adjustRightInd w:val="0"/>
        <w:snapToGrid w:val="0"/>
        <w:spacing w:line="500" w:lineRule="exact"/>
        <w:ind w:right="0" w:firstLine="422" w:firstLineChars="200"/>
        <w:jc w:val="both"/>
        <w:textAlignment w:val="baseline"/>
        <w:rPr>
          <w:rFonts w:hint="eastAsia" w:ascii="宋体" w:hAnsi="宋体" w:eastAsia="宋体" w:cs="宋体"/>
          <w:b/>
          <w:bCs/>
          <w:snapToGrid/>
          <w:color w:val="auto"/>
          <w:spacing w:val="0"/>
          <w:w w:val="100"/>
          <w:kern w:val="2"/>
          <w:sz w:val="21"/>
          <w:szCs w:val="21"/>
          <w:lang w:val="en-US" w:eastAsia="en-US" w:bidi="ar-SA"/>
        </w:rPr>
      </w:pPr>
      <w:r>
        <w:rPr>
          <w:rFonts w:hint="eastAsia" w:ascii="宋体" w:hAnsi="宋体" w:eastAsia="宋体" w:cs="宋体"/>
          <w:b/>
          <w:bCs/>
          <w:snapToGrid/>
          <w:color w:val="auto"/>
          <w:spacing w:val="0"/>
          <w:w w:val="100"/>
          <w:kern w:val="2"/>
          <w:sz w:val="21"/>
          <w:szCs w:val="21"/>
          <w:lang w:val="en-US" w:eastAsia="zh-CN" w:bidi="ar-SA"/>
        </w:rPr>
        <w:t>（六）</w:t>
      </w:r>
      <w:r>
        <w:rPr>
          <w:rFonts w:hint="eastAsia" w:ascii="宋体" w:hAnsi="宋体" w:eastAsia="宋体" w:cs="宋体"/>
          <w:b/>
          <w:bCs/>
          <w:snapToGrid/>
          <w:color w:val="auto"/>
          <w:spacing w:val="0"/>
          <w:w w:val="100"/>
          <w:kern w:val="2"/>
          <w:sz w:val="21"/>
          <w:szCs w:val="21"/>
          <w:lang w:val="en-US" w:eastAsia="en-US" w:bidi="ar-SA"/>
        </w:rPr>
        <w:t>报价要求</w:t>
      </w:r>
    </w:p>
    <w:p w14:paraId="658308FE">
      <w:pPr>
        <w:keepNext w:val="0"/>
        <w:keepLines w:val="0"/>
        <w:pageBreakBefore w:val="0"/>
        <w:widowControl/>
        <w:kinsoku/>
        <w:wordWrap/>
        <w:overflowPunct/>
        <w:topLinePunct w:val="0"/>
        <w:autoSpaceDE w:val="0"/>
        <w:autoSpaceDN w:val="0"/>
        <w:bidi w:val="0"/>
        <w:adjustRightInd w:val="0"/>
        <w:snapToGrid w:val="0"/>
        <w:spacing w:line="500" w:lineRule="exact"/>
        <w:ind w:right="0" w:firstLine="422"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b/>
          <w:bCs/>
          <w:snapToGrid/>
          <w:color w:val="auto"/>
          <w:spacing w:val="0"/>
          <w:w w:val="100"/>
          <w:kern w:val="2"/>
          <w:sz w:val="21"/>
          <w:szCs w:val="21"/>
          <w:lang w:val="en-US" w:eastAsia="en-US" w:bidi="ar-SA"/>
        </w:rPr>
        <w:t>投标价格包含：运至合同指定地点的</w:t>
      </w:r>
      <w:r>
        <w:rPr>
          <w:rFonts w:hint="eastAsia" w:ascii="宋体" w:hAnsi="宋体" w:eastAsia="宋体" w:cs="宋体"/>
          <w:b/>
          <w:bCs/>
          <w:snapToGrid/>
          <w:color w:val="auto"/>
          <w:spacing w:val="0"/>
          <w:w w:val="100"/>
          <w:kern w:val="2"/>
          <w:sz w:val="21"/>
          <w:szCs w:val="21"/>
          <w:lang w:val="en-US" w:eastAsia="zh-CN" w:bidi="ar-SA"/>
        </w:rPr>
        <w:t>药物</w:t>
      </w:r>
      <w:r>
        <w:rPr>
          <w:rFonts w:hint="eastAsia" w:ascii="宋体" w:hAnsi="宋体" w:eastAsia="宋体" w:cs="宋体"/>
          <w:b/>
          <w:bCs/>
          <w:snapToGrid/>
          <w:color w:val="auto"/>
          <w:spacing w:val="0"/>
          <w:w w:val="100"/>
          <w:kern w:val="2"/>
          <w:sz w:val="21"/>
          <w:szCs w:val="21"/>
          <w:lang w:val="en-US" w:eastAsia="en-US" w:bidi="ar-SA"/>
        </w:rPr>
        <w:t>材料费、包装费、仓储费、运输费、保</w:t>
      </w:r>
      <w:r>
        <w:rPr>
          <w:rFonts w:hint="eastAsia" w:ascii="宋体" w:hAnsi="宋体" w:eastAsia="宋体" w:cs="宋体"/>
          <w:snapToGrid/>
          <w:color w:val="auto"/>
          <w:spacing w:val="0"/>
          <w:w w:val="100"/>
          <w:kern w:val="2"/>
          <w:sz w:val="21"/>
          <w:szCs w:val="21"/>
          <w:lang w:val="en-US" w:eastAsia="en-US" w:bidi="ar-SA"/>
        </w:rPr>
        <w:t>险费、装卸费、工具费、税费、人工、管理、财务等所有费用，其他事项在项目实施中出现任何遗漏，均由</w:t>
      </w:r>
      <w:r>
        <w:rPr>
          <w:rFonts w:hint="eastAsia" w:ascii="宋体" w:hAnsi="宋体" w:eastAsia="宋体" w:cs="宋体"/>
          <w:snapToGrid/>
          <w:color w:val="auto"/>
          <w:spacing w:val="0"/>
          <w:w w:val="100"/>
          <w:kern w:val="2"/>
          <w:sz w:val="21"/>
          <w:szCs w:val="21"/>
          <w:lang w:val="en-US" w:eastAsia="zh-CN" w:bidi="ar-SA"/>
        </w:rPr>
        <w:t>成交供应商</w:t>
      </w:r>
      <w:r>
        <w:rPr>
          <w:rFonts w:hint="eastAsia" w:ascii="宋体" w:hAnsi="宋体" w:eastAsia="宋体" w:cs="宋体"/>
          <w:snapToGrid/>
          <w:color w:val="auto"/>
          <w:spacing w:val="0"/>
          <w:w w:val="100"/>
          <w:kern w:val="2"/>
          <w:sz w:val="21"/>
          <w:szCs w:val="21"/>
          <w:lang w:val="en-US" w:eastAsia="en-US" w:bidi="ar-SA"/>
        </w:rPr>
        <w:t>免费提供，采购人不再支付任何费用。</w:t>
      </w:r>
    </w:p>
    <w:p w14:paraId="4528D40E">
      <w:pPr>
        <w:keepNext w:val="0"/>
        <w:keepLines w:val="0"/>
        <w:pageBreakBefore w:val="0"/>
        <w:widowControl/>
        <w:kinsoku/>
        <w:wordWrap/>
        <w:overflowPunct/>
        <w:topLinePunct w:val="0"/>
        <w:autoSpaceDE w:val="0"/>
        <w:autoSpaceDN w:val="0"/>
        <w:bidi w:val="0"/>
        <w:adjustRightInd w:val="0"/>
        <w:snapToGrid w:val="0"/>
        <w:spacing w:line="500" w:lineRule="exact"/>
        <w:ind w:right="0" w:firstLine="422" w:firstLineChars="200"/>
        <w:jc w:val="both"/>
        <w:textAlignment w:val="baseline"/>
        <w:rPr>
          <w:rFonts w:hint="eastAsia" w:ascii="宋体" w:hAnsi="宋体" w:eastAsia="宋体" w:cs="宋体"/>
          <w:b/>
          <w:bCs/>
          <w:snapToGrid/>
          <w:color w:val="auto"/>
          <w:spacing w:val="0"/>
          <w:w w:val="100"/>
          <w:kern w:val="2"/>
          <w:sz w:val="21"/>
          <w:szCs w:val="21"/>
          <w:lang w:val="en-US" w:eastAsia="zh-CN" w:bidi="ar-SA"/>
        </w:rPr>
      </w:pPr>
      <w:r>
        <w:rPr>
          <w:rFonts w:hint="eastAsia" w:ascii="宋体" w:hAnsi="宋体" w:eastAsia="宋体" w:cs="宋体"/>
          <w:b/>
          <w:bCs/>
          <w:snapToGrid/>
          <w:color w:val="auto"/>
          <w:spacing w:val="0"/>
          <w:w w:val="100"/>
          <w:kern w:val="2"/>
          <w:sz w:val="21"/>
          <w:szCs w:val="21"/>
          <w:lang w:val="en-US" w:eastAsia="zh-CN" w:bidi="ar-SA"/>
        </w:rPr>
        <w:t xml:space="preserve">（七）其他要求   </w:t>
      </w:r>
    </w:p>
    <w:p w14:paraId="450856F9">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zh-CN" w:bidi="ar-SA"/>
        </w:rPr>
      </w:pPr>
      <w:r>
        <w:rPr>
          <w:rFonts w:hint="eastAsia" w:ascii="宋体" w:hAnsi="宋体" w:eastAsia="宋体" w:cs="宋体"/>
          <w:snapToGrid/>
          <w:color w:val="auto"/>
          <w:spacing w:val="0"/>
          <w:w w:val="100"/>
          <w:kern w:val="2"/>
          <w:sz w:val="21"/>
          <w:szCs w:val="21"/>
          <w:lang w:val="en-US" w:eastAsia="zh-CN" w:bidi="ar-SA"/>
        </w:rPr>
        <w:t xml:space="preserve">1、服务方对本项目的报价包含完成本项目服务相关工作可能发生的一切费用以及相应的税金等。  </w:t>
      </w:r>
    </w:p>
    <w:p w14:paraId="1D0E8EE7">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zh-CN" w:bidi="ar-SA"/>
        </w:rPr>
      </w:pPr>
      <w:r>
        <w:rPr>
          <w:rFonts w:hint="eastAsia" w:ascii="宋体" w:hAnsi="宋体" w:eastAsia="宋体" w:cs="宋体"/>
          <w:snapToGrid/>
          <w:color w:val="auto"/>
          <w:spacing w:val="0"/>
          <w:w w:val="100"/>
          <w:kern w:val="2"/>
          <w:sz w:val="21"/>
          <w:szCs w:val="21"/>
          <w:lang w:val="en-US" w:eastAsia="zh-CN" w:bidi="ar-SA"/>
        </w:rPr>
        <w:t xml:space="preserve">2、服务方在服务期限内，必须为防治人员购买人身意外保险。服务期间发生的一切安全责任事故及造成第三者伤害责任的，均由成交供应商承担相应的责任  </w:t>
      </w:r>
    </w:p>
    <w:p w14:paraId="0127FD9F">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zh-CN" w:bidi="ar-SA"/>
        </w:rPr>
      </w:pPr>
      <w:r>
        <w:rPr>
          <w:rFonts w:hint="eastAsia" w:ascii="宋体" w:hAnsi="宋体" w:eastAsia="宋体" w:cs="宋体"/>
          <w:snapToGrid/>
          <w:color w:val="auto"/>
          <w:spacing w:val="0"/>
          <w:w w:val="100"/>
          <w:kern w:val="2"/>
          <w:sz w:val="21"/>
          <w:szCs w:val="21"/>
          <w:lang w:val="en-US" w:eastAsia="zh-CN" w:bidi="ar-SA"/>
        </w:rPr>
        <w:t>3、本次招标不组织统一踏勘现场活动，供应商应根据项目的实际情况自行组织踏勘现场，供应商因没有踏勘现场而给自身带来的损失，供应商自行负责。</w:t>
      </w:r>
    </w:p>
    <w:p w14:paraId="63A74C24">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default" w:ascii="宋体" w:hAnsi="宋体" w:eastAsia="宋体" w:cs="宋体"/>
          <w:snapToGrid/>
          <w:color w:val="auto"/>
          <w:spacing w:val="0"/>
          <w:w w:val="100"/>
          <w:kern w:val="2"/>
          <w:sz w:val="21"/>
          <w:szCs w:val="21"/>
          <w:lang w:val="en-US" w:eastAsia="zh-CN" w:bidi="ar-SA"/>
        </w:rPr>
      </w:pPr>
      <w:r>
        <w:rPr>
          <w:rFonts w:hint="eastAsia" w:ascii="宋体" w:hAnsi="宋体" w:eastAsia="宋体" w:cs="宋体"/>
          <w:snapToGrid/>
          <w:color w:val="auto"/>
          <w:spacing w:val="0"/>
          <w:w w:val="100"/>
          <w:kern w:val="2"/>
          <w:sz w:val="21"/>
          <w:szCs w:val="21"/>
          <w:lang w:val="en-US" w:eastAsia="zh-CN" w:bidi="ar-SA"/>
        </w:rPr>
        <w:t>4、验收：由项目实施监管组按对应指导服务的乡镇(街道)项目实施情况开展抽验工作，各乡镇(街道)农技人员全程参与。严格按照谁监管谁负责的原则，在项目整体完工后，按不低于作业总面积10%比例随机抽取地块开展现场核验，作业面积验收以无人机GPS飞行轨迹为核心核验依据，结合作业台账、作业影像、日作业记录等佐证资料，逐批次甄别有效作业航线，剔除往返空飞、无效漂移、重复作业等无效面积，同时对存在地块不实、耕地撂荒、未实际喷施、无有效轨迹佐证的地块，一律予以核减。通过抽查结果核算作业平均吻合率，综合核定最终有效结算面积，出具项目验收结算报告，作为项目完工验收、资金结算拨付的正式依据。</w:t>
      </w:r>
    </w:p>
    <w:p w14:paraId="0A638061">
      <w:pPr>
        <w:keepNext w:val="0"/>
        <w:keepLines w:val="0"/>
        <w:pageBreakBefore w:val="0"/>
        <w:widowControl/>
        <w:kinsoku/>
        <w:wordWrap/>
        <w:overflowPunct/>
        <w:topLinePunct w:val="0"/>
        <w:autoSpaceDE w:val="0"/>
        <w:autoSpaceDN w:val="0"/>
        <w:bidi w:val="0"/>
        <w:adjustRightInd w:val="0"/>
        <w:snapToGrid w:val="0"/>
        <w:spacing w:line="500" w:lineRule="exact"/>
        <w:ind w:right="0" w:firstLine="422" w:firstLineChars="200"/>
        <w:jc w:val="both"/>
        <w:textAlignment w:val="baseline"/>
        <w:rPr>
          <w:rFonts w:hint="eastAsia" w:ascii="宋体" w:hAnsi="宋体" w:eastAsia="宋体" w:cs="宋体"/>
          <w:b/>
          <w:bCs/>
          <w:snapToGrid/>
          <w:color w:val="auto"/>
          <w:spacing w:val="0"/>
          <w:w w:val="100"/>
          <w:kern w:val="2"/>
          <w:sz w:val="21"/>
          <w:szCs w:val="21"/>
          <w:lang w:val="en-US" w:eastAsia="en-US" w:bidi="ar-SA"/>
        </w:rPr>
      </w:pPr>
      <w:r>
        <w:rPr>
          <w:rFonts w:hint="eastAsia" w:ascii="宋体" w:hAnsi="宋体" w:eastAsia="宋体" w:cs="宋体"/>
          <w:b/>
          <w:bCs/>
          <w:snapToGrid/>
          <w:color w:val="auto"/>
          <w:spacing w:val="0"/>
          <w:w w:val="100"/>
          <w:kern w:val="2"/>
          <w:sz w:val="21"/>
          <w:szCs w:val="21"/>
          <w:lang w:val="en-US" w:eastAsia="zh-CN" w:bidi="ar-SA"/>
        </w:rPr>
        <w:t>（八）</w:t>
      </w:r>
      <w:r>
        <w:rPr>
          <w:rFonts w:hint="eastAsia" w:ascii="宋体" w:hAnsi="宋体" w:eastAsia="宋体" w:cs="宋体"/>
          <w:b/>
          <w:bCs/>
          <w:snapToGrid/>
          <w:color w:val="auto"/>
          <w:spacing w:val="0"/>
          <w:w w:val="100"/>
          <w:kern w:val="2"/>
          <w:sz w:val="21"/>
          <w:szCs w:val="21"/>
          <w:lang w:val="en-US" w:eastAsia="en-US" w:bidi="ar-SA"/>
        </w:rPr>
        <w:t>付款方式</w:t>
      </w:r>
    </w:p>
    <w:p w14:paraId="02AE1166">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（1）</w:t>
      </w:r>
      <w:r>
        <w:rPr>
          <w:rFonts w:hint="eastAsia" w:ascii="宋体" w:hAnsi="宋体" w:eastAsia="宋体" w:cs="宋体"/>
          <w:snapToGrid/>
          <w:color w:val="auto"/>
          <w:spacing w:val="0"/>
          <w:w w:val="100"/>
          <w:kern w:val="2"/>
          <w:sz w:val="21"/>
          <w:szCs w:val="21"/>
          <w:lang w:val="en-US" w:eastAsia="zh-CN" w:bidi="ar-SA"/>
        </w:rPr>
        <w:t>成交供应商</w:t>
      </w:r>
      <w:r>
        <w:rPr>
          <w:rFonts w:hint="eastAsia" w:ascii="宋体" w:hAnsi="宋体" w:eastAsia="宋体" w:cs="宋体"/>
          <w:snapToGrid/>
          <w:color w:val="auto"/>
          <w:spacing w:val="0"/>
          <w:w w:val="100"/>
          <w:kern w:val="2"/>
          <w:sz w:val="21"/>
          <w:szCs w:val="21"/>
          <w:lang w:val="en-US" w:eastAsia="en-US" w:bidi="ar-SA"/>
        </w:rPr>
        <w:t>在合同规定的时间将任务完成后，由</w:t>
      </w:r>
      <w:r>
        <w:rPr>
          <w:rFonts w:hint="eastAsia" w:ascii="宋体" w:hAnsi="宋体" w:eastAsia="宋体" w:cs="宋体"/>
          <w:snapToGrid/>
          <w:color w:val="auto"/>
          <w:spacing w:val="0"/>
          <w:w w:val="100"/>
          <w:kern w:val="2"/>
          <w:sz w:val="21"/>
          <w:szCs w:val="21"/>
          <w:lang w:val="en-US" w:eastAsia="zh-CN" w:bidi="ar-SA"/>
        </w:rPr>
        <w:t>成交供应商</w:t>
      </w:r>
      <w:r>
        <w:rPr>
          <w:rFonts w:hint="eastAsia" w:ascii="宋体" w:hAnsi="宋体" w:eastAsia="宋体" w:cs="宋体"/>
          <w:snapToGrid/>
          <w:color w:val="auto"/>
          <w:spacing w:val="0"/>
          <w:w w:val="100"/>
          <w:kern w:val="2"/>
          <w:sz w:val="21"/>
          <w:szCs w:val="21"/>
          <w:lang w:val="en-US" w:eastAsia="en-US" w:bidi="ar-SA"/>
        </w:rPr>
        <w:t>提出验收申请，采购人按照程序、有关指标和合同条款进行现场验收。</w:t>
      </w:r>
    </w:p>
    <w:p w14:paraId="0B832809">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zh-CN" w:bidi="ar-SA"/>
        </w:rPr>
      </w:pPr>
      <w:r>
        <w:rPr>
          <w:rFonts w:hint="eastAsia" w:ascii="宋体" w:hAnsi="宋体" w:eastAsia="宋体" w:cs="宋体"/>
          <w:snapToGrid/>
          <w:color w:val="auto"/>
          <w:spacing w:val="0"/>
          <w:w w:val="100"/>
          <w:kern w:val="2"/>
          <w:sz w:val="21"/>
          <w:szCs w:val="21"/>
          <w:lang w:val="en-US" w:eastAsia="en-US" w:bidi="ar-SA"/>
        </w:rPr>
        <w:t>（</w:t>
      </w:r>
      <w:r>
        <w:rPr>
          <w:rFonts w:hint="eastAsia" w:ascii="宋体" w:hAnsi="宋体" w:eastAsia="宋体" w:cs="宋体"/>
          <w:snapToGrid/>
          <w:color w:val="auto"/>
          <w:spacing w:val="0"/>
          <w:w w:val="100"/>
          <w:kern w:val="2"/>
          <w:sz w:val="21"/>
          <w:szCs w:val="21"/>
          <w:lang w:val="en-US" w:eastAsia="zh-CN" w:bidi="ar-SA"/>
        </w:rPr>
        <w:t>2</w:t>
      </w:r>
      <w:r>
        <w:rPr>
          <w:rFonts w:hint="eastAsia" w:ascii="宋体" w:hAnsi="宋体" w:eastAsia="宋体" w:cs="宋体"/>
          <w:snapToGrid/>
          <w:color w:val="auto"/>
          <w:spacing w:val="0"/>
          <w:w w:val="100"/>
          <w:kern w:val="2"/>
          <w:sz w:val="21"/>
          <w:szCs w:val="21"/>
          <w:lang w:val="en-US" w:eastAsia="en-US" w:bidi="ar-SA"/>
        </w:rPr>
        <w:t>）验收合格后</w:t>
      </w:r>
      <w:r>
        <w:rPr>
          <w:rFonts w:hint="eastAsia" w:ascii="宋体" w:hAnsi="宋体" w:eastAsia="宋体" w:cs="宋体"/>
          <w:snapToGrid/>
          <w:color w:val="auto"/>
          <w:spacing w:val="0"/>
          <w:w w:val="100"/>
          <w:kern w:val="2"/>
          <w:sz w:val="21"/>
          <w:szCs w:val="21"/>
          <w:lang w:val="en-US" w:eastAsia="zh-CN" w:bidi="ar-SA"/>
        </w:rPr>
        <w:t>（无安全事故、无服务纠纷以及无其他经济法律纠纷），资金以财政国库支付为准</w:t>
      </w:r>
      <w:r>
        <w:rPr>
          <w:rFonts w:hint="eastAsia" w:ascii="宋体" w:hAnsi="宋体" w:eastAsia="宋体" w:cs="宋体"/>
          <w:snapToGrid/>
          <w:color w:val="auto"/>
          <w:spacing w:val="0"/>
          <w:w w:val="100"/>
          <w:kern w:val="2"/>
          <w:sz w:val="21"/>
          <w:szCs w:val="21"/>
          <w:lang w:val="en-US" w:eastAsia="en-US" w:bidi="ar-SA"/>
        </w:rPr>
        <w:t>。</w:t>
      </w:r>
    </w:p>
    <w:p w14:paraId="6EF25861">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snapToGrid/>
          <w:color w:val="000000"/>
          <w:kern w:val="0"/>
          <w:sz w:val="24"/>
          <w:szCs w:val="24"/>
          <w:lang w:val="en-US" w:eastAsia="zh-CN" w:bidi="ar"/>
        </w:rPr>
      </w:pPr>
      <w:r>
        <w:rPr>
          <w:rFonts w:hint="eastAsia" w:ascii="宋体" w:hAnsi="宋体" w:eastAsia="宋体" w:cs="宋体"/>
          <w:b/>
          <w:bCs/>
          <w:snapToGrid/>
          <w:color w:val="000000"/>
          <w:kern w:val="0"/>
          <w:sz w:val="24"/>
          <w:szCs w:val="24"/>
          <w:lang w:val="en-US" w:eastAsia="zh-CN" w:bidi="ar"/>
        </w:rPr>
        <w:br w:type="page"/>
      </w:r>
      <w:r>
        <w:rPr>
          <w:rFonts w:hint="eastAsia" w:ascii="宋体" w:hAnsi="宋体" w:eastAsia="宋体" w:cs="宋体"/>
          <w:b/>
          <w:bCs/>
          <w:snapToGrid/>
          <w:color w:val="000000"/>
          <w:kern w:val="0"/>
          <w:sz w:val="24"/>
          <w:szCs w:val="24"/>
          <w:lang w:val="en-US" w:eastAsia="zh-CN" w:bidi="ar"/>
        </w:rPr>
        <w:t>商务要求</w:t>
      </w:r>
    </w:p>
    <w:p w14:paraId="6D1D8135">
      <w:pPr>
        <w:widowControl/>
        <w:kinsoku w:val="0"/>
        <w:autoSpaceDE w:val="0"/>
        <w:autoSpaceDN w:val="0"/>
        <w:adjustRightInd w:val="0"/>
        <w:snapToGrid w:val="0"/>
        <w:spacing w:before="234" w:line="219" w:lineRule="auto"/>
        <w:ind w:left="486"/>
        <w:jc w:val="left"/>
        <w:textAlignment w:val="baseline"/>
        <w:rPr>
          <w:rFonts w:ascii="宋体" w:hAnsi="宋体" w:eastAsia="宋体" w:cs="宋体"/>
          <w:snapToGrid w:val="0"/>
          <w:color w:val="000000"/>
          <w:kern w:val="0"/>
          <w:sz w:val="21"/>
          <w:szCs w:val="21"/>
          <w:lang w:eastAsia="en-US"/>
        </w:rPr>
      </w:pPr>
      <w:r>
        <w:rPr>
          <w:rFonts w:ascii="宋体" w:hAnsi="宋体" w:eastAsia="宋体" w:cs="宋体"/>
          <w:b/>
          <w:bCs/>
          <w:snapToGrid w:val="0"/>
          <w:color w:val="000000"/>
          <w:spacing w:val="-4"/>
          <w:kern w:val="0"/>
          <w:sz w:val="21"/>
          <w:szCs w:val="21"/>
          <w:lang w:eastAsia="en-US"/>
        </w:rPr>
        <w:t>一、主要商务要求</w:t>
      </w:r>
    </w:p>
    <w:p w14:paraId="37E089FA">
      <w:pPr>
        <w:widowControl/>
        <w:kinsoku w:val="0"/>
        <w:autoSpaceDE w:val="0"/>
        <w:autoSpaceDN w:val="0"/>
        <w:adjustRightInd w:val="0"/>
        <w:snapToGrid w:val="0"/>
        <w:spacing w:line="68" w:lineRule="exact"/>
        <w:jc w:val="left"/>
        <w:textAlignment w:val="baseline"/>
        <w:rPr>
          <w:rFonts w:ascii="Arial" w:hAnsi="Arial" w:eastAsia="Arial" w:cs="Arial"/>
          <w:snapToGrid w:val="0"/>
          <w:color w:val="000000"/>
          <w:kern w:val="0"/>
          <w:sz w:val="21"/>
          <w:szCs w:val="21"/>
          <w:lang w:eastAsia="en-US"/>
        </w:rPr>
      </w:pPr>
    </w:p>
    <w:tbl>
      <w:tblPr>
        <w:tblStyle w:val="4"/>
        <w:tblW w:w="8506"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33"/>
        <w:gridCol w:w="5073"/>
      </w:tblGrid>
      <w:tr w14:paraId="5B9E3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3433" w:type="dxa"/>
            <w:vAlign w:val="top"/>
          </w:tcPr>
          <w:p w14:paraId="273D3E2C">
            <w:pPr>
              <w:widowControl/>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eastAsia="en-US"/>
              </w:rPr>
            </w:pPr>
          </w:p>
          <w:p w14:paraId="7D9DF493">
            <w:pPr>
              <w:widowControl/>
              <w:kinsoku w:val="0"/>
              <w:autoSpaceDE w:val="0"/>
              <w:autoSpaceDN w:val="0"/>
              <w:adjustRightInd w:val="0"/>
              <w:snapToGrid w:val="0"/>
              <w:spacing w:before="65" w:line="228" w:lineRule="auto"/>
              <w:ind w:left="36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9"/>
                <w:kern w:val="0"/>
                <w:sz w:val="21"/>
                <w:szCs w:val="21"/>
                <w:lang w:val="en-US" w:eastAsia="en-US" w:bidi="ar-SA"/>
              </w:rPr>
              <w:t>履行合同的时间、地点及方式</w:t>
            </w:r>
          </w:p>
        </w:tc>
        <w:tc>
          <w:tcPr>
            <w:tcW w:w="5073" w:type="dxa"/>
            <w:vAlign w:val="center"/>
          </w:tcPr>
          <w:p w14:paraId="2DE553A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zh-CN"/>
              </w:rPr>
            </w:pPr>
            <w:r>
              <w:rPr>
                <w:rFonts w:hint="eastAsia" w:ascii="宋体" w:hAnsi="宋体" w:eastAsia="宋体" w:cs="宋体"/>
                <w:snapToGrid w:val="0"/>
                <w:color w:val="000000"/>
                <w:kern w:val="0"/>
                <w:sz w:val="21"/>
                <w:szCs w:val="21"/>
                <w:lang w:eastAsia="zh-CN"/>
              </w:rPr>
              <w:t>时间：合同签订后</w:t>
            </w:r>
            <w:r>
              <w:rPr>
                <w:rFonts w:hint="eastAsia" w:ascii="宋体" w:hAnsi="宋体" w:eastAsia="宋体" w:cs="宋体"/>
                <w:snapToGrid w:val="0"/>
                <w:color w:val="000000"/>
                <w:kern w:val="0"/>
                <w:sz w:val="21"/>
                <w:szCs w:val="21"/>
                <w:lang w:val="en-US" w:eastAsia="zh-CN"/>
              </w:rPr>
              <w:t>7</w:t>
            </w:r>
            <w:r>
              <w:rPr>
                <w:rFonts w:hint="eastAsia" w:ascii="宋体" w:hAnsi="宋体" w:eastAsia="宋体" w:cs="宋体"/>
                <w:snapToGrid w:val="0"/>
                <w:color w:val="000000"/>
                <w:kern w:val="0"/>
                <w:sz w:val="21"/>
                <w:szCs w:val="21"/>
                <w:lang w:eastAsia="zh-CN"/>
              </w:rPr>
              <w:t xml:space="preserve">天内完成任务。  </w:t>
            </w:r>
          </w:p>
          <w:p w14:paraId="41DBAAD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zh-CN"/>
              </w:rPr>
            </w:pPr>
            <w:r>
              <w:rPr>
                <w:rFonts w:hint="eastAsia" w:ascii="宋体" w:hAnsi="宋体" w:eastAsia="宋体" w:cs="宋体"/>
                <w:snapToGrid w:val="0"/>
                <w:color w:val="000000"/>
                <w:kern w:val="0"/>
                <w:sz w:val="21"/>
                <w:szCs w:val="21"/>
                <w:lang w:eastAsia="en-US"/>
              </w:rPr>
              <w:t>地点</w:t>
            </w:r>
            <w:r>
              <w:rPr>
                <w:rFonts w:hint="eastAsia" w:ascii="宋体" w:hAnsi="宋体" w:eastAsia="宋体" w:cs="宋体"/>
                <w:snapToGrid w:val="0"/>
                <w:color w:val="000000"/>
                <w:kern w:val="0"/>
                <w:sz w:val="21"/>
                <w:szCs w:val="21"/>
                <w:lang w:val="en-US" w:eastAsia="zh-CN"/>
              </w:rPr>
              <w:t>：采购人指定地点</w:t>
            </w:r>
          </w:p>
        </w:tc>
      </w:tr>
      <w:tr w14:paraId="1AA9A1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3433" w:type="dxa"/>
            <w:vAlign w:val="top"/>
          </w:tcPr>
          <w:p w14:paraId="1927A70B">
            <w:pPr>
              <w:widowControl/>
              <w:kinsoku w:val="0"/>
              <w:autoSpaceDE w:val="0"/>
              <w:autoSpaceDN w:val="0"/>
              <w:adjustRightInd w:val="0"/>
              <w:snapToGrid w:val="0"/>
              <w:spacing w:line="302" w:lineRule="auto"/>
              <w:jc w:val="left"/>
              <w:textAlignment w:val="baseline"/>
              <w:rPr>
                <w:rFonts w:ascii="Arial" w:hAnsi="Arial" w:eastAsia="Arial" w:cs="Arial"/>
                <w:snapToGrid w:val="0"/>
                <w:color w:val="000000"/>
                <w:kern w:val="0"/>
                <w:sz w:val="21"/>
                <w:szCs w:val="21"/>
                <w:highlight w:val="none"/>
                <w:lang w:eastAsia="en-US"/>
              </w:rPr>
            </w:pPr>
          </w:p>
          <w:p w14:paraId="762DAAC6">
            <w:pPr>
              <w:widowControl/>
              <w:kinsoku w:val="0"/>
              <w:autoSpaceDE w:val="0"/>
              <w:autoSpaceDN w:val="0"/>
              <w:adjustRightInd w:val="0"/>
              <w:snapToGrid w:val="0"/>
              <w:spacing w:before="65" w:line="228" w:lineRule="auto"/>
              <w:ind w:left="1303"/>
              <w:jc w:val="left"/>
              <w:textAlignment w:val="baseline"/>
              <w:rPr>
                <w:rFonts w:ascii="宋体" w:hAnsi="宋体" w:eastAsia="宋体" w:cs="宋体"/>
                <w:snapToGrid w:val="0"/>
                <w:color w:val="000000"/>
                <w:kern w:val="0"/>
                <w:sz w:val="21"/>
                <w:szCs w:val="21"/>
                <w:highlight w:val="none"/>
                <w:lang w:val="en-US" w:eastAsia="en-US" w:bidi="ar-SA"/>
              </w:rPr>
            </w:pPr>
            <w:r>
              <w:rPr>
                <w:rFonts w:ascii="宋体" w:hAnsi="宋体" w:eastAsia="宋体" w:cs="宋体"/>
                <w:snapToGrid w:val="0"/>
                <w:color w:val="000000"/>
                <w:spacing w:val="7"/>
                <w:kern w:val="0"/>
                <w:sz w:val="21"/>
                <w:szCs w:val="21"/>
                <w:highlight w:val="none"/>
                <w:lang w:val="en-US" w:eastAsia="en-US" w:bidi="ar-SA"/>
              </w:rPr>
              <w:t>服务期限</w:t>
            </w:r>
          </w:p>
        </w:tc>
        <w:tc>
          <w:tcPr>
            <w:tcW w:w="5073" w:type="dxa"/>
            <w:vAlign w:val="center"/>
          </w:tcPr>
          <w:p w14:paraId="6B1CD9D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zh-CN"/>
              </w:rPr>
            </w:pPr>
            <w:r>
              <w:rPr>
                <w:rFonts w:hint="eastAsia" w:ascii="宋体" w:hAnsi="宋体" w:eastAsia="宋体" w:cs="宋体"/>
                <w:snapToGrid w:val="0"/>
                <w:color w:val="000000"/>
                <w:kern w:val="0"/>
                <w:sz w:val="21"/>
                <w:szCs w:val="21"/>
                <w:lang w:eastAsia="zh-CN"/>
              </w:rPr>
              <w:t>合同签订后</w:t>
            </w:r>
            <w:r>
              <w:rPr>
                <w:rFonts w:hint="eastAsia" w:ascii="宋体" w:hAnsi="宋体" w:eastAsia="宋体" w:cs="宋体"/>
                <w:snapToGrid w:val="0"/>
                <w:color w:val="000000"/>
                <w:kern w:val="0"/>
                <w:sz w:val="21"/>
                <w:szCs w:val="21"/>
                <w:lang w:val="en-US" w:eastAsia="zh-CN"/>
              </w:rPr>
              <w:t>7</w:t>
            </w:r>
            <w:r>
              <w:rPr>
                <w:rFonts w:hint="eastAsia" w:ascii="宋体" w:hAnsi="宋体" w:eastAsia="宋体" w:cs="宋体"/>
                <w:snapToGrid w:val="0"/>
                <w:color w:val="000000"/>
                <w:kern w:val="0"/>
                <w:sz w:val="21"/>
                <w:szCs w:val="21"/>
                <w:lang w:eastAsia="zh-CN"/>
              </w:rPr>
              <w:t xml:space="preserve">天内完成任务。  </w:t>
            </w:r>
          </w:p>
        </w:tc>
      </w:tr>
      <w:tr w14:paraId="19229A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2" w:hRule="atLeast"/>
        </w:trPr>
        <w:tc>
          <w:tcPr>
            <w:tcW w:w="3433" w:type="dxa"/>
            <w:vAlign w:val="center"/>
          </w:tcPr>
          <w:p w14:paraId="6319D38B">
            <w:pPr>
              <w:widowControl/>
              <w:kinsoku w:val="0"/>
              <w:autoSpaceDE w:val="0"/>
              <w:autoSpaceDN w:val="0"/>
              <w:adjustRightInd w:val="0"/>
              <w:snapToGrid w:val="0"/>
              <w:spacing w:line="274" w:lineRule="auto"/>
              <w:jc w:val="both"/>
              <w:textAlignment w:val="baseline"/>
              <w:rPr>
                <w:rFonts w:ascii="Arial" w:hAnsi="Arial" w:eastAsia="Arial" w:cs="Arial"/>
                <w:snapToGrid w:val="0"/>
                <w:color w:val="000000"/>
                <w:kern w:val="0"/>
                <w:sz w:val="21"/>
                <w:szCs w:val="21"/>
                <w:lang w:eastAsia="en-US"/>
              </w:rPr>
            </w:pPr>
          </w:p>
          <w:p w14:paraId="4F5F6425">
            <w:pPr>
              <w:widowControl/>
              <w:kinsoku w:val="0"/>
              <w:autoSpaceDE w:val="0"/>
              <w:autoSpaceDN w:val="0"/>
              <w:adjustRightInd w:val="0"/>
              <w:snapToGrid w:val="0"/>
              <w:spacing w:before="65" w:line="230" w:lineRule="auto"/>
              <w:ind w:left="1314"/>
              <w:jc w:val="both"/>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4"/>
                <w:kern w:val="0"/>
                <w:sz w:val="21"/>
                <w:szCs w:val="21"/>
                <w:lang w:val="en-US" w:eastAsia="en-US" w:bidi="ar-SA"/>
              </w:rPr>
              <w:t>响应时间</w:t>
            </w:r>
          </w:p>
        </w:tc>
        <w:tc>
          <w:tcPr>
            <w:tcW w:w="5073" w:type="dxa"/>
            <w:vAlign w:val="center"/>
          </w:tcPr>
          <w:p w14:paraId="62AE3354">
            <w:pPr>
              <w:widowControl/>
              <w:kinsoku w:val="0"/>
              <w:autoSpaceDE w:val="0"/>
              <w:autoSpaceDN w:val="0"/>
              <w:adjustRightInd w:val="0"/>
              <w:snapToGrid w:val="0"/>
              <w:spacing w:line="240" w:lineRule="auto"/>
              <w:jc w:val="left"/>
              <w:textAlignment w:val="baseline"/>
              <w:rPr>
                <w:rFonts w:hint="default" w:ascii="宋体" w:hAnsi="宋体" w:eastAsia="宋体" w:cs="宋体"/>
                <w:snapToGrid w:val="0"/>
                <w:color w:val="000000"/>
                <w:kern w:val="0"/>
                <w:sz w:val="21"/>
                <w:szCs w:val="21"/>
                <w:lang w:val="en-US" w:eastAsia="zh-CN"/>
              </w:rPr>
            </w:pPr>
            <w:r>
              <w:rPr>
                <w:rFonts w:hint="eastAsia" w:ascii="宋体" w:hAnsi="宋体" w:eastAsia="宋体" w:cs="宋体"/>
                <w:snapToGrid w:val="0"/>
                <w:color w:val="000000"/>
                <w:kern w:val="0"/>
                <w:sz w:val="21"/>
                <w:szCs w:val="21"/>
                <w:lang w:val="en-US" w:eastAsia="zh-CN"/>
              </w:rPr>
              <w:t>7*24小时</w:t>
            </w:r>
          </w:p>
        </w:tc>
      </w:tr>
      <w:tr w14:paraId="734E31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2" w:hRule="atLeast"/>
        </w:trPr>
        <w:tc>
          <w:tcPr>
            <w:tcW w:w="3433" w:type="dxa"/>
            <w:vAlign w:val="top"/>
          </w:tcPr>
          <w:p w14:paraId="4D79761A">
            <w:pPr>
              <w:widowControl/>
              <w:kinsoku w:val="0"/>
              <w:autoSpaceDE w:val="0"/>
              <w:autoSpaceDN w:val="0"/>
              <w:adjustRightInd w:val="0"/>
              <w:snapToGrid w:val="0"/>
              <w:spacing w:line="275" w:lineRule="auto"/>
              <w:jc w:val="left"/>
              <w:textAlignment w:val="baseline"/>
              <w:rPr>
                <w:rFonts w:ascii="Arial" w:hAnsi="Arial" w:eastAsia="Arial" w:cs="Arial"/>
                <w:snapToGrid w:val="0"/>
                <w:color w:val="000000"/>
                <w:kern w:val="0"/>
                <w:sz w:val="21"/>
                <w:szCs w:val="21"/>
                <w:lang w:eastAsia="en-US"/>
              </w:rPr>
            </w:pPr>
          </w:p>
          <w:p w14:paraId="05215245">
            <w:pPr>
              <w:widowControl/>
              <w:kinsoku w:val="0"/>
              <w:autoSpaceDE w:val="0"/>
              <w:autoSpaceDN w:val="0"/>
              <w:adjustRightInd w:val="0"/>
              <w:snapToGrid w:val="0"/>
              <w:spacing w:before="65" w:line="226" w:lineRule="auto"/>
              <w:ind w:left="567"/>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9"/>
                <w:kern w:val="0"/>
                <w:sz w:val="21"/>
                <w:szCs w:val="21"/>
                <w:lang w:val="en-US" w:eastAsia="en-US" w:bidi="ar-SA"/>
              </w:rPr>
              <w:t>合同价款支付方式和条件</w:t>
            </w:r>
          </w:p>
        </w:tc>
        <w:tc>
          <w:tcPr>
            <w:tcW w:w="5073" w:type="dxa"/>
            <w:vAlign w:val="top"/>
          </w:tcPr>
          <w:p w14:paraId="79D65CA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kern w:val="0"/>
                <w:sz w:val="21"/>
                <w:szCs w:val="21"/>
                <w:lang w:eastAsia="en-US"/>
              </w:rPr>
              <w:t>（1）成交供应商在合同规定的时间将任务完成后，由成交供应商提出验收申请，采购人按照程序、有关指标和合同条款进行现场验收。</w:t>
            </w:r>
          </w:p>
          <w:p w14:paraId="5795EC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kern w:val="0"/>
                <w:sz w:val="21"/>
                <w:szCs w:val="21"/>
                <w:lang w:eastAsia="en-US"/>
              </w:rPr>
              <w:t>（2）验收合格后（无安全事故、无服务纠纷以及无其他经济法律纠纷），资金以财政国库支付为准。</w:t>
            </w:r>
          </w:p>
        </w:tc>
      </w:tr>
      <w:tr w14:paraId="5D838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6" w:hRule="atLeast"/>
        </w:trPr>
        <w:tc>
          <w:tcPr>
            <w:tcW w:w="3433" w:type="dxa"/>
            <w:vAlign w:val="top"/>
          </w:tcPr>
          <w:p w14:paraId="3C8FF36B">
            <w:pPr>
              <w:widowControl/>
              <w:kinsoku w:val="0"/>
              <w:autoSpaceDE w:val="0"/>
              <w:autoSpaceDN w:val="0"/>
              <w:adjustRightInd w:val="0"/>
              <w:snapToGrid w:val="0"/>
              <w:spacing w:line="275" w:lineRule="auto"/>
              <w:jc w:val="left"/>
              <w:textAlignment w:val="baseline"/>
              <w:rPr>
                <w:rFonts w:ascii="Arial" w:hAnsi="Arial" w:eastAsia="Arial" w:cs="Arial"/>
                <w:snapToGrid w:val="0"/>
                <w:color w:val="000000"/>
                <w:kern w:val="0"/>
                <w:sz w:val="21"/>
                <w:szCs w:val="21"/>
                <w:lang w:eastAsia="en-US"/>
              </w:rPr>
            </w:pPr>
          </w:p>
          <w:p w14:paraId="6815A40A">
            <w:pPr>
              <w:widowControl/>
              <w:kinsoku w:val="0"/>
              <w:autoSpaceDE w:val="0"/>
              <w:autoSpaceDN w:val="0"/>
              <w:adjustRightInd w:val="0"/>
              <w:snapToGrid w:val="0"/>
              <w:spacing w:before="65" w:line="228" w:lineRule="auto"/>
              <w:ind w:left="98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8"/>
                <w:kern w:val="0"/>
                <w:sz w:val="21"/>
                <w:szCs w:val="21"/>
                <w:lang w:val="en-US" w:eastAsia="en-US" w:bidi="ar-SA"/>
              </w:rPr>
              <w:t>解决争议的方式</w:t>
            </w:r>
          </w:p>
        </w:tc>
        <w:tc>
          <w:tcPr>
            <w:tcW w:w="5073" w:type="dxa"/>
            <w:vAlign w:val="top"/>
          </w:tcPr>
          <w:p w14:paraId="7683F41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eastAsia="en-US"/>
              </w:rPr>
            </w:pPr>
          </w:p>
          <w:p w14:paraId="34B8BB2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000000"/>
                <w:kern w:val="0"/>
                <w:sz w:val="21"/>
                <w:szCs w:val="21"/>
                <w:lang w:val="en-US" w:eastAsia="en-US"/>
              </w:rPr>
            </w:pPr>
            <w:r>
              <w:rPr>
                <w:rFonts w:hint="eastAsia" w:ascii="宋体" w:hAnsi="宋体" w:eastAsia="宋体" w:cs="宋体"/>
                <w:snapToGrid w:val="0"/>
                <w:color w:val="000000"/>
                <w:kern w:val="0"/>
                <w:sz w:val="21"/>
                <w:szCs w:val="21"/>
                <w:lang w:val="en-US" w:eastAsia="zh-CN"/>
              </w:rPr>
              <w:t>☑</w:t>
            </w:r>
            <w:r>
              <w:rPr>
                <w:rFonts w:hint="eastAsia" w:ascii="宋体" w:hAnsi="宋体" w:eastAsia="宋体" w:cs="宋体"/>
                <w:snapToGrid w:val="0"/>
                <w:color w:val="000000"/>
                <w:kern w:val="0"/>
                <w:sz w:val="21"/>
                <w:szCs w:val="21"/>
                <w:lang w:val="en-US" w:eastAsia="en-US"/>
              </w:rPr>
              <w:t>仲裁  □诉讼</w:t>
            </w:r>
          </w:p>
        </w:tc>
      </w:tr>
    </w:tbl>
    <w:p w14:paraId="5A156EB1">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02F8BC36">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7170BF20">
      <w:pPr>
        <w:widowControl/>
        <w:kinsoku w:val="0"/>
        <w:autoSpaceDE w:val="0"/>
        <w:autoSpaceDN w:val="0"/>
        <w:adjustRightInd w:val="0"/>
        <w:snapToGrid w:val="0"/>
        <w:spacing w:before="78" w:line="220" w:lineRule="auto"/>
        <w:ind w:left="486"/>
        <w:jc w:val="left"/>
        <w:textAlignment w:val="baseline"/>
        <w:rPr>
          <w:rFonts w:ascii="宋体" w:hAnsi="宋体" w:eastAsia="宋体" w:cs="宋体"/>
          <w:snapToGrid w:val="0"/>
          <w:color w:val="000000"/>
          <w:kern w:val="0"/>
          <w:sz w:val="21"/>
          <w:szCs w:val="21"/>
          <w:lang w:eastAsia="en-US"/>
        </w:rPr>
      </w:pPr>
      <w:r>
        <w:rPr>
          <w:rFonts w:ascii="宋体" w:hAnsi="宋体" w:eastAsia="宋体" w:cs="宋体"/>
          <w:b/>
          <w:bCs/>
          <w:snapToGrid w:val="0"/>
          <w:color w:val="000000"/>
          <w:spacing w:val="-4"/>
          <w:kern w:val="0"/>
          <w:sz w:val="21"/>
          <w:szCs w:val="21"/>
          <w:lang w:eastAsia="en-US"/>
        </w:rPr>
        <w:t>二、其他要求</w:t>
      </w:r>
    </w:p>
    <w:p w14:paraId="3436FC74">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en-US" w:bidi="ar-SA"/>
        </w:rPr>
      </w:pPr>
      <w:r>
        <w:rPr>
          <w:rFonts w:hint="eastAsia" w:ascii="宋体" w:hAnsi="宋体" w:eastAsia="宋体" w:cs="宋体"/>
          <w:snapToGrid/>
          <w:color w:val="auto"/>
          <w:spacing w:val="0"/>
          <w:w w:val="100"/>
          <w:kern w:val="2"/>
          <w:sz w:val="21"/>
          <w:szCs w:val="21"/>
          <w:lang w:val="en-US" w:eastAsia="en-US" w:bidi="ar-SA"/>
        </w:rPr>
        <w:t xml:space="preserve">1、服务方对本项目的报价包含完成本项目服务相关工作可能发生的一切费用以及相应的税金等。  </w:t>
      </w:r>
    </w:p>
    <w:p w14:paraId="60AF9D7C">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hint="eastAsia" w:ascii="宋体" w:hAnsi="宋体" w:eastAsia="宋体" w:cs="宋体"/>
          <w:snapToGrid/>
          <w:color w:val="auto"/>
          <w:spacing w:val="0"/>
          <w:w w:val="100"/>
          <w:kern w:val="2"/>
          <w:sz w:val="21"/>
          <w:szCs w:val="21"/>
          <w:lang w:val="en-US" w:eastAsia="zh-CN" w:bidi="ar-SA"/>
        </w:rPr>
      </w:pPr>
      <w:r>
        <w:rPr>
          <w:rFonts w:hint="eastAsia" w:ascii="宋体" w:hAnsi="宋体" w:eastAsia="宋体" w:cs="宋体"/>
          <w:snapToGrid/>
          <w:color w:val="auto"/>
          <w:spacing w:val="0"/>
          <w:w w:val="100"/>
          <w:kern w:val="2"/>
          <w:sz w:val="21"/>
          <w:szCs w:val="21"/>
          <w:lang w:val="en-US" w:eastAsia="en-US" w:bidi="ar-SA"/>
        </w:rPr>
        <w:t>2、服务方在服务期限内，必须为防治人员购买人身意外保险。服务期间发生的一切安全责任事故及造成第三者伤害责任的，均由成交人承担相应的责任</w:t>
      </w:r>
      <w:r>
        <w:rPr>
          <w:rFonts w:hint="eastAsia" w:ascii="宋体" w:hAnsi="宋体" w:eastAsia="宋体" w:cs="宋体"/>
          <w:snapToGrid/>
          <w:color w:val="auto"/>
          <w:spacing w:val="0"/>
          <w:w w:val="100"/>
          <w:kern w:val="2"/>
          <w:sz w:val="21"/>
          <w:szCs w:val="21"/>
          <w:lang w:val="en-US" w:eastAsia="zh-CN" w:bidi="ar-SA"/>
        </w:rPr>
        <w:t>。</w:t>
      </w:r>
      <w:r>
        <w:rPr>
          <w:rFonts w:hint="eastAsia" w:ascii="宋体" w:hAnsi="宋体" w:eastAsia="宋体" w:cs="宋体"/>
          <w:snapToGrid/>
          <w:color w:val="auto"/>
          <w:spacing w:val="0"/>
          <w:w w:val="100"/>
          <w:kern w:val="2"/>
          <w:sz w:val="21"/>
          <w:szCs w:val="21"/>
          <w:lang w:val="en-US" w:eastAsia="en-US" w:bidi="ar-SA"/>
        </w:rPr>
        <w:t xml:space="preserve">  </w:t>
      </w:r>
    </w:p>
    <w:p w14:paraId="69142388">
      <w:pPr>
        <w:widowControl/>
        <w:kinsoku w:val="0"/>
        <w:autoSpaceDE w:val="0"/>
        <w:autoSpaceDN w:val="0"/>
        <w:adjustRightInd w:val="0"/>
        <w:snapToGrid w:val="0"/>
        <w:spacing w:before="182" w:line="219" w:lineRule="auto"/>
        <w:ind w:left="482"/>
        <w:jc w:val="left"/>
        <w:textAlignment w:val="baseline"/>
        <w:rPr>
          <w:rFonts w:ascii="宋体" w:hAnsi="宋体" w:eastAsia="宋体" w:cs="宋体"/>
          <w:snapToGrid w:val="0"/>
          <w:color w:val="000000"/>
          <w:kern w:val="0"/>
          <w:sz w:val="21"/>
          <w:szCs w:val="21"/>
          <w:lang w:eastAsia="en-US"/>
        </w:rPr>
      </w:pPr>
      <w:r>
        <w:rPr>
          <w:rFonts w:ascii="宋体" w:hAnsi="宋体" w:eastAsia="宋体" w:cs="宋体"/>
          <w:b/>
          <w:bCs/>
          <w:snapToGrid w:val="0"/>
          <w:color w:val="000000"/>
          <w:spacing w:val="-5"/>
          <w:kern w:val="0"/>
          <w:sz w:val="21"/>
          <w:szCs w:val="21"/>
          <w:lang w:eastAsia="en-US"/>
        </w:rPr>
        <w:t>三、踏勘</w:t>
      </w:r>
    </w:p>
    <w:p w14:paraId="04A76B4A">
      <w:pPr>
        <w:keepNext w:val="0"/>
        <w:keepLines w:val="0"/>
        <w:pageBreakBefore w:val="0"/>
        <w:widowControl/>
        <w:kinsoku/>
        <w:wordWrap/>
        <w:overflowPunct/>
        <w:topLinePunct w:val="0"/>
        <w:autoSpaceDE w:val="0"/>
        <w:autoSpaceDN w:val="0"/>
        <w:bidi w:val="0"/>
        <w:adjustRightInd w:val="0"/>
        <w:snapToGrid w:val="0"/>
        <w:spacing w:line="500" w:lineRule="exact"/>
        <w:ind w:right="0" w:firstLine="420" w:firstLineChars="200"/>
        <w:jc w:val="both"/>
        <w:textAlignment w:val="baseline"/>
        <w:rPr>
          <w:rFonts w:ascii="宋体" w:hAnsi="宋体" w:eastAsia="宋体" w:cs="宋体"/>
          <w:b/>
          <w:bCs/>
          <w:snapToGrid w:val="0"/>
          <w:color w:val="000000"/>
          <w:spacing w:val="7"/>
          <w:kern w:val="0"/>
          <w:sz w:val="21"/>
          <w:szCs w:val="21"/>
          <w:lang w:eastAsia="en-US"/>
        </w:rPr>
      </w:pPr>
      <w:r>
        <w:rPr>
          <w:rFonts w:hint="eastAsia" w:ascii="宋体" w:hAnsi="宋体" w:eastAsia="宋体" w:cs="宋体"/>
          <w:snapToGrid/>
          <w:color w:val="auto"/>
          <w:spacing w:val="0"/>
          <w:w w:val="100"/>
          <w:kern w:val="2"/>
          <w:sz w:val="21"/>
          <w:szCs w:val="21"/>
          <w:lang w:val="en-US" w:eastAsia="en-US" w:bidi="ar-SA"/>
        </w:rPr>
        <w:t>本次招标不组织统一踏勘现场活动，供应商应根据项目的实际情况自行组织踏勘现场，供应商因没有踏勘现场而给自身带来的损失，供应商自行负责。</w:t>
      </w:r>
      <w:r>
        <w:rPr>
          <w:rFonts w:hint="eastAsia" w:ascii="宋体" w:hAnsi="宋体" w:eastAsia="宋体" w:cs="宋体"/>
          <w:snapToGrid/>
          <w:color w:val="auto"/>
          <w:spacing w:val="0"/>
          <w:w w:val="100"/>
          <w:kern w:val="2"/>
          <w:sz w:val="21"/>
          <w:szCs w:val="21"/>
          <w:lang w:val="en-US" w:eastAsia="zh-CN" w:bidi="ar-SA"/>
        </w:rPr>
        <w:t>供应商在投标前，如需踏勘现场，充分掌握现场地形、交通、周边环境，踏勘产生费用自行承担，因未踏勘造成报价漏项、实施受阻由供应商自行负责，踏勘期间发生的意外自负。本项目中标单位在中标后，需具有协调周边关系的能力。如因关系协调产生的一切费用均包含在本次招标预算内，采购人不再支付任何其他费用。中标单位需保证如期完工，如因关系协调处理而引发的工期延误、实施受阻、突发事件、安全事故等均由中标单位自行承担，采购人不受连带责任。</w:t>
      </w:r>
    </w:p>
    <w:p w14:paraId="34CD736E">
      <w:pPr>
        <w:numPr>
          <w:ilvl w:val="0"/>
          <w:numId w:val="3"/>
        </w:numPr>
        <w:rPr>
          <w:rFonts w:hint="eastAsia" w:ascii="宋体" w:hAnsi="宋体" w:eastAsia="宋体" w:cs="宋体"/>
          <w:b/>
          <w:bCs/>
          <w:snapToGrid w:val="0"/>
          <w:color w:val="000000"/>
          <w:spacing w:val="-4"/>
          <w:kern w:val="0"/>
          <w:sz w:val="21"/>
          <w:szCs w:val="21"/>
          <w:lang w:val="en-US" w:eastAsia="zh-CN"/>
        </w:rPr>
      </w:pPr>
      <w:r>
        <w:rPr>
          <w:rFonts w:hint="eastAsia" w:ascii="宋体" w:hAnsi="宋体" w:eastAsia="宋体" w:cs="宋体"/>
          <w:b/>
          <w:bCs/>
          <w:snapToGrid w:val="0"/>
          <w:color w:val="000000"/>
          <w:spacing w:val="-4"/>
          <w:kern w:val="0"/>
          <w:sz w:val="21"/>
          <w:szCs w:val="21"/>
          <w:lang w:val="en-US" w:eastAsia="zh-CN"/>
        </w:rPr>
        <w:br w:type="page"/>
      </w:r>
      <w:r>
        <w:rPr>
          <w:rFonts w:hint="eastAsia" w:ascii="宋体" w:hAnsi="宋体" w:eastAsia="宋体" w:cs="宋体"/>
          <w:b/>
          <w:bCs/>
          <w:snapToGrid w:val="0"/>
          <w:color w:val="000000"/>
          <w:spacing w:val="-4"/>
          <w:kern w:val="0"/>
          <w:sz w:val="21"/>
          <w:szCs w:val="21"/>
          <w:lang w:val="en-US" w:eastAsia="zh-CN"/>
        </w:rPr>
        <w:t>实施方案</w:t>
      </w:r>
    </w:p>
    <w:p w14:paraId="652D274C">
      <w:pPr>
        <w:numPr>
          <w:numId w:val="0"/>
        </w:numPr>
      </w:pPr>
      <w:bookmarkStart w:id="0" w:name="_GoBack"/>
      <w:bookmarkEnd w:id="0"/>
      <w:r>
        <w:rPr>
          <w:rStyle w:val="3"/>
          <w:rFonts w:hint="eastAsia" w:eastAsia="黑体"/>
          <w:color w:val="auto"/>
          <w:lang w:eastAsia="zh-CN"/>
        </w:rPr>
        <w:drawing>
          <wp:inline distT="0" distB="0" distL="114300" distR="114300">
            <wp:extent cx="5259070" cy="7442835"/>
            <wp:effectExtent l="0" t="0" r="11430" b="12065"/>
            <wp:docPr id="3" name="图片 1" descr="常宁市2026年秋粮抗逆防灾项目实施方案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常宁市2026年秋粮抗逆防灾项目实施方案_01"/>
                    <pic:cNvPicPr>
                      <a:picLocks noChangeAspect="1"/>
                    </pic:cNvPicPr>
                  </pic:nvPicPr>
                  <pic:blipFill>
                    <a:blip r:embed="rId4"/>
                    <a:stretch>
                      <a:fillRect/>
                    </a:stretch>
                  </pic:blipFill>
                  <pic:spPr>
                    <a:xfrm>
                      <a:off x="0" y="0"/>
                      <a:ext cx="5259070" cy="7442835"/>
                    </a:xfrm>
                    <a:prstGeom prst="rect">
                      <a:avLst/>
                    </a:prstGeom>
                    <a:noFill/>
                    <a:ln>
                      <a:noFill/>
                    </a:ln>
                  </pic:spPr>
                </pic:pic>
              </a:graphicData>
            </a:graphic>
          </wp:inline>
        </w:drawing>
      </w:r>
      <w:r>
        <w:rPr>
          <w:rStyle w:val="3"/>
          <w:rFonts w:hint="eastAsia" w:eastAsia="黑体"/>
          <w:color w:val="auto"/>
          <w:lang w:eastAsia="zh-CN"/>
        </w:rPr>
        <w:drawing>
          <wp:inline distT="0" distB="0" distL="114300" distR="114300">
            <wp:extent cx="5259070" cy="7442835"/>
            <wp:effectExtent l="0" t="0" r="11430" b="12065"/>
            <wp:docPr id="5" name="图片 2" descr="常宁市2026年秋粮抗逆防灾项目实施方案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常宁市2026年秋粮抗逆防灾项目实施方案_02"/>
                    <pic:cNvPicPr>
                      <a:picLocks noChangeAspect="1"/>
                    </pic:cNvPicPr>
                  </pic:nvPicPr>
                  <pic:blipFill>
                    <a:blip r:embed="rId5"/>
                    <a:stretch>
                      <a:fillRect/>
                    </a:stretch>
                  </pic:blipFill>
                  <pic:spPr>
                    <a:xfrm>
                      <a:off x="0" y="0"/>
                      <a:ext cx="5259070" cy="7442835"/>
                    </a:xfrm>
                    <a:prstGeom prst="rect">
                      <a:avLst/>
                    </a:prstGeom>
                    <a:noFill/>
                    <a:ln>
                      <a:noFill/>
                    </a:ln>
                  </pic:spPr>
                </pic:pic>
              </a:graphicData>
            </a:graphic>
          </wp:inline>
        </w:drawing>
      </w:r>
      <w:r>
        <w:rPr>
          <w:rStyle w:val="3"/>
          <w:rFonts w:hint="eastAsia" w:eastAsia="黑体"/>
          <w:color w:val="auto"/>
          <w:lang w:eastAsia="zh-CN"/>
        </w:rPr>
        <w:drawing>
          <wp:inline distT="0" distB="0" distL="114300" distR="114300">
            <wp:extent cx="5259070" cy="7442835"/>
            <wp:effectExtent l="0" t="0" r="11430" b="12065"/>
            <wp:docPr id="8" name="图片 3" descr="常宁市2026年秋粮抗逆防灾项目实施方案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常宁市2026年秋粮抗逆防灾项目实施方案_03"/>
                    <pic:cNvPicPr>
                      <a:picLocks noChangeAspect="1"/>
                    </pic:cNvPicPr>
                  </pic:nvPicPr>
                  <pic:blipFill>
                    <a:blip r:embed="rId6"/>
                    <a:stretch>
                      <a:fillRect/>
                    </a:stretch>
                  </pic:blipFill>
                  <pic:spPr>
                    <a:xfrm>
                      <a:off x="0" y="0"/>
                      <a:ext cx="5259070" cy="7442835"/>
                    </a:xfrm>
                    <a:prstGeom prst="rect">
                      <a:avLst/>
                    </a:prstGeom>
                    <a:noFill/>
                    <a:ln>
                      <a:noFill/>
                    </a:ln>
                  </pic:spPr>
                </pic:pic>
              </a:graphicData>
            </a:graphic>
          </wp:inline>
        </w:drawing>
      </w:r>
      <w:r>
        <w:rPr>
          <w:rStyle w:val="3"/>
          <w:rFonts w:hint="eastAsia" w:eastAsia="黑体"/>
          <w:color w:val="auto"/>
          <w:lang w:eastAsia="zh-CN"/>
        </w:rPr>
        <w:drawing>
          <wp:inline distT="0" distB="0" distL="114300" distR="114300">
            <wp:extent cx="5259070" cy="7442835"/>
            <wp:effectExtent l="0" t="0" r="11430" b="12065"/>
            <wp:docPr id="2" name="图片 4" descr="常宁市2026年秋粮抗逆防灾项目实施方案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常宁市2026年秋粮抗逆防灾项目实施方案_04"/>
                    <pic:cNvPicPr>
                      <a:picLocks noChangeAspect="1"/>
                    </pic:cNvPicPr>
                  </pic:nvPicPr>
                  <pic:blipFill>
                    <a:blip r:embed="rId7"/>
                    <a:stretch>
                      <a:fillRect/>
                    </a:stretch>
                  </pic:blipFill>
                  <pic:spPr>
                    <a:xfrm>
                      <a:off x="0" y="0"/>
                      <a:ext cx="5259070" cy="7442835"/>
                    </a:xfrm>
                    <a:prstGeom prst="rect">
                      <a:avLst/>
                    </a:prstGeom>
                    <a:noFill/>
                    <a:ln>
                      <a:noFill/>
                    </a:ln>
                  </pic:spPr>
                </pic:pic>
              </a:graphicData>
            </a:graphic>
          </wp:inline>
        </w:drawing>
      </w:r>
      <w:r>
        <w:rPr>
          <w:rStyle w:val="3"/>
          <w:rFonts w:hint="eastAsia" w:eastAsia="黑体"/>
          <w:color w:val="auto"/>
          <w:lang w:eastAsia="zh-CN"/>
        </w:rPr>
        <w:drawing>
          <wp:inline distT="0" distB="0" distL="114300" distR="114300">
            <wp:extent cx="5259070" cy="7442835"/>
            <wp:effectExtent l="0" t="0" r="11430" b="12065"/>
            <wp:docPr id="6" name="图片 5" descr="常宁市2026年秋粮抗逆防灾项目实施方案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常宁市2026年秋粮抗逆防灾项目实施方案_05"/>
                    <pic:cNvPicPr>
                      <a:picLocks noChangeAspect="1"/>
                    </pic:cNvPicPr>
                  </pic:nvPicPr>
                  <pic:blipFill>
                    <a:blip r:embed="rId8"/>
                    <a:stretch>
                      <a:fillRect/>
                    </a:stretch>
                  </pic:blipFill>
                  <pic:spPr>
                    <a:xfrm>
                      <a:off x="0" y="0"/>
                      <a:ext cx="5259070" cy="7442835"/>
                    </a:xfrm>
                    <a:prstGeom prst="rect">
                      <a:avLst/>
                    </a:prstGeom>
                    <a:noFill/>
                    <a:ln>
                      <a:noFill/>
                    </a:ln>
                  </pic:spPr>
                </pic:pic>
              </a:graphicData>
            </a:graphic>
          </wp:inline>
        </w:drawing>
      </w:r>
      <w:r>
        <w:rPr>
          <w:rStyle w:val="3"/>
          <w:rFonts w:hint="eastAsia" w:eastAsia="黑体"/>
          <w:color w:val="auto"/>
          <w:lang w:eastAsia="zh-CN"/>
        </w:rPr>
        <w:drawing>
          <wp:inline distT="0" distB="0" distL="114300" distR="114300">
            <wp:extent cx="5259070" cy="7442835"/>
            <wp:effectExtent l="0" t="0" r="11430" b="12065"/>
            <wp:docPr id="4" name="图片 6" descr="常宁市2026年秋粮抗逆防灾项目实施方案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descr="常宁市2026年秋粮抗逆防灾项目实施方案_06"/>
                    <pic:cNvPicPr>
                      <a:picLocks noChangeAspect="1"/>
                    </pic:cNvPicPr>
                  </pic:nvPicPr>
                  <pic:blipFill>
                    <a:blip r:embed="rId9"/>
                    <a:stretch>
                      <a:fillRect/>
                    </a:stretch>
                  </pic:blipFill>
                  <pic:spPr>
                    <a:xfrm>
                      <a:off x="0" y="0"/>
                      <a:ext cx="5259070" cy="7442835"/>
                    </a:xfrm>
                    <a:prstGeom prst="rect">
                      <a:avLst/>
                    </a:prstGeom>
                    <a:noFill/>
                    <a:ln>
                      <a:noFill/>
                    </a:ln>
                  </pic:spPr>
                </pic:pic>
              </a:graphicData>
            </a:graphic>
          </wp:inline>
        </w:drawing>
      </w:r>
      <w:r>
        <w:rPr>
          <w:rStyle w:val="3"/>
          <w:rFonts w:hint="eastAsia" w:eastAsia="黑体"/>
          <w:color w:val="auto"/>
          <w:lang w:eastAsia="zh-CN"/>
        </w:rPr>
        <w:drawing>
          <wp:inline distT="0" distB="0" distL="114300" distR="114300">
            <wp:extent cx="5259070" cy="7442835"/>
            <wp:effectExtent l="0" t="0" r="11430" b="12065"/>
            <wp:docPr id="7" name="图片 7" descr="常宁市2026年秋粮抗逆防灾项目实施方案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常宁市2026年秋粮抗逆防灾项目实施方案_07"/>
                    <pic:cNvPicPr>
                      <a:picLocks noChangeAspect="1"/>
                    </pic:cNvPicPr>
                  </pic:nvPicPr>
                  <pic:blipFill>
                    <a:blip r:embed="rId10"/>
                    <a:stretch>
                      <a:fillRect/>
                    </a:stretch>
                  </pic:blipFill>
                  <pic:spPr>
                    <a:xfrm>
                      <a:off x="0" y="0"/>
                      <a:ext cx="5259070" cy="7442835"/>
                    </a:xfrm>
                    <a:prstGeom prst="rect">
                      <a:avLst/>
                    </a:prstGeom>
                    <a:noFill/>
                    <a:ln>
                      <a:noFill/>
                    </a:ln>
                  </pic:spPr>
                </pic:pic>
              </a:graphicData>
            </a:graphic>
          </wp:inline>
        </w:drawing>
      </w:r>
      <w:r>
        <w:rPr>
          <w:rStyle w:val="3"/>
          <w:rFonts w:hint="eastAsia" w:eastAsia="黑体"/>
          <w:color w:val="auto"/>
          <w:lang w:eastAsia="zh-CN"/>
        </w:rPr>
        <w:drawing>
          <wp:inline distT="0" distB="0" distL="114300" distR="114300">
            <wp:extent cx="5259070" cy="7442835"/>
            <wp:effectExtent l="0" t="0" r="11430" b="12065"/>
            <wp:docPr id="1" name="图片 8" descr="常宁市2026年秋粮抗逆防灾项目实施方案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常宁市2026年秋粮抗逆防灾项目实施方案_08"/>
                    <pic:cNvPicPr>
                      <a:picLocks noChangeAspect="1"/>
                    </pic:cNvPicPr>
                  </pic:nvPicPr>
                  <pic:blipFill>
                    <a:blip r:embed="rId11"/>
                    <a:stretch>
                      <a:fillRect/>
                    </a:stretch>
                  </pic:blipFill>
                  <pic:spPr>
                    <a:xfrm>
                      <a:off x="0" y="0"/>
                      <a:ext cx="5259070" cy="744283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7AA79F"/>
    <w:multiLevelType w:val="singleLevel"/>
    <w:tmpl w:val="A97AA79F"/>
    <w:lvl w:ilvl="0" w:tentative="0">
      <w:start w:val="4"/>
      <w:numFmt w:val="chineseCounting"/>
      <w:suff w:val="nothing"/>
      <w:lvlText w:val="%1、"/>
      <w:lvlJc w:val="left"/>
      <w:rPr>
        <w:rFonts w:hint="eastAsia"/>
      </w:rPr>
    </w:lvl>
  </w:abstractNum>
  <w:abstractNum w:abstractNumId="1">
    <w:nsid w:val="E1AF187D"/>
    <w:multiLevelType w:val="singleLevel"/>
    <w:tmpl w:val="E1AF187D"/>
    <w:lvl w:ilvl="0" w:tentative="0">
      <w:start w:val="1"/>
      <w:numFmt w:val="chineseCounting"/>
      <w:suff w:val="nothing"/>
      <w:lvlText w:val="（%1）"/>
      <w:lvlJc w:val="left"/>
      <w:pPr>
        <w:ind w:left="876" w:firstLine="0"/>
      </w:pPr>
      <w:rPr>
        <w:rFonts w:hint="eastAsia"/>
      </w:rPr>
    </w:lvl>
  </w:abstractNum>
  <w:abstractNum w:abstractNumId="2">
    <w:nsid w:val="3A2A61C6"/>
    <w:multiLevelType w:val="singleLevel"/>
    <w:tmpl w:val="3A2A61C6"/>
    <w:lvl w:ilvl="0" w:tentative="0">
      <w:start w:val="2"/>
      <w:numFmt w:val="chineseCounting"/>
      <w:suff w:val="space"/>
      <w:lvlText w:val="第%1节"/>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2A4B57"/>
    <w:rsid w:val="01883397"/>
    <w:rsid w:val="022A4B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2026-09-10T08:13:00Z</dcterms:created>
  <dc:creator>LENOVO</dc:creator>
  <cp:lastModifiedBy>ghx3467</cp:lastModifiedBy>
  <dcterms:modified xsi:type="dcterms:W3CDTF">2026-09-10T08:37:11Z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CD904099DDB346708E882AB8D2343CC0_11</vt:lpwstr>
  </property>
  <property fmtid="{D5CDD505-2E9C-101B-9397-08002B2CF9AE}" pid="4" name="KSOTemplateDocerSaveRecord">
    <vt:lpwstr>eyJoZGlkIjoiZDUxYjQ5NWJjYjdmMzQ3MDIxN2NiMDI0MzU3ZjdlNzMiLCJ1c2VySWQiOiIzMjAwNTkzMDEifQ==</vt:lpwstr>
  </property>
</Properties>
</file>