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56FED">
      <w:pPr>
        <w:pStyle w:val="2"/>
        <w:spacing w:before="156" w:after="156"/>
        <w:rPr>
          <w:rFonts w:ascii="微软雅黑" w:hAnsi="微软雅黑" w:eastAsia="微软雅黑" w:cs="微软雅黑"/>
          <w:color w:val="auto"/>
          <w:highlight w:val="none"/>
        </w:rPr>
      </w:pPr>
      <w:r>
        <w:rPr>
          <w:rFonts w:hint="eastAsia" w:ascii="微软雅黑" w:hAnsi="微软雅黑" w:eastAsia="微软雅黑" w:cs="微软雅黑"/>
          <w:color w:val="auto"/>
          <w:highlight w:val="none"/>
          <w:lang w:val="en-US" w:eastAsia="zh-CN"/>
        </w:rPr>
        <w:t>采购</w:t>
      </w:r>
      <w:r>
        <w:rPr>
          <w:rFonts w:ascii="微软雅黑" w:hAnsi="微软雅黑" w:eastAsia="微软雅黑" w:cs="微软雅黑"/>
          <w:color w:val="auto"/>
          <w:highlight w:val="none"/>
        </w:rPr>
        <w:t>需求</w:t>
      </w:r>
    </w:p>
    <w:p w14:paraId="39CDED66">
      <w:pPr>
        <w:pStyle w:val="12"/>
        <w:spacing w:before="240"/>
        <w:ind w:firstLine="482"/>
        <w:rPr>
          <w:b/>
          <w:bCs/>
          <w:color w:val="auto"/>
          <w:highlight w:val="none"/>
        </w:rPr>
      </w:pPr>
      <w:r>
        <w:rPr>
          <w:rFonts w:hint="eastAsia"/>
          <w:b/>
          <w:bCs/>
          <w:color w:val="auto"/>
          <w:highlight w:val="none"/>
        </w:rPr>
        <w:t>前注：</w:t>
      </w:r>
    </w:p>
    <w:p w14:paraId="7BE66244">
      <w:pPr>
        <w:pStyle w:val="12"/>
        <w:numPr>
          <w:ilvl w:val="0"/>
          <w:numId w:val="0"/>
        </w:numPr>
        <w:spacing w:before="240" w:beforeLines="100"/>
        <w:ind w:firstLine="48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下列采购需求中用“★”符号标明的条款为实质性要求和条件，供应商必须完全响应，未按要求响应，视为实质性偏离，其响应无效。未标注“★”的条款为非实质性要求和条件，视为非实质性偏离。非实质性偏离的范围和幅度≧</w:t>
      </w:r>
      <w:r>
        <w:rPr>
          <w:rFonts w:hint="eastAsia" w:cs="Times New Roman"/>
          <w:color w:val="auto"/>
          <w:highlight w:val="none"/>
          <w:lang w:val="en-US" w:eastAsia="zh-CN"/>
        </w:rPr>
        <w:t>5项</w:t>
      </w:r>
      <w:r>
        <w:rPr>
          <w:rFonts w:hint="eastAsia" w:ascii="Times New Roman" w:hAnsi="Times New Roman" w:eastAsia="宋体" w:cs="Times New Roman"/>
          <w:color w:val="auto"/>
          <w:highlight w:val="none"/>
          <w:lang w:val="en-US" w:eastAsia="zh-CN"/>
        </w:rPr>
        <w:t>响应无效。</w:t>
      </w:r>
    </w:p>
    <w:p w14:paraId="6D4CBF16">
      <w:pPr>
        <w:pStyle w:val="7"/>
        <w:pageBreakBefore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outlineLvl w:val="1"/>
        <w:rPr>
          <w:rFonts w:hint="eastAsia"/>
          <w:color w:val="auto"/>
          <w:lang w:eastAsia="zh-CN"/>
        </w:rPr>
      </w:pPr>
      <w:bookmarkStart w:id="0" w:name="_Toc26635"/>
      <w:bookmarkStart w:id="1" w:name="_Toc5734"/>
      <w:r>
        <w:rPr>
          <w:rFonts w:hint="eastAsia" w:ascii="Times New Roman" w:hAnsi="Times New Roman" w:eastAsia="黑体" w:cs="Times New Roman"/>
          <w:color w:val="auto"/>
          <w:kern w:val="2"/>
          <w:sz w:val="24"/>
          <w:szCs w:val="24"/>
          <w:lang w:val="en-US" w:eastAsia="zh-CN" w:bidi="ar-SA"/>
        </w:rPr>
        <w:t>（一）</w:t>
      </w:r>
      <w:r>
        <w:rPr>
          <w:rFonts w:hint="eastAsia"/>
          <w:color w:val="auto"/>
          <w:lang w:eastAsia="zh-CN"/>
        </w:rPr>
        <w:t>项目概况</w:t>
      </w:r>
      <w:bookmarkEnd w:id="0"/>
      <w:bookmarkEnd w:id="1"/>
    </w:p>
    <w:p w14:paraId="7E130DF4">
      <w:pPr>
        <w:spacing w:line="360" w:lineRule="auto"/>
        <w:ind w:firstLine="480" w:firstLineChars="200"/>
        <w:rPr>
          <w:rFonts w:hint="eastAsia" w:ascii="Times New Roman" w:hAnsi="Times New Roman" w:eastAsia="宋体" w:cs="Times New Roman"/>
          <w:color w:val="auto"/>
          <w:kern w:val="2"/>
          <w:sz w:val="24"/>
          <w:szCs w:val="22"/>
          <w:highlight w:val="none"/>
          <w:lang w:val="en-US" w:eastAsia="zh-CN" w:bidi="ar-SA"/>
        </w:rPr>
      </w:pPr>
      <w:r>
        <w:rPr>
          <w:rFonts w:hint="eastAsia" w:ascii="宋体" w:hAnsi="宋体" w:eastAsia="宋体" w:cs="宋体"/>
          <w:color w:val="auto"/>
          <w:szCs w:val="21"/>
          <w:lang w:val="en-US" w:eastAsia="zh-CN"/>
        </w:rPr>
        <w:t>为贯彻落实乡村振兴战略，提升本市农民综合素质和生产技能，推动农业产业高质量发展，特开展2026年度市本级高素质农民培育项目。通过系统培训，培养一批有文化、懂技术、会经营的高素质农民队伍，为本地农业现代化提供人才支撑。</w:t>
      </w:r>
    </w:p>
    <w:p w14:paraId="1DB29C0C">
      <w:pPr>
        <w:pStyle w:val="7"/>
        <w:pageBreakBefore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outlineLvl w:val="1"/>
        <w:rPr>
          <w:rFonts w:hint="eastAsia"/>
          <w:color w:val="auto"/>
          <w:lang w:eastAsia="zh-CN"/>
        </w:rPr>
      </w:pPr>
      <w:bookmarkStart w:id="2" w:name="_Toc23714"/>
      <w:bookmarkStart w:id="3" w:name="_Toc6113"/>
      <w:r>
        <w:rPr>
          <w:rFonts w:hint="eastAsia" w:ascii="Times New Roman" w:hAnsi="Times New Roman" w:eastAsia="黑体" w:cs="Times New Roman"/>
          <w:color w:val="auto"/>
          <w:kern w:val="2"/>
          <w:sz w:val="24"/>
          <w:szCs w:val="24"/>
          <w:lang w:val="en-US" w:eastAsia="zh-CN" w:bidi="ar-SA"/>
        </w:rPr>
        <w:t>（二）</w:t>
      </w:r>
      <w:r>
        <w:rPr>
          <w:rFonts w:hint="eastAsia"/>
          <w:color w:val="auto"/>
          <w:lang w:eastAsia="zh-CN"/>
        </w:rPr>
        <w:t>采购项目预（概）算</w:t>
      </w:r>
      <w:bookmarkEnd w:id="2"/>
      <w:bookmarkEnd w:id="3"/>
    </w:p>
    <w:p w14:paraId="37A8E979">
      <w:pPr>
        <w:pStyle w:val="13"/>
        <w:pageBreakBefore w:val="0"/>
        <w:kinsoku/>
        <w:wordWrap/>
        <w:overflowPunct/>
        <w:topLinePunct w:val="0"/>
        <w:autoSpaceDE/>
        <w:autoSpaceDN/>
        <w:bidi w:val="0"/>
        <w:adjustRightInd/>
        <w:snapToGrid/>
        <w:spacing w:line="440" w:lineRule="exact"/>
        <w:ind w:firstLine="480" w:firstLineChars="200"/>
        <w:textAlignment w:val="auto"/>
        <w:rPr>
          <w:rFonts w:hint="eastAsia"/>
          <w:color w:val="auto"/>
          <w:lang w:val="en-US" w:eastAsia="zh-CN"/>
        </w:rPr>
      </w:pPr>
      <w:r>
        <w:rPr>
          <w:rFonts w:hint="eastAsia"/>
          <w:color w:val="auto"/>
          <w:lang w:eastAsia="zh-CN"/>
        </w:rPr>
        <w:t>预算∶</w:t>
      </w:r>
      <w:r>
        <w:rPr>
          <w:rFonts w:hint="eastAsia"/>
          <w:color w:val="auto"/>
          <w:lang w:val="en-US" w:eastAsia="zh-CN"/>
        </w:rPr>
        <w:t>1851900.00</w:t>
      </w:r>
      <w:r>
        <w:rPr>
          <w:rFonts w:hint="eastAsia"/>
          <w:color w:val="auto"/>
          <w:lang w:eastAsia="zh-CN"/>
        </w:rPr>
        <w:t>元</w:t>
      </w:r>
    </w:p>
    <w:p w14:paraId="7944D67B">
      <w:pPr>
        <w:pStyle w:val="7"/>
        <w:numPr>
          <w:ilvl w:val="0"/>
          <w:numId w:val="0"/>
        </w:numPr>
        <w:bidi w:val="0"/>
        <w:ind w:left="0" w:leftChars="0" w:firstLine="480" w:firstLineChars="200"/>
        <w:outlineLvl w:val="1"/>
        <w:rPr>
          <w:rFonts w:hint="eastAsia"/>
          <w:color w:val="auto"/>
          <w:lang w:eastAsia="zh-CN"/>
        </w:rPr>
      </w:pPr>
      <w:bookmarkStart w:id="4" w:name="_Toc12381"/>
      <w:bookmarkStart w:id="5" w:name="_Toc4938"/>
      <w:r>
        <w:rPr>
          <w:rFonts w:hint="eastAsia" w:ascii="Times New Roman" w:hAnsi="Times New Roman" w:eastAsia="黑体" w:cs="Times New Roman"/>
          <w:color w:val="auto"/>
          <w:kern w:val="2"/>
          <w:sz w:val="24"/>
          <w:szCs w:val="24"/>
          <w:lang w:val="en-US" w:eastAsia="zh-CN" w:bidi="ar-SA"/>
        </w:rPr>
        <w:t>（三）</w:t>
      </w:r>
      <w:r>
        <w:rPr>
          <w:rFonts w:hint="eastAsia"/>
          <w:color w:val="auto"/>
          <w:lang w:eastAsia="zh-CN"/>
        </w:rPr>
        <w:t>采购标的汇总表</w:t>
      </w:r>
      <w:bookmarkEnd w:id="4"/>
    </w:p>
    <w:bookmarkEnd w:id="5"/>
    <w:tbl>
      <w:tblPr>
        <w:tblStyle w:val="9"/>
        <w:tblW w:w="10377" w:type="dxa"/>
        <w:tblInd w:w="-10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3613"/>
        <w:gridCol w:w="2380"/>
        <w:gridCol w:w="1163"/>
        <w:gridCol w:w="890"/>
        <w:gridCol w:w="1093"/>
      </w:tblGrid>
      <w:tr w14:paraId="003D8D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238" w:type="dxa"/>
            <w:tcBorders>
              <w:top w:val="double" w:color="auto" w:sz="4" w:space="0"/>
            </w:tcBorders>
            <w:shd w:val="clear" w:color="8DB3E2" w:fill="FFFFFF"/>
            <w:vAlign w:val="center"/>
          </w:tcPr>
          <w:p w14:paraId="3D599E5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bookmarkStart w:id="6" w:name="_Toc5867"/>
            <w:r>
              <w:rPr>
                <w:rFonts w:hint="eastAsia" w:ascii="宋体" w:hAnsi="宋体" w:eastAsia="宋体" w:cs="宋体"/>
                <w:b/>
                <w:bCs/>
                <w:color w:val="auto"/>
                <w:kern w:val="2"/>
                <w:sz w:val="22"/>
                <w:szCs w:val="22"/>
                <w:lang w:val="en-US" w:eastAsia="zh-CN" w:bidi="ar-SA"/>
              </w:rPr>
              <w:t>包号</w:t>
            </w:r>
          </w:p>
        </w:tc>
        <w:tc>
          <w:tcPr>
            <w:tcW w:w="3613" w:type="dxa"/>
            <w:tcBorders>
              <w:top w:val="double" w:color="auto" w:sz="4" w:space="0"/>
            </w:tcBorders>
            <w:shd w:val="clear" w:color="8DB3E2" w:fill="FFFFFF"/>
            <w:vAlign w:val="center"/>
          </w:tcPr>
          <w:p w14:paraId="6D46EE3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包名称</w:t>
            </w:r>
          </w:p>
        </w:tc>
        <w:tc>
          <w:tcPr>
            <w:tcW w:w="2380" w:type="dxa"/>
            <w:tcBorders>
              <w:top w:val="double" w:color="auto" w:sz="4" w:space="0"/>
            </w:tcBorders>
            <w:shd w:val="clear" w:color="8DB3E2" w:fill="FFFFFF"/>
            <w:vAlign w:val="center"/>
          </w:tcPr>
          <w:p w14:paraId="373813D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品目分类编码</w:t>
            </w:r>
          </w:p>
        </w:tc>
        <w:tc>
          <w:tcPr>
            <w:tcW w:w="1163" w:type="dxa"/>
            <w:tcBorders>
              <w:top w:val="double" w:color="auto" w:sz="4" w:space="0"/>
            </w:tcBorders>
            <w:shd w:val="clear" w:color="8DB3E2" w:fill="FFFFFF"/>
            <w:vAlign w:val="center"/>
          </w:tcPr>
          <w:p w14:paraId="7AB6F67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计量单位</w:t>
            </w:r>
          </w:p>
        </w:tc>
        <w:tc>
          <w:tcPr>
            <w:tcW w:w="890" w:type="dxa"/>
            <w:tcBorders>
              <w:top w:val="double" w:color="auto" w:sz="4" w:space="0"/>
            </w:tcBorders>
            <w:shd w:val="clear" w:color="8DB3E2" w:fill="FFFFFF"/>
            <w:vAlign w:val="center"/>
          </w:tcPr>
          <w:p w14:paraId="5810C46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数量</w:t>
            </w:r>
          </w:p>
        </w:tc>
        <w:tc>
          <w:tcPr>
            <w:tcW w:w="1093" w:type="dxa"/>
            <w:tcBorders>
              <w:top w:val="double" w:color="auto" w:sz="4" w:space="0"/>
            </w:tcBorders>
            <w:shd w:val="clear" w:color="8DB3E2" w:fill="FFFFFF"/>
            <w:vAlign w:val="center"/>
          </w:tcPr>
          <w:p w14:paraId="6674C3B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是否</w:t>
            </w:r>
          </w:p>
          <w:p w14:paraId="2139930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进口</w:t>
            </w:r>
          </w:p>
        </w:tc>
      </w:tr>
      <w:tr w14:paraId="022A4C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59EFEB8F">
            <w:pPr>
              <w:widowControl/>
              <w:spacing w:line="480" w:lineRule="auto"/>
              <w:ind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3613" w:type="dxa"/>
            <w:vAlign w:val="center"/>
          </w:tcPr>
          <w:p w14:paraId="2FFC79A3">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Hans"/>
              </w:rPr>
              <w:t>粮油</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r>
              <w:rPr>
                <w:rFonts w:hint="eastAsia" w:ascii="Calibri" w:hAnsi="Calibri" w:cs="宋体"/>
                <w:color w:val="auto"/>
                <w:szCs w:val="24"/>
                <w:lang w:val="en-US" w:eastAsia="zh-CN"/>
              </w:rPr>
              <w:t>（农机）</w:t>
            </w:r>
          </w:p>
        </w:tc>
        <w:tc>
          <w:tcPr>
            <w:tcW w:w="2380" w:type="dxa"/>
            <w:vAlign w:val="center"/>
          </w:tcPr>
          <w:p w14:paraId="06A90361">
            <w:pPr>
              <w:pStyle w:val="1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vAlign w:val="center"/>
          </w:tcPr>
          <w:p w14:paraId="73F2C86B">
            <w:pPr>
              <w:widowControl/>
              <w:numPr>
                <w:ilvl w:val="0"/>
                <w:numId w:val="0"/>
              </w:numPr>
              <w:tabs>
                <w:tab w:val="left" w:pos="33"/>
              </w:tabs>
              <w:spacing w:line="260" w:lineRule="exact"/>
              <w:ind w:right="-55" w:rightChars="-23" w:firstLine="440" w:firstLineChars="2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vAlign w:val="center"/>
          </w:tcPr>
          <w:p w14:paraId="4BA251B9">
            <w:pPr>
              <w:widowControl/>
              <w:numPr>
                <w:ilvl w:val="0"/>
                <w:numId w:val="0"/>
              </w:numPr>
              <w:tabs>
                <w:tab w:val="left" w:pos="33"/>
              </w:tabs>
              <w:spacing w:line="260" w:lineRule="exact"/>
              <w:ind w:right="-55" w:rightChars="-23" w:firstLine="220" w:firstLineChars="1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vAlign w:val="center"/>
          </w:tcPr>
          <w:p w14:paraId="091684F8">
            <w:pPr>
              <w:widowControl/>
              <w:numPr>
                <w:ilvl w:val="0"/>
                <w:numId w:val="0"/>
              </w:numPr>
              <w:tabs>
                <w:tab w:val="left" w:pos="33"/>
              </w:tabs>
              <w:spacing w:line="260" w:lineRule="exact"/>
              <w:ind w:right="-55" w:rightChars="-23" w:firstLine="220" w:firstLineChars="100"/>
              <w:jc w:val="left"/>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否</w:t>
            </w:r>
          </w:p>
        </w:tc>
      </w:tr>
      <w:tr w14:paraId="1DEEF2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71F24941">
            <w:pPr>
              <w:widowControl/>
              <w:spacing w:line="480" w:lineRule="auto"/>
              <w:ind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2</w:t>
            </w:r>
          </w:p>
        </w:tc>
        <w:tc>
          <w:tcPr>
            <w:tcW w:w="3613" w:type="dxa"/>
            <w:vAlign w:val="center"/>
          </w:tcPr>
          <w:p w14:paraId="1688B469">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CN"/>
              </w:rPr>
              <w:t>旱粮产能提升主体</w:t>
            </w:r>
            <w:r>
              <w:rPr>
                <w:rFonts w:hint="eastAsia" w:ascii="Calibri" w:hAnsi="Calibri" w:cs="宋体"/>
                <w:color w:val="auto"/>
                <w:szCs w:val="24"/>
                <w:lang w:val="en-US" w:eastAsia="zh-Hans"/>
              </w:rPr>
              <w:t>培育班</w:t>
            </w:r>
          </w:p>
        </w:tc>
        <w:tc>
          <w:tcPr>
            <w:tcW w:w="2380" w:type="dxa"/>
            <w:vAlign w:val="center"/>
          </w:tcPr>
          <w:p w14:paraId="4B0883D5">
            <w:pPr>
              <w:pStyle w:val="1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shd w:val="clear" w:color="auto" w:fill="auto"/>
            <w:vAlign w:val="center"/>
          </w:tcPr>
          <w:p w14:paraId="3E5DF59C">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shd w:val="clear" w:color="auto" w:fill="auto"/>
            <w:vAlign w:val="center"/>
          </w:tcPr>
          <w:p w14:paraId="6BAE5955">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vAlign w:val="center"/>
          </w:tcPr>
          <w:p w14:paraId="69F7D277">
            <w:pPr>
              <w:numPr>
                <w:ilvl w:val="0"/>
                <w:numId w:val="0"/>
              </w:numPr>
              <w:spacing w:line="360" w:lineRule="auto"/>
              <w:ind w:right="-55" w:firstLine="220" w:firstLineChars="100"/>
              <w:jc w:val="both"/>
              <w:rPr>
                <w:rFonts w:hint="eastAsia" w:ascii="宋体" w:hAnsi="宋体" w:eastAsia="宋体" w:cs="宋体"/>
                <w:color w:val="auto"/>
                <w:sz w:val="22"/>
                <w:szCs w:val="22"/>
              </w:rPr>
            </w:pPr>
            <w:r>
              <w:rPr>
                <w:rFonts w:hint="eastAsia" w:ascii="宋体" w:hAnsi="宋体" w:eastAsia="宋体" w:cs="宋体"/>
                <w:color w:val="auto"/>
                <w:sz w:val="22"/>
                <w:szCs w:val="22"/>
              </w:rPr>
              <w:t>否</w:t>
            </w:r>
          </w:p>
        </w:tc>
      </w:tr>
      <w:tr w14:paraId="631570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6FED67DC">
            <w:pPr>
              <w:widowControl/>
              <w:spacing w:line="480" w:lineRule="auto"/>
              <w:ind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cs="宋体"/>
                <w:color w:val="auto"/>
                <w:kern w:val="2"/>
                <w:sz w:val="22"/>
                <w:szCs w:val="22"/>
                <w:lang w:val="en-US" w:eastAsia="zh-CN" w:bidi="ar-SA"/>
              </w:rPr>
              <w:t>3</w:t>
            </w:r>
          </w:p>
        </w:tc>
        <w:tc>
          <w:tcPr>
            <w:tcW w:w="3613" w:type="dxa"/>
            <w:vAlign w:val="center"/>
          </w:tcPr>
          <w:p w14:paraId="267CE862">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Hans"/>
              </w:rPr>
              <w:t>茶叶</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p>
        </w:tc>
        <w:tc>
          <w:tcPr>
            <w:tcW w:w="2380" w:type="dxa"/>
            <w:vAlign w:val="center"/>
          </w:tcPr>
          <w:p w14:paraId="0C16AF0B">
            <w:pPr>
              <w:pStyle w:val="1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shd w:val="clear" w:color="auto" w:fill="auto"/>
            <w:vAlign w:val="center"/>
          </w:tcPr>
          <w:p w14:paraId="2DBFEA81">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shd w:val="clear" w:color="auto" w:fill="auto"/>
            <w:vAlign w:val="center"/>
          </w:tcPr>
          <w:p w14:paraId="0965E98D">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vAlign w:val="center"/>
          </w:tcPr>
          <w:p w14:paraId="1F9DAE1E">
            <w:pPr>
              <w:numPr>
                <w:ilvl w:val="0"/>
                <w:numId w:val="0"/>
              </w:numPr>
              <w:spacing w:line="360" w:lineRule="auto"/>
              <w:ind w:right="-55" w:firstLine="220" w:firstLineChars="100"/>
              <w:jc w:val="both"/>
              <w:rPr>
                <w:rFonts w:hint="eastAsia" w:ascii="宋体" w:hAnsi="宋体" w:eastAsia="宋体" w:cs="宋体"/>
                <w:color w:val="auto"/>
                <w:sz w:val="22"/>
                <w:szCs w:val="22"/>
              </w:rPr>
            </w:pPr>
            <w:r>
              <w:rPr>
                <w:rFonts w:hint="eastAsia" w:ascii="宋体" w:hAnsi="宋体" w:eastAsia="宋体" w:cs="宋体"/>
                <w:color w:val="auto"/>
                <w:sz w:val="22"/>
                <w:szCs w:val="22"/>
              </w:rPr>
              <w:t>否</w:t>
            </w:r>
          </w:p>
        </w:tc>
      </w:tr>
      <w:tr w14:paraId="4376D6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43A5FD9F">
            <w:pPr>
              <w:widowControl/>
              <w:spacing w:line="480" w:lineRule="auto"/>
              <w:ind w:firstLine="0" w:firstLineChars="0"/>
              <w:jc w:val="center"/>
              <w:rPr>
                <w:rFonts w:hint="default" w:ascii="宋体" w:hAnsi="宋体" w:cs="宋体"/>
                <w:color w:val="auto"/>
                <w:kern w:val="2"/>
                <w:sz w:val="22"/>
                <w:szCs w:val="22"/>
                <w:lang w:val="en-US" w:eastAsia="zh-CN" w:bidi="ar-SA"/>
              </w:rPr>
            </w:pPr>
            <w:bookmarkStart w:id="7" w:name="_Toc13606"/>
            <w:r>
              <w:rPr>
                <w:rFonts w:hint="eastAsia" w:ascii="宋体" w:hAnsi="宋体" w:cs="宋体"/>
                <w:color w:val="auto"/>
                <w:kern w:val="2"/>
                <w:sz w:val="22"/>
                <w:szCs w:val="22"/>
                <w:lang w:val="en-US" w:eastAsia="zh-CN" w:bidi="ar-SA"/>
              </w:rPr>
              <w:t>4</w:t>
            </w:r>
          </w:p>
        </w:tc>
        <w:tc>
          <w:tcPr>
            <w:tcW w:w="3613" w:type="dxa"/>
            <w:vAlign w:val="center"/>
          </w:tcPr>
          <w:p w14:paraId="04B8DA77">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Hans"/>
              </w:rPr>
              <w:t>水果</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p>
        </w:tc>
        <w:tc>
          <w:tcPr>
            <w:tcW w:w="2380" w:type="dxa"/>
            <w:vAlign w:val="center"/>
          </w:tcPr>
          <w:p w14:paraId="6A57D567">
            <w:pPr>
              <w:pStyle w:val="1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shd w:val="clear" w:color="auto" w:fill="auto"/>
            <w:vAlign w:val="center"/>
          </w:tcPr>
          <w:p w14:paraId="299822C1">
            <w:pPr>
              <w:widowControl/>
              <w:numPr>
                <w:ilvl w:val="0"/>
                <w:numId w:val="0"/>
              </w:numPr>
              <w:tabs>
                <w:tab w:val="left" w:pos="33"/>
              </w:tabs>
              <w:spacing w:line="260" w:lineRule="exact"/>
              <w:ind w:left="0" w:leftChars="0" w:right="-55" w:rightChars="-23" w:firstLine="440" w:firstLineChars="2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shd w:val="clear" w:color="auto" w:fill="auto"/>
            <w:vAlign w:val="center"/>
          </w:tcPr>
          <w:p w14:paraId="03CB9C2A">
            <w:pPr>
              <w:widowControl/>
              <w:numPr>
                <w:ilvl w:val="0"/>
                <w:numId w:val="0"/>
              </w:numPr>
              <w:tabs>
                <w:tab w:val="left" w:pos="33"/>
              </w:tabs>
              <w:spacing w:line="260" w:lineRule="exact"/>
              <w:ind w:left="0" w:leftChars="0" w:right="-55" w:rightChars="-23" w:firstLine="220" w:firstLineChars="1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shd w:val="clear" w:color="auto" w:fill="auto"/>
            <w:vAlign w:val="center"/>
          </w:tcPr>
          <w:p w14:paraId="0D38C162">
            <w:pPr>
              <w:widowControl/>
              <w:numPr>
                <w:ilvl w:val="0"/>
                <w:numId w:val="0"/>
              </w:numPr>
              <w:tabs>
                <w:tab w:val="left" w:pos="33"/>
              </w:tabs>
              <w:spacing w:line="260" w:lineRule="exact"/>
              <w:ind w:left="0" w:leftChars="0" w:right="-55" w:rightChars="-23" w:firstLine="220" w:firstLineChars="100"/>
              <w:jc w:val="left"/>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否</w:t>
            </w:r>
          </w:p>
        </w:tc>
      </w:tr>
      <w:tr w14:paraId="041921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0D3B4857">
            <w:pPr>
              <w:widowControl/>
              <w:spacing w:line="480" w:lineRule="auto"/>
              <w:ind w:firstLine="0" w:firstLineChars="0"/>
              <w:jc w:val="center"/>
              <w:rPr>
                <w:rFonts w:hint="default" w:ascii="宋体" w:hAnsi="宋体" w:cs="宋体"/>
                <w:color w:val="auto"/>
                <w:kern w:val="2"/>
                <w:sz w:val="22"/>
                <w:szCs w:val="22"/>
                <w:lang w:val="en-US" w:eastAsia="zh-CN" w:bidi="ar-SA"/>
              </w:rPr>
            </w:pPr>
            <w:r>
              <w:rPr>
                <w:rFonts w:hint="eastAsia" w:ascii="宋体" w:hAnsi="宋体" w:cs="宋体"/>
                <w:color w:val="auto"/>
                <w:kern w:val="2"/>
                <w:sz w:val="22"/>
                <w:szCs w:val="22"/>
                <w:lang w:val="en-US" w:eastAsia="zh-CN" w:bidi="ar-SA"/>
              </w:rPr>
              <w:t>5</w:t>
            </w:r>
          </w:p>
        </w:tc>
        <w:tc>
          <w:tcPr>
            <w:tcW w:w="3613" w:type="dxa"/>
            <w:vAlign w:val="center"/>
          </w:tcPr>
          <w:p w14:paraId="448C444C">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CN"/>
              </w:rPr>
              <w:t>农业经理人班</w:t>
            </w:r>
          </w:p>
        </w:tc>
        <w:tc>
          <w:tcPr>
            <w:tcW w:w="2380" w:type="dxa"/>
            <w:vAlign w:val="center"/>
          </w:tcPr>
          <w:p w14:paraId="3B48034F">
            <w:pPr>
              <w:pStyle w:val="1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shd w:val="clear" w:color="auto" w:fill="auto"/>
            <w:vAlign w:val="center"/>
          </w:tcPr>
          <w:p w14:paraId="7A2661BC">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shd w:val="clear" w:color="auto" w:fill="auto"/>
            <w:vAlign w:val="center"/>
          </w:tcPr>
          <w:p w14:paraId="0602FF4C">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shd w:val="clear" w:color="auto" w:fill="auto"/>
            <w:vAlign w:val="center"/>
          </w:tcPr>
          <w:p w14:paraId="2D031276">
            <w:pPr>
              <w:numPr>
                <w:ilvl w:val="0"/>
                <w:numId w:val="0"/>
              </w:numPr>
              <w:spacing w:line="360" w:lineRule="auto"/>
              <w:ind w:left="0" w:leftChars="0" w:right="-55" w:rightChars="0" w:firstLine="220" w:firstLineChars="1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rPr>
              <w:t>否</w:t>
            </w:r>
          </w:p>
        </w:tc>
      </w:tr>
      <w:tr w14:paraId="5B7D33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17528A15">
            <w:pPr>
              <w:widowControl/>
              <w:spacing w:line="480" w:lineRule="auto"/>
              <w:ind w:firstLine="0" w:firstLineChars="0"/>
              <w:jc w:val="center"/>
              <w:rPr>
                <w:rFonts w:hint="default" w:ascii="宋体" w:hAnsi="宋体" w:cs="宋体"/>
                <w:color w:val="auto"/>
                <w:kern w:val="2"/>
                <w:sz w:val="22"/>
                <w:szCs w:val="22"/>
                <w:lang w:val="en-US" w:eastAsia="zh-CN" w:bidi="ar-SA"/>
              </w:rPr>
            </w:pPr>
            <w:r>
              <w:rPr>
                <w:rFonts w:hint="eastAsia" w:ascii="宋体" w:hAnsi="宋体" w:cs="宋体"/>
                <w:color w:val="auto"/>
                <w:kern w:val="2"/>
                <w:sz w:val="22"/>
                <w:szCs w:val="22"/>
                <w:lang w:val="en-US" w:eastAsia="zh-CN" w:bidi="ar-SA"/>
              </w:rPr>
              <w:t>6</w:t>
            </w:r>
          </w:p>
        </w:tc>
        <w:tc>
          <w:tcPr>
            <w:tcW w:w="3613" w:type="dxa"/>
            <w:vAlign w:val="center"/>
          </w:tcPr>
          <w:p w14:paraId="2AC493B8">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CN"/>
              </w:rPr>
              <w:t>数智技术应用专题班</w:t>
            </w:r>
          </w:p>
        </w:tc>
        <w:tc>
          <w:tcPr>
            <w:tcW w:w="2380" w:type="dxa"/>
            <w:vAlign w:val="center"/>
          </w:tcPr>
          <w:p w14:paraId="5A5A8199">
            <w:pPr>
              <w:pStyle w:val="1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shd w:val="clear" w:color="auto" w:fill="auto"/>
            <w:vAlign w:val="center"/>
          </w:tcPr>
          <w:p w14:paraId="341AFE49">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shd w:val="clear" w:color="auto" w:fill="auto"/>
            <w:vAlign w:val="center"/>
          </w:tcPr>
          <w:p w14:paraId="2482CF30">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shd w:val="clear" w:color="auto" w:fill="auto"/>
            <w:vAlign w:val="center"/>
          </w:tcPr>
          <w:p w14:paraId="253CDF60">
            <w:pPr>
              <w:numPr>
                <w:ilvl w:val="0"/>
                <w:numId w:val="0"/>
              </w:numPr>
              <w:spacing w:line="360" w:lineRule="auto"/>
              <w:ind w:left="0" w:leftChars="0" w:right="-55" w:rightChars="0" w:firstLine="220" w:firstLineChars="1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rPr>
              <w:t>否</w:t>
            </w:r>
          </w:p>
        </w:tc>
      </w:tr>
      <w:tr w14:paraId="59857B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68307D9D">
            <w:pPr>
              <w:widowControl/>
              <w:spacing w:line="480" w:lineRule="auto"/>
              <w:ind w:firstLine="0" w:firstLineChars="0"/>
              <w:jc w:val="center"/>
              <w:rPr>
                <w:rFonts w:hint="default" w:ascii="宋体" w:hAnsi="宋体" w:cs="宋体"/>
                <w:color w:val="auto"/>
                <w:kern w:val="2"/>
                <w:sz w:val="22"/>
                <w:szCs w:val="22"/>
                <w:lang w:val="en-US" w:eastAsia="zh-CN" w:bidi="ar-SA"/>
              </w:rPr>
            </w:pPr>
            <w:r>
              <w:rPr>
                <w:rFonts w:hint="eastAsia" w:ascii="宋体" w:hAnsi="宋体" w:cs="宋体"/>
                <w:color w:val="auto"/>
                <w:kern w:val="2"/>
                <w:sz w:val="22"/>
                <w:szCs w:val="22"/>
                <w:lang w:val="en-US" w:eastAsia="zh-CN" w:bidi="ar-SA"/>
              </w:rPr>
              <w:t>7</w:t>
            </w:r>
          </w:p>
        </w:tc>
        <w:tc>
          <w:tcPr>
            <w:tcW w:w="3613" w:type="dxa"/>
            <w:vAlign w:val="center"/>
          </w:tcPr>
          <w:p w14:paraId="4B37676C">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CN"/>
              </w:rPr>
              <w:t>乡土文化能人专题班</w:t>
            </w:r>
          </w:p>
        </w:tc>
        <w:tc>
          <w:tcPr>
            <w:tcW w:w="2380" w:type="dxa"/>
            <w:vAlign w:val="center"/>
          </w:tcPr>
          <w:p w14:paraId="687DF62F">
            <w:pPr>
              <w:pStyle w:val="1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shd w:val="clear" w:color="auto" w:fill="auto"/>
            <w:vAlign w:val="center"/>
          </w:tcPr>
          <w:p w14:paraId="71EA680C">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shd w:val="clear" w:color="auto" w:fill="auto"/>
            <w:vAlign w:val="center"/>
          </w:tcPr>
          <w:p w14:paraId="06402AFC">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shd w:val="clear" w:color="auto" w:fill="auto"/>
            <w:vAlign w:val="center"/>
          </w:tcPr>
          <w:p w14:paraId="1E41A76A">
            <w:pPr>
              <w:numPr>
                <w:ilvl w:val="0"/>
                <w:numId w:val="0"/>
              </w:numPr>
              <w:spacing w:line="360" w:lineRule="auto"/>
              <w:ind w:left="0" w:leftChars="0" w:right="-55" w:rightChars="0" w:firstLine="220" w:firstLineChars="1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rPr>
              <w:t>否</w:t>
            </w:r>
          </w:p>
        </w:tc>
      </w:tr>
      <w:bookmarkEnd w:id="6"/>
      <w:bookmarkEnd w:id="7"/>
    </w:tbl>
    <w:p w14:paraId="6E40795E">
      <w:pPr>
        <w:keepNext w:val="0"/>
        <w:keepLines w:val="0"/>
        <w:pageBreakBefore w:val="0"/>
        <w:widowControl/>
        <w:kinsoku/>
        <w:wordWrap/>
        <w:overflowPunct/>
        <w:topLinePunct w:val="0"/>
        <w:bidi w:val="0"/>
        <w:adjustRightInd w:val="0"/>
        <w:snapToGrid w:val="0"/>
        <w:spacing w:before="0" w:beforeAutospacing="0" w:after="0" w:afterAutospacing="0" w:line="360" w:lineRule="auto"/>
        <w:ind w:left="0" w:right="0" w:firstLine="482" w:firstLineChars="200"/>
        <w:jc w:val="left"/>
        <w:textAlignment w:val="auto"/>
        <w:rPr>
          <w:rFonts w:hint="eastAsia" w:ascii="宋体" w:hAnsi="宋体" w:eastAsia="宋体" w:cs="宋体"/>
          <w:b/>
          <w:bCs w:val="0"/>
          <w:color w:val="auto"/>
          <w:kern w:val="0"/>
          <w:sz w:val="24"/>
          <w:szCs w:val="24"/>
          <w:highlight w:val="none"/>
          <w:lang w:val="en-US" w:eastAsia="en-US"/>
        </w:rPr>
      </w:pPr>
      <w:r>
        <w:rPr>
          <w:rFonts w:hint="eastAsia" w:ascii="宋体" w:hAnsi="宋体" w:eastAsia="宋体" w:cs="宋体"/>
          <w:b/>
          <w:bCs w:val="0"/>
          <w:color w:val="auto"/>
          <w:kern w:val="0"/>
          <w:sz w:val="24"/>
          <w:szCs w:val="24"/>
          <w:highlight w:val="none"/>
          <w:lang w:val="en-US" w:eastAsia="zh-CN"/>
        </w:rPr>
        <w:t>备注：</w:t>
      </w:r>
      <w:r>
        <w:rPr>
          <w:rFonts w:hint="eastAsia" w:ascii="宋体" w:hAnsi="宋体" w:eastAsia="宋体" w:cs="宋体"/>
          <w:b/>
          <w:bCs w:val="0"/>
          <w:color w:val="auto"/>
          <w:kern w:val="0"/>
          <w:sz w:val="24"/>
          <w:szCs w:val="24"/>
          <w:highlight w:val="none"/>
          <w:lang w:val="en-US" w:eastAsia="en-US"/>
        </w:rPr>
        <w:t>本项目共分为</w:t>
      </w:r>
      <w:r>
        <w:rPr>
          <w:rFonts w:hint="eastAsia" w:ascii="宋体" w:hAnsi="宋体" w:eastAsia="宋体" w:cs="宋体"/>
          <w:b/>
          <w:bCs w:val="0"/>
          <w:color w:val="auto"/>
          <w:kern w:val="0"/>
          <w:sz w:val="24"/>
          <w:szCs w:val="24"/>
          <w:highlight w:val="none"/>
          <w:lang w:val="en-US" w:eastAsia="zh-CN"/>
        </w:rPr>
        <w:t>七</w:t>
      </w:r>
      <w:r>
        <w:rPr>
          <w:rFonts w:hint="eastAsia" w:ascii="宋体" w:hAnsi="宋体" w:eastAsia="宋体" w:cs="宋体"/>
          <w:b/>
          <w:bCs w:val="0"/>
          <w:color w:val="auto"/>
          <w:kern w:val="0"/>
          <w:sz w:val="24"/>
          <w:szCs w:val="24"/>
          <w:highlight w:val="none"/>
          <w:lang w:val="en-US" w:eastAsia="en-US"/>
        </w:rPr>
        <w:t>个包，</w:t>
      </w:r>
      <w:r>
        <w:rPr>
          <w:rFonts w:hint="eastAsia" w:ascii="宋体" w:hAnsi="宋体" w:eastAsia="宋体" w:cs="宋体"/>
          <w:b/>
          <w:bCs w:val="0"/>
          <w:color w:val="auto"/>
          <w:kern w:val="0"/>
          <w:sz w:val="24"/>
          <w:szCs w:val="24"/>
          <w:highlight w:val="none"/>
          <w:lang w:val="en-US" w:eastAsia="zh-CN"/>
        </w:rPr>
        <w:t>供应商</w:t>
      </w:r>
      <w:r>
        <w:rPr>
          <w:rFonts w:hint="eastAsia" w:ascii="宋体" w:hAnsi="宋体" w:eastAsia="宋体" w:cs="宋体"/>
          <w:b/>
          <w:bCs w:val="0"/>
          <w:color w:val="auto"/>
          <w:kern w:val="0"/>
          <w:sz w:val="24"/>
          <w:szCs w:val="24"/>
          <w:highlight w:val="none"/>
          <w:lang w:val="en-US" w:eastAsia="en-US"/>
        </w:rPr>
        <w:t>参与本项目的投标，可以同时对一个或多个包进行投标，按包分别制作</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lang w:val="en-US" w:eastAsia="en-US"/>
        </w:rPr>
        <w:t>文件，分包上传</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lang w:val="en-US" w:eastAsia="en-US"/>
        </w:rPr>
        <w:t>文件，根据项目的实际情况对每包单独报价，每个</w:t>
      </w:r>
      <w:r>
        <w:rPr>
          <w:rFonts w:hint="eastAsia" w:ascii="宋体" w:hAnsi="宋体" w:eastAsia="宋体" w:cs="宋体"/>
          <w:b/>
          <w:bCs w:val="0"/>
          <w:color w:val="auto"/>
          <w:kern w:val="0"/>
          <w:sz w:val="24"/>
          <w:szCs w:val="24"/>
          <w:highlight w:val="none"/>
          <w:lang w:val="en-US" w:eastAsia="zh-CN"/>
        </w:rPr>
        <w:t>供应商</w:t>
      </w:r>
      <w:r>
        <w:rPr>
          <w:rFonts w:hint="eastAsia" w:ascii="宋体" w:hAnsi="宋体" w:eastAsia="宋体" w:cs="宋体"/>
          <w:b/>
          <w:bCs w:val="0"/>
          <w:color w:val="auto"/>
          <w:kern w:val="0"/>
          <w:sz w:val="24"/>
          <w:szCs w:val="24"/>
          <w:highlight w:val="none"/>
          <w:lang w:val="en-US" w:eastAsia="en-US"/>
        </w:rPr>
        <w:t>可取得一个或</w:t>
      </w:r>
      <w:r>
        <w:rPr>
          <w:rFonts w:hint="eastAsia" w:ascii="宋体" w:hAnsi="宋体" w:eastAsia="宋体" w:cs="宋体"/>
          <w:b/>
          <w:bCs w:val="0"/>
          <w:color w:val="auto"/>
          <w:kern w:val="0"/>
          <w:sz w:val="24"/>
          <w:szCs w:val="24"/>
          <w:highlight w:val="none"/>
          <w:lang w:val="en-US" w:eastAsia="zh-CN"/>
        </w:rPr>
        <w:t>多</w:t>
      </w:r>
      <w:r>
        <w:rPr>
          <w:rFonts w:hint="eastAsia" w:ascii="宋体" w:hAnsi="宋体" w:eastAsia="宋体" w:cs="宋体"/>
          <w:b/>
          <w:bCs w:val="0"/>
          <w:color w:val="auto"/>
          <w:kern w:val="0"/>
          <w:sz w:val="24"/>
          <w:szCs w:val="24"/>
          <w:highlight w:val="none"/>
          <w:lang w:val="en-US" w:eastAsia="en-US"/>
        </w:rPr>
        <w:t>个包的</w:t>
      </w:r>
      <w:r>
        <w:rPr>
          <w:rFonts w:hint="eastAsia" w:ascii="宋体" w:hAnsi="宋体" w:eastAsia="宋体" w:cs="宋体"/>
          <w:b/>
          <w:bCs w:val="0"/>
          <w:color w:val="auto"/>
          <w:kern w:val="0"/>
          <w:sz w:val="24"/>
          <w:szCs w:val="24"/>
          <w:highlight w:val="none"/>
          <w:lang w:val="en-US" w:eastAsia="zh-CN"/>
        </w:rPr>
        <w:t>成交</w:t>
      </w:r>
      <w:r>
        <w:rPr>
          <w:rFonts w:hint="eastAsia" w:ascii="宋体" w:hAnsi="宋体" w:eastAsia="宋体" w:cs="宋体"/>
          <w:b/>
          <w:bCs w:val="0"/>
          <w:color w:val="auto"/>
          <w:kern w:val="0"/>
          <w:sz w:val="24"/>
          <w:szCs w:val="24"/>
          <w:highlight w:val="none"/>
          <w:lang w:val="en-US" w:eastAsia="en-US"/>
        </w:rPr>
        <w:t>资格。</w:t>
      </w:r>
    </w:p>
    <w:p w14:paraId="6B53DA74">
      <w:pPr>
        <w:pStyle w:val="7"/>
        <w:numPr>
          <w:ilvl w:val="0"/>
          <w:numId w:val="0"/>
        </w:numPr>
        <w:bidi w:val="0"/>
        <w:ind w:left="0" w:leftChars="0" w:firstLine="480" w:firstLineChars="200"/>
        <w:outlineLvl w:val="1"/>
        <w:rPr>
          <w:rFonts w:hint="eastAsia"/>
          <w:color w:val="auto"/>
          <w:lang w:eastAsia="zh-CN"/>
        </w:rPr>
      </w:pPr>
      <w:bookmarkStart w:id="8" w:name="_Toc9494"/>
      <w:bookmarkStart w:id="9" w:name="_Toc29980"/>
      <w:r>
        <w:rPr>
          <w:rFonts w:hint="eastAsia" w:ascii="Times New Roman" w:hAnsi="Times New Roman" w:eastAsia="黑体" w:cs="Times New Roman"/>
          <w:color w:val="auto"/>
          <w:kern w:val="2"/>
          <w:sz w:val="24"/>
          <w:szCs w:val="24"/>
          <w:lang w:val="en-US" w:eastAsia="zh-CN" w:bidi="ar-SA"/>
        </w:rPr>
        <w:t>（四）</w:t>
      </w:r>
      <w:r>
        <w:rPr>
          <w:rFonts w:hint="eastAsia"/>
          <w:color w:val="auto"/>
          <w:lang w:val="en-US" w:eastAsia="zh-CN"/>
        </w:rPr>
        <w:t>技</w:t>
      </w:r>
      <w:r>
        <w:rPr>
          <w:rFonts w:hint="eastAsia"/>
          <w:color w:val="auto"/>
          <w:lang w:eastAsia="zh-CN"/>
        </w:rPr>
        <w:t>术商务要求</w:t>
      </w:r>
    </w:p>
    <w:p w14:paraId="72886483">
      <w:pPr>
        <w:keepNext/>
        <w:keepLines/>
        <w:pageBreakBefore w:val="0"/>
        <w:widowControl w:val="0"/>
        <w:numPr>
          <w:ilvl w:val="2"/>
          <w:numId w:val="0"/>
        </w:numPr>
        <w:kinsoku/>
        <w:wordWrap/>
        <w:overflowPunct/>
        <w:topLinePunct w:val="0"/>
        <w:autoSpaceDE/>
        <w:autoSpaceDN/>
        <w:bidi w:val="0"/>
        <w:snapToGrid w:val="0"/>
        <w:spacing w:before="260" w:after="260" w:line="360" w:lineRule="auto"/>
        <w:ind w:left="0" w:leftChars="0" w:firstLine="858" w:firstLineChars="267"/>
        <w:jc w:val="both"/>
        <w:textAlignment w:val="auto"/>
        <w:outlineLvl w:val="2"/>
        <w:rPr>
          <w:rFonts w:hint="eastAsia" w:ascii="宋体" w:hAnsi="宋体" w:eastAsia="宋体" w:cs="宋体"/>
          <w:b/>
          <w:bCs/>
          <w:color w:val="auto"/>
          <w:kern w:val="0"/>
          <w:sz w:val="32"/>
          <w:szCs w:val="32"/>
          <w:lang w:val="en-US" w:eastAsia="zh-CN" w:bidi="ar-SA"/>
        </w:rPr>
      </w:pPr>
      <w:r>
        <w:rPr>
          <w:rFonts w:hint="eastAsia" w:ascii="宋体" w:hAnsi="宋体" w:eastAsia="宋体" w:cs="宋体"/>
          <w:b/>
          <w:bCs/>
          <w:color w:val="auto"/>
          <w:kern w:val="0"/>
          <w:sz w:val="32"/>
          <w:szCs w:val="32"/>
          <w:lang w:val="en-US" w:eastAsia="zh-CN" w:bidi="ar-SA"/>
        </w:rPr>
        <w:t>（1）项目需遵循的规范（包括但不限于）</w:t>
      </w:r>
      <w:bookmarkEnd w:id="8"/>
      <w:bookmarkEnd w:id="9"/>
    </w:p>
    <w:tbl>
      <w:tblPr>
        <w:tblStyle w:val="9"/>
        <w:tblW w:w="9970" w:type="dxa"/>
        <w:tblInd w:w="34"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38"/>
        <w:gridCol w:w="9132"/>
      </w:tblGrid>
      <w:tr w14:paraId="43AB2F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15" w:type="dxa"/>
            <w:left w:w="15" w:type="dxa"/>
            <w:bottom w:w="15" w:type="dxa"/>
            <w:right w:w="15" w:type="dxa"/>
          </w:tblCellMar>
        </w:tblPrEx>
        <w:trPr>
          <w:trHeight w:val="1030" w:hRule="atLeast"/>
        </w:trPr>
        <w:tc>
          <w:tcPr>
            <w:tcW w:w="838" w:type="dxa"/>
            <w:tcBorders>
              <w:tl2br w:val="nil"/>
              <w:tr2bl w:val="nil"/>
            </w:tcBorders>
            <w:noWrap w:val="0"/>
            <w:vAlign w:val="center"/>
          </w:tcPr>
          <w:p w14:paraId="5D703601">
            <w:pPr>
              <w:keepNext w:val="0"/>
              <w:keepLines w:val="0"/>
              <w:pageBreakBefore w:val="0"/>
              <w:widowControl/>
              <w:numPr>
                <w:ilvl w:val="0"/>
                <w:numId w:val="2"/>
              </w:numP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color w:val="auto"/>
                <w:kern w:val="0"/>
                <w:sz w:val="24"/>
                <w:szCs w:val="24"/>
                <w:highlight w:val="none"/>
              </w:rPr>
            </w:pPr>
          </w:p>
        </w:tc>
        <w:tc>
          <w:tcPr>
            <w:tcW w:w="9132" w:type="dxa"/>
            <w:tcBorders>
              <w:tl2br w:val="nil"/>
              <w:tr2bl w:val="nil"/>
            </w:tcBorders>
            <w:noWrap w:val="0"/>
            <w:vAlign w:val="center"/>
          </w:tcPr>
          <w:p w14:paraId="44D0C7BB">
            <w:pPr>
              <w:keepNext w:val="0"/>
              <w:keepLines w:val="0"/>
              <w:pageBreakBefore w:val="0"/>
              <w:widowControl/>
              <w:kinsoku/>
              <w:wordWrap/>
              <w:overflowPunct/>
              <w:topLinePunct w:val="0"/>
              <w:bidi w:val="0"/>
              <w:adjustRightInd w:val="0"/>
              <w:snapToGrid w:val="0"/>
              <w:spacing w:before="0" w:beforeAutospacing="0" w:after="0" w:afterAutospacing="0" w:line="360" w:lineRule="auto"/>
              <w:ind w:left="0" w:right="0" w:firstLine="0" w:firstLineChars="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《湖南省农业农村厅办公室关于印发〈湖南省 2025 年高素质农民培育工作实施方案〉的通知》（湘农办发〔2026〕22号）</w:t>
            </w:r>
          </w:p>
        </w:tc>
      </w:tr>
      <w:tr w14:paraId="48CE45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15" w:type="dxa"/>
            <w:left w:w="15" w:type="dxa"/>
            <w:bottom w:w="15" w:type="dxa"/>
            <w:right w:w="15" w:type="dxa"/>
          </w:tblCellMar>
        </w:tblPrEx>
        <w:trPr>
          <w:trHeight w:val="990" w:hRule="atLeast"/>
        </w:trPr>
        <w:tc>
          <w:tcPr>
            <w:tcW w:w="838" w:type="dxa"/>
            <w:tcBorders>
              <w:tl2br w:val="nil"/>
              <w:tr2bl w:val="nil"/>
            </w:tcBorders>
            <w:noWrap w:val="0"/>
            <w:vAlign w:val="center"/>
          </w:tcPr>
          <w:p w14:paraId="6B8CA6C7">
            <w:pPr>
              <w:keepNext w:val="0"/>
              <w:keepLines w:val="0"/>
              <w:pageBreakBefore w:val="0"/>
              <w:widowControl/>
              <w:numPr>
                <w:ilvl w:val="0"/>
                <w:numId w:val="2"/>
              </w:numP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color w:val="auto"/>
                <w:kern w:val="0"/>
                <w:sz w:val="24"/>
                <w:szCs w:val="24"/>
                <w:highlight w:val="none"/>
              </w:rPr>
            </w:pPr>
          </w:p>
        </w:tc>
        <w:tc>
          <w:tcPr>
            <w:tcW w:w="9132" w:type="dxa"/>
            <w:tcBorders>
              <w:tl2br w:val="nil"/>
              <w:tr2bl w:val="nil"/>
            </w:tcBorders>
            <w:noWrap w:val="0"/>
            <w:vAlign w:val="center"/>
          </w:tcPr>
          <w:p w14:paraId="3304FE72">
            <w:pPr>
              <w:keepNext w:val="0"/>
              <w:keepLines w:val="0"/>
              <w:pageBreakBefore w:val="0"/>
              <w:widowControl/>
              <w:kinsoku/>
              <w:wordWrap/>
              <w:overflowPunct/>
              <w:topLinePunct w:val="0"/>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rPr>
              <w:t>高素质农民培育项目管理工作规程(试行)</w:t>
            </w:r>
          </w:p>
        </w:tc>
      </w:tr>
      <w:tr w14:paraId="6BA908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838" w:type="dxa"/>
            <w:tcBorders>
              <w:tl2br w:val="nil"/>
              <w:tr2bl w:val="nil"/>
            </w:tcBorders>
            <w:noWrap w:val="0"/>
            <w:vAlign w:val="center"/>
          </w:tcPr>
          <w:p w14:paraId="1749EA09">
            <w:pPr>
              <w:keepNext w:val="0"/>
              <w:keepLines w:val="0"/>
              <w:pageBreakBefore w:val="0"/>
              <w:widowControl/>
              <w:numPr>
                <w:ilvl w:val="0"/>
                <w:numId w:val="2"/>
              </w:numP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color w:val="auto"/>
                <w:kern w:val="0"/>
                <w:sz w:val="24"/>
                <w:szCs w:val="24"/>
                <w:highlight w:val="none"/>
              </w:rPr>
            </w:pPr>
          </w:p>
        </w:tc>
        <w:tc>
          <w:tcPr>
            <w:tcW w:w="9132" w:type="dxa"/>
            <w:tcBorders>
              <w:tl2br w:val="nil"/>
              <w:tr2bl w:val="nil"/>
            </w:tcBorders>
            <w:noWrap w:val="0"/>
            <w:vAlign w:val="center"/>
          </w:tcPr>
          <w:p w14:paraId="2D75B241">
            <w:pPr>
              <w:keepNext w:val="0"/>
              <w:keepLines w:val="0"/>
              <w:pageBreakBefore w:val="0"/>
              <w:widowControl/>
              <w:kinsoku/>
              <w:wordWrap/>
              <w:overflowPunct/>
              <w:topLinePunct w:val="0"/>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rPr>
              <w:t>〈高素质农民培育规范(修订)〉的通知》（农社综函〔2025〕15 号）</w:t>
            </w:r>
          </w:p>
        </w:tc>
      </w:tr>
    </w:tbl>
    <w:p w14:paraId="4B46BFF8">
      <w:pPr>
        <w:keepNext/>
        <w:keepLines/>
        <w:pageBreakBefore w:val="0"/>
        <w:widowControl w:val="0"/>
        <w:numPr>
          <w:ilvl w:val="2"/>
          <w:numId w:val="0"/>
        </w:numPr>
        <w:kinsoku/>
        <w:wordWrap/>
        <w:overflowPunct/>
        <w:topLinePunct w:val="0"/>
        <w:autoSpaceDE/>
        <w:autoSpaceDN/>
        <w:bidi w:val="0"/>
        <w:snapToGrid w:val="0"/>
        <w:spacing w:before="260" w:after="260" w:line="360" w:lineRule="auto"/>
        <w:ind w:left="0" w:leftChars="0" w:firstLine="858" w:firstLineChars="267"/>
        <w:jc w:val="both"/>
        <w:textAlignment w:val="auto"/>
        <w:outlineLvl w:val="2"/>
        <w:rPr>
          <w:rFonts w:hint="eastAsia" w:ascii="宋体" w:hAnsi="宋体" w:eastAsia="宋体" w:cs="宋体"/>
          <w:b/>
          <w:bCs/>
          <w:color w:val="auto"/>
          <w:kern w:val="0"/>
          <w:sz w:val="32"/>
          <w:szCs w:val="32"/>
          <w:lang w:val="en-US" w:eastAsia="zh-CN" w:bidi="ar-SA"/>
        </w:rPr>
      </w:pPr>
      <w:bookmarkStart w:id="10" w:name="_Toc12710"/>
      <w:r>
        <w:rPr>
          <w:rFonts w:hint="eastAsia" w:ascii="宋体" w:hAnsi="宋体" w:eastAsia="宋体" w:cs="宋体"/>
          <w:b/>
          <w:bCs/>
          <w:color w:val="auto"/>
          <w:kern w:val="0"/>
          <w:sz w:val="32"/>
          <w:szCs w:val="32"/>
          <w:lang w:val="en-US" w:eastAsia="zh-CN" w:bidi="ar-SA"/>
        </w:rPr>
        <w:t>（2）技术要求</w:t>
      </w:r>
      <w:bookmarkEnd w:id="10"/>
    </w:p>
    <w:p w14:paraId="6D70CE64">
      <w:pPr>
        <w:numPr>
          <w:ilvl w:val="0"/>
          <w:numId w:val="0"/>
        </w:numPr>
        <w:spacing w:line="360" w:lineRule="auto"/>
        <w:ind w:firstLine="480" w:firstLineChars="200"/>
        <w:rPr>
          <w:rFonts w:hint="eastAsia" w:ascii="宋体" w:hAnsi="宋体" w:eastAsia="宋体" w:cs="宋体"/>
          <w:b/>
          <w:bCs/>
          <w:color w:val="auto"/>
          <w:szCs w:val="21"/>
          <w:lang w:val="en-US" w:eastAsia="zh-CN"/>
        </w:rPr>
      </w:pPr>
      <w:r>
        <w:rPr>
          <w:rFonts w:hint="eastAsia" w:ascii="宋体" w:hAnsi="宋体" w:eastAsia="宋体" w:cs="宋体"/>
          <w:b w:val="0"/>
          <w:bCs w:val="0"/>
          <w:color w:val="auto"/>
          <w:szCs w:val="21"/>
          <w:lang w:val="en-US" w:eastAsia="zh-CN"/>
        </w:rPr>
        <w:t>1）服务范围</w:t>
      </w:r>
      <w:r>
        <w:rPr>
          <w:rFonts w:hint="eastAsia" w:ascii="宋体" w:hAnsi="宋体" w:eastAsia="宋体" w:cs="宋体"/>
          <w:b/>
          <w:bCs/>
          <w:color w:val="auto"/>
          <w:szCs w:val="21"/>
          <w:lang w:val="en-US" w:eastAsia="zh-CN"/>
        </w:rPr>
        <w:t>：</w:t>
      </w:r>
    </w:p>
    <w:p w14:paraId="0B33AFA7">
      <w:pPr>
        <w:widowControl w:val="0"/>
        <w:numPr>
          <w:ilvl w:val="0"/>
          <w:numId w:val="0"/>
        </w:numPr>
        <w:spacing w:line="360" w:lineRule="auto"/>
        <w:ind w:firstLine="480" w:firstLineChars="200"/>
        <w:jc w:val="both"/>
        <w:rPr>
          <w:rFonts w:hint="eastAsia" w:ascii="宋体" w:hAnsi="宋体" w:eastAsia="宋体" w:cs="宋体"/>
          <w:color w:val="auto"/>
          <w:kern w:val="2"/>
          <w:sz w:val="24"/>
          <w:szCs w:val="21"/>
          <w:lang w:val="en-US" w:eastAsia="zh-CN" w:bidi="ar-SA"/>
        </w:rPr>
      </w:pPr>
      <w:r>
        <w:rPr>
          <w:rFonts w:hint="eastAsia" w:ascii="宋体" w:hAnsi="宋体" w:eastAsia="宋体" w:cs="宋体"/>
          <w:color w:val="auto"/>
          <w:kern w:val="2"/>
          <w:sz w:val="24"/>
          <w:szCs w:val="21"/>
          <w:lang w:val="en-US" w:eastAsia="zh-CN" w:bidi="ar-SA"/>
        </w:rPr>
        <w:t>在2026年内，完成市级350名高素质农民的培育工作，使学员熟练掌握粮油、茶叶、水果等产业的先进生产技术，如在粮油种植中，能够精准运用测土配方施肥技术，合理控制施肥量与施肥时间，提升肥料利用率；在茶叶种植方面，掌握科学的修剪、采摘时机与方法，能有效提升茶叶的产量与品质，提升优质茶叶比例；水果种植、储藏、运输或粗加工时，能运用先进的疏花疏果、套袋、冷链等技术和模式，提高水果的商品率，能够制定科学合理的生产计划与营销策略。积极参与乡村建设与治理，提升乡村建设治理能力，能够提出切实可行的乡村环境整治方案，参与制定村规民约，引导村民共同维护乡村环境；在乡村产业发展规划中发挥积极作用，促进乡村一二三产业融合发展，带动周边农户共同增收致富，使周边农户人均可支配收入增长。通过此次培育，促进农业增效、农民增收，助力乡村振兴战略的实施。</w:t>
      </w:r>
    </w:p>
    <w:p w14:paraId="0A26F652">
      <w:pPr>
        <w:widowControl w:val="0"/>
        <w:numPr>
          <w:ilvl w:val="0"/>
          <w:numId w:val="0"/>
        </w:numPr>
        <w:spacing w:line="360" w:lineRule="auto"/>
        <w:ind w:firstLine="480" w:firstLineChars="200"/>
        <w:jc w:val="both"/>
        <w:rPr>
          <w:rFonts w:hint="eastAsia" w:ascii="宋体" w:hAnsi="宋体" w:eastAsia="宋体" w:cs="宋体"/>
          <w:b/>
          <w:bCs/>
          <w:color w:val="auto"/>
          <w:kern w:val="2"/>
          <w:sz w:val="24"/>
          <w:szCs w:val="21"/>
          <w:lang w:val="en-US" w:eastAsia="zh-CN" w:bidi="ar-SA"/>
        </w:rPr>
      </w:pPr>
      <w:r>
        <w:rPr>
          <w:rFonts w:hint="eastAsia" w:ascii="宋体" w:hAnsi="宋体" w:eastAsia="宋体" w:cs="宋体"/>
          <w:color w:val="auto"/>
          <w:kern w:val="2"/>
          <w:sz w:val="24"/>
          <w:szCs w:val="21"/>
          <w:lang w:val="en-US" w:eastAsia="zh-CN" w:bidi="ar-SA"/>
        </w:rPr>
        <w:t>2）</w:t>
      </w:r>
      <w:r>
        <w:rPr>
          <w:rFonts w:hint="eastAsia" w:ascii="宋体" w:hAnsi="宋体" w:eastAsia="宋体" w:cs="宋体"/>
          <w:b/>
          <w:bCs/>
          <w:color w:val="auto"/>
          <w:kern w:val="2"/>
          <w:sz w:val="24"/>
          <w:szCs w:val="21"/>
          <w:lang w:val="en-US" w:eastAsia="zh-CN" w:bidi="ar-SA"/>
        </w:rPr>
        <w:t xml:space="preserve">服务内容：  </w:t>
      </w:r>
    </w:p>
    <w:p w14:paraId="6D6ABD30">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（一）粮油和重要农产品生产经营主体提升工程</w:t>
      </w:r>
    </w:p>
    <w:p w14:paraId="2F2686C6">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围绕保障国家粮食安全，以粮油领域新品种、新技术、新装备应用等为主要内容，组织开展粮油产能提升主体培育。重点开展粮油等主要作物大面积单产提升主体培育，聚焦水稻、油菜、大豆、玉米等作物单产提升，开展全产业链技术或单项关键技术培训，在适宜地区普及水肥一体化技术，推进良田、良种、良法、良机融合，提升新型农业经营主体和服务主体的技术技能水平。</w:t>
      </w:r>
    </w:p>
    <w:p w14:paraId="3675CDD6">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 xml:space="preserve">2.围绕践行大食物观，构建多元化食物供给体系，以水果、茶叶等种养殖理论、生产技术、质量安全和绿色发展等知识技能为主要内容，结合本地农业特色，开展生产经营主体能力提升培育。 </w:t>
      </w:r>
    </w:p>
    <w:p w14:paraId="4F8D29FD">
      <w:pPr>
        <w:keepNext w:val="0"/>
        <w:keepLines w:val="0"/>
        <w:pageBreakBefore w:val="0"/>
        <w:widowControl w:val="0"/>
        <w:kinsoku/>
        <w:wordWrap/>
        <w:overflowPunct/>
        <w:topLinePunct/>
        <w:autoSpaceDE/>
        <w:autoSpaceDN/>
        <w:bidi w:val="0"/>
        <w:snapToGrid w:val="0"/>
        <w:spacing w:line="600" w:lineRule="exact"/>
        <w:ind w:left="0" w:firstLine="480" w:firstLineChars="200"/>
        <w:jc w:val="both"/>
        <w:textAlignment w:val="auto"/>
        <w:rPr>
          <w:rFonts w:hint="default" w:ascii="等线" w:hAnsi="等线" w:eastAsia="宋体" w:cs="等线"/>
          <w:color w:val="auto"/>
          <w:szCs w:val="21"/>
          <w:lang w:val="en-US" w:eastAsia="zh-CN"/>
        </w:rPr>
      </w:pPr>
      <w:r>
        <w:rPr>
          <w:rFonts w:hint="eastAsia" w:ascii="Calibri" w:hAnsi="Calibri" w:eastAsia="宋体" w:cs="宋体"/>
          <w:color w:val="auto"/>
          <w:szCs w:val="24"/>
          <w:lang w:val="en-US" w:eastAsia="zh-CN"/>
        </w:rPr>
        <w:t>3.</w:t>
      </w:r>
      <w:r>
        <w:rPr>
          <w:rFonts w:hint="default" w:ascii="Calibri" w:hAnsi="Calibri" w:eastAsia="宋体" w:cs="宋体"/>
          <w:color w:val="auto"/>
          <w:szCs w:val="24"/>
          <w:lang w:val="en-US" w:eastAsia="zh-CN"/>
        </w:rPr>
        <w:t>围绕粮油</w:t>
      </w:r>
      <w:r>
        <w:rPr>
          <w:rFonts w:hint="eastAsia" w:ascii="Calibri" w:hAnsi="Calibri" w:eastAsia="宋体" w:cs="宋体"/>
          <w:color w:val="auto"/>
          <w:szCs w:val="24"/>
          <w:lang w:val="en-US" w:eastAsia="zh-CN"/>
        </w:rPr>
        <w:t>类特色农产品，</w:t>
      </w:r>
      <w:r>
        <w:rPr>
          <w:rFonts w:hint="default" w:ascii="Calibri" w:hAnsi="Calibri" w:eastAsia="宋体" w:cs="宋体"/>
          <w:color w:val="auto"/>
          <w:szCs w:val="24"/>
          <w:lang w:val="en-US" w:eastAsia="zh-CN"/>
        </w:rPr>
        <w:t>结合农业领域</w:t>
      </w:r>
      <w:r>
        <w:rPr>
          <w:rFonts w:hint="eastAsia" w:ascii="Calibri" w:hAnsi="Calibri" w:eastAsia="宋体" w:cs="宋体"/>
          <w:color w:val="auto"/>
          <w:szCs w:val="24"/>
          <w:lang w:val="en-US" w:eastAsia="zh-CN"/>
        </w:rPr>
        <w:t>电商直播、</w:t>
      </w:r>
      <w:r>
        <w:rPr>
          <w:rFonts w:hint="default" w:ascii="Calibri" w:hAnsi="Calibri" w:eastAsia="宋体" w:cs="宋体"/>
          <w:color w:val="auto"/>
          <w:szCs w:val="24"/>
          <w:lang w:val="en-US" w:eastAsia="zh-CN"/>
        </w:rPr>
        <w:t>低空经济发展趋势</w:t>
      </w:r>
      <w:r>
        <w:rPr>
          <w:rFonts w:hint="eastAsia" w:ascii="Calibri" w:hAnsi="Calibri" w:eastAsia="宋体" w:cs="宋体"/>
          <w:color w:val="auto"/>
          <w:szCs w:val="24"/>
          <w:lang w:val="en-US" w:eastAsia="zh-CN"/>
        </w:rPr>
        <w:t>，以农产品品质检测与控制为基础、开展农业企业市场化运营模式，掌握产能调控、成本管控、团队协同等经营方法，</w:t>
      </w:r>
      <w:r>
        <w:rPr>
          <w:rFonts w:hint="default" w:ascii="Calibri" w:hAnsi="Calibri" w:eastAsia="宋体" w:cs="宋体"/>
          <w:color w:val="auto"/>
          <w:szCs w:val="24"/>
          <w:lang w:val="en-US" w:eastAsia="zh-CN"/>
        </w:rPr>
        <w:t>提升农业管理能力和市场洞察力</w:t>
      </w:r>
      <w:r>
        <w:rPr>
          <w:rFonts w:hint="eastAsia" w:ascii="Calibri" w:hAnsi="Calibri" w:eastAsia="宋体" w:cs="宋体"/>
          <w:color w:val="auto"/>
          <w:szCs w:val="24"/>
          <w:lang w:val="en-US" w:eastAsia="zh-CN"/>
        </w:rPr>
        <w:t>、</w:t>
      </w:r>
      <w:r>
        <w:rPr>
          <w:rFonts w:hint="default" w:ascii="Calibri" w:hAnsi="Calibri" w:eastAsia="宋体" w:cs="宋体"/>
          <w:color w:val="auto"/>
          <w:szCs w:val="24"/>
          <w:lang w:val="en-US" w:eastAsia="zh-CN"/>
        </w:rPr>
        <w:t>培养科学决策、团队管理、风险控制和市场营销等综合能力</w:t>
      </w:r>
      <w:r>
        <w:rPr>
          <w:rFonts w:hint="eastAsia" w:ascii="Calibri" w:hAnsi="Calibri" w:eastAsia="宋体" w:cs="宋体"/>
          <w:color w:val="auto"/>
          <w:szCs w:val="24"/>
          <w:lang w:val="en-US" w:eastAsia="zh-CN"/>
        </w:rPr>
        <w:t>。</w:t>
      </w:r>
    </w:p>
    <w:p w14:paraId="62704F13">
      <w:pPr>
        <w:spacing w:line="360" w:lineRule="auto"/>
        <w:ind w:firstLine="480" w:firstLineChars="200"/>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CN"/>
        </w:rPr>
        <w:t>（二）乡村新产业新业态带头人培育工程</w:t>
      </w:r>
    </w:p>
    <w:p w14:paraId="36A9A4C7">
      <w:pPr>
        <w:spacing w:line="360" w:lineRule="auto"/>
        <w:ind w:firstLine="480" w:firstLineChars="200"/>
        <w:rPr>
          <w:rFonts w:hint="eastAsia" w:ascii="等线" w:hAnsi="等线" w:eastAsia="宋体" w:cs="等线"/>
          <w:color w:val="auto"/>
          <w:szCs w:val="21"/>
          <w:lang w:val="en-US" w:eastAsia="zh-Hans"/>
        </w:rPr>
      </w:pPr>
      <w:r>
        <w:rPr>
          <w:rFonts w:hint="eastAsia" w:ascii="Calibri" w:hAnsi="Calibri" w:eastAsia="宋体" w:cs="宋体"/>
          <w:color w:val="auto"/>
          <w:szCs w:val="24"/>
          <w:lang w:val="en-US" w:eastAsia="zh-CN"/>
        </w:rPr>
        <w:t>数智技术应用专题培训。</w:t>
      </w:r>
      <w:r>
        <w:rPr>
          <w:rFonts w:hint="default" w:ascii="Calibri" w:hAnsi="Calibri" w:eastAsia="宋体" w:cs="宋体"/>
          <w:color w:val="auto"/>
          <w:szCs w:val="24"/>
          <w:lang w:val="en-US" w:eastAsia="zh-CN"/>
        </w:rPr>
        <w:t>围绕粮油</w:t>
      </w:r>
      <w:r>
        <w:rPr>
          <w:rFonts w:hint="eastAsia" w:ascii="Calibri" w:hAnsi="Calibri" w:eastAsia="宋体" w:cs="宋体"/>
          <w:color w:val="auto"/>
          <w:szCs w:val="24"/>
          <w:lang w:val="en-US" w:eastAsia="zh-CN"/>
        </w:rPr>
        <w:t>类、经作物类特色农产品，以农产品品质检测与控制为基础、</w:t>
      </w:r>
      <w:r>
        <w:rPr>
          <w:rFonts w:hint="default" w:ascii="Calibri" w:hAnsi="Calibri" w:eastAsia="宋体" w:cs="宋体"/>
          <w:color w:val="auto"/>
          <w:szCs w:val="24"/>
          <w:lang w:val="en-US" w:eastAsia="zh-CN"/>
        </w:rPr>
        <w:t>结合</w:t>
      </w:r>
      <w:r>
        <w:rPr>
          <w:rFonts w:hint="eastAsia" w:ascii="Calibri" w:hAnsi="Calibri" w:eastAsia="宋体" w:cs="宋体"/>
          <w:color w:val="auto"/>
          <w:szCs w:val="24"/>
          <w:lang w:val="en-US" w:eastAsia="zh-CN"/>
        </w:rPr>
        <w:t>本地旅游市场+</w:t>
      </w:r>
      <w:r>
        <w:rPr>
          <w:rFonts w:hint="default" w:ascii="Calibri" w:hAnsi="Calibri" w:eastAsia="宋体" w:cs="宋体"/>
          <w:color w:val="auto"/>
          <w:szCs w:val="24"/>
          <w:lang w:val="en-US" w:eastAsia="zh-CN"/>
        </w:rPr>
        <w:t>农业领域</w:t>
      </w:r>
      <w:r>
        <w:rPr>
          <w:rFonts w:hint="eastAsia" w:ascii="Calibri" w:hAnsi="Calibri" w:eastAsia="宋体" w:cs="宋体"/>
          <w:color w:val="auto"/>
          <w:szCs w:val="24"/>
          <w:lang w:val="en-US" w:eastAsia="zh-CN"/>
        </w:rPr>
        <w:t>电商直播，开展乡村新产业新业态带头人培育，提升涉农产品数智技术应用水平。</w:t>
      </w:r>
    </w:p>
    <w:p w14:paraId="1E8D6F9A">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w:t>
      </w:r>
      <w:r>
        <w:rPr>
          <w:rFonts w:hint="eastAsia" w:ascii="Calibri" w:hAnsi="Calibri" w:eastAsia="宋体" w:cs="宋体"/>
          <w:color w:val="auto"/>
          <w:szCs w:val="24"/>
          <w:lang w:val="en-US" w:eastAsia="zh-CN"/>
        </w:rPr>
        <w:t>三</w:t>
      </w:r>
      <w:r>
        <w:rPr>
          <w:rFonts w:hint="eastAsia" w:ascii="Calibri" w:hAnsi="Calibri" w:eastAsia="宋体" w:cs="宋体"/>
          <w:color w:val="auto"/>
          <w:szCs w:val="24"/>
          <w:lang w:val="en-US" w:eastAsia="zh-Hans"/>
        </w:rPr>
        <w:t>）文明乡风建设素质素养提升工程</w:t>
      </w:r>
    </w:p>
    <w:p w14:paraId="1FB34066">
      <w:pPr>
        <w:spacing w:line="360" w:lineRule="auto"/>
        <w:ind w:firstLine="480" w:firstLineChars="200"/>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CN"/>
        </w:rPr>
        <w:t>乡土文化能人专题培训。结合张家界市非遗资源（如土家织锦、扎染、农耕文化茅古斯、桑植民歌、湘鄂边“贺龙杯”篮球赛“红BA”、大庸武术等），围绕农耕文化保护传承、优秀乡土文艺作品创作和优质乡村文化服务供给等内容，举办一批乡土文化能人专题培训班，推动乡土文化活化利用，促进农文旅深度融合，让乡村文化成为乡村振兴的精神支撑。</w:t>
      </w:r>
    </w:p>
    <w:p w14:paraId="7681D63F">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（三）培育相关要求</w:t>
      </w:r>
    </w:p>
    <w:p w14:paraId="4566736F">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1.培育任务</w:t>
      </w:r>
    </w:p>
    <w:p w14:paraId="62F595BE">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培育任务内容应包含培育对象遴选、课堂教学(包含线上线下培训)、 实践教学、观摩交流、跟踪服务及相应实施机构等。</w:t>
      </w:r>
    </w:p>
    <w:p w14:paraId="2F833DA3">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2.课程要求</w:t>
      </w:r>
    </w:p>
    <w:p w14:paraId="465C8CE5">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建立模块化课程体系，分为综合素养课、专业技能课、能力拓展课三类。培育机构综合考虑农时农事特点和人才培养规律，合理设计三类课程，选择集中或分时段开展。</w:t>
      </w:r>
    </w:p>
    <w:p w14:paraId="3FB9DFFB">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根据培育</w:t>
      </w:r>
      <w:r>
        <w:rPr>
          <w:rFonts w:hint="eastAsia" w:ascii="Calibri" w:hAnsi="Calibri" w:eastAsia="宋体" w:cs="宋体"/>
          <w:color w:val="auto"/>
          <w:szCs w:val="24"/>
          <w:lang w:val="en-US" w:eastAsia="zh-CN"/>
        </w:rPr>
        <w:t>主题</w:t>
      </w:r>
      <w:r>
        <w:rPr>
          <w:rFonts w:hint="eastAsia" w:ascii="Calibri" w:hAnsi="Calibri" w:eastAsia="宋体" w:cs="宋体"/>
          <w:color w:val="auto"/>
          <w:szCs w:val="24"/>
          <w:lang w:val="en-US" w:eastAsia="zh-Hans"/>
        </w:rPr>
        <w:t>实际需要确定培训班总学时，每个培训班</w:t>
      </w:r>
      <w:r>
        <w:rPr>
          <w:rFonts w:hint="eastAsia" w:ascii="Calibri" w:hAnsi="Calibri" w:eastAsia="宋体" w:cs="宋体"/>
          <w:color w:val="auto"/>
          <w:szCs w:val="24"/>
          <w:lang w:val="en-US" w:eastAsia="zh-CN"/>
        </w:rPr>
        <w:t>学时从56-160课时不等</w:t>
      </w:r>
      <w:r>
        <w:rPr>
          <w:rFonts w:hint="eastAsia" w:ascii="Calibri" w:hAnsi="Calibri" w:eastAsia="宋体" w:cs="宋体"/>
          <w:color w:val="auto"/>
          <w:szCs w:val="24"/>
          <w:lang w:val="en-US" w:eastAsia="zh-Hans"/>
        </w:rPr>
        <w:t xml:space="preserve">（不包含报到、返程时间）。1 学时为 45 分钟，每天不超过 8 个学时。  </w:t>
      </w:r>
    </w:p>
    <w:p w14:paraId="31504D09">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 xml:space="preserve">综合素养课包括思想政治、政策法规、职业素养和文化素养类等课程，包含“开班第一课”。“开班第一课”应包括当年中央一号文件和农业农村部相关部署要求等内容；专业技能课应根据培育对象实际需求，围绕培育主题开设。包括课堂教学和实训实操,学习掌握乡村产业发展、乡村建设、乡村治理等方面的专业知识和实用技术技能；能力拓展课由培育机构根据培育对象和培育目标自选开展、自行设计。 </w:t>
      </w:r>
    </w:p>
    <w:p w14:paraId="07B0E0A7">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原则上，综合素养课学时不低于总学时数的 10%。专业技能课学时数应不低于总学时数的 70%，其中，采取实践教学的比例不低于专业技能课学时数的 50%。能力拓展课学时数应不高于总学时数的 20%。全部专业技能课程结束后应进行课程考核。配合重大农业灾害、动物疫病应急处置等开展的应急性培训，学时要求可不受此限制。</w:t>
      </w:r>
    </w:p>
    <w:p w14:paraId="6AD765A9">
      <w:pPr>
        <w:spacing w:line="360" w:lineRule="auto"/>
        <w:ind w:firstLine="0" w:firstLineChars="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3.培育形式</w:t>
      </w:r>
    </w:p>
    <w:p w14:paraId="38CEF526">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 xml:space="preserve">实行分类型、分专业、小班制、重实训、强服务的培育形式，综合采用课堂教学（含线上线下）、实践教学、观摩交流等多种方式进行。鼓励培育机构创新教学方法，改进培育形式，提高教学效果。 </w:t>
      </w:r>
    </w:p>
    <w:p w14:paraId="5129124F">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 xml:space="preserve">课堂教学包括线上线下集中授课。鼓励采取案例教学、参与式教学、互动式教学等形式。线上学习可采取网络直播或课件学习的方式。线上学习平台应具备完善的在线学习、直播授课、课程考核、学习过程记录、防作弊功能及相关统计、监测和评价功能。其中，线上学习学时数不超过总学时数的 15%。 </w:t>
      </w:r>
    </w:p>
    <w:p w14:paraId="3BF6989A">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 xml:space="preserve">实践教学应在与课程内容直接相关的实习实训场所或生产经营一线开展，包括场地实训、顶岗实习、跟岗见习、模拟教学、实践孵化等形式。 </w:t>
      </w:r>
    </w:p>
    <w:p w14:paraId="50C78B6A">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交流观摩应选取与培育主题相符的地点或主体开展。</w:t>
      </w:r>
    </w:p>
    <w:p w14:paraId="3FFFD80E">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4.培育师资及管理服务团队</w:t>
      </w:r>
    </w:p>
    <w:p w14:paraId="37F8A07A">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培育师资需从农民教育培训信息管理系统内选用。师资的专业领域、知识结构和实践经验应与所授课程主题高度匹配，确保授课内容的专业性和适用性，授课方式易于农民接受，教案内容通俗实用。综合素养课程师资原则上应来自政府及所属事业单位、大中专院校、科研院所等公益性机构。鼓励聘请农业企业、新型农业经营主体管理人员等“土专家”以及实操经验丰富的专业人员、技术能手讲授实践课程。“开班第一课”应由各级农业农村部门委派与培训班主题相符的主管单位人员讲授。跟踪服务应配备专门师资。</w:t>
      </w:r>
    </w:p>
    <w:p w14:paraId="7BBA3938">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w:t>
      </w:r>
      <w:r>
        <w:rPr>
          <w:rFonts w:hint="eastAsia" w:ascii="Calibri" w:hAnsi="Calibri" w:eastAsia="宋体" w:cs="宋体"/>
          <w:color w:val="auto"/>
          <w:szCs w:val="24"/>
          <w:lang w:val="en-US" w:eastAsia="zh-CN"/>
        </w:rPr>
        <w:t>须</w:t>
      </w:r>
      <w:r>
        <w:rPr>
          <w:rFonts w:hint="eastAsia" w:ascii="Calibri" w:hAnsi="Calibri" w:eastAsia="宋体" w:cs="宋体"/>
          <w:color w:val="auto"/>
          <w:szCs w:val="24"/>
          <w:lang w:val="en-US" w:eastAsia="zh-Hans"/>
        </w:rPr>
        <w:t>配备结构合理、素质优良的教学管理团队和师资队伍，其中专职教学管理人员不少于 5 人。管理团队分工包括但不限于项目负责人、财务人员、班级管理人员、后勤保障人员等[1.拟任项目负责人须提供职称证书扫描件；2.提供</w:t>
      </w:r>
      <w:r>
        <w:rPr>
          <w:rFonts w:hint="eastAsia" w:ascii="Calibri" w:hAnsi="Calibri" w:eastAsia="宋体" w:cs="宋体"/>
          <w:color w:val="auto"/>
          <w:szCs w:val="24"/>
          <w:lang w:val="en-US" w:eastAsia="zh-CN"/>
        </w:rPr>
        <w:t>教学</w:t>
      </w:r>
      <w:r>
        <w:rPr>
          <w:rFonts w:hint="eastAsia" w:ascii="Calibri" w:hAnsi="Calibri" w:eastAsia="宋体" w:cs="宋体"/>
          <w:color w:val="auto"/>
          <w:szCs w:val="24"/>
          <w:lang w:val="en-US" w:eastAsia="zh-Hans"/>
        </w:rPr>
        <w:t>管理团队清单明细和供应商在投标截止时间前为其缴纳的近3个月（202</w:t>
      </w:r>
      <w:r>
        <w:rPr>
          <w:rFonts w:hint="eastAsia" w:ascii="Calibri" w:hAnsi="Calibri" w:eastAsia="宋体" w:cs="宋体"/>
          <w:color w:val="auto"/>
          <w:szCs w:val="24"/>
          <w:lang w:val="en-US" w:eastAsia="zh-CN"/>
        </w:rPr>
        <w:t>6</w:t>
      </w:r>
      <w:r>
        <w:rPr>
          <w:rFonts w:hint="eastAsia" w:ascii="Calibri" w:hAnsi="Calibri" w:eastAsia="宋体" w:cs="宋体"/>
          <w:color w:val="auto"/>
          <w:szCs w:val="24"/>
          <w:lang w:val="en-US" w:eastAsia="zh-Hans"/>
        </w:rPr>
        <w:t>年</w:t>
      </w:r>
      <w:r>
        <w:rPr>
          <w:rFonts w:hint="eastAsia" w:ascii="Calibri" w:hAnsi="Calibri" w:eastAsia="宋体" w:cs="宋体"/>
          <w:color w:val="auto"/>
          <w:szCs w:val="24"/>
          <w:lang w:val="en-US" w:eastAsia="zh-CN"/>
        </w:rPr>
        <w:t>3</w:t>
      </w:r>
      <w:r>
        <w:rPr>
          <w:rFonts w:hint="eastAsia" w:ascii="Calibri" w:hAnsi="Calibri" w:eastAsia="宋体" w:cs="宋体"/>
          <w:color w:val="auto"/>
          <w:szCs w:val="24"/>
          <w:lang w:val="en-US" w:eastAsia="zh-Hans"/>
        </w:rPr>
        <w:t>月-</w:t>
      </w:r>
      <w:r>
        <w:rPr>
          <w:rFonts w:hint="eastAsia" w:ascii="Calibri" w:hAnsi="Calibri" w:eastAsia="宋体" w:cs="宋体"/>
          <w:color w:val="auto"/>
          <w:szCs w:val="24"/>
          <w:lang w:val="en-US" w:eastAsia="zh-CN"/>
        </w:rPr>
        <w:t>8</w:t>
      </w:r>
      <w:r>
        <w:rPr>
          <w:rFonts w:hint="eastAsia" w:ascii="Calibri" w:hAnsi="Calibri" w:eastAsia="宋体" w:cs="宋体"/>
          <w:color w:val="auto"/>
          <w:szCs w:val="24"/>
          <w:lang w:val="en-US" w:eastAsia="zh-Hans"/>
        </w:rPr>
        <w:t>月</w:t>
      </w:r>
      <w:r>
        <w:rPr>
          <w:rFonts w:hint="eastAsia" w:ascii="Calibri" w:hAnsi="Calibri" w:eastAsia="宋体" w:cs="宋体"/>
          <w:color w:val="auto"/>
          <w:szCs w:val="24"/>
          <w:lang w:val="en-US" w:eastAsia="zh-CN"/>
        </w:rPr>
        <w:t>任意连续三个月</w:t>
      </w:r>
      <w:r>
        <w:rPr>
          <w:rFonts w:hint="eastAsia" w:ascii="Calibri" w:hAnsi="Calibri" w:eastAsia="宋体" w:cs="宋体"/>
          <w:color w:val="auto"/>
          <w:szCs w:val="24"/>
          <w:lang w:val="en-US" w:eastAsia="zh-Hans"/>
        </w:rPr>
        <w:t>）的社保缴纳证明复印件</w:t>
      </w:r>
      <w:r>
        <w:rPr>
          <w:rFonts w:hint="eastAsia" w:ascii="Calibri" w:hAnsi="Calibri" w:eastAsia="宋体" w:cs="宋体"/>
          <w:color w:val="auto"/>
          <w:szCs w:val="24"/>
          <w:lang w:val="en-US" w:eastAsia="zh-CN"/>
        </w:rPr>
        <w:t>，若为退休返聘人员，需提供退休证]</w:t>
      </w:r>
      <w:r>
        <w:rPr>
          <w:rFonts w:hint="eastAsia" w:ascii="Calibri" w:hAnsi="Calibri" w:eastAsia="宋体" w:cs="宋体"/>
          <w:color w:val="auto"/>
          <w:szCs w:val="24"/>
          <w:lang w:val="en-US" w:eastAsia="zh-Hans"/>
        </w:rPr>
        <w:t>。</w:t>
      </w:r>
    </w:p>
    <w:p w14:paraId="3EE00798">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5.培育教材</w:t>
      </w:r>
    </w:p>
    <w:p w14:paraId="794E6073">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包括正式出版物、各级农业农村部门组织编制的培育手册，选用规范、先进、实用的培育教材，优先选用农业农村部、教育部规划教材和各级农业农村部门推荐教材，给每位学员发放一套有关规定的教材。课堂教学（线下）师资讲授内容与课程主题相符，授课方式易于农民接受，教案内容通俗实用。鼓励采取案例教学、参与式教学、互动式教学等形式。课堂教学（线上）可采取网络直播或课件学习的方式。</w:t>
      </w:r>
    </w:p>
    <w:p w14:paraId="1F8F7A9E">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6.开班计划</w:t>
      </w:r>
    </w:p>
    <w:p w14:paraId="3F3A045B">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开班计划应包括培育主题、课程、学时、培育对象、培育形式、师资、教材、经费支出计划和预期效果等培育全过程内容，明确教学组织、学员管理、档案管理、实践观摩、考核评价等要求。经下达培育任务的农业农村部门审核后，由培育机构公开发布。</w:t>
      </w:r>
    </w:p>
    <w:p w14:paraId="6B7285D7">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师资来自政府及所属事业单位、大中专院校、科研院所等公益性机构；能力拓展课由培育机构根据培育对象和培育目标自选开展、自行设计。实践教学应在与课程内容直接相关的实习实训场所或生产经营一线开展，包括场地实训、顶岗实习、跟岗见习、模拟教学、实践孵化等形式，交流观摩应选取与培育主题相符的地点或主体开展，聘请农业企业、新型农业经营主体管理人员等“土专家”以及实操经验丰富的专业人员、技术能手讲授实践课程。</w:t>
      </w:r>
    </w:p>
    <w:p w14:paraId="46FBF33C">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培育机构指定专人负责培训班组织实施，接受质量监管和核验评价。培训班配有专职班主任，可成立临时党支部或党小组。负责建立培训班管理制度、制定开班计划、遴选培育对象、设置培训课程、委派或聘请授课师资、优选培育教材、落实培育任务、建立培育档案、培育档案包括开班计划、培育对象信息、课程及考核结果记录、资金支出票据复印件、结业证书发放情况和其他必要培育信息，培育档案至少保存5年。</w:t>
      </w:r>
    </w:p>
    <w:p w14:paraId="34527313">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7.结业证书</w:t>
      </w:r>
    </w:p>
    <w:p w14:paraId="13020857">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培育机构根据课程考核和考勤情况，综合评价学员学习成果，对完成学习任务的培育对象颁发结业证书。</w:t>
      </w:r>
    </w:p>
    <w:p w14:paraId="76514394">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8.跟踪服务</w:t>
      </w:r>
    </w:p>
    <w:p w14:paraId="275F2092">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★培育机构要配备专门师资进行跟踪服务，跟踪服务需在培训班结束之日起一年内完成，人数不少于培训班总人数的 60%，次数不少于 2 次。积极开展技术指导、政策推介、信贷保险支持，促进农民抱团、对接市场。积极搭建交流平台，组织开展产销对接、跨省区交流合作、创业创新项目路演、技能竞赛等活动。</w:t>
      </w:r>
    </w:p>
    <w:p w14:paraId="1BB8C684">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9.信息档案</w:t>
      </w:r>
    </w:p>
    <w:p w14:paraId="342C1F84">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培育机构应将开班计划、培育对象信息、课程、师资、跟踪服务情况全部录入农民教育培训信息管理系统，及时更新相关培育、课程考核和结业证书颁发情况。培育机构应建立培育档案，包括开班计划、培育对象信息、课程及考核结果记录、资金支出票据复印件、结业证书发放情况和其他必要培育信息。培育档案至少保存 5 年。</w:t>
      </w:r>
    </w:p>
    <w:p w14:paraId="2BA5ADF6">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四、培育内容</w:t>
      </w:r>
    </w:p>
    <w:p w14:paraId="54E6BC1C">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包1</w:t>
      </w:r>
      <w:r>
        <w:rPr>
          <w:rFonts w:hint="eastAsia" w:ascii="Calibri" w:hAnsi="Calibri" w:eastAsia="宋体" w:cs="宋体"/>
          <w:color w:val="auto"/>
          <w:sz w:val="24"/>
          <w:szCs w:val="24"/>
          <w:lang w:val="en-US" w:eastAsia="zh-Hans"/>
        </w:rPr>
        <w:t>粮油</w:t>
      </w:r>
      <w:r>
        <w:rPr>
          <w:rFonts w:hint="eastAsia" w:ascii="Calibri" w:hAnsi="Calibri" w:eastAsia="宋体" w:cs="宋体"/>
          <w:color w:val="auto"/>
          <w:sz w:val="24"/>
          <w:szCs w:val="24"/>
          <w:lang w:val="en-US" w:eastAsia="zh-CN"/>
        </w:rPr>
        <w:t>产能提升主体</w:t>
      </w:r>
      <w:r>
        <w:rPr>
          <w:rFonts w:hint="eastAsia" w:ascii="Calibri" w:hAnsi="Calibri" w:eastAsia="宋体" w:cs="宋体"/>
          <w:color w:val="auto"/>
          <w:sz w:val="24"/>
          <w:szCs w:val="24"/>
          <w:lang w:val="en-US" w:eastAsia="zh-Hans"/>
        </w:rPr>
        <w:t>培育班</w:t>
      </w:r>
      <w:r>
        <w:rPr>
          <w:rFonts w:hint="eastAsia" w:ascii="Calibri" w:hAnsi="Calibri" w:eastAsia="宋体" w:cs="宋体"/>
          <w:color w:val="auto"/>
          <w:sz w:val="24"/>
          <w:szCs w:val="24"/>
          <w:lang w:val="en-US" w:eastAsia="zh-CN"/>
        </w:rPr>
        <w:t>（农机）</w:t>
      </w:r>
      <w:r>
        <w:rPr>
          <w:rFonts w:hint="eastAsia" w:ascii="Calibri" w:hAnsi="Calibri" w:eastAsia="宋体" w:cs="宋体"/>
          <w:color w:val="auto"/>
          <w:szCs w:val="24"/>
          <w:lang w:val="en-US" w:eastAsia="zh-Hans"/>
        </w:rPr>
        <w:t>：</w:t>
      </w:r>
      <w:r>
        <w:rPr>
          <w:rFonts w:hint="eastAsia" w:ascii="Calibri" w:hAnsi="Calibri" w:eastAsia="宋体" w:cs="宋体"/>
          <w:color w:val="auto"/>
          <w:szCs w:val="24"/>
          <w:lang w:val="en-US" w:eastAsia="en-US"/>
        </w:rPr>
        <w:t>聚焦丘陵山区水稻、玉米、大豆、油菜</w:t>
      </w:r>
      <w:r>
        <w:rPr>
          <w:rFonts w:hint="eastAsia" w:ascii="Calibri" w:hAnsi="Calibri" w:eastAsia="宋体" w:cs="宋体"/>
          <w:color w:val="auto"/>
          <w:szCs w:val="24"/>
          <w:lang w:val="en-US" w:eastAsia="zh-CN"/>
        </w:rPr>
        <w:t>、红薯等</w:t>
      </w:r>
      <w:r>
        <w:rPr>
          <w:rFonts w:hint="eastAsia" w:ascii="Calibri" w:hAnsi="Calibri" w:eastAsia="宋体" w:cs="宋体"/>
          <w:color w:val="auto"/>
          <w:szCs w:val="24"/>
          <w:lang w:val="en-US" w:eastAsia="en-US"/>
        </w:rPr>
        <w:t>粮油料作物</w:t>
      </w:r>
      <w:r>
        <w:rPr>
          <w:rFonts w:hint="eastAsia" w:ascii="Calibri" w:hAnsi="Calibri" w:eastAsia="宋体" w:cs="宋体"/>
          <w:color w:val="auto"/>
          <w:szCs w:val="24"/>
          <w:lang w:val="en-US" w:eastAsia="zh-CN"/>
        </w:rPr>
        <w:t>的农机应用推广</w:t>
      </w:r>
      <w:r>
        <w:rPr>
          <w:rFonts w:hint="eastAsia" w:ascii="Calibri" w:hAnsi="Calibri" w:eastAsia="宋体" w:cs="宋体"/>
          <w:color w:val="auto"/>
          <w:szCs w:val="24"/>
          <w:lang w:val="en-US" w:eastAsia="en-US"/>
        </w:rPr>
        <w:t>，培育一批能示范、会经营、善服务的粮油</w:t>
      </w:r>
      <w:r>
        <w:rPr>
          <w:rFonts w:hint="eastAsia" w:ascii="Calibri" w:hAnsi="Calibri" w:eastAsia="宋体" w:cs="宋体"/>
          <w:color w:val="auto"/>
          <w:szCs w:val="24"/>
          <w:lang w:val="en-US" w:eastAsia="zh-CN"/>
        </w:rPr>
        <w:t>类农业机械技术技能提升</w:t>
      </w:r>
      <w:r>
        <w:rPr>
          <w:rFonts w:hint="eastAsia" w:ascii="Calibri" w:hAnsi="Calibri" w:eastAsia="宋体" w:cs="宋体"/>
          <w:color w:val="auto"/>
          <w:szCs w:val="24"/>
          <w:lang w:val="en-US" w:eastAsia="en-US"/>
        </w:rPr>
        <w:t>主体带头人，</w:t>
      </w:r>
      <w:r>
        <w:rPr>
          <w:rFonts w:hint="eastAsia" w:ascii="Calibri" w:hAnsi="Calibri" w:eastAsia="宋体" w:cs="宋体"/>
          <w:color w:val="auto"/>
          <w:szCs w:val="24"/>
          <w:lang w:val="en-US" w:eastAsia="zh-CN"/>
        </w:rPr>
        <w:t>旱粮种植技术技能经营主体带头人。</w:t>
      </w:r>
      <w:r>
        <w:rPr>
          <w:rFonts w:hint="eastAsia" w:ascii="Calibri" w:hAnsi="Calibri" w:eastAsia="宋体" w:cs="宋体"/>
          <w:color w:val="auto"/>
          <w:szCs w:val="24"/>
          <w:lang w:val="en-US" w:eastAsia="zh-Hans"/>
        </w:rPr>
        <w:t>邀请专家进行理论授课，并安排实地操作和案例分析，让学员掌握先进的</w:t>
      </w:r>
      <w:r>
        <w:rPr>
          <w:rFonts w:hint="eastAsia" w:ascii="Calibri" w:hAnsi="Calibri" w:eastAsia="宋体" w:cs="宋体"/>
          <w:color w:val="auto"/>
          <w:szCs w:val="24"/>
          <w:lang w:val="en-US" w:eastAsia="zh-CN"/>
        </w:rPr>
        <w:t>农机使用与</w:t>
      </w:r>
      <w:r>
        <w:rPr>
          <w:rFonts w:hint="eastAsia" w:ascii="Calibri" w:hAnsi="Calibri" w:eastAsia="宋体" w:cs="宋体"/>
          <w:color w:val="auto"/>
          <w:szCs w:val="24"/>
          <w:lang w:val="en-US" w:eastAsia="zh-Hans"/>
        </w:rPr>
        <w:t>种植模</w:t>
      </w:r>
      <w:r>
        <w:rPr>
          <w:rFonts w:hint="eastAsia" w:ascii="Calibri" w:hAnsi="Calibri" w:eastAsia="宋体" w:cs="宋体"/>
          <w:color w:val="auto"/>
          <w:szCs w:val="24"/>
          <w:lang w:val="en-US" w:eastAsia="zh-CN"/>
        </w:rPr>
        <w:t>配套</w:t>
      </w:r>
      <w:r>
        <w:rPr>
          <w:rFonts w:hint="eastAsia" w:ascii="Calibri" w:hAnsi="Calibri" w:eastAsia="宋体" w:cs="宋体"/>
          <w:color w:val="auto"/>
          <w:szCs w:val="24"/>
          <w:lang w:val="en-US" w:eastAsia="zh-Hans"/>
        </w:rPr>
        <w:t>方法。</w:t>
      </w:r>
    </w:p>
    <w:p w14:paraId="46D00D7D">
      <w:pPr>
        <w:spacing w:line="440" w:lineRule="exact"/>
        <w:ind w:firstLine="480" w:firstLineChars="200"/>
        <w:rPr>
          <w:rFonts w:hint="default" w:ascii="Calibri" w:hAnsi="Calibri" w:eastAsia="宋体" w:cs="宋体"/>
          <w:color w:val="auto"/>
          <w:szCs w:val="24"/>
          <w:lang w:val="en-US" w:eastAsia="zh-CN"/>
        </w:rPr>
      </w:pPr>
      <w:r>
        <w:rPr>
          <w:rFonts w:hint="eastAsia" w:ascii="Calibri" w:hAnsi="Calibri" w:eastAsia="宋体" w:cs="宋体"/>
          <w:color w:val="auto"/>
          <w:szCs w:val="24"/>
          <w:lang w:val="en-US" w:eastAsia="zh-CN"/>
        </w:rPr>
        <w:t>包2</w:t>
      </w:r>
      <w:r>
        <w:rPr>
          <w:rFonts w:hint="eastAsia" w:ascii="Calibri" w:hAnsi="Calibri" w:eastAsia="宋体" w:cs="宋体"/>
          <w:color w:val="auto"/>
          <w:sz w:val="24"/>
          <w:szCs w:val="24"/>
          <w:lang w:val="en-US" w:eastAsia="zh-CN"/>
        </w:rPr>
        <w:t>旱粮产能提升主体</w:t>
      </w:r>
      <w:r>
        <w:rPr>
          <w:rFonts w:hint="eastAsia" w:ascii="Calibri" w:hAnsi="Calibri" w:eastAsia="宋体" w:cs="宋体"/>
          <w:color w:val="auto"/>
          <w:sz w:val="24"/>
          <w:szCs w:val="24"/>
          <w:lang w:val="en-US" w:eastAsia="zh-Hans"/>
        </w:rPr>
        <w:t>培育班</w:t>
      </w:r>
      <w:r>
        <w:rPr>
          <w:rFonts w:hint="eastAsia" w:ascii="Calibri" w:hAnsi="Calibri" w:eastAsia="宋体" w:cs="宋体"/>
          <w:color w:val="auto"/>
          <w:szCs w:val="24"/>
          <w:lang w:val="en-US" w:eastAsia="zh-Hans"/>
        </w:rPr>
        <w:t>：</w:t>
      </w:r>
      <w:r>
        <w:rPr>
          <w:rFonts w:hint="eastAsia" w:ascii="Calibri" w:hAnsi="Calibri" w:eastAsia="宋体" w:cs="宋体"/>
          <w:color w:val="auto"/>
          <w:szCs w:val="24"/>
          <w:lang w:val="en-US" w:eastAsia="en-US"/>
        </w:rPr>
        <w:t>聚焦丘陵山区玉米、大豆、油菜</w:t>
      </w:r>
      <w:r>
        <w:rPr>
          <w:rFonts w:hint="eastAsia" w:ascii="Calibri" w:hAnsi="Calibri" w:eastAsia="宋体" w:cs="宋体"/>
          <w:color w:val="auto"/>
          <w:szCs w:val="24"/>
          <w:lang w:val="en-US" w:eastAsia="zh-CN"/>
        </w:rPr>
        <w:t>、红薯等旱粮</w:t>
      </w:r>
      <w:r>
        <w:rPr>
          <w:rFonts w:hint="eastAsia" w:ascii="Calibri" w:hAnsi="Calibri" w:eastAsia="宋体" w:cs="宋体"/>
          <w:color w:val="auto"/>
          <w:szCs w:val="24"/>
          <w:lang w:val="en-US" w:eastAsia="en-US"/>
        </w:rPr>
        <w:t>料作物</w:t>
      </w:r>
      <w:r>
        <w:rPr>
          <w:rFonts w:hint="eastAsia" w:ascii="Calibri" w:hAnsi="Calibri" w:eastAsia="宋体" w:cs="宋体"/>
          <w:color w:val="auto"/>
          <w:szCs w:val="24"/>
          <w:lang w:val="en-US" w:eastAsia="zh-CN"/>
        </w:rPr>
        <w:t>的农机应用推广</w:t>
      </w:r>
      <w:r>
        <w:rPr>
          <w:rFonts w:hint="eastAsia" w:ascii="Calibri" w:hAnsi="Calibri" w:eastAsia="宋体" w:cs="宋体"/>
          <w:color w:val="auto"/>
          <w:szCs w:val="24"/>
          <w:lang w:val="en-US" w:eastAsia="en-US"/>
        </w:rPr>
        <w:t>，培育一批能示范、会经营、善服务</w:t>
      </w:r>
      <w:r>
        <w:rPr>
          <w:rFonts w:hint="eastAsia" w:ascii="Calibri" w:hAnsi="Calibri" w:eastAsia="宋体" w:cs="宋体"/>
          <w:color w:val="auto"/>
          <w:szCs w:val="24"/>
          <w:lang w:val="en-US" w:eastAsia="zh-CN"/>
        </w:rPr>
        <w:t>旱粮种植技术技能经营主体带头人。</w:t>
      </w:r>
      <w:r>
        <w:rPr>
          <w:rFonts w:hint="eastAsia" w:ascii="Calibri" w:hAnsi="Calibri" w:eastAsia="宋体" w:cs="宋体"/>
          <w:color w:val="auto"/>
          <w:szCs w:val="24"/>
          <w:lang w:val="en-US" w:eastAsia="zh-Hans"/>
        </w:rPr>
        <w:t>邀请专家进行理论授课，并安排实地操作和案例分析，让学员掌握先进的</w:t>
      </w:r>
      <w:r>
        <w:rPr>
          <w:rFonts w:hint="eastAsia" w:ascii="Calibri" w:hAnsi="Calibri" w:eastAsia="宋体" w:cs="宋体"/>
          <w:color w:val="auto"/>
          <w:szCs w:val="24"/>
          <w:lang w:val="en-US" w:eastAsia="zh-CN"/>
        </w:rPr>
        <w:t>农机使用与</w:t>
      </w:r>
      <w:r>
        <w:rPr>
          <w:rFonts w:hint="eastAsia" w:ascii="Calibri" w:hAnsi="Calibri" w:eastAsia="宋体" w:cs="宋体"/>
          <w:color w:val="auto"/>
          <w:szCs w:val="24"/>
          <w:lang w:val="en-US" w:eastAsia="zh-Hans"/>
        </w:rPr>
        <w:t>种植模</w:t>
      </w:r>
      <w:r>
        <w:rPr>
          <w:rFonts w:hint="eastAsia" w:ascii="Calibri" w:hAnsi="Calibri" w:eastAsia="宋体" w:cs="宋体"/>
          <w:color w:val="auto"/>
          <w:szCs w:val="24"/>
          <w:lang w:val="en-US" w:eastAsia="zh-CN"/>
        </w:rPr>
        <w:t>配套</w:t>
      </w:r>
      <w:r>
        <w:rPr>
          <w:rFonts w:hint="eastAsia" w:ascii="Calibri" w:hAnsi="Calibri" w:eastAsia="宋体" w:cs="宋体"/>
          <w:color w:val="auto"/>
          <w:szCs w:val="24"/>
          <w:lang w:val="en-US" w:eastAsia="zh-Hans"/>
        </w:rPr>
        <w:t>方法。</w:t>
      </w:r>
    </w:p>
    <w:p w14:paraId="410497B1">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包</w:t>
      </w:r>
      <w:r>
        <w:rPr>
          <w:rFonts w:hint="eastAsia" w:ascii="Calibri" w:hAnsi="Calibri" w:eastAsia="宋体" w:cs="宋体"/>
          <w:color w:val="auto"/>
          <w:szCs w:val="24"/>
          <w:lang w:val="en-US" w:eastAsia="zh-CN"/>
        </w:rPr>
        <w:t>3</w:t>
      </w:r>
      <w:r>
        <w:rPr>
          <w:rFonts w:hint="eastAsia" w:ascii="Calibri" w:hAnsi="Calibri" w:eastAsia="宋体" w:cs="宋体"/>
          <w:color w:val="auto"/>
          <w:sz w:val="24"/>
          <w:szCs w:val="24"/>
          <w:lang w:val="en-US" w:eastAsia="zh-Hans"/>
        </w:rPr>
        <w:t>茶叶</w:t>
      </w:r>
      <w:r>
        <w:rPr>
          <w:rFonts w:hint="eastAsia" w:ascii="Calibri" w:hAnsi="Calibri" w:eastAsia="宋体" w:cs="宋体"/>
          <w:color w:val="auto"/>
          <w:sz w:val="24"/>
          <w:szCs w:val="24"/>
          <w:lang w:val="en-US" w:eastAsia="zh-CN"/>
        </w:rPr>
        <w:t>产能提升主体</w:t>
      </w:r>
      <w:r>
        <w:rPr>
          <w:rFonts w:hint="eastAsia" w:ascii="Calibri" w:hAnsi="Calibri" w:eastAsia="宋体" w:cs="宋体"/>
          <w:color w:val="auto"/>
          <w:sz w:val="24"/>
          <w:szCs w:val="24"/>
          <w:lang w:val="en-US" w:eastAsia="zh-Hans"/>
        </w:rPr>
        <w:t>培育班</w:t>
      </w:r>
      <w:r>
        <w:rPr>
          <w:rFonts w:hint="eastAsia" w:ascii="Calibri" w:hAnsi="Calibri" w:eastAsia="宋体" w:cs="宋体"/>
          <w:color w:val="auto"/>
          <w:szCs w:val="24"/>
          <w:lang w:val="en-US" w:eastAsia="zh-Hans"/>
        </w:rPr>
        <w:t>：包括但不限于茶叶种植与茶园管理、茶叶采摘与加工技术、茶叶品鉴与营销、茶文化与品牌建设等。组织学员到茶叶生产基地进行实践学习，了解茶叶全产业链的运作流程。</w:t>
      </w:r>
    </w:p>
    <w:p w14:paraId="6170FC2A">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包</w:t>
      </w:r>
      <w:r>
        <w:rPr>
          <w:rFonts w:hint="eastAsia" w:ascii="Calibri" w:hAnsi="Calibri" w:eastAsia="宋体" w:cs="宋体"/>
          <w:color w:val="auto"/>
          <w:szCs w:val="24"/>
          <w:lang w:val="en-US" w:eastAsia="zh-CN"/>
        </w:rPr>
        <w:t>4</w:t>
      </w:r>
      <w:r>
        <w:rPr>
          <w:rFonts w:hint="eastAsia" w:ascii="Calibri" w:hAnsi="Calibri" w:eastAsia="宋体" w:cs="宋体"/>
          <w:color w:val="auto"/>
          <w:sz w:val="24"/>
          <w:szCs w:val="24"/>
          <w:lang w:val="en-US" w:eastAsia="zh-Hans"/>
        </w:rPr>
        <w:t>水果</w:t>
      </w:r>
      <w:r>
        <w:rPr>
          <w:rFonts w:hint="eastAsia" w:ascii="Calibri" w:hAnsi="Calibri" w:eastAsia="宋体" w:cs="宋体"/>
          <w:color w:val="auto"/>
          <w:sz w:val="24"/>
          <w:szCs w:val="24"/>
          <w:lang w:val="en-US" w:eastAsia="zh-CN"/>
        </w:rPr>
        <w:t>产能提升主体</w:t>
      </w:r>
      <w:r>
        <w:rPr>
          <w:rFonts w:hint="eastAsia" w:ascii="Calibri" w:hAnsi="Calibri" w:eastAsia="宋体" w:cs="宋体"/>
          <w:color w:val="auto"/>
          <w:sz w:val="24"/>
          <w:szCs w:val="24"/>
          <w:lang w:val="en-US" w:eastAsia="zh-Hans"/>
        </w:rPr>
        <w:t>培育班</w:t>
      </w:r>
      <w:r>
        <w:rPr>
          <w:rFonts w:hint="eastAsia" w:ascii="Calibri" w:hAnsi="Calibri" w:eastAsia="宋体" w:cs="宋体"/>
          <w:color w:val="auto"/>
          <w:szCs w:val="24"/>
          <w:lang w:val="en-US" w:eastAsia="zh-Hans"/>
        </w:rPr>
        <w:t>：包括但不限于水果种植技术、果园管理、病虫害防治、水果保鲜与加工、市场营销等内容。邀请专家进行授课，并安排学员到果园实地操作，学习先进的种植和管理经验。</w:t>
      </w:r>
    </w:p>
    <w:p w14:paraId="7F7B6510">
      <w:pPr>
        <w:spacing w:line="440" w:lineRule="exact"/>
        <w:ind w:firstLine="480" w:firstLineChars="200"/>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Hans"/>
        </w:rPr>
        <w:t>包</w:t>
      </w:r>
      <w:r>
        <w:rPr>
          <w:rFonts w:hint="eastAsia" w:ascii="Calibri" w:hAnsi="Calibri" w:eastAsia="宋体" w:cs="宋体"/>
          <w:color w:val="auto"/>
          <w:szCs w:val="24"/>
          <w:lang w:val="en-US" w:eastAsia="zh-CN"/>
        </w:rPr>
        <w:t>5农业经理人班：围绕粮油类、畜牧类特色农产品，结合农业领域电商直播、低空经济发展趋势，以农产品品质检测与控制为基础、开展农业企业市场化运营模式，掌握产能调控、成本管控、团队协同等经营方法，提升农业管理能力和市场洞察力，培养一批善于科学决策、拥有团队管理能力、懂风险控制和市场营销的农业经理人。</w:t>
      </w:r>
      <w:r>
        <w:rPr>
          <w:rFonts w:hint="eastAsia" w:ascii="Calibri" w:hAnsi="Calibri" w:eastAsia="宋体" w:cs="宋体"/>
          <w:color w:val="auto"/>
          <w:szCs w:val="24"/>
          <w:lang w:val="en-US" w:eastAsia="zh-Hans"/>
        </w:rPr>
        <w:t>邀请专家进行理论授课，并安排实地操作</w:t>
      </w:r>
      <w:r>
        <w:rPr>
          <w:rFonts w:hint="eastAsia" w:ascii="Calibri" w:hAnsi="Calibri" w:eastAsia="宋体" w:cs="宋体"/>
          <w:color w:val="auto"/>
          <w:szCs w:val="24"/>
          <w:lang w:val="en-US" w:eastAsia="zh-CN"/>
        </w:rPr>
        <w:t>（省内和周边省份）</w:t>
      </w:r>
      <w:r>
        <w:rPr>
          <w:rFonts w:hint="eastAsia" w:ascii="Calibri" w:hAnsi="Calibri" w:eastAsia="宋体" w:cs="宋体"/>
          <w:color w:val="auto"/>
          <w:szCs w:val="24"/>
          <w:lang w:val="en-US" w:eastAsia="zh-Hans"/>
        </w:rPr>
        <w:t>和案例分析，让学员掌握先进的</w:t>
      </w:r>
      <w:r>
        <w:rPr>
          <w:rFonts w:hint="eastAsia" w:ascii="Calibri" w:hAnsi="Calibri" w:eastAsia="宋体" w:cs="宋体"/>
          <w:color w:val="auto"/>
          <w:szCs w:val="24"/>
          <w:lang w:val="en-US" w:eastAsia="zh-CN"/>
        </w:rPr>
        <w:t>现代农业生产、粗加工、营销运营等</w:t>
      </w:r>
      <w:r>
        <w:rPr>
          <w:rFonts w:hint="eastAsia" w:ascii="Calibri" w:hAnsi="Calibri" w:eastAsia="宋体" w:cs="宋体"/>
          <w:color w:val="auto"/>
          <w:szCs w:val="24"/>
          <w:lang w:val="en-US" w:eastAsia="zh-Hans"/>
        </w:rPr>
        <w:t>。</w:t>
      </w:r>
    </w:p>
    <w:p w14:paraId="1DF95393">
      <w:pPr>
        <w:spacing w:line="440" w:lineRule="exact"/>
        <w:ind w:firstLine="480" w:firstLineChars="200"/>
        <w:rPr>
          <w:rFonts w:hint="default" w:ascii="Calibri" w:hAnsi="Calibri" w:eastAsia="宋体" w:cs="宋体"/>
          <w:color w:val="auto"/>
          <w:szCs w:val="24"/>
          <w:lang w:val="en-US" w:eastAsia="zh-CN"/>
        </w:rPr>
      </w:pPr>
      <w:r>
        <w:rPr>
          <w:rFonts w:hint="eastAsia" w:ascii="Calibri" w:hAnsi="Calibri" w:eastAsia="宋体" w:cs="宋体"/>
          <w:color w:val="auto"/>
          <w:szCs w:val="24"/>
          <w:lang w:val="en-US" w:eastAsia="zh-Hans"/>
        </w:rPr>
        <w:t>包</w:t>
      </w:r>
      <w:r>
        <w:rPr>
          <w:rFonts w:hint="eastAsia" w:ascii="Calibri" w:hAnsi="Calibri" w:eastAsia="宋体" w:cs="宋体"/>
          <w:color w:val="auto"/>
          <w:szCs w:val="24"/>
          <w:lang w:val="en-US" w:eastAsia="zh-CN"/>
        </w:rPr>
        <w:t>6</w:t>
      </w:r>
      <w:r>
        <w:rPr>
          <w:rFonts w:hint="eastAsia" w:ascii="Calibri" w:hAnsi="Calibri" w:eastAsia="宋体" w:cs="宋体"/>
          <w:color w:val="auto"/>
          <w:szCs w:val="24"/>
          <w:lang w:val="en-US" w:eastAsia="zh-Hans"/>
        </w:rPr>
        <w:t> </w:t>
      </w:r>
      <w:r>
        <w:rPr>
          <w:rFonts w:hint="eastAsia" w:ascii="Calibri" w:hAnsi="Calibri" w:eastAsia="宋体" w:cs="宋体"/>
          <w:color w:val="auto"/>
          <w:sz w:val="24"/>
          <w:szCs w:val="24"/>
          <w:lang w:val="en-US" w:eastAsia="zh-CN"/>
        </w:rPr>
        <w:t>数智技术应用专题班：</w:t>
      </w:r>
      <w:r>
        <w:rPr>
          <w:rFonts w:hint="eastAsia" w:ascii="Calibri" w:hAnsi="Calibri" w:eastAsia="宋体" w:cs="宋体"/>
          <w:color w:val="auto"/>
          <w:szCs w:val="24"/>
          <w:lang w:val="en-US" w:eastAsia="zh-Hans"/>
        </w:rPr>
        <w:t>围绕粮油类、经作物类、畜牧类特色农产品，以农产品品质检测与控制为基础、结合本地旅游市场+农业领域</w:t>
      </w:r>
      <w:r>
        <w:rPr>
          <w:rFonts w:hint="eastAsia" w:ascii="Calibri" w:hAnsi="Calibri" w:eastAsia="宋体" w:cs="宋体"/>
          <w:color w:val="auto"/>
          <w:szCs w:val="24"/>
          <w:lang w:val="en-US" w:eastAsia="zh-CN"/>
        </w:rPr>
        <w:t>开展</w:t>
      </w:r>
      <w:r>
        <w:rPr>
          <w:rFonts w:hint="eastAsia" w:ascii="Calibri" w:hAnsi="Calibri" w:eastAsia="宋体" w:cs="宋体"/>
          <w:color w:val="auto"/>
          <w:szCs w:val="24"/>
          <w:lang w:val="en-US" w:eastAsia="zh-Hans"/>
        </w:rPr>
        <w:t>电商直播</w:t>
      </w:r>
      <w:r>
        <w:rPr>
          <w:rFonts w:hint="eastAsia" w:ascii="Calibri" w:hAnsi="Calibri" w:eastAsia="宋体" w:cs="宋体"/>
          <w:color w:val="auto"/>
          <w:szCs w:val="24"/>
          <w:lang w:val="en-US" w:eastAsia="zh-CN"/>
        </w:rPr>
        <w:t>等线上营销</w:t>
      </w:r>
      <w:r>
        <w:rPr>
          <w:rFonts w:hint="eastAsia" w:ascii="Calibri" w:hAnsi="Calibri" w:eastAsia="宋体" w:cs="宋体"/>
          <w:color w:val="auto"/>
          <w:szCs w:val="24"/>
          <w:lang w:val="en-US" w:eastAsia="zh-Hans"/>
        </w:rPr>
        <w:t>，开展乡村新产业新业态带头人培育，提升涉农产品数智技术应用水平。</w:t>
      </w:r>
      <w:r>
        <w:rPr>
          <w:rFonts w:hint="eastAsia" w:ascii="Calibri" w:hAnsi="Calibri" w:eastAsia="宋体" w:cs="宋体"/>
          <w:color w:val="auto"/>
          <w:szCs w:val="24"/>
          <w:lang w:val="en-US" w:eastAsia="zh-CN"/>
        </w:rPr>
        <w:t xml:space="preserve"> </w:t>
      </w:r>
      <w:r>
        <w:rPr>
          <w:rFonts w:hint="eastAsia" w:ascii="Calibri" w:hAnsi="Calibri" w:eastAsia="宋体" w:cs="宋体"/>
          <w:color w:val="auto"/>
          <w:szCs w:val="24"/>
          <w:lang w:val="en-US" w:eastAsia="zh-Hans"/>
        </w:rPr>
        <w:t>邀请专家进行理论授课，并安排实地操作和案例分析，</w:t>
      </w:r>
      <w:r>
        <w:rPr>
          <w:rFonts w:hint="eastAsia" w:ascii="Calibri" w:hAnsi="Calibri" w:eastAsia="宋体" w:cs="宋体"/>
          <w:color w:val="auto"/>
          <w:szCs w:val="24"/>
          <w:lang w:val="en-US" w:eastAsia="zh-CN"/>
        </w:rPr>
        <w:t>提升学员线上营销能力。</w:t>
      </w:r>
    </w:p>
    <w:p w14:paraId="677F1910">
      <w:pPr>
        <w:spacing w:line="440" w:lineRule="exact"/>
        <w:ind w:firstLine="480" w:firstLineChars="200"/>
        <w:rPr>
          <w:rFonts w:hint="default" w:ascii="Calibri" w:hAnsi="Calibri" w:eastAsia="宋体" w:cs="宋体"/>
          <w:color w:val="auto"/>
          <w:szCs w:val="24"/>
          <w:lang w:val="en-US" w:eastAsia="zh-CN"/>
        </w:rPr>
      </w:pPr>
      <w:r>
        <w:rPr>
          <w:rFonts w:hint="eastAsia" w:ascii="Calibri" w:hAnsi="Calibri" w:eastAsia="宋体" w:cs="宋体"/>
          <w:color w:val="auto"/>
          <w:szCs w:val="24"/>
          <w:lang w:val="en-US" w:eastAsia="zh-CN"/>
        </w:rPr>
        <w:t xml:space="preserve"> 包7</w:t>
      </w:r>
      <w:r>
        <w:rPr>
          <w:rFonts w:hint="eastAsia" w:ascii="Calibri" w:hAnsi="Calibri" w:eastAsia="宋体" w:cs="宋体"/>
          <w:color w:val="auto"/>
          <w:sz w:val="24"/>
          <w:szCs w:val="24"/>
          <w:lang w:val="en-US" w:eastAsia="zh-CN"/>
        </w:rPr>
        <w:t>乡土文化能人专题班：</w:t>
      </w:r>
      <w:r>
        <w:rPr>
          <w:rFonts w:hint="eastAsia" w:ascii="Calibri" w:hAnsi="Calibri" w:eastAsia="宋体" w:cs="宋体"/>
          <w:color w:val="auto"/>
          <w:szCs w:val="24"/>
          <w:lang w:val="en-US" w:eastAsia="zh-CN"/>
        </w:rPr>
        <w:t>结合张家界市非遗资源（如土家织锦、扎染、农耕文化茅古斯、桑植民歌、湘鄂边“贺龙杯”篮球赛“红BA”、大庸武术等），围绕农耕文化保护传承、优秀乡土文艺作品创作和优质乡村文化服务供给等内容，举办一批乡土文化能人专题培训班，推动乡土文化活化利用，促进农文旅深度融合，让乡村文化成为乡村振兴的精神支撑。</w:t>
      </w:r>
      <w:r>
        <w:rPr>
          <w:rFonts w:hint="eastAsia" w:ascii="Calibri" w:hAnsi="Calibri" w:eastAsia="宋体" w:cs="宋体"/>
          <w:color w:val="auto"/>
          <w:szCs w:val="24"/>
          <w:lang w:val="en-US" w:eastAsia="zh-Hans"/>
        </w:rPr>
        <w:t>邀请</w:t>
      </w:r>
      <w:r>
        <w:rPr>
          <w:rFonts w:hint="eastAsia" w:ascii="Calibri" w:hAnsi="Calibri" w:eastAsia="宋体" w:cs="宋体"/>
          <w:color w:val="auto"/>
          <w:szCs w:val="24"/>
          <w:lang w:val="en-US" w:eastAsia="zh-CN"/>
        </w:rPr>
        <w:t>“土</w:t>
      </w:r>
      <w:r>
        <w:rPr>
          <w:rFonts w:hint="eastAsia" w:ascii="Calibri" w:hAnsi="Calibri" w:eastAsia="宋体" w:cs="宋体"/>
          <w:color w:val="auto"/>
          <w:szCs w:val="24"/>
          <w:lang w:val="en-US" w:eastAsia="zh-Hans"/>
        </w:rPr>
        <w:t>专家</w:t>
      </w:r>
      <w:r>
        <w:rPr>
          <w:rFonts w:hint="eastAsia" w:ascii="Calibri" w:hAnsi="Calibri" w:eastAsia="宋体" w:cs="宋体"/>
          <w:color w:val="auto"/>
          <w:szCs w:val="24"/>
          <w:lang w:val="en-US" w:eastAsia="zh-CN"/>
        </w:rPr>
        <w:t>”或省级以上非遗传承人</w:t>
      </w:r>
      <w:r>
        <w:rPr>
          <w:rFonts w:hint="eastAsia" w:ascii="Calibri" w:hAnsi="Calibri" w:eastAsia="宋体" w:cs="宋体"/>
          <w:color w:val="auto"/>
          <w:szCs w:val="24"/>
          <w:lang w:val="en-US" w:eastAsia="zh-Hans"/>
        </w:rPr>
        <w:t>进行理论授课，并安排实地操作和案例分析，</w:t>
      </w:r>
      <w:r>
        <w:rPr>
          <w:rFonts w:hint="eastAsia" w:ascii="Calibri" w:hAnsi="Calibri" w:eastAsia="宋体" w:cs="宋体"/>
          <w:color w:val="auto"/>
          <w:szCs w:val="24"/>
          <w:lang w:val="en-US" w:eastAsia="zh-CN"/>
        </w:rPr>
        <w:t>提升乡土文化能人保护传承运营能力。</w:t>
      </w:r>
    </w:p>
    <w:p w14:paraId="1F48DC4D">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五、培育对象</w:t>
      </w:r>
    </w:p>
    <w:p w14:paraId="69CD5EC1">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★年满 16 周岁，身体健康，无影响参加 培训的身体不适或疾病，培训对象主要包括正在从事或有意愿从事农业生产、经营、服务、管理、乡村建设等工作的农民（含返 乡入乡农民工、退役军人、大中专毕业生等新农人）、乡村治理骨干、新型农业经营主体带头人、服务主体带头人、乡村工匠、农村创新创业者等。</w:t>
      </w:r>
    </w:p>
    <w:p w14:paraId="4F721B59">
      <w:pPr>
        <w:spacing w:line="440" w:lineRule="exact"/>
        <w:ind w:firstLine="0" w:firstLineChars="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六、培育机构</w:t>
      </w:r>
    </w:p>
    <w:p w14:paraId="27F27692">
      <w:pPr>
        <w:spacing w:line="440" w:lineRule="exact"/>
        <w:ind w:firstLine="480" w:firstLineChars="200"/>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Hans"/>
        </w:rPr>
        <w:t>★承担培育任务的机构应具有独立法人资格，注册登记或成立满 3 年以上（含 3 年），开设与培训主题相关的专业课程或者有与培训主题相关的办学许可核定的职业（工种），且近三年内在经营活动中无重大违法、违规及失信记录；有固定的教学办公场所，配备与培育主题相关的完备教学设施设备，满</w:t>
      </w:r>
      <w:r>
        <w:rPr>
          <w:rFonts w:hint="eastAsia" w:ascii="Calibri" w:hAnsi="Calibri" w:eastAsia="宋体" w:cs="宋体"/>
          <w:color w:val="auto"/>
          <w:szCs w:val="24"/>
          <w:lang w:val="en-US" w:eastAsia="zh-CN"/>
        </w:rPr>
        <w:t>足</w:t>
      </w:r>
      <w:r>
        <w:rPr>
          <w:rFonts w:hint="eastAsia" w:ascii="Calibri" w:hAnsi="Calibri" w:eastAsia="宋体" w:cs="宋体"/>
          <w:color w:val="auto"/>
          <w:szCs w:val="24"/>
          <w:lang w:val="en-US" w:eastAsia="zh-Hans"/>
        </w:rPr>
        <w:t>100名学员集中授课、实践教学、学员食宿所需的教学设备、食堂、宿舍和实践设备；具有健全的规章制度，包括教学管理、学员管理、财务管理、安全管理、档案管理、应急管理等制度；能够开具财政、税务部门申领的正规票据</w:t>
      </w:r>
      <w:r>
        <w:rPr>
          <w:rFonts w:hint="eastAsia" w:ascii="Calibri" w:hAnsi="Calibri" w:eastAsia="宋体" w:cs="宋体"/>
          <w:b/>
          <w:bCs/>
          <w:color w:val="auto"/>
          <w:szCs w:val="24"/>
          <w:lang w:val="en-US" w:eastAsia="zh-CN"/>
        </w:rPr>
        <w:t>。（投标人自行承诺，若虚假应标，将承担相应的法律责任）</w:t>
      </w:r>
    </w:p>
    <w:p w14:paraId="6128FCD4">
      <w:pPr>
        <w:spacing w:line="440" w:lineRule="exact"/>
        <w:ind w:firstLine="0" w:firstLineChars="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七、培训时间和地点</w:t>
      </w:r>
    </w:p>
    <w:p w14:paraId="165A6168">
      <w:pPr>
        <w:spacing w:line="440" w:lineRule="exact"/>
        <w:ind w:firstLine="482" w:firstLineChars="200"/>
        <w:rPr>
          <w:rFonts w:hint="eastAsia" w:ascii="Calibri" w:hAnsi="Calibri" w:eastAsia="宋体" w:cs="宋体"/>
          <w:b/>
          <w:bCs/>
          <w:color w:val="auto"/>
          <w:szCs w:val="24"/>
          <w:lang w:val="en-US" w:eastAsia="zh-Hans"/>
        </w:rPr>
      </w:pPr>
      <w:r>
        <w:rPr>
          <w:rFonts w:hint="eastAsia" w:ascii="Calibri" w:hAnsi="Calibri" w:eastAsia="宋体" w:cs="宋体"/>
          <w:b/>
          <w:bCs/>
          <w:color w:val="auto"/>
          <w:szCs w:val="24"/>
          <w:lang w:val="en-US" w:eastAsia="zh-Hans"/>
        </w:rPr>
        <w:t>1. 培训时间：初定为 202</w:t>
      </w:r>
      <w:r>
        <w:rPr>
          <w:rFonts w:hint="eastAsia" w:ascii="Calibri" w:hAnsi="Calibri" w:eastAsia="宋体" w:cs="宋体"/>
          <w:b/>
          <w:bCs/>
          <w:color w:val="auto"/>
          <w:szCs w:val="24"/>
          <w:lang w:val="en-US" w:eastAsia="zh-CN"/>
        </w:rPr>
        <w:t>6</w:t>
      </w:r>
      <w:r>
        <w:rPr>
          <w:rFonts w:hint="eastAsia" w:ascii="Calibri" w:hAnsi="Calibri" w:eastAsia="宋体" w:cs="宋体"/>
          <w:b/>
          <w:bCs/>
          <w:color w:val="auto"/>
          <w:szCs w:val="24"/>
          <w:lang w:val="en-US" w:eastAsia="zh-Hans"/>
        </w:rPr>
        <w:t xml:space="preserve"> 年 12 月</w:t>
      </w:r>
      <w:r>
        <w:rPr>
          <w:rFonts w:hint="eastAsia" w:ascii="Calibri" w:hAnsi="Calibri" w:eastAsia="宋体" w:cs="宋体"/>
          <w:b/>
          <w:bCs/>
          <w:color w:val="auto"/>
          <w:szCs w:val="24"/>
          <w:lang w:val="en-US" w:eastAsia="zh-CN"/>
        </w:rPr>
        <w:t>20日</w:t>
      </w:r>
      <w:r>
        <w:rPr>
          <w:rFonts w:hint="eastAsia" w:ascii="Calibri" w:hAnsi="Calibri" w:eastAsia="宋体" w:cs="宋体"/>
          <w:b/>
          <w:bCs/>
          <w:color w:val="auto"/>
          <w:szCs w:val="24"/>
          <w:lang w:val="en-US" w:eastAsia="zh-Hans"/>
        </w:rPr>
        <w:t>前结课，具体时间以实际合同签订时间为准。</w:t>
      </w:r>
    </w:p>
    <w:p w14:paraId="79F14523">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2. 培训地点：理论授课在</w:t>
      </w:r>
      <w:r>
        <w:rPr>
          <w:rFonts w:hint="eastAsia" w:ascii="Calibri" w:hAnsi="Calibri" w:eastAsia="宋体" w:cs="宋体"/>
          <w:color w:val="auto"/>
          <w:szCs w:val="24"/>
          <w:lang w:val="en-US" w:eastAsia="zh-CN"/>
        </w:rPr>
        <w:t>湖南</w:t>
      </w:r>
      <w:r>
        <w:rPr>
          <w:rFonts w:hint="eastAsia" w:ascii="Calibri" w:hAnsi="Calibri" w:eastAsia="宋体" w:cs="宋体"/>
          <w:color w:val="auto"/>
          <w:szCs w:val="24"/>
          <w:lang w:val="en-US" w:eastAsia="zh-Hans"/>
        </w:rPr>
        <w:t>省内指定的培训场所进行，实践操作和交流考察在相关农业企业、基地和外地考察点进行。</w:t>
      </w:r>
    </w:p>
    <w:p w14:paraId="1D980661">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八、培训人数</w:t>
      </w:r>
    </w:p>
    <w:tbl>
      <w:tblPr>
        <w:tblStyle w:val="10"/>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3651"/>
        <w:gridCol w:w="1907"/>
        <w:gridCol w:w="3287"/>
      </w:tblGrid>
      <w:tr w14:paraId="0DF3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53" w:type="dxa"/>
            <w:vAlign w:val="center"/>
          </w:tcPr>
          <w:p w14:paraId="25C2ACE5">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包号</w:t>
            </w:r>
          </w:p>
        </w:tc>
        <w:tc>
          <w:tcPr>
            <w:tcW w:w="3651" w:type="dxa"/>
            <w:vAlign w:val="center"/>
          </w:tcPr>
          <w:p w14:paraId="1989783E">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包名称</w:t>
            </w:r>
          </w:p>
        </w:tc>
        <w:tc>
          <w:tcPr>
            <w:tcW w:w="1907" w:type="dxa"/>
            <w:vAlign w:val="center"/>
          </w:tcPr>
          <w:p w14:paraId="29143D85">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数量</w:t>
            </w:r>
          </w:p>
        </w:tc>
        <w:tc>
          <w:tcPr>
            <w:tcW w:w="3287" w:type="dxa"/>
            <w:shd w:val="clear" w:color="auto" w:fill="auto"/>
            <w:vAlign w:val="center"/>
          </w:tcPr>
          <w:p w14:paraId="7644A083">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计划人数</w:t>
            </w:r>
          </w:p>
        </w:tc>
      </w:tr>
      <w:tr w14:paraId="44BF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exact"/>
          <w:jc w:val="center"/>
        </w:trPr>
        <w:tc>
          <w:tcPr>
            <w:tcW w:w="953" w:type="dxa"/>
            <w:vAlign w:val="center"/>
          </w:tcPr>
          <w:p w14:paraId="76036C55">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w:t>
            </w:r>
          </w:p>
        </w:tc>
        <w:tc>
          <w:tcPr>
            <w:tcW w:w="3651" w:type="dxa"/>
            <w:vAlign w:val="center"/>
          </w:tcPr>
          <w:p w14:paraId="04F5D056">
            <w:pPr>
              <w:spacing w:line="440" w:lineRule="exact"/>
              <w:ind w:firstLine="0" w:firstLineChars="0"/>
              <w:jc w:val="center"/>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Hans"/>
              </w:rPr>
              <w:t>粮油</w:t>
            </w:r>
            <w:r>
              <w:rPr>
                <w:rFonts w:hint="eastAsia" w:ascii="Calibri" w:hAnsi="Calibri" w:eastAsia="宋体" w:cs="宋体"/>
                <w:color w:val="auto"/>
                <w:szCs w:val="24"/>
                <w:lang w:val="en-US" w:eastAsia="zh-CN"/>
              </w:rPr>
              <w:t>产能提升主体</w:t>
            </w:r>
            <w:r>
              <w:rPr>
                <w:rFonts w:hint="eastAsia" w:ascii="Calibri" w:hAnsi="Calibri" w:eastAsia="宋体" w:cs="宋体"/>
                <w:color w:val="auto"/>
                <w:szCs w:val="24"/>
                <w:lang w:val="en-US" w:eastAsia="zh-Hans"/>
              </w:rPr>
              <w:t>培育班</w:t>
            </w:r>
            <w:r>
              <w:rPr>
                <w:rFonts w:hint="eastAsia" w:ascii="Calibri" w:hAnsi="Calibri" w:eastAsia="宋体" w:cs="宋体"/>
                <w:color w:val="auto"/>
                <w:szCs w:val="24"/>
                <w:lang w:val="en-US" w:eastAsia="zh-CN"/>
              </w:rPr>
              <w:t>（农机）</w:t>
            </w:r>
          </w:p>
        </w:tc>
        <w:tc>
          <w:tcPr>
            <w:tcW w:w="1907" w:type="dxa"/>
            <w:vAlign w:val="center"/>
          </w:tcPr>
          <w:p w14:paraId="051197A3">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1期</w:t>
            </w:r>
          </w:p>
        </w:tc>
        <w:tc>
          <w:tcPr>
            <w:tcW w:w="3287" w:type="dxa"/>
            <w:vAlign w:val="center"/>
          </w:tcPr>
          <w:p w14:paraId="239E590A">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50人</w:t>
            </w:r>
          </w:p>
        </w:tc>
      </w:tr>
      <w:tr w14:paraId="3174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953" w:type="dxa"/>
            <w:vAlign w:val="center"/>
          </w:tcPr>
          <w:p w14:paraId="4B4372BC">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2</w:t>
            </w:r>
          </w:p>
        </w:tc>
        <w:tc>
          <w:tcPr>
            <w:tcW w:w="3651" w:type="dxa"/>
            <w:vAlign w:val="center"/>
          </w:tcPr>
          <w:p w14:paraId="36C039F3">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CN"/>
              </w:rPr>
              <w:t>旱粮产能提升主体</w:t>
            </w:r>
            <w:r>
              <w:rPr>
                <w:rFonts w:hint="eastAsia" w:ascii="Calibri" w:hAnsi="Calibri" w:eastAsia="宋体" w:cs="宋体"/>
                <w:color w:val="auto"/>
                <w:szCs w:val="24"/>
                <w:lang w:val="en-US" w:eastAsia="zh-Hans"/>
              </w:rPr>
              <w:t>培育班</w:t>
            </w:r>
          </w:p>
        </w:tc>
        <w:tc>
          <w:tcPr>
            <w:tcW w:w="1907" w:type="dxa"/>
            <w:vAlign w:val="center"/>
          </w:tcPr>
          <w:p w14:paraId="69F2913D">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1期</w:t>
            </w:r>
          </w:p>
        </w:tc>
        <w:tc>
          <w:tcPr>
            <w:tcW w:w="3287" w:type="dxa"/>
            <w:vAlign w:val="center"/>
          </w:tcPr>
          <w:p w14:paraId="6388D76B">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50人</w:t>
            </w:r>
          </w:p>
        </w:tc>
      </w:tr>
      <w:tr w14:paraId="2219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exact"/>
          <w:jc w:val="center"/>
        </w:trPr>
        <w:tc>
          <w:tcPr>
            <w:tcW w:w="953" w:type="dxa"/>
            <w:vAlign w:val="center"/>
          </w:tcPr>
          <w:p w14:paraId="155798F5">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3</w:t>
            </w:r>
          </w:p>
        </w:tc>
        <w:tc>
          <w:tcPr>
            <w:tcW w:w="3651" w:type="dxa"/>
            <w:vAlign w:val="center"/>
          </w:tcPr>
          <w:p w14:paraId="73DE4C15">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茶叶</w:t>
            </w:r>
            <w:r>
              <w:rPr>
                <w:rFonts w:hint="eastAsia" w:ascii="Calibri" w:hAnsi="Calibri" w:eastAsia="宋体" w:cs="宋体"/>
                <w:color w:val="auto"/>
                <w:szCs w:val="24"/>
                <w:lang w:val="en-US" w:eastAsia="zh-CN"/>
              </w:rPr>
              <w:t>产能提升主体</w:t>
            </w:r>
            <w:r>
              <w:rPr>
                <w:rFonts w:hint="eastAsia" w:ascii="Calibri" w:hAnsi="Calibri" w:eastAsia="宋体" w:cs="宋体"/>
                <w:color w:val="auto"/>
                <w:szCs w:val="24"/>
                <w:lang w:val="en-US" w:eastAsia="zh-Hans"/>
              </w:rPr>
              <w:t>培育班</w:t>
            </w:r>
          </w:p>
        </w:tc>
        <w:tc>
          <w:tcPr>
            <w:tcW w:w="1907" w:type="dxa"/>
            <w:vAlign w:val="center"/>
          </w:tcPr>
          <w:p w14:paraId="72223C92">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1期</w:t>
            </w:r>
          </w:p>
        </w:tc>
        <w:tc>
          <w:tcPr>
            <w:tcW w:w="3287" w:type="dxa"/>
            <w:vAlign w:val="center"/>
          </w:tcPr>
          <w:p w14:paraId="58111ED2">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50人</w:t>
            </w:r>
          </w:p>
        </w:tc>
      </w:tr>
      <w:tr w14:paraId="5C18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exact"/>
          <w:jc w:val="center"/>
        </w:trPr>
        <w:tc>
          <w:tcPr>
            <w:tcW w:w="953" w:type="dxa"/>
            <w:vAlign w:val="center"/>
          </w:tcPr>
          <w:p w14:paraId="75AF28C1">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4</w:t>
            </w:r>
          </w:p>
        </w:tc>
        <w:tc>
          <w:tcPr>
            <w:tcW w:w="3651" w:type="dxa"/>
            <w:vAlign w:val="center"/>
          </w:tcPr>
          <w:p w14:paraId="4528FF9D">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水果</w:t>
            </w:r>
            <w:r>
              <w:rPr>
                <w:rFonts w:hint="eastAsia" w:ascii="Calibri" w:hAnsi="Calibri" w:eastAsia="宋体" w:cs="宋体"/>
                <w:color w:val="auto"/>
                <w:szCs w:val="24"/>
                <w:lang w:val="en-US" w:eastAsia="zh-CN"/>
              </w:rPr>
              <w:t>产能提升主体</w:t>
            </w:r>
            <w:r>
              <w:rPr>
                <w:rFonts w:hint="eastAsia" w:ascii="Calibri" w:hAnsi="Calibri" w:eastAsia="宋体" w:cs="宋体"/>
                <w:color w:val="auto"/>
                <w:szCs w:val="24"/>
                <w:lang w:val="en-US" w:eastAsia="zh-Hans"/>
              </w:rPr>
              <w:t>培育班</w:t>
            </w:r>
          </w:p>
        </w:tc>
        <w:tc>
          <w:tcPr>
            <w:tcW w:w="1907" w:type="dxa"/>
            <w:vAlign w:val="center"/>
          </w:tcPr>
          <w:p w14:paraId="09BED251">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1期</w:t>
            </w:r>
          </w:p>
        </w:tc>
        <w:tc>
          <w:tcPr>
            <w:tcW w:w="3287" w:type="dxa"/>
            <w:vAlign w:val="center"/>
          </w:tcPr>
          <w:p w14:paraId="55686A48">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50人</w:t>
            </w:r>
          </w:p>
        </w:tc>
      </w:tr>
      <w:tr w14:paraId="7630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exact"/>
          <w:jc w:val="center"/>
        </w:trPr>
        <w:tc>
          <w:tcPr>
            <w:tcW w:w="953" w:type="dxa"/>
            <w:vAlign w:val="center"/>
          </w:tcPr>
          <w:p w14:paraId="14F12C08">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w:t>
            </w:r>
          </w:p>
        </w:tc>
        <w:tc>
          <w:tcPr>
            <w:tcW w:w="3651" w:type="dxa"/>
            <w:vAlign w:val="center"/>
          </w:tcPr>
          <w:p w14:paraId="291F940C">
            <w:pPr>
              <w:spacing w:line="440" w:lineRule="exact"/>
              <w:ind w:firstLine="0" w:firstLineChars="0"/>
              <w:jc w:val="center"/>
              <w:rPr>
                <w:rFonts w:hint="eastAsia" w:ascii="Calibri" w:hAnsi="Calibri" w:eastAsia="宋体" w:cs="宋体"/>
                <w:color w:val="auto"/>
                <w:szCs w:val="24"/>
                <w:lang w:val="en-US" w:eastAsia="zh-Hans"/>
              </w:rPr>
            </w:pPr>
            <w:r>
              <w:rPr>
                <w:rFonts w:hint="eastAsia" w:ascii="宋体" w:hAnsi="宋体" w:eastAsia="宋体" w:cs="宋体"/>
                <w:color w:val="auto"/>
                <w:sz w:val="22"/>
                <w:szCs w:val="22"/>
                <w:lang w:val="en-US" w:eastAsia="zh-CN"/>
              </w:rPr>
              <w:t>农业经理人班</w:t>
            </w:r>
          </w:p>
        </w:tc>
        <w:tc>
          <w:tcPr>
            <w:tcW w:w="1907" w:type="dxa"/>
            <w:vAlign w:val="center"/>
          </w:tcPr>
          <w:p w14:paraId="6CCA4118">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1期</w:t>
            </w:r>
          </w:p>
        </w:tc>
        <w:tc>
          <w:tcPr>
            <w:tcW w:w="3287" w:type="dxa"/>
            <w:vAlign w:val="center"/>
          </w:tcPr>
          <w:p w14:paraId="4C602647">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50人</w:t>
            </w:r>
          </w:p>
        </w:tc>
      </w:tr>
      <w:tr w14:paraId="4982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exact"/>
          <w:jc w:val="center"/>
        </w:trPr>
        <w:tc>
          <w:tcPr>
            <w:tcW w:w="953" w:type="dxa"/>
            <w:vAlign w:val="center"/>
          </w:tcPr>
          <w:p w14:paraId="340DDD13">
            <w:pPr>
              <w:spacing w:line="440" w:lineRule="exact"/>
              <w:ind w:firstLine="0" w:firstLineChars="0"/>
              <w:jc w:val="center"/>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CN"/>
              </w:rPr>
              <w:t>6</w:t>
            </w:r>
          </w:p>
        </w:tc>
        <w:tc>
          <w:tcPr>
            <w:tcW w:w="3651" w:type="dxa"/>
            <w:vAlign w:val="center"/>
          </w:tcPr>
          <w:p w14:paraId="5B6D9326">
            <w:pPr>
              <w:spacing w:line="440" w:lineRule="exact"/>
              <w:ind w:firstLine="0" w:firstLineChars="0"/>
              <w:jc w:val="center"/>
              <w:rPr>
                <w:rFonts w:hint="eastAsia" w:ascii="宋体" w:hAnsi="宋体" w:eastAsia="宋体" w:cs="宋体"/>
                <w:color w:val="auto"/>
                <w:kern w:val="2"/>
                <w:sz w:val="22"/>
                <w:szCs w:val="22"/>
                <w:lang w:val="en-US" w:eastAsia="zh-Hans" w:bidi="ar-SA"/>
              </w:rPr>
            </w:pPr>
            <w:r>
              <w:rPr>
                <w:rFonts w:hint="eastAsia" w:ascii="宋体" w:hAnsi="宋体" w:eastAsia="宋体" w:cs="宋体"/>
                <w:color w:val="auto"/>
                <w:kern w:val="2"/>
                <w:sz w:val="22"/>
                <w:szCs w:val="22"/>
                <w:lang w:val="en-US" w:eastAsia="zh-CN" w:bidi="ar-SA"/>
              </w:rPr>
              <w:t>数智技术应用专题班</w:t>
            </w:r>
          </w:p>
        </w:tc>
        <w:tc>
          <w:tcPr>
            <w:tcW w:w="1907" w:type="dxa"/>
            <w:vAlign w:val="center"/>
          </w:tcPr>
          <w:p w14:paraId="0DCA7D28">
            <w:pPr>
              <w:spacing w:line="440" w:lineRule="exact"/>
              <w:ind w:firstLine="0" w:firstLineChars="0"/>
              <w:jc w:val="center"/>
              <w:rPr>
                <w:rFonts w:hint="eastAsia" w:ascii="Calibri" w:hAnsi="Calibri" w:eastAsia="宋体" w:cs="宋体"/>
                <w:color w:val="auto"/>
                <w:kern w:val="2"/>
                <w:sz w:val="24"/>
                <w:szCs w:val="24"/>
                <w:lang w:val="en-US" w:eastAsia="zh-Hans" w:bidi="ar-SA"/>
              </w:rPr>
            </w:pPr>
            <w:r>
              <w:rPr>
                <w:rFonts w:hint="eastAsia" w:ascii="Calibri" w:hAnsi="Calibri" w:eastAsia="宋体" w:cs="宋体"/>
                <w:color w:val="auto"/>
                <w:szCs w:val="24"/>
                <w:lang w:val="en-US" w:eastAsia="zh-Hans"/>
              </w:rPr>
              <w:t>1期</w:t>
            </w:r>
          </w:p>
        </w:tc>
        <w:tc>
          <w:tcPr>
            <w:tcW w:w="3287" w:type="dxa"/>
            <w:vAlign w:val="center"/>
          </w:tcPr>
          <w:p w14:paraId="3492DCA8">
            <w:pPr>
              <w:spacing w:line="440" w:lineRule="exact"/>
              <w:ind w:firstLine="0" w:firstLineChars="0"/>
              <w:jc w:val="center"/>
              <w:rPr>
                <w:rFonts w:hint="eastAsia" w:ascii="Calibri" w:hAnsi="Calibri" w:eastAsia="宋体" w:cs="宋体"/>
                <w:color w:val="auto"/>
                <w:kern w:val="2"/>
                <w:sz w:val="24"/>
                <w:szCs w:val="24"/>
                <w:lang w:val="en-US" w:eastAsia="zh-Hans" w:bidi="ar-SA"/>
              </w:rPr>
            </w:pPr>
            <w:r>
              <w:rPr>
                <w:rFonts w:hint="eastAsia" w:ascii="Calibri" w:hAnsi="Calibri" w:eastAsia="宋体" w:cs="宋体"/>
                <w:color w:val="auto"/>
                <w:szCs w:val="24"/>
                <w:lang w:val="en-US" w:eastAsia="zh-Hans"/>
              </w:rPr>
              <w:t>50人</w:t>
            </w:r>
          </w:p>
        </w:tc>
      </w:tr>
      <w:tr w14:paraId="100E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exact"/>
          <w:jc w:val="center"/>
        </w:trPr>
        <w:tc>
          <w:tcPr>
            <w:tcW w:w="953" w:type="dxa"/>
            <w:vAlign w:val="center"/>
          </w:tcPr>
          <w:p w14:paraId="5E4DBB84">
            <w:pPr>
              <w:spacing w:line="440" w:lineRule="exact"/>
              <w:ind w:firstLine="0" w:firstLineChars="0"/>
              <w:jc w:val="center"/>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CN"/>
              </w:rPr>
              <w:t>7</w:t>
            </w:r>
          </w:p>
        </w:tc>
        <w:tc>
          <w:tcPr>
            <w:tcW w:w="3651" w:type="dxa"/>
            <w:vAlign w:val="center"/>
          </w:tcPr>
          <w:p w14:paraId="665AB70C">
            <w:pPr>
              <w:spacing w:line="440" w:lineRule="exact"/>
              <w:ind w:firstLine="0" w:firstLineChars="0"/>
              <w:jc w:val="center"/>
              <w:rPr>
                <w:rFonts w:hint="eastAsia" w:ascii="Calibri" w:hAnsi="Calibri" w:eastAsia="宋体" w:cs="宋体"/>
                <w:color w:val="auto"/>
                <w:kern w:val="2"/>
                <w:sz w:val="24"/>
                <w:szCs w:val="24"/>
                <w:lang w:val="en-US" w:eastAsia="zh-Hans" w:bidi="ar-SA"/>
              </w:rPr>
            </w:pPr>
            <w:r>
              <w:rPr>
                <w:rFonts w:hint="eastAsia" w:ascii="Calibri" w:hAnsi="Calibri" w:eastAsia="宋体" w:cs="宋体"/>
                <w:color w:val="auto"/>
                <w:szCs w:val="24"/>
                <w:lang w:val="en-US" w:eastAsia="zh-CN"/>
              </w:rPr>
              <w:t>乡土文化能人专题班</w:t>
            </w:r>
          </w:p>
        </w:tc>
        <w:tc>
          <w:tcPr>
            <w:tcW w:w="1907" w:type="dxa"/>
            <w:vAlign w:val="center"/>
          </w:tcPr>
          <w:p w14:paraId="0E019527">
            <w:pPr>
              <w:spacing w:line="440" w:lineRule="exact"/>
              <w:ind w:firstLine="0" w:firstLineChars="0"/>
              <w:jc w:val="center"/>
              <w:rPr>
                <w:rFonts w:hint="eastAsia" w:ascii="Calibri" w:hAnsi="Calibri" w:eastAsia="宋体" w:cs="宋体"/>
                <w:color w:val="auto"/>
                <w:kern w:val="2"/>
                <w:sz w:val="24"/>
                <w:szCs w:val="24"/>
                <w:lang w:val="en-US" w:eastAsia="zh-Hans" w:bidi="ar-SA"/>
              </w:rPr>
            </w:pPr>
            <w:r>
              <w:rPr>
                <w:rFonts w:hint="eastAsia" w:ascii="Calibri" w:hAnsi="Calibri" w:eastAsia="宋体" w:cs="宋体"/>
                <w:color w:val="auto"/>
                <w:szCs w:val="24"/>
                <w:lang w:val="en-US" w:eastAsia="zh-Hans"/>
              </w:rPr>
              <w:t>1期</w:t>
            </w:r>
          </w:p>
        </w:tc>
        <w:tc>
          <w:tcPr>
            <w:tcW w:w="3287" w:type="dxa"/>
            <w:vAlign w:val="center"/>
          </w:tcPr>
          <w:p w14:paraId="2B82113C">
            <w:pPr>
              <w:spacing w:line="440" w:lineRule="exact"/>
              <w:ind w:firstLine="0" w:firstLineChars="0"/>
              <w:jc w:val="center"/>
              <w:rPr>
                <w:rFonts w:hint="eastAsia" w:ascii="Calibri" w:hAnsi="Calibri" w:eastAsia="宋体" w:cs="宋体"/>
                <w:color w:val="auto"/>
                <w:kern w:val="2"/>
                <w:sz w:val="24"/>
                <w:szCs w:val="24"/>
                <w:lang w:val="en-US" w:eastAsia="zh-Hans" w:bidi="ar-SA"/>
              </w:rPr>
            </w:pPr>
            <w:r>
              <w:rPr>
                <w:rFonts w:hint="eastAsia" w:ascii="Calibri" w:hAnsi="Calibri" w:eastAsia="宋体" w:cs="宋体"/>
                <w:color w:val="auto"/>
                <w:szCs w:val="24"/>
                <w:lang w:val="en-US" w:eastAsia="zh-Hans"/>
              </w:rPr>
              <w:t>50人</w:t>
            </w:r>
          </w:p>
        </w:tc>
      </w:tr>
    </w:tbl>
    <w:p w14:paraId="582AF352">
      <w:pPr>
        <w:spacing w:line="440" w:lineRule="exact"/>
        <w:ind w:firstLine="480" w:firstLineChars="200"/>
        <w:rPr>
          <w:rFonts w:hint="default" w:ascii="Calibri" w:hAnsi="Calibri" w:eastAsia="宋体" w:cs="宋体"/>
          <w:color w:val="auto"/>
          <w:szCs w:val="24"/>
          <w:lang w:val="en-US" w:eastAsia="zh-Hans"/>
        </w:rPr>
      </w:pPr>
      <w:r>
        <w:rPr>
          <w:rFonts w:hint="eastAsia" w:ascii="Calibri" w:hAnsi="Calibri" w:eastAsia="宋体" w:cs="宋体"/>
          <w:color w:val="auto"/>
          <w:szCs w:val="24"/>
          <w:lang w:val="en-US" w:eastAsia="zh-CN"/>
        </w:rPr>
        <w:t>九</w:t>
      </w:r>
      <w:r>
        <w:rPr>
          <w:rFonts w:hint="default" w:ascii="Calibri" w:hAnsi="Calibri" w:eastAsia="宋体" w:cs="宋体"/>
          <w:color w:val="auto"/>
          <w:szCs w:val="24"/>
          <w:lang w:val="en-US" w:eastAsia="zh-Hans"/>
        </w:rPr>
        <w:t>、培训质量要求</w:t>
      </w:r>
    </w:p>
    <w:p w14:paraId="74C03DD8">
      <w:pPr>
        <w:spacing w:line="440" w:lineRule="exact"/>
        <w:ind w:firstLine="480" w:firstLineChars="200"/>
        <w:rPr>
          <w:rFonts w:hint="default" w:ascii="Calibri" w:hAnsi="Calibri" w:eastAsia="宋体" w:cs="宋体"/>
          <w:color w:val="auto"/>
          <w:szCs w:val="24"/>
          <w:lang w:val="en-US" w:eastAsia="zh-Hans"/>
        </w:rPr>
      </w:pPr>
      <w:r>
        <w:rPr>
          <w:rFonts w:hint="default" w:ascii="Calibri" w:hAnsi="Calibri" w:eastAsia="宋体" w:cs="宋体"/>
          <w:color w:val="auto"/>
          <w:szCs w:val="24"/>
          <w:lang w:val="en-US" w:eastAsia="zh-Hans"/>
        </w:rPr>
        <w:t>1. 制定详细的培训方案，明确培训目标、内容、方式、时间安排等，报</w:t>
      </w:r>
      <w:r>
        <w:rPr>
          <w:rFonts w:hint="default" w:ascii="Calibri" w:hAnsi="Calibri" w:eastAsia="宋体" w:cs="宋体"/>
          <w:color w:val="auto"/>
          <w:szCs w:val="24"/>
          <w:lang w:val="en-US" w:eastAsia="zh-CN"/>
        </w:rPr>
        <w:t>相关部门</w:t>
      </w:r>
      <w:r>
        <w:rPr>
          <w:rFonts w:hint="default" w:ascii="Calibri" w:hAnsi="Calibri" w:eastAsia="宋体" w:cs="宋体"/>
          <w:color w:val="auto"/>
          <w:szCs w:val="24"/>
          <w:lang w:val="en-US" w:eastAsia="zh-Hans"/>
        </w:rPr>
        <w:t>审核通过后实施。</w:t>
      </w:r>
    </w:p>
    <w:p w14:paraId="567222A8">
      <w:pPr>
        <w:spacing w:line="440" w:lineRule="exact"/>
        <w:ind w:firstLine="480" w:firstLineChars="200"/>
        <w:rPr>
          <w:rFonts w:hint="default" w:ascii="Calibri" w:hAnsi="Calibri" w:eastAsia="宋体" w:cs="宋体"/>
          <w:color w:val="auto"/>
          <w:szCs w:val="24"/>
          <w:lang w:val="en-US" w:eastAsia="zh-Hans"/>
        </w:rPr>
      </w:pPr>
      <w:r>
        <w:rPr>
          <w:rFonts w:hint="default" w:ascii="Calibri" w:hAnsi="Calibri" w:eastAsia="宋体" w:cs="宋体"/>
          <w:color w:val="auto"/>
          <w:szCs w:val="24"/>
          <w:lang w:val="en-US" w:eastAsia="zh-Hans"/>
        </w:rPr>
        <w:t>2. 保证培训师资的专业性和教学质量，授课教师应具备丰富的理论知识和实践经验。</w:t>
      </w:r>
    </w:p>
    <w:p w14:paraId="1FE11415">
      <w:pPr>
        <w:spacing w:line="440" w:lineRule="exact"/>
        <w:ind w:firstLine="480" w:firstLineChars="200"/>
        <w:rPr>
          <w:rFonts w:hint="default" w:ascii="Calibri" w:hAnsi="Calibri" w:eastAsia="宋体" w:cs="宋体"/>
          <w:color w:val="auto"/>
          <w:szCs w:val="24"/>
          <w:lang w:val="en-US" w:eastAsia="zh-Hans"/>
        </w:rPr>
      </w:pPr>
      <w:r>
        <w:rPr>
          <w:rFonts w:hint="default" w:ascii="Calibri" w:hAnsi="Calibri" w:eastAsia="宋体" w:cs="宋体"/>
          <w:color w:val="auto"/>
          <w:szCs w:val="24"/>
          <w:lang w:val="en-US" w:eastAsia="zh-Hans"/>
        </w:rPr>
        <w:t>3. 严格按照培训计划组织教学，确保培训时间和内容的落实，不得随意缩减或变更。</w:t>
      </w:r>
    </w:p>
    <w:p w14:paraId="1BC8A697">
      <w:pPr>
        <w:spacing w:line="440" w:lineRule="exact"/>
        <w:ind w:firstLine="480" w:firstLineChars="200"/>
        <w:rPr>
          <w:rFonts w:hint="default" w:ascii="Calibri" w:hAnsi="Calibri" w:eastAsia="宋体" w:cs="宋体"/>
          <w:color w:val="auto"/>
          <w:szCs w:val="24"/>
          <w:lang w:val="en-US" w:eastAsia="zh-Hans"/>
        </w:rPr>
      </w:pPr>
      <w:r>
        <w:rPr>
          <w:rFonts w:hint="default" w:ascii="Calibri" w:hAnsi="Calibri" w:eastAsia="宋体" w:cs="宋体"/>
          <w:color w:val="auto"/>
          <w:szCs w:val="24"/>
          <w:lang w:val="en-US" w:eastAsia="zh-Hans"/>
        </w:rPr>
        <w:t>4. 建立完善的培训考核机制，对学员的学习成果进行考核评价，考核合格率达到</w:t>
      </w:r>
      <w:r>
        <w:rPr>
          <w:rFonts w:hint="default" w:ascii="Calibri" w:hAnsi="Calibri" w:eastAsia="宋体" w:cs="宋体"/>
          <w:color w:val="auto"/>
          <w:szCs w:val="24"/>
          <w:lang w:val="en-US" w:eastAsia="zh-CN"/>
        </w:rPr>
        <w:t>95</w:t>
      </w:r>
      <w:r>
        <w:rPr>
          <w:rFonts w:hint="default" w:ascii="Calibri" w:hAnsi="Calibri" w:eastAsia="宋体" w:cs="宋体"/>
          <w:color w:val="auto"/>
          <w:szCs w:val="24"/>
          <w:lang w:val="en-US" w:eastAsia="zh-Hans"/>
        </w:rPr>
        <w:t>%以上。</w:t>
      </w:r>
    </w:p>
    <w:p w14:paraId="175F1893">
      <w:pPr>
        <w:spacing w:line="440" w:lineRule="exact"/>
        <w:ind w:firstLine="480" w:firstLineChars="200"/>
        <w:rPr>
          <w:rFonts w:hint="default" w:ascii="Calibri" w:hAnsi="Calibri" w:eastAsia="宋体" w:cs="宋体"/>
          <w:color w:val="auto"/>
          <w:szCs w:val="24"/>
          <w:lang w:val="en-US" w:eastAsia="zh-Hans"/>
        </w:rPr>
      </w:pPr>
      <w:r>
        <w:rPr>
          <w:rFonts w:hint="default" w:ascii="Calibri" w:hAnsi="Calibri" w:eastAsia="宋体" w:cs="宋体"/>
          <w:color w:val="auto"/>
          <w:szCs w:val="24"/>
          <w:lang w:val="en-US" w:eastAsia="zh-Hans"/>
        </w:rPr>
        <w:t>5. 培训结束后，对学员进行</w:t>
      </w:r>
      <w:r>
        <w:rPr>
          <w:rFonts w:hint="default" w:ascii="Calibri" w:hAnsi="Calibri" w:eastAsia="宋体" w:cs="宋体"/>
          <w:color w:val="auto"/>
          <w:szCs w:val="24"/>
          <w:lang w:val="en-US" w:eastAsia="zh-CN"/>
        </w:rPr>
        <w:t>一年</w:t>
      </w:r>
      <w:r>
        <w:rPr>
          <w:rFonts w:hint="default" w:ascii="Calibri" w:hAnsi="Calibri" w:eastAsia="宋体" w:cs="宋体"/>
          <w:color w:val="auto"/>
          <w:szCs w:val="24"/>
          <w:lang w:val="en-US" w:eastAsia="zh-Hans"/>
        </w:rPr>
        <w:t>跟踪服务，了解学员的应用情况和需求，提供必要的技术支持和指导。</w:t>
      </w:r>
    </w:p>
    <w:p w14:paraId="68C9ADA4">
      <w:pPr>
        <w:spacing w:line="440" w:lineRule="exact"/>
        <w:ind w:firstLine="480" w:firstLineChars="200"/>
        <w:rPr>
          <w:rFonts w:hint="default" w:ascii="Calibri" w:hAnsi="Calibri" w:eastAsia="宋体" w:cs="宋体"/>
          <w:color w:val="auto"/>
          <w:szCs w:val="24"/>
          <w:lang w:val="en-US" w:eastAsia="zh-Hans"/>
        </w:rPr>
      </w:pPr>
      <w:r>
        <w:rPr>
          <w:rFonts w:hint="default" w:ascii="Calibri" w:hAnsi="Calibri" w:eastAsia="宋体" w:cs="宋体"/>
          <w:color w:val="auto"/>
          <w:szCs w:val="24"/>
          <w:lang w:val="en-US" w:eastAsia="zh-Hans"/>
        </w:rPr>
        <w:t>6. 定期向采购人汇报培训进展情况和存在的问题，接受采购人的监督和检查。</w:t>
      </w:r>
    </w:p>
    <w:p w14:paraId="576C4E41">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十、验收标准</w:t>
      </w:r>
    </w:p>
    <w:p w14:paraId="6B4623FB">
      <w:pPr>
        <w:spacing w:line="440" w:lineRule="exact"/>
        <w:ind w:left="0" w:leftChars="0"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 供应商按照合同约定完成全部培训任务，提供完整的培训资料（包括培训方案、学员名单、考勤记录、授课资料、考核试卷、结业证书、培训总结等）。</w:t>
      </w:r>
    </w:p>
    <w:p w14:paraId="26673492">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2. 学员对培训的满意度达到90%以上，通过问卷调查、现场访谈等方式进行评估。</w:t>
      </w:r>
    </w:p>
    <w:p w14:paraId="20847A5C">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3. 采购人组织相关专家对培训效果进行评估，根据培训目标和质量要求，对培训内容、教学方法、实践操作、考核情况等进行综合评价，评价结果合格。</w:t>
      </w:r>
    </w:p>
    <w:p w14:paraId="10012290">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4. 跟踪服务期间，学员在实际生产经营中应用所学知识和技能取得一定的成效，得到当地农业部门或相关产业组织的认可。</w:t>
      </w:r>
    </w:p>
    <w:p w14:paraId="53567C7C">
      <w:pPr>
        <w:spacing w:line="440" w:lineRule="exact"/>
        <w:ind w:firstLine="480" w:firstLineChars="200"/>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CN"/>
        </w:rPr>
        <w:t>十一、其他要求</w:t>
      </w:r>
    </w:p>
    <w:p w14:paraId="02BB8F72">
      <w:pPr>
        <w:spacing w:line="440" w:lineRule="exact"/>
        <w:ind w:firstLine="480" w:firstLineChars="200"/>
        <w:rPr>
          <w:rFonts w:hint="default" w:ascii="Calibri" w:hAnsi="Calibri" w:eastAsia="宋体" w:cs="宋体"/>
          <w:color w:val="auto"/>
          <w:szCs w:val="24"/>
          <w:lang w:val="en-US" w:eastAsia="zh-CN"/>
        </w:rPr>
      </w:pPr>
      <w:r>
        <w:rPr>
          <w:rFonts w:hint="default" w:ascii="Calibri" w:hAnsi="Calibri" w:eastAsia="宋体" w:cs="宋体"/>
          <w:color w:val="auto"/>
          <w:szCs w:val="24"/>
          <w:lang w:val="en-US" w:eastAsia="zh-CN"/>
        </w:rPr>
        <w:t>1.相关要求不明确、不清晰部分均按照《农业农村部农村社会事业促进司关于印发〈高素质农民培育项目管理工作规程(试行)〉和〈高素质农民培育规范(修订)〉的通知》（农社综函〔2025〕15 号）以及《湖南省农业农村厅办公室关于印发〈湖南省 202</w:t>
      </w:r>
      <w:r>
        <w:rPr>
          <w:rFonts w:hint="eastAsia" w:ascii="Calibri" w:hAnsi="Calibri" w:eastAsia="宋体" w:cs="宋体"/>
          <w:color w:val="auto"/>
          <w:szCs w:val="24"/>
          <w:lang w:val="en-US" w:eastAsia="zh-CN"/>
        </w:rPr>
        <w:t>6</w:t>
      </w:r>
      <w:r>
        <w:rPr>
          <w:rFonts w:hint="default" w:ascii="Calibri" w:hAnsi="Calibri" w:eastAsia="宋体" w:cs="宋体"/>
          <w:color w:val="auto"/>
          <w:szCs w:val="24"/>
          <w:lang w:val="en-US" w:eastAsia="zh-CN"/>
        </w:rPr>
        <w:t>年高素质农民培育工作实施方案〉的通知》（湘农办发〔202</w:t>
      </w:r>
      <w:r>
        <w:rPr>
          <w:rFonts w:hint="eastAsia" w:ascii="Calibri" w:hAnsi="Calibri" w:eastAsia="宋体" w:cs="宋体"/>
          <w:color w:val="auto"/>
          <w:szCs w:val="24"/>
          <w:lang w:val="en-US" w:eastAsia="zh-CN"/>
        </w:rPr>
        <w:t>6</w:t>
      </w:r>
      <w:r>
        <w:rPr>
          <w:rFonts w:hint="default" w:ascii="Calibri" w:hAnsi="Calibri" w:eastAsia="宋体" w:cs="宋体"/>
          <w:color w:val="auto"/>
          <w:szCs w:val="24"/>
          <w:lang w:val="en-US" w:eastAsia="zh-CN"/>
        </w:rPr>
        <w:t>〕</w:t>
      </w:r>
      <w:r>
        <w:rPr>
          <w:rFonts w:hint="eastAsia" w:ascii="Calibri" w:hAnsi="Calibri" w:eastAsia="宋体" w:cs="宋体"/>
          <w:color w:val="auto"/>
          <w:szCs w:val="24"/>
          <w:lang w:val="en-US" w:eastAsia="zh-CN"/>
        </w:rPr>
        <w:t>22</w:t>
      </w:r>
      <w:r>
        <w:rPr>
          <w:rFonts w:hint="default" w:ascii="Calibri" w:hAnsi="Calibri" w:eastAsia="宋体" w:cs="宋体"/>
          <w:color w:val="auto"/>
          <w:szCs w:val="24"/>
          <w:lang w:val="en-US" w:eastAsia="zh-CN"/>
        </w:rPr>
        <w:t xml:space="preserve"> 号）等文件要求执行。 </w:t>
      </w:r>
    </w:p>
    <w:p w14:paraId="59182CF0">
      <w:pPr>
        <w:spacing w:line="440" w:lineRule="exact"/>
        <w:ind w:firstLine="480" w:firstLineChars="200"/>
        <w:rPr>
          <w:rFonts w:hint="default" w:ascii="Calibri" w:hAnsi="Calibri" w:eastAsia="宋体" w:cs="宋体"/>
          <w:color w:val="auto"/>
          <w:szCs w:val="24"/>
          <w:lang w:val="en-US" w:eastAsia="zh-CN"/>
        </w:rPr>
      </w:pPr>
      <w:r>
        <w:rPr>
          <w:rFonts w:hint="default" w:ascii="Calibri" w:hAnsi="Calibri" w:eastAsia="宋体" w:cs="宋体"/>
          <w:color w:val="auto"/>
          <w:szCs w:val="24"/>
          <w:lang w:val="en-US" w:eastAsia="zh-CN"/>
        </w:rPr>
        <w:t>★2.成交供应商在承办培训班时，须全程接入“农民教育培训信息管理系统”（https://ims.ngx.net. cn/state/web/common/index.html#/Login?VNK=438f1d83），实现培育全程可监管可追溯。</w:t>
      </w:r>
    </w:p>
    <w:p w14:paraId="1B757FA2">
      <w:pPr>
        <w:keepNext/>
        <w:keepLines/>
        <w:pageBreakBefore w:val="0"/>
        <w:widowControl w:val="0"/>
        <w:numPr>
          <w:ilvl w:val="2"/>
          <w:numId w:val="0"/>
        </w:numPr>
        <w:kinsoku/>
        <w:wordWrap/>
        <w:overflowPunct/>
        <w:topLinePunct w:val="0"/>
        <w:autoSpaceDE/>
        <w:autoSpaceDN/>
        <w:bidi w:val="0"/>
        <w:snapToGrid w:val="0"/>
        <w:spacing w:before="260" w:after="260" w:line="360" w:lineRule="auto"/>
        <w:ind w:left="0" w:leftChars="0" w:firstLine="858" w:firstLineChars="267"/>
        <w:jc w:val="both"/>
        <w:textAlignment w:val="auto"/>
        <w:outlineLvl w:val="2"/>
        <w:rPr>
          <w:rFonts w:hint="eastAsia" w:ascii="宋体" w:hAnsi="宋体" w:eastAsia="宋体" w:cs="宋体"/>
          <w:b/>
          <w:bCs/>
          <w:color w:val="auto"/>
          <w:kern w:val="0"/>
          <w:sz w:val="32"/>
          <w:szCs w:val="32"/>
          <w:lang w:val="en-US" w:eastAsia="zh-Hans" w:bidi="ar-SA"/>
        </w:rPr>
      </w:pPr>
      <w:bookmarkStart w:id="11" w:name="_Toc3481"/>
      <w:bookmarkStart w:id="12" w:name="_Toc769"/>
      <w:r>
        <w:rPr>
          <w:rFonts w:hint="eastAsia" w:ascii="宋体" w:hAnsi="宋体" w:eastAsia="宋体" w:cs="宋体"/>
          <w:b/>
          <w:bCs/>
          <w:color w:val="auto"/>
          <w:kern w:val="0"/>
          <w:sz w:val="32"/>
          <w:szCs w:val="32"/>
          <w:lang w:val="en-US" w:eastAsia="zh-CN" w:bidi="ar-SA"/>
        </w:rPr>
        <w:t>（3）</w:t>
      </w:r>
      <w:r>
        <w:rPr>
          <w:rFonts w:hint="eastAsia" w:ascii="宋体" w:hAnsi="宋体" w:eastAsia="宋体" w:cs="宋体"/>
          <w:b/>
          <w:bCs/>
          <w:color w:val="auto"/>
          <w:kern w:val="0"/>
          <w:sz w:val="32"/>
          <w:szCs w:val="32"/>
          <w:lang w:val="en-US" w:eastAsia="zh-Hans" w:bidi="ar-SA"/>
        </w:rPr>
        <w:t>商务要求</w:t>
      </w:r>
      <w:bookmarkEnd w:id="11"/>
      <w:bookmarkEnd w:id="12"/>
    </w:p>
    <w:tbl>
      <w:tblPr>
        <w:tblStyle w:val="9"/>
        <w:tblW w:w="1021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464"/>
        <w:gridCol w:w="7954"/>
      </w:tblGrid>
      <w:tr w14:paraId="2CC754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blHeader/>
          <w:jc w:val="center"/>
        </w:trPr>
        <w:tc>
          <w:tcPr>
            <w:tcW w:w="801" w:type="dxa"/>
            <w:tcBorders>
              <w:tl2br w:val="nil"/>
              <w:tr2bl w:val="nil"/>
            </w:tcBorders>
            <w:shd w:val="clear" w:color="B8CCE4" w:fill="FFFFFF"/>
            <w:vAlign w:val="center"/>
          </w:tcPr>
          <w:p w14:paraId="3400E00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序号</w:t>
            </w:r>
          </w:p>
        </w:tc>
        <w:tc>
          <w:tcPr>
            <w:tcW w:w="1464" w:type="dxa"/>
            <w:tcBorders>
              <w:tl2br w:val="nil"/>
              <w:tr2bl w:val="nil"/>
            </w:tcBorders>
            <w:shd w:val="clear" w:color="B8CCE4" w:fill="FFFFFF"/>
            <w:vAlign w:val="center"/>
          </w:tcPr>
          <w:p w14:paraId="4B65D6A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商务条款</w:t>
            </w:r>
          </w:p>
        </w:tc>
        <w:tc>
          <w:tcPr>
            <w:tcW w:w="7954" w:type="dxa"/>
            <w:tcBorders>
              <w:tl2br w:val="nil"/>
              <w:tr2bl w:val="nil"/>
            </w:tcBorders>
            <w:shd w:val="clear" w:color="B8CCE4" w:fill="FFFFFF"/>
            <w:vAlign w:val="center"/>
          </w:tcPr>
          <w:p w14:paraId="3E2CF47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内    容</w:t>
            </w:r>
          </w:p>
        </w:tc>
      </w:tr>
      <w:tr w14:paraId="354F0A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01" w:type="dxa"/>
            <w:tcBorders>
              <w:tl2br w:val="nil"/>
              <w:tr2bl w:val="nil"/>
            </w:tcBorders>
            <w:shd w:val="clear" w:color="C4BC96" w:fill="auto"/>
            <w:vAlign w:val="center"/>
          </w:tcPr>
          <w:p w14:paraId="2CED801D">
            <w:pPr>
              <w:keepNext w:val="0"/>
              <w:keepLines w:val="0"/>
              <w:pageBreakBefore w:val="0"/>
              <w:widowControl w:val="0"/>
              <w:numPr>
                <w:ilvl w:val="0"/>
                <w:numId w:val="3"/>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b w:val="0"/>
                <w:bCs/>
                <w:color w:val="auto"/>
                <w:sz w:val="22"/>
                <w:szCs w:val="22"/>
              </w:rPr>
            </w:pPr>
          </w:p>
        </w:tc>
        <w:tc>
          <w:tcPr>
            <w:tcW w:w="1464" w:type="dxa"/>
            <w:tcBorders>
              <w:tl2br w:val="nil"/>
              <w:tr2bl w:val="nil"/>
            </w:tcBorders>
            <w:shd w:val="clear" w:color="C4BC96" w:fill="auto"/>
            <w:vAlign w:val="center"/>
          </w:tcPr>
          <w:p w14:paraId="141FA4B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服务期</w:t>
            </w:r>
          </w:p>
        </w:tc>
        <w:tc>
          <w:tcPr>
            <w:tcW w:w="7954" w:type="dxa"/>
            <w:tcBorders>
              <w:tl2br w:val="nil"/>
              <w:tr2bl w:val="nil"/>
            </w:tcBorders>
            <w:shd w:val="clear" w:color="C4BC96" w:fill="auto"/>
            <w:vAlign w:val="center"/>
          </w:tcPr>
          <w:p w14:paraId="567CC194">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40" w:firstLineChars="200"/>
              <w:jc w:val="lef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1期。1学时为45分钟，每天不超过8个学时），初定为 2026年 12 月20日前结课。</w:t>
            </w:r>
          </w:p>
        </w:tc>
      </w:tr>
      <w:tr w14:paraId="3DBA09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01" w:type="dxa"/>
            <w:tcBorders>
              <w:tl2br w:val="nil"/>
              <w:tr2bl w:val="nil"/>
            </w:tcBorders>
            <w:shd w:val="clear" w:color="C4BC96" w:fill="auto"/>
            <w:vAlign w:val="center"/>
          </w:tcPr>
          <w:p w14:paraId="2EA05563">
            <w:pPr>
              <w:keepNext w:val="0"/>
              <w:keepLines w:val="0"/>
              <w:pageBreakBefore w:val="0"/>
              <w:widowControl w:val="0"/>
              <w:numPr>
                <w:ilvl w:val="0"/>
                <w:numId w:val="3"/>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b w:val="0"/>
                <w:bCs/>
                <w:color w:val="auto"/>
                <w:sz w:val="22"/>
                <w:szCs w:val="22"/>
              </w:rPr>
            </w:pPr>
          </w:p>
        </w:tc>
        <w:tc>
          <w:tcPr>
            <w:tcW w:w="1464" w:type="dxa"/>
            <w:tcBorders>
              <w:tl2br w:val="nil"/>
              <w:tr2bl w:val="nil"/>
            </w:tcBorders>
            <w:shd w:val="clear" w:color="C4BC96" w:fill="auto"/>
            <w:vAlign w:val="center"/>
          </w:tcPr>
          <w:p w14:paraId="71E4DBC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服务地点</w:t>
            </w:r>
          </w:p>
        </w:tc>
        <w:tc>
          <w:tcPr>
            <w:tcW w:w="7954" w:type="dxa"/>
            <w:tcBorders>
              <w:tl2br w:val="nil"/>
              <w:tr2bl w:val="nil"/>
            </w:tcBorders>
            <w:shd w:val="clear" w:color="C4BC96" w:fill="auto"/>
            <w:vAlign w:val="center"/>
          </w:tcPr>
          <w:p w14:paraId="1BDE4C20">
            <w:pPr>
              <w:keepNext w:val="0"/>
              <w:keepLines w:val="0"/>
              <w:pageBreakBefore w:val="0"/>
              <w:kinsoku/>
              <w:wordWrap/>
              <w:overflowPunct/>
              <w:topLinePunct w:val="0"/>
              <w:autoSpaceDE/>
              <w:autoSpaceDN/>
              <w:bidi w:val="0"/>
              <w:adjustRightInd/>
              <w:snapToGrid/>
              <w:spacing w:line="300" w:lineRule="exact"/>
              <w:ind w:left="0" w:leftChars="0" w:right="-89" w:rightChars="-37"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张家界市，采购人指定地点。</w:t>
            </w:r>
          </w:p>
        </w:tc>
      </w:tr>
      <w:tr w14:paraId="7688A8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01" w:type="dxa"/>
            <w:tcBorders>
              <w:tl2br w:val="nil"/>
              <w:tr2bl w:val="nil"/>
            </w:tcBorders>
            <w:shd w:val="clear" w:color="C4BC96" w:fill="auto"/>
            <w:vAlign w:val="center"/>
          </w:tcPr>
          <w:p w14:paraId="5994D4C4">
            <w:pPr>
              <w:keepNext w:val="0"/>
              <w:keepLines w:val="0"/>
              <w:pageBreakBefore w:val="0"/>
              <w:widowControl w:val="0"/>
              <w:numPr>
                <w:ilvl w:val="0"/>
                <w:numId w:val="3"/>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color w:val="auto"/>
                <w:sz w:val="22"/>
                <w:szCs w:val="22"/>
                <w:lang w:val="en-US" w:eastAsia="zh-CN"/>
              </w:rPr>
            </w:pPr>
          </w:p>
        </w:tc>
        <w:tc>
          <w:tcPr>
            <w:tcW w:w="1464" w:type="dxa"/>
            <w:tcBorders>
              <w:tl2br w:val="nil"/>
              <w:tr2bl w:val="nil"/>
            </w:tcBorders>
            <w:shd w:val="clear" w:color="C4BC96" w:fill="auto"/>
            <w:vAlign w:val="center"/>
          </w:tcPr>
          <w:p w14:paraId="4C4CEAB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服务要求</w:t>
            </w:r>
          </w:p>
        </w:tc>
        <w:tc>
          <w:tcPr>
            <w:tcW w:w="7954" w:type="dxa"/>
            <w:tcBorders>
              <w:tl2br w:val="nil"/>
              <w:tr2bl w:val="nil"/>
            </w:tcBorders>
            <w:shd w:val="clear" w:color="C4BC96" w:fill="auto"/>
            <w:vAlign w:val="center"/>
          </w:tcPr>
          <w:p w14:paraId="5F016BAF">
            <w:pPr>
              <w:keepNext w:val="0"/>
              <w:keepLines w:val="0"/>
              <w:pageBreakBefore w:val="0"/>
              <w:numPr>
                <w:ilvl w:val="0"/>
                <w:numId w:val="0"/>
              </w:numPr>
              <w:tabs>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参照《高素质农民培育规范》相关要求执行。</w:t>
            </w:r>
          </w:p>
        </w:tc>
      </w:tr>
      <w:tr w14:paraId="6D6D7E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801" w:type="dxa"/>
            <w:tcBorders>
              <w:tl2br w:val="nil"/>
              <w:tr2bl w:val="nil"/>
            </w:tcBorders>
            <w:shd w:val="clear" w:color="auto" w:fill="auto"/>
            <w:vAlign w:val="center"/>
          </w:tcPr>
          <w:p w14:paraId="31AFCB4E">
            <w:pPr>
              <w:keepNext w:val="0"/>
              <w:keepLines w:val="0"/>
              <w:pageBreakBefore w:val="0"/>
              <w:widowControl w:val="0"/>
              <w:numPr>
                <w:ilvl w:val="0"/>
                <w:numId w:val="3"/>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color w:val="auto"/>
                <w:sz w:val="22"/>
                <w:szCs w:val="22"/>
                <w:lang w:eastAsia="zh-CN"/>
              </w:rPr>
            </w:pPr>
          </w:p>
        </w:tc>
        <w:tc>
          <w:tcPr>
            <w:tcW w:w="1464" w:type="dxa"/>
            <w:tcBorders>
              <w:tl2br w:val="nil"/>
              <w:tr2bl w:val="nil"/>
            </w:tcBorders>
            <w:shd w:val="clear" w:color="auto" w:fill="auto"/>
            <w:vAlign w:val="center"/>
          </w:tcPr>
          <w:p w14:paraId="0F5D6A45">
            <w:pPr>
              <w:keepNext w:val="0"/>
              <w:keepLines w:val="0"/>
              <w:pageBreakBefore w:val="0"/>
              <w:kinsoku/>
              <w:wordWrap/>
              <w:overflowPunct/>
              <w:topLinePunct w:val="0"/>
              <w:autoSpaceDE/>
              <w:autoSpaceDN/>
              <w:bidi w:val="0"/>
              <w:adjustRightInd/>
              <w:snapToGrid/>
              <w:spacing w:line="300" w:lineRule="exact"/>
              <w:ind w:left="-65" w:leftChars="-27" w:right="-89" w:rightChars="-37" w:firstLine="0" w:firstLineChars="0"/>
              <w:jc w:val="center"/>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报价要求</w:t>
            </w:r>
          </w:p>
        </w:tc>
        <w:tc>
          <w:tcPr>
            <w:tcW w:w="7954" w:type="dxa"/>
            <w:tcBorders>
              <w:tl2br w:val="nil"/>
              <w:tr2bl w:val="nil"/>
            </w:tcBorders>
            <w:shd w:val="clear" w:color="auto" w:fill="auto"/>
            <w:vAlign w:val="center"/>
          </w:tcPr>
          <w:p w14:paraId="3F964924">
            <w:pPr>
              <w:keepNext w:val="0"/>
              <w:keepLines w:val="0"/>
              <w:pageBreakBefore w:val="0"/>
              <w:numPr>
                <w:ilvl w:val="0"/>
                <w:numId w:val="0"/>
              </w:numPr>
              <w:tabs>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不因具体项目内容变更而调整。费用含有培训所需讲师及教务组往返交通费、食宿费，场地租赁费、资料费、讲师授课费、班级管理费、现场教学费、证书费，高素质农民培育计划实施的需求摸底、课堂教学、实践教学、交流观摩、跟踪服务和总结评价等培育环节所需费用以及学员在参观实训期间的接送站班车费、异地教学交通费等及所有材料、劳务、利润、税金、各类保险、政策性及指导性文件规定的所有风险、责任、义务等一切应有费用）、学员食宿费等。采购人后期不再追加任何费用。不得给培育对象发放补助。课堂教学日均费用一般不高于培训地干部培训标准。</w:t>
            </w:r>
          </w:p>
        </w:tc>
      </w:tr>
      <w:tr w14:paraId="5A93BA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801" w:type="dxa"/>
            <w:tcBorders>
              <w:tl2br w:val="nil"/>
              <w:tr2bl w:val="nil"/>
            </w:tcBorders>
            <w:shd w:val="clear" w:color="auto" w:fill="auto"/>
            <w:vAlign w:val="center"/>
          </w:tcPr>
          <w:p w14:paraId="1ECAD724">
            <w:pPr>
              <w:keepNext w:val="0"/>
              <w:keepLines w:val="0"/>
              <w:pageBreakBefore w:val="0"/>
              <w:widowControl w:val="0"/>
              <w:numPr>
                <w:ilvl w:val="0"/>
                <w:numId w:val="3"/>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color w:val="auto"/>
                <w:sz w:val="22"/>
                <w:szCs w:val="22"/>
                <w:lang w:eastAsia="zh-CN"/>
              </w:rPr>
            </w:pPr>
          </w:p>
        </w:tc>
        <w:tc>
          <w:tcPr>
            <w:tcW w:w="1464" w:type="dxa"/>
            <w:tcBorders>
              <w:tl2br w:val="nil"/>
              <w:tr2bl w:val="nil"/>
            </w:tcBorders>
            <w:shd w:val="clear" w:color="auto" w:fill="auto"/>
            <w:vAlign w:val="center"/>
          </w:tcPr>
          <w:p w14:paraId="3756F8F6">
            <w:pPr>
              <w:keepNext w:val="0"/>
              <w:keepLines w:val="0"/>
              <w:pageBreakBefore w:val="0"/>
              <w:kinsoku/>
              <w:wordWrap/>
              <w:overflowPunct/>
              <w:topLinePunct w:val="0"/>
              <w:autoSpaceDE/>
              <w:autoSpaceDN/>
              <w:bidi w:val="0"/>
              <w:adjustRightInd/>
              <w:snapToGrid/>
              <w:spacing w:line="300" w:lineRule="exact"/>
              <w:ind w:left="-65" w:leftChars="-27" w:right="-89" w:rightChars="-37" w:firstLine="0" w:firstLineChars="0"/>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付款方式</w:t>
            </w:r>
          </w:p>
        </w:tc>
        <w:tc>
          <w:tcPr>
            <w:tcW w:w="7954" w:type="dxa"/>
            <w:tcBorders>
              <w:tl2br w:val="nil"/>
              <w:tr2bl w:val="nil"/>
            </w:tcBorders>
            <w:shd w:val="clear" w:color="auto" w:fill="auto"/>
            <w:vAlign w:val="center"/>
          </w:tcPr>
          <w:p w14:paraId="616F6C03">
            <w:pPr>
              <w:keepNext w:val="0"/>
              <w:keepLines w:val="0"/>
              <w:pageBreakBefore w:val="0"/>
              <w:numPr>
                <w:ilvl w:val="0"/>
                <w:numId w:val="0"/>
              </w:numPr>
              <w:kinsoku/>
              <w:wordWrap/>
              <w:overflowPunct/>
              <w:topLinePunct w:val="0"/>
              <w:autoSpaceDE/>
              <w:autoSpaceDN/>
              <w:bidi w:val="0"/>
              <w:adjustRightInd/>
              <w:snapToGrid/>
              <w:spacing w:line="300" w:lineRule="exact"/>
              <w:ind w:right="-58" w:rightChars="-24" w:firstLine="442" w:firstLineChars="200"/>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成交供应商按合同约定执行完毕且经采购人验收合格后，一个月内向成交供应商一次性支付合同金额的100%。</w:t>
            </w:r>
          </w:p>
        </w:tc>
      </w:tr>
      <w:tr w14:paraId="1268E4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801" w:type="dxa"/>
            <w:tcBorders>
              <w:tl2br w:val="nil"/>
              <w:tr2bl w:val="nil"/>
            </w:tcBorders>
            <w:shd w:val="clear" w:color="auto" w:fill="auto"/>
            <w:vAlign w:val="center"/>
          </w:tcPr>
          <w:p w14:paraId="32A10372">
            <w:pPr>
              <w:keepNext w:val="0"/>
              <w:keepLines w:val="0"/>
              <w:pageBreakBefore w:val="0"/>
              <w:widowControl w:val="0"/>
              <w:numPr>
                <w:ilvl w:val="0"/>
                <w:numId w:val="3"/>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color w:val="auto"/>
                <w:kern w:val="2"/>
                <w:sz w:val="22"/>
                <w:szCs w:val="22"/>
                <w:lang w:val="en-US" w:eastAsia="zh-CN" w:bidi="ar-SA"/>
              </w:rPr>
            </w:pPr>
          </w:p>
        </w:tc>
        <w:tc>
          <w:tcPr>
            <w:tcW w:w="1464" w:type="dxa"/>
            <w:tcBorders>
              <w:tl2br w:val="nil"/>
              <w:tr2bl w:val="nil"/>
            </w:tcBorders>
            <w:shd w:val="clear" w:color="auto" w:fill="auto"/>
            <w:vAlign w:val="center"/>
          </w:tcPr>
          <w:p w14:paraId="253B61AD">
            <w:pPr>
              <w:keepNext w:val="0"/>
              <w:keepLines w:val="0"/>
              <w:pageBreakBefore w:val="0"/>
              <w:kinsoku/>
              <w:wordWrap/>
              <w:overflowPunct/>
              <w:topLinePunct w:val="0"/>
              <w:autoSpaceDE/>
              <w:autoSpaceDN/>
              <w:bidi w:val="0"/>
              <w:adjustRightInd/>
              <w:snapToGrid/>
              <w:spacing w:line="300" w:lineRule="exact"/>
              <w:ind w:left="-65" w:leftChars="-27" w:right="-89" w:rightChars="-37" w:firstLine="0" w:firstLineChars="0"/>
              <w:jc w:val="center"/>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验收要求</w:t>
            </w:r>
          </w:p>
        </w:tc>
        <w:tc>
          <w:tcPr>
            <w:tcW w:w="7954" w:type="dxa"/>
            <w:tcBorders>
              <w:tl2br w:val="nil"/>
              <w:tr2bl w:val="nil"/>
            </w:tcBorders>
            <w:shd w:val="clear" w:color="auto" w:fill="auto"/>
            <w:vAlign w:val="center"/>
          </w:tcPr>
          <w:p w14:paraId="528D8BCC">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1、履约验收时间</w:t>
            </w:r>
          </w:p>
          <w:p w14:paraId="3E0422F9">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 xml:space="preserve">成交供应商提交验收申请后，由采购人30天内组织验收      </w:t>
            </w:r>
          </w:p>
          <w:p w14:paraId="0B8A8A09">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2、履约验收方式</w:t>
            </w:r>
          </w:p>
          <w:p w14:paraId="486100B2">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 xml:space="preserve">一次性验收  </w:t>
            </w:r>
          </w:p>
          <w:p w14:paraId="384C71E3">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3、履约验收程序</w:t>
            </w:r>
          </w:p>
          <w:p w14:paraId="3FCE69BB">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 xml:space="preserve">由培训机构完成全部培育任务并备齐台账资料后向采购人提交验收申请，采购人组建验收工作组，对照采购文件、合同及培育管理要求，通过资料审核、实地核查、学员回访开展验收，区分合格、整改重验等情形出具履约验收报告，验收合格后按规定公告、归档并办理资金支付。 </w:t>
            </w:r>
          </w:p>
          <w:p w14:paraId="32C8AE07">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4、履约验收内容</w:t>
            </w:r>
          </w:p>
          <w:p w14:paraId="37CFF40B">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对照政府采购文件、合同及高素质农民培育相关政策要求，核查培训机构培育任务完成数量、学时课程设置、师资实训组织、学员遴选参训情况、信息系统录入、档案资料归集、跟踪服务落实、财政资金使用及学员满意度等情况，通过查阅台账资料、实地抽查、随机回访学员等方式开展核验，结合学员代表意见综合研判项目履约情况，形成验收结论，作为资金支付、档案归档及结果公开的重要依据。</w:t>
            </w:r>
          </w:p>
          <w:p w14:paraId="4FB857B8">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5、履约验收标准</w:t>
            </w:r>
          </w:p>
          <w:p w14:paraId="51C62EB1">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rPr>
              <w:t>以采购文件、采购人需求、高素质农民培育项目管理工作规程 (试行)和国家标准所提要求为标准。</w:t>
            </w:r>
          </w:p>
        </w:tc>
      </w:tr>
      <w:tr w14:paraId="1FFC0C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36" w:hRule="atLeast"/>
          <w:jc w:val="center"/>
        </w:trPr>
        <w:tc>
          <w:tcPr>
            <w:tcW w:w="801" w:type="dxa"/>
            <w:tcBorders>
              <w:tl2br w:val="nil"/>
              <w:tr2bl w:val="nil"/>
            </w:tcBorders>
            <w:shd w:val="clear" w:color="auto" w:fill="auto"/>
            <w:vAlign w:val="center"/>
          </w:tcPr>
          <w:p w14:paraId="2337D212">
            <w:pPr>
              <w:keepNext w:val="0"/>
              <w:keepLines w:val="0"/>
              <w:pageBreakBefore w:val="0"/>
              <w:widowControl w:val="0"/>
              <w:numPr>
                <w:ilvl w:val="0"/>
                <w:numId w:val="3"/>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color w:val="auto"/>
                <w:sz w:val="22"/>
                <w:szCs w:val="22"/>
                <w:lang w:val="en-US" w:eastAsia="zh-CN"/>
              </w:rPr>
            </w:pPr>
          </w:p>
        </w:tc>
        <w:tc>
          <w:tcPr>
            <w:tcW w:w="1464" w:type="dxa"/>
            <w:tcBorders>
              <w:tl2br w:val="nil"/>
              <w:tr2bl w:val="nil"/>
            </w:tcBorders>
            <w:shd w:val="clear" w:color="auto" w:fill="auto"/>
            <w:vAlign w:val="center"/>
          </w:tcPr>
          <w:p w14:paraId="66E20AE6">
            <w:pPr>
              <w:keepNext w:val="0"/>
              <w:keepLines w:val="0"/>
              <w:pageBreakBefore w:val="0"/>
              <w:kinsoku/>
              <w:wordWrap/>
              <w:overflowPunct/>
              <w:topLinePunct w:val="0"/>
              <w:autoSpaceDE/>
              <w:autoSpaceDN/>
              <w:bidi w:val="0"/>
              <w:adjustRightInd/>
              <w:snapToGrid/>
              <w:spacing w:line="300" w:lineRule="exact"/>
              <w:ind w:left="-65" w:leftChars="-27" w:right="-89" w:rightChars="-37"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sz w:val="22"/>
                <w:szCs w:val="22"/>
                <w:lang w:val="en-US" w:eastAsia="zh-CN"/>
              </w:rPr>
              <w:t>知识产权</w:t>
            </w:r>
          </w:p>
        </w:tc>
        <w:tc>
          <w:tcPr>
            <w:tcW w:w="7954" w:type="dxa"/>
            <w:tcBorders>
              <w:tl2br w:val="nil"/>
              <w:tr2bl w:val="nil"/>
            </w:tcBorders>
            <w:shd w:val="clear" w:color="auto" w:fill="auto"/>
            <w:vAlign w:val="center"/>
          </w:tcPr>
          <w:p w14:paraId="00D62C15">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供应商须保障采购人在使用该成果或其任何一部分时不受到第三方关于侵犯专利权、商标权或工业设计权等知识产权的指控。任何第三方提出的侵权指控均与采购人无关，供应商须与第三方交涉并承担可能发生的责任与一切费用。如采购人因此而遭致损失的，供应商应赔偿该损失。</w:t>
            </w:r>
          </w:p>
          <w:p w14:paraId="3E80C577">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left="0" w:leftChars="0" w:right="-58" w:rightChars="-24" w:firstLine="440" w:firstLineChars="200"/>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eastAsia="zh-CN"/>
              </w:rPr>
              <w:t>2、本项目的所有成果著作权等知识产权和所有权益归采购人所有。未经采购人同意，成交供应商不得引用、发表和向第三者提供。采购人引用成交供应商的工作成果所完成的新的技术成果，属于采购人所有，采购人可依法享有就该项技术成果取得的精神权利、经济权利和其他权利。无论发生何种情形（包括但不限于合同提前终止或解除），采购人均有权利用成交供应商的阶段性工作成果，并且采购人引用成交供应商的阶段性工作成果所完成的新的技术成果，属于采购人所有，采购人可依法享有就该项技术成果取得的精神权利、经济权利和其他权利。</w:t>
            </w:r>
          </w:p>
        </w:tc>
      </w:tr>
    </w:tbl>
    <w:p w14:paraId="59967E99">
      <w:bookmarkStart w:id="13" w:name="_GoBack"/>
      <w:bookmarkEnd w:id="13"/>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KSOF3D47F291">
    <w:panose1 w:val="020B0604020202020204"/>
    <w:charset w:val="00"/>
    <w:family w:val="auto"/>
    <w:pitch w:val="default"/>
    <w:sig w:usb0="00000001" w:usb1="0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5AAFB"/>
    <w:multiLevelType w:val="singleLevel"/>
    <w:tmpl w:val="AA25AAFB"/>
    <w:lvl w:ilvl="0" w:tentative="0">
      <w:start w:val="1"/>
      <w:numFmt w:val="decimal"/>
      <w:suff w:val="nothing"/>
      <w:lvlText w:val="%1"/>
      <w:lvlJc w:val="left"/>
      <w:pPr>
        <w:ind w:left="0" w:firstLine="403"/>
      </w:pPr>
      <w:rPr>
        <w:rFonts w:hint="default"/>
      </w:rPr>
    </w:lvl>
  </w:abstractNum>
  <w:abstractNum w:abstractNumId="1">
    <w:nsid w:val="00000020"/>
    <w:multiLevelType w:val="multilevel"/>
    <w:tmpl w:val="00000020"/>
    <w:lvl w:ilvl="0" w:tentative="0">
      <w:start w:val="1"/>
      <w:numFmt w:val="chineseCounting"/>
      <w:suff w:val="nothing"/>
      <w:lvlText w:val="第%1章 "/>
      <w:lvlJc w:val="left"/>
      <w:pPr>
        <w:tabs>
          <w:tab w:val="left" w:pos="0"/>
        </w:tabs>
        <w:ind w:left="0" w:firstLine="402"/>
      </w:pPr>
      <w:rPr>
        <w:rFonts w:hint="eastAsia" w:ascii="微软雅黑" w:hAnsi="微软雅黑" w:eastAsia="微软雅黑" w:cs="微软雅黑"/>
        <w:sz w:val="36"/>
        <w:szCs w:val="36"/>
      </w:rPr>
    </w:lvl>
    <w:lvl w:ilvl="1" w:tentative="0">
      <w:start w:val="1"/>
      <w:numFmt w:val="chineseCounting"/>
      <w:suff w:val="nothing"/>
      <w:lvlText w:val="%2、"/>
      <w:lvlJc w:val="left"/>
      <w:pPr>
        <w:ind w:left="0" w:firstLine="402"/>
      </w:pPr>
      <w:rPr>
        <w:rFonts w:hint="eastAsia" w:ascii="黑体" w:hAnsi="黑体" w:eastAsia="黑体" w:cs="黑体"/>
      </w:rPr>
    </w:lvl>
    <w:lvl w:ilvl="2" w:tentative="0">
      <w:start w:val="1"/>
      <w:numFmt w:val="decimal"/>
      <w:suff w:val="nothing"/>
      <w:lvlText w:val="%3．"/>
      <w:lvlJc w:val="left"/>
      <w:pPr>
        <w:ind w:left="0" w:firstLine="402"/>
      </w:pPr>
      <w:rPr>
        <w:rFonts w:hint="eastAsia" w:ascii="宋体" w:hAnsi="宋体" w:eastAsia="宋体" w:cs="宋体"/>
      </w:rPr>
    </w:lvl>
    <w:lvl w:ilvl="3" w:tentative="0">
      <w:start w:val="1"/>
      <w:numFmt w:val="decimal"/>
      <w:suff w:val="nothing"/>
      <w:lvlText w:val="%3.%4"/>
      <w:lvlJc w:val="left"/>
      <w:pPr>
        <w:ind w:left="0" w:firstLine="402"/>
      </w:pPr>
      <w:rPr>
        <w:rFonts w:hint="eastAsia" w:ascii="黑体" w:hAnsi="黑体" w:eastAsia="黑体" w:cs="黑体"/>
        <w:sz w:val="24"/>
        <w:szCs w:val="24"/>
      </w:rPr>
    </w:lvl>
    <w:lvl w:ilvl="4" w:tentative="0">
      <w:start w:val="1"/>
      <w:numFmt w:val="decimal"/>
      <w:pStyle w:val="7"/>
      <w:suff w:val="nothing"/>
      <w:lvlText w:val="%3.%4.%5 "/>
      <w:lvlJc w:val="left"/>
      <w:pPr>
        <w:ind w:left="0" w:firstLine="402"/>
      </w:pPr>
      <w:rPr>
        <w:rFonts w:hint="eastAsia" w:ascii="宋体" w:hAnsi="宋体" w:eastAsia="宋体" w:cs="宋体"/>
      </w:rPr>
    </w:lvl>
    <w:lvl w:ilvl="5" w:tentative="0">
      <w:start w:val="1"/>
      <w:numFmt w:val="decimal"/>
      <w:suff w:val="nothing"/>
      <w:lvlText w:val="%3.%4.%5.%6"/>
      <w:lvlJc w:val="left"/>
      <w:pPr>
        <w:ind w:left="0" w:firstLine="402"/>
      </w:pPr>
      <w:rPr>
        <w:rFonts w:hint="eastAsia" w:ascii="宋体" w:hAnsi="宋体" w:eastAsia="宋体" w:cs="宋体"/>
      </w:rPr>
    </w:lvl>
    <w:lvl w:ilvl="6" w:tentative="0">
      <w:start w:val="1"/>
      <w:numFmt w:val="decimal"/>
      <w:suff w:val="nothing"/>
      <w:lvlText w:val="%3.%4.%5.%6.%7"/>
      <w:lvlJc w:val="left"/>
      <w:pPr>
        <w:ind w:left="0" w:firstLine="402"/>
      </w:pPr>
      <w:rPr>
        <w:rFonts w:hint="eastAsia" w:ascii="宋体" w:hAnsi="宋体" w:eastAsia="宋体" w:cs="宋体"/>
      </w:rPr>
    </w:lvl>
    <w:lvl w:ilvl="7" w:tentative="0">
      <w:start w:val="1"/>
      <w:numFmt w:val="decimal"/>
      <w:suff w:val="nothing"/>
      <w:lvlText w:val="%3.%4.%5.%6.%7.%8"/>
      <w:lvlJc w:val="left"/>
      <w:pPr>
        <w:ind w:left="0" w:firstLine="402"/>
      </w:pPr>
      <w:rPr>
        <w:rFonts w:hint="eastAsia" w:ascii="宋体" w:hAnsi="宋体" w:eastAsia="宋体" w:cs="宋体"/>
      </w:rPr>
    </w:lvl>
    <w:lvl w:ilvl="8" w:tentative="0">
      <w:start w:val="1"/>
      <w:numFmt w:val="decimal"/>
      <w:suff w:val="nothing"/>
      <w:lvlText w:val="%3.%4.%5.%6.%7.%8.%9"/>
      <w:lvlJc w:val="left"/>
      <w:pPr>
        <w:ind w:left="0" w:firstLine="402"/>
      </w:pPr>
      <w:rPr>
        <w:rFonts w:hint="eastAsia" w:ascii="宋体" w:hAnsi="宋体" w:eastAsia="宋体" w:cs="宋体"/>
      </w:rPr>
    </w:lvl>
  </w:abstractNum>
  <w:abstractNum w:abstractNumId="2">
    <w:nsid w:val="056A4F4B"/>
    <w:multiLevelType w:val="singleLevel"/>
    <w:tmpl w:val="056A4F4B"/>
    <w:lvl w:ilvl="0" w:tentative="0">
      <w:start w:val="1"/>
      <w:numFmt w:val="decimal"/>
      <w:suff w:val="nothing"/>
      <w:lvlText w:val="%1"/>
      <w:lvlJc w:val="left"/>
      <w:pPr>
        <w:ind w:left="0" w:firstLine="403"/>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F022AF"/>
    <w:rsid w:val="0FF022AF"/>
    <w:rsid w:val="12D17345"/>
    <w:rsid w:val="158B0F3B"/>
    <w:rsid w:val="2F854547"/>
    <w:rsid w:val="375877D4"/>
    <w:rsid w:val="381E37BB"/>
    <w:rsid w:val="4FD937B0"/>
    <w:rsid w:val="5C913278"/>
    <w:rsid w:val="642C0D5B"/>
    <w:rsid w:val="78757A9E"/>
    <w:rsid w:val="7EE80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Calibri" w:hAnsi="Calibri" w:eastAsia="宋体" w:cs="宋体"/>
      <w:kern w:val="2"/>
      <w:sz w:val="24"/>
      <w:szCs w:val="24"/>
      <w:lang w:val="en-US" w:eastAsia="zh-CN" w:bidi="ar-SA"/>
    </w:rPr>
  </w:style>
  <w:style w:type="paragraph" w:styleId="2">
    <w:name w:val="heading 1"/>
    <w:basedOn w:val="3"/>
    <w:next w:val="1"/>
    <w:qFormat/>
    <w:uiPriority w:val="0"/>
    <w:pPr>
      <w:keepNext/>
      <w:keepLines/>
      <w:spacing w:before="340" w:beforeLines="0" w:beforeAutospacing="0" w:after="330" w:afterLines="0" w:afterAutospacing="0" w:line="576" w:lineRule="auto"/>
      <w:jc w:val="center"/>
      <w:outlineLvl w:val="0"/>
    </w:pPr>
    <w:rPr>
      <w:rFonts w:eastAsia="宋体" w:cs="Times New Roman" w:asciiTheme="minorAscii" w:hAnsiTheme="minorAscii"/>
      <w:kern w:val="44"/>
      <w:sz w:val="32"/>
    </w:rPr>
  </w:style>
  <w:style w:type="paragraph" w:styleId="4">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0"/>
    </w:rPr>
  </w:style>
  <w:style w:type="paragraph" w:styleId="5">
    <w:name w:val="heading 3"/>
    <w:basedOn w:val="1"/>
    <w:next w:val="1"/>
    <w:semiHidden/>
    <w:unhideWhenUsed/>
    <w:qFormat/>
    <w:uiPriority w:val="0"/>
    <w:pPr>
      <w:keepNext/>
      <w:keepLines/>
      <w:spacing w:before="260" w:after="260" w:line="416" w:lineRule="auto"/>
      <w:jc w:val="center"/>
      <w:outlineLvl w:val="2"/>
    </w:pPr>
    <w:rPr>
      <w:rFonts w:ascii="Times New Roman" w:hAnsi="Times New Roman" w:eastAsia="宋体"/>
      <w:b/>
      <w:bCs/>
      <w:sz w:val="32"/>
      <w:szCs w:val="32"/>
    </w:rPr>
  </w:style>
  <w:style w:type="paragraph" w:styleId="6">
    <w:name w:val="heading 4"/>
    <w:basedOn w:val="1"/>
    <w:next w:val="1"/>
    <w:semiHidden/>
    <w:unhideWhenUsed/>
    <w:qFormat/>
    <w:uiPriority w:val="0"/>
    <w:pPr>
      <w:keepNext/>
      <w:keepLines/>
      <w:spacing w:before="280" w:beforeLines="0" w:after="290" w:afterLines="0" w:line="372" w:lineRule="auto"/>
      <w:jc w:val="left"/>
      <w:outlineLvl w:val="3"/>
    </w:pPr>
    <w:rPr>
      <w:rFonts w:ascii="Arial" w:hAnsi="Arial" w:eastAsia="黑体"/>
      <w:b/>
      <w:sz w:val="24"/>
    </w:rPr>
  </w:style>
  <w:style w:type="paragraph" w:styleId="7">
    <w:name w:val="heading 5"/>
    <w:basedOn w:val="1"/>
    <w:next w:val="1"/>
    <w:qFormat/>
    <w:uiPriority w:val="0"/>
    <w:pPr>
      <w:keepNext/>
      <w:keepLines/>
      <w:numPr>
        <w:ilvl w:val="4"/>
        <w:numId w:val="1"/>
      </w:numPr>
      <w:tabs>
        <w:tab w:val="left" w:pos="0"/>
      </w:tabs>
      <w:spacing w:before="160" w:after="290" w:line="240" w:lineRule="auto"/>
      <w:outlineLvl w:val="4"/>
    </w:pPr>
    <w:rPr>
      <w:rFonts w:ascii="Times New Roman" w:hAnsi="Times New Roman" w:eastAsia="黑体" w:cs="Times New Roman"/>
    </w:rPr>
  </w:style>
  <w:style w:type="paragraph" w:styleId="8">
    <w:name w:val="heading 6"/>
    <w:basedOn w:val="1"/>
    <w:next w:val="1"/>
    <w:semiHidden/>
    <w:unhideWhenUsed/>
    <w:qFormat/>
    <w:uiPriority w:val="0"/>
    <w:pPr>
      <w:keepNext/>
      <w:keepLines/>
      <w:spacing w:before="240" w:beforeLines="0" w:beforeAutospacing="0" w:after="64" w:afterLines="0" w:afterAutospacing="0" w:line="317" w:lineRule="auto"/>
      <w:jc w:val="center"/>
      <w:outlineLvl w:val="5"/>
    </w:pPr>
    <w:rPr>
      <w:rFonts w:ascii="Arial" w:hAnsi="Arial" w:eastAsia="黑体" w:cs="Times New Roman"/>
      <w:b/>
      <w:sz w:val="24"/>
      <w:szCs w:val="22"/>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itle"/>
    <w:basedOn w:val="1"/>
    <w:next w:val="1"/>
    <w:qFormat/>
    <w:uiPriority w:val="99"/>
    <w:pPr>
      <w:spacing w:before="240" w:after="240"/>
      <w:jc w:val="center"/>
      <w:outlineLvl w:val="0"/>
    </w:pPr>
    <w:rPr>
      <w:rFonts w:ascii="Cambria" w:hAnsi="Cambria" w:cs="Cambria"/>
      <w:b/>
      <w:bCs/>
      <w:kern w:val="0"/>
      <w:sz w:val="32"/>
      <w:szCs w:val="32"/>
    </w:rPr>
  </w:style>
  <w:style w:type="table" w:styleId="10">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12">
    <w:name w:val="文章正文"/>
    <w:qFormat/>
    <w:uiPriority w:val="0"/>
    <w:pPr>
      <w:widowControl w:val="0"/>
      <w:adjustRightInd w:val="0"/>
      <w:snapToGrid w:val="0"/>
      <w:spacing w:before="50" w:beforeLines="50" w:line="440" w:lineRule="exact"/>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3">
    <w:name w:val="正文(首行缩进)"/>
    <w:basedOn w:val="1"/>
    <w:qFormat/>
    <w:uiPriority w:val="0"/>
    <w:pPr>
      <w:widowControl/>
      <w:tabs>
        <w:tab w:val="left" w:pos="0"/>
      </w:tabs>
      <w:ind w:firstLine="1840" w:firstLineChars="200"/>
      <w:jc w:val="left"/>
    </w:pPr>
    <w:rPr>
      <w:rFonts w:ascii="Arial Narrow" w:hAnsi="Arial Narrow"/>
    </w:rPr>
  </w:style>
  <w:style w:type="paragraph" w:customStyle="1" w:styleId="14">
    <w:name w:val="表格内容左对齐"/>
    <w:basedOn w:val="1"/>
    <w:qFormat/>
    <w:uiPriority w:val="0"/>
    <w:pPr>
      <w:widowControl/>
      <w:tabs>
        <w:tab w:val="left" w:pos="0"/>
        <w:tab w:val="left" w:pos="33"/>
      </w:tabs>
      <w:spacing w:line="300" w:lineRule="exact"/>
      <w:ind w:firstLine="420" w:firstLineChars="200"/>
      <w:jc w:val="left"/>
    </w:pPr>
    <w:rPr>
      <w:rFonts w:ascii="宋体" w:hAnsi="宋体" w:eastAsia="微软雅黑"/>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2026-09-07T11:19:00Z</dcterms:created>
  <dc:creator>默默</dc:creator>
  <cp:lastModifiedBy>默默</cp:lastModifiedBy>
  <dcterms:modified xsi:type="dcterms:W3CDTF">2026-09-07T11:19:16Z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0014A8D4F5C746E3B255BB8B17696902_11</vt:lpwstr>
  </property>
  <property fmtid="{D5CDD505-2E9C-101B-9397-08002B2CF9AE}" pid="4" name="KSOTemplateDocerSaveRecord">
    <vt:lpwstr>eyJoZGlkIjoiNDMwZjUzZmEzMWE1MzAwZDEwNDRmM2Y4NTc4ZTZiODMiLCJ1c2VySWQiOiIyNDkyNjA5MzYifQ==</vt:lpwstr>
  </property>
</Properties>
</file>