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20750">
      <w:pPr>
        <w:pStyle w:val="4"/>
        <w:bidi w:val="0"/>
        <w:jc w:val="center"/>
        <w:rPr>
          <w:rFonts w:hint="eastAsia"/>
          <w:lang w:val="en-US" w:eastAsia="zh-CN"/>
        </w:rPr>
      </w:pPr>
      <w:r>
        <w:rPr>
          <w:rFonts w:hint="eastAsia"/>
          <w:lang w:val="en-US" w:eastAsia="zh-CN"/>
        </w:rPr>
        <w:t>岳阳县“隐患点＋风险区”双控体系建设及2026年技术支持服务采购项目采购需求明细</w:t>
      </w:r>
    </w:p>
    <w:p w14:paraId="69280993">
      <w:pPr>
        <w:pStyle w:val="4"/>
        <w:spacing w:before="0" w:after="0" w:line="240" w:lineRule="auto"/>
        <w:jc w:val="both"/>
        <w:rPr>
          <w:rFonts w:hint="eastAsia" w:ascii="仿宋_GB2312" w:hAnsi="仿宋_GB2312" w:eastAsia="仿宋_GB2312" w:cs="仿宋_GB2312"/>
          <w:b w:val="0"/>
          <w:bCs w:val="0"/>
          <w:kern w:val="0"/>
          <w:sz w:val="32"/>
          <w:szCs w:val="32"/>
          <w:highlight w:val="none"/>
          <w:lang w:val="en-US" w:eastAsia="zh-CN" w:bidi="ar-SA"/>
        </w:rPr>
      </w:pPr>
      <w:bookmarkStart w:id="0" w:name="_Toc19628646"/>
      <w:bookmarkStart w:id="1" w:name="_Toc13141"/>
      <w:bookmarkStart w:id="2" w:name="_Toc30099"/>
      <w:r>
        <w:rPr>
          <w:rFonts w:hint="eastAsia" w:ascii="仿宋_GB2312" w:hAnsi="仿宋_GB2312" w:eastAsia="仿宋_GB2312" w:cs="仿宋_GB2312"/>
          <w:b w:val="0"/>
          <w:bCs w:val="0"/>
          <w:kern w:val="0"/>
          <w:sz w:val="32"/>
          <w:szCs w:val="32"/>
          <w:highlight w:val="none"/>
          <w:lang w:val="en-US" w:eastAsia="zh-CN" w:bidi="ar-SA"/>
        </w:rPr>
        <w:t>1.主要内容：</w:t>
      </w:r>
    </w:p>
    <w:p w14:paraId="4344E929">
      <w:pPr>
        <w:pStyle w:val="4"/>
        <w:spacing w:before="0" w:after="0" w:line="360" w:lineRule="auto"/>
        <w:jc w:val="both"/>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（1）建设完善县级地质灾害风险双控责任体系，明确各级组织和相关人员的职责分工，明确各相关部门和企业地质灾害防治责任。</w:t>
      </w:r>
    </w:p>
    <w:p w14:paraId="7C148582">
      <w:pPr>
        <w:spacing w:line="360" w:lineRule="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（2）制定和完善地质灾害风险双控管理制度，规范开展地质灾害防治工作。</w:t>
      </w:r>
    </w:p>
    <w:p w14:paraId="74613E25">
      <w:pPr>
        <w:spacing w:line="360" w:lineRule="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（3）开展地质灾害隐患点和风险区动态调查与更新，形成风险识别“一张 图”和风险双控“一张图”，落实巡查员和监测员等风险双控责任人，建立地质灾害转移避险负责人和转移避险人员清单。</w:t>
      </w:r>
    </w:p>
    <w:p w14:paraId="1233504B">
      <w:pPr>
        <w:spacing w:line="360" w:lineRule="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（4）开展地质灾害隐患点和风险区群测群防、专业监测网络建设，构建地质灾害风险监测“一张网”；开展地质灾害隐患点和风险区动态预警，形成地质灾害风险预警“一张图”，及时发布预警信息。</w:t>
      </w:r>
    </w:p>
    <w:p w14:paraId="1F103B8D">
      <w:pPr>
        <w:spacing w:line="360" w:lineRule="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（5）开展地质灾害隐患点和风险区预警协调联动分级响应、灾情险情协调 联动分级响应和复盘评估，减少人员伤亡和财产损失。</w:t>
      </w:r>
    </w:p>
    <w:p w14:paraId="72F6AC3A">
      <w:pPr>
        <w:spacing w:line="360" w:lineRule="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（6）合理整合各级资金，有序规划开展地质灾害隐患点和风险区工程治理、避险搬迁和综合整治，减轻地质灾害风险。</w:t>
      </w:r>
    </w:p>
    <w:p w14:paraId="25D5252E">
      <w:pPr>
        <w:spacing w:line="360" w:lineRule="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（7）开展国土空间规划和用途管制中的地质灾害风险源头管控，加强切坡 建房、线性工程和矿山建设等人类工程活动引导，加强地质灾害危险性评估，控制地质灾害风险增量。</w:t>
      </w:r>
    </w:p>
    <w:p w14:paraId="38E36738">
      <w:pPr>
        <w:spacing w:line="360" w:lineRule="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（8）开展地质灾害风险科普宣传与培训演练，提升全民防灾减灾意识和识灾、避灾、自救、互救等能力。</w:t>
      </w:r>
    </w:p>
    <w:p w14:paraId="1046EC88">
      <w:pPr>
        <w:pStyle w:val="4"/>
        <w:spacing w:before="0" w:after="0" w:line="240" w:lineRule="auto"/>
        <w:jc w:val="both"/>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（9）开展地质灾害风险动态数据库和风险双控智慧服务系统或应用节点建设，提升地质灾害风险双控智慧服务水平。</w:t>
      </w:r>
    </w:p>
    <w:p w14:paraId="3E5BB738">
      <w:pPr>
        <w:widowControl/>
        <w:numPr>
          <w:ilvl w:val="0"/>
          <w:numId w:val="0"/>
        </w:numPr>
        <w:spacing w:line="600" w:lineRule="exact"/>
        <w:ind w:firstLine="320" w:firstLineChars="100"/>
        <w:rPr>
          <w:rFonts w:hint="eastAsia" w:ascii="仿宋_GB2312" w:hAnsi="仿宋_GB2312" w:eastAsia="仿宋_GB2312" w:cs="仿宋_GB2312"/>
          <w:kern w:val="0"/>
          <w:sz w:val="32"/>
          <w:szCs w:val="32"/>
          <w:lang w:val="en-US" w:eastAsia="zh-CN" w:bidi="ar-SA"/>
        </w:rPr>
      </w:pPr>
    </w:p>
    <w:p w14:paraId="4ED34AD8">
      <w:pPr>
        <w:widowControl/>
        <w:numPr>
          <w:ilvl w:val="0"/>
          <w:numId w:val="0"/>
        </w:numPr>
        <w:spacing w:line="360" w:lineRule="auto"/>
        <w:ind w:firstLine="320" w:firstLineChars="100"/>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lang w:val="en-US" w:eastAsia="zh-CN" w:bidi="ar-SA"/>
        </w:rPr>
        <w:t>2.</w:t>
      </w:r>
      <w:r>
        <w:rPr>
          <w:rFonts w:hint="eastAsia" w:ascii="仿宋_GB2312" w:hAnsi="仿宋_GB2312" w:eastAsia="仿宋_GB2312" w:cs="仿宋_GB2312"/>
          <w:kern w:val="0"/>
          <w:sz w:val="32"/>
          <w:szCs w:val="32"/>
          <w:highlight w:val="none"/>
          <w:lang w:val="en-US" w:eastAsia="zh-CN" w:bidi="ar-SA"/>
        </w:rPr>
        <w:t>技术要求：按照（1）《地质灾害防治条例》 （2003 年，国务院令第 394 号）；</w:t>
      </w:r>
    </w:p>
    <w:p w14:paraId="5D1D6A05">
      <w:pPr>
        <w:widowControl/>
        <w:numPr>
          <w:ilvl w:val="0"/>
          <w:numId w:val="0"/>
        </w:numPr>
        <w:spacing w:line="360" w:lineRule="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（2）《地质灾害防治“十四五”规划》（2022 年）；</w:t>
      </w:r>
    </w:p>
    <w:p w14:paraId="06EA1135">
      <w:pPr>
        <w:widowControl/>
        <w:numPr>
          <w:ilvl w:val="0"/>
          <w:numId w:val="0"/>
        </w:numPr>
        <w:spacing w:line="360" w:lineRule="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（3）《自然资源部地质灾害防御响应工作方案》（2020 年）；</w:t>
      </w:r>
    </w:p>
    <w:p w14:paraId="74353B7D">
      <w:pPr>
        <w:widowControl/>
        <w:numPr>
          <w:ilvl w:val="0"/>
          <w:numId w:val="0"/>
        </w:numPr>
        <w:spacing w:line="360" w:lineRule="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（4）《地质灾害群测群防体系建设指南》（2008 年）；</w:t>
      </w:r>
    </w:p>
    <w:p w14:paraId="743213AB">
      <w:pPr>
        <w:widowControl/>
        <w:numPr>
          <w:ilvl w:val="0"/>
          <w:numId w:val="0"/>
        </w:numPr>
        <w:spacing w:line="360" w:lineRule="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（5）《地质灾害风险调查评价规范（1:50000）》(DZ/T0438—2023)；</w:t>
      </w:r>
    </w:p>
    <w:p w14:paraId="569A5E6E">
      <w:pPr>
        <w:widowControl/>
        <w:numPr>
          <w:ilvl w:val="0"/>
          <w:numId w:val="0"/>
        </w:numPr>
        <w:spacing w:line="360" w:lineRule="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（6）《滑坡崩塌泥石流灾害精细调查规范》 ( DZ/T0448—2023)；</w:t>
      </w:r>
    </w:p>
    <w:p w14:paraId="41CB36D3">
      <w:pPr>
        <w:widowControl/>
        <w:numPr>
          <w:ilvl w:val="0"/>
          <w:numId w:val="0"/>
        </w:numPr>
        <w:spacing w:line="360" w:lineRule="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（7）《地质灾害气象风险预警规范》(DZ/T0449—2023)；</w:t>
      </w:r>
    </w:p>
    <w:p w14:paraId="26016866">
      <w:pPr>
        <w:widowControl/>
        <w:numPr>
          <w:ilvl w:val="0"/>
          <w:numId w:val="0"/>
        </w:numPr>
        <w:spacing w:line="360" w:lineRule="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（8）《湖南省“十四五”地质灾害防治规划》（2021—2025 年）</w:t>
      </w:r>
    </w:p>
    <w:p w14:paraId="3297C1D6">
      <w:pPr>
        <w:widowControl/>
        <w:numPr>
          <w:ilvl w:val="0"/>
          <w:numId w:val="0"/>
        </w:numPr>
        <w:spacing w:line="360" w:lineRule="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（9）《湖南省 1:1 万地质灾害调查和风险评价技术要求》（试用）（湖南省自然资源厅，2021 年 9 月）及有关补充规定；</w:t>
      </w:r>
    </w:p>
    <w:p w14:paraId="50258BAF">
      <w:pPr>
        <w:widowControl/>
        <w:numPr>
          <w:ilvl w:val="0"/>
          <w:numId w:val="0"/>
        </w:numPr>
        <w:spacing w:line="360" w:lineRule="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（10）岳阳县1:1 万地质灾害调查及风险评价野外调查阶段性成果；</w:t>
      </w:r>
    </w:p>
    <w:p w14:paraId="2EF0259B">
      <w:pPr>
        <w:widowControl/>
        <w:numPr>
          <w:ilvl w:val="0"/>
          <w:numId w:val="0"/>
        </w:numPr>
        <w:spacing w:line="360" w:lineRule="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（11）《滑坡崩塌泥石流治理工程勘查规范》（DB43/T2563－2023）；</w:t>
      </w:r>
    </w:p>
    <w:p w14:paraId="6B3352CC">
      <w:pPr>
        <w:widowControl/>
        <w:numPr>
          <w:ilvl w:val="0"/>
          <w:numId w:val="0"/>
        </w:numPr>
        <w:spacing w:line="360" w:lineRule="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（12）《地质灾害分类分级》（DZ 0238－2004）；</w:t>
      </w:r>
    </w:p>
    <w:p w14:paraId="1FEE33EE">
      <w:pPr>
        <w:widowControl/>
        <w:numPr>
          <w:ilvl w:val="0"/>
          <w:numId w:val="0"/>
        </w:numPr>
        <w:spacing w:line="360" w:lineRule="auto"/>
        <w:rPr>
          <w:rFonts w:hint="default"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（13）《县级地质灾害“隐患点+风险区”双控体系建设指南》（征求意见稿）实施。</w:t>
      </w:r>
    </w:p>
    <w:p w14:paraId="3B264631">
      <w:pPr>
        <w:pStyle w:val="2"/>
        <w:spacing w:line="360" w:lineRule="auto"/>
        <w:rPr>
          <w:rFonts w:hint="default"/>
          <w:lang w:val="en-US" w:eastAsia="zh-CN"/>
        </w:rPr>
        <w:sectPr>
          <w:pgSz w:w="11905" w:h="16839"/>
          <w:pgMar w:top="1082" w:right="1042" w:bottom="1198" w:left="1133" w:header="854" w:footer="973" w:gutter="0"/>
          <w:cols w:space="720" w:num="1"/>
        </w:sectPr>
      </w:pPr>
    </w:p>
    <w:p w14:paraId="3E9CC927">
      <w:pPr>
        <w:pStyle w:val="4"/>
        <w:spacing w:before="0" w:after="0" w:line="240" w:lineRule="auto"/>
        <w:jc w:val="both"/>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3.验收要求：1、地质灾害风险区划图：县域 1 份、乡镇 14 份。</w:t>
      </w:r>
    </w:p>
    <w:p w14:paraId="687FA55A">
      <w:pPr>
        <w:pStyle w:val="4"/>
        <w:ind w:firstLine="320" w:firstLineChars="100"/>
        <w:jc w:val="both"/>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2、地质灾害风险防控图：县域 1 份、乡镇 14 份。</w:t>
      </w:r>
    </w:p>
    <w:p w14:paraId="570F45C1">
      <w:pPr>
        <w:pStyle w:val="4"/>
        <w:ind w:firstLine="320" w:firstLineChars="100"/>
        <w:jc w:val="both"/>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3、隐患点+风险区监测网规划图：县域 1 份、乡镇 14 份。</w:t>
      </w:r>
    </w:p>
    <w:p w14:paraId="7C04C4F2">
      <w:pPr>
        <w:pStyle w:val="4"/>
        <w:ind w:firstLine="320" w:firstLineChars="100"/>
        <w:jc w:val="both"/>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4、隐患点+风险区预警图：县域 1 份、乡镇 14 份。</w:t>
      </w:r>
    </w:p>
    <w:p w14:paraId="4AB6A0AB">
      <w:pPr>
        <w:pStyle w:val="4"/>
        <w:ind w:firstLine="320" w:firstLineChars="100"/>
        <w:jc w:val="both"/>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5、风险规避消减项目库建设。</w:t>
      </w:r>
    </w:p>
    <w:p w14:paraId="1F6CBCD6">
      <w:pPr>
        <w:pStyle w:val="4"/>
        <w:ind w:firstLine="320" w:firstLineChars="100"/>
        <w:jc w:val="both"/>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6、地质灾害防治制度建设。</w:t>
      </w:r>
    </w:p>
    <w:p w14:paraId="225D058B">
      <w:pPr>
        <w:pStyle w:val="4"/>
        <w:ind w:firstLine="320" w:firstLineChars="100"/>
        <w:jc w:val="both"/>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7、地质灾害防治工作手册编制。</w:t>
      </w:r>
    </w:p>
    <w:p w14:paraId="614B458E">
      <w:pPr>
        <w:pStyle w:val="4"/>
        <w:ind w:firstLine="320" w:firstLineChars="100"/>
        <w:jc w:val="both"/>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8、县级智慧平台建设。</w:t>
      </w:r>
    </w:p>
    <w:p w14:paraId="0A3D222C">
      <w:pPr>
        <w:pStyle w:val="4"/>
        <w:ind w:firstLine="320" w:firstLineChars="100"/>
        <w:jc w:val="both"/>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9、风险居民信息造册登记。</w:t>
      </w:r>
    </w:p>
    <w:p w14:paraId="3E4AA3B9">
      <w:pPr>
        <w:pStyle w:val="4"/>
        <w:ind w:firstLine="320" w:firstLineChars="100"/>
        <w:jc w:val="both"/>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10、地质灾害防灾工作明白卡、地质灾害防灾避险明白卡、切坡建房风险提示单张贴。</w:t>
      </w:r>
    </w:p>
    <w:p w14:paraId="66C95CFA">
      <w:pPr>
        <w:pStyle w:val="4"/>
        <w:ind w:firstLine="320" w:firstLineChars="100"/>
        <w:jc w:val="both"/>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11、风险区+隐患点警示牌制作。</w:t>
      </w:r>
    </w:p>
    <w:p w14:paraId="53EB887A">
      <w:pPr>
        <w:pStyle w:val="4"/>
        <w:ind w:firstLine="320" w:firstLineChars="100"/>
        <w:jc w:val="both"/>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12、更新完善村级应急避险转移预案。</w:t>
      </w:r>
    </w:p>
    <w:p w14:paraId="006D35D6">
      <w:pPr>
        <w:numPr>
          <w:ilvl w:val="0"/>
          <w:numId w:val="0"/>
        </w:numPr>
        <w:ind w:firstLine="320" w:firstLineChars="100"/>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13、点面双控体系建设试点成果报告一份。</w:t>
      </w:r>
    </w:p>
    <w:p w14:paraId="4311CEDA">
      <w:pPr>
        <w:numPr>
          <w:ilvl w:val="0"/>
          <w:numId w:val="0"/>
        </w:numPr>
        <w:ind w:firstLine="0" w:firstLineChars="0"/>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4、质量要求：</w:t>
      </w:r>
    </w:p>
    <w:p w14:paraId="7630B80F">
      <w:pPr>
        <w:numPr>
          <w:ilvl w:val="0"/>
          <w:numId w:val="0"/>
        </w:numPr>
        <w:ind w:firstLine="0" w:firstLineChars="0"/>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 xml:space="preserve">     达到国家及行业相关规范验收合格标准，国家主管部门或者行业标准对服务本身有更高要求的，从其规定。并达到采购人和项目主管部门的相关要求。</w:t>
      </w:r>
    </w:p>
    <w:p w14:paraId="72310F81">
      <w:pPr>
        <w:numPr>
          <w:ilvl w:val="0"/>
          <w:numId w:val="0"/>
        </w:numPr>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lang w:val="en-US" w:eastAsia="zh-CN" w:bidi="ar-SA"/>
        </w:rPr>
        <w:t>5、</w:t>
      </w:r>
      <w:r>
        <w:rPr>
          <w:rFonts w:hint="default" w:ascii="仿宋_GB2312" w:hAnsi="仿宋_GB2312" w:eastAsia="仿宋_GB2312" w:cs="仿宋_GB2312"/>
          <w:b w:val="0"/>
          <w:bCs w:val="0"/>
          <w:kern w:val="0"/>
          <w:sz w:val="32"/>
          <w:szCs w:val="32"/>
          <w:highlight w:val="none"/>
          <w:lang w:val="en-US" w:eastAsia="zh-CN" w:bidi="ar-SA"/>
        </w:rPr>
        <w:t>售后服务</w:t>
      </w:r>
      <w:r>
        <w:rPr>
          <w:rFonts w:hint="eastAsia" w:ascii="仿宋_GB2312" w:hAnsi="仿宋_GB2312" w:eastAsia="仿宋_GB2312" w:cs="仿宋_GB2312"/>
          <w:b w:val="0"/>
          <w:bCs w:val="0"/>
          <w:kern w:val="0"/>
          <w:sz w:val="32"/>
          <w:szCs w:val="32"/>
          <w:highlight w:val="none"/>
          <w:lang w:val="en-US" w:eastAsia="zh-CN" w:bidi="ar-SA"/>
        </w:rPr>
        <w:t>：</w:t>
      </w:r>
    </w:p>
    <w:p w14:paraId="3BF9D52F">
      <w:pPr>
        <w:numPr>
          <w:ilvl w:val="0"/>
          <w:numId w:val="0"/>
        </w:numPr>
        <w:ind w:left="0" w:leftChars="0" w:firstLine="640" w:firstLineChars="200"/>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项目最终验收交付之日起，提供 1 年免费技术售后服务。采购人提出服务需求，工作时间 2 小时内响应，如需现场服务，48 小时内抵达岳阳县项目现场；免费提供技术答疑、业务培训、问题整改、成果优化等支撑。</w:t>
      </w:r>
      <w:bookmarkStart w:id="3" w:name="_GoBack"/>
      <w:bookmarkEnd w:id="3"/>
    </w:p>
    <w:p w14:paraId="67DEB9D6">
      <w:pPr>
        <w:numPr>
          <w:ilvl w:val="0"/>
          <w:numId w:val="0"/>
        </w:numPr>
        <w:ind w:left="0" w:leftChars="0" w:firstLine="0" w:firstLineChars="0"/>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lang w:val="en-US" w:eastAsia="zh-CN" w:bidi="ar-SA"/>
        </w:rPr>
        <w:t>6、</w:t>
      </w:r>
      <w:r>
        <w:rPr>
          <w:rFonts w:hint="eastAsia" w:ascii="仿宋_GB2312" w:hAnsi="仿宋_GB2312" w:eastAsia="仿宋_GB2312" w:cs="仿宋_GB2312"/>
          <w:b w:val="0"/>
          <w:bCs w:val="0"/>
          <w:kern w:val="0"/>
          <w:sz w:val="32"/>
          <w:szCs w:val="32"/>
          <w:highlight w:val="none"/>
          <w:lang w:val="en-US" w:eastAsia="zh-CN" w:bidi="ar-SA"/>
        </w:rPr>
        <w:t>保险要求：</w:t>
      </w:r>
    </w:p>
    <w:p w14:paraId="3F07A115">
      <w:pPr>
        <w:ind w:firstLine="210" w:firstLineChars="100"/>
        <w:rPr>
          <w:rFonts w:hint="default"/>
          <w:lang w:val="en-US" w:eastAsia="zh-CN"/>
        </w:rPr>
      </w:pPr>
      <w:r>
        <w:rPr>
          <w:rFonts w:hint="eastAsia"/>
          <w:lang w:val="en-US" w:eastAsia="zh-CN"/>
        </w:rPr>
        <w:t xml:space="preserve">     </w:t>
      </w:r>
      <w:r>
        <w:rPr>
          <w:rFonts w:hint="eastAsia" w:ascii="仿宋_GB2312" w:hAnsi="仿宋_GB2312" w:eastAsia="仿宋_GB2312" w:cs="仿宋_GB2312"/>
          <w:iCs/>
          <w:kern w:val="0"/>
          <w:sz w:val="32"/>
          <w:szCs w:val="32"/>
          <w:highlight w:val="none"/>
          <w:u w:val="none"/>
          <w:lang w:val="en-US" w:eastAsia="zh-CN"/>
        </w:rPr>
        <w:t>成交供应商自行购置项目实施期间所需保险，包含从业人员人身意外险、第三者责任险等险种。项目实施全过程中，若发生人员伤亡、财产损毁、第三方损失等情况，全部赔偿责任与相关费用均由成交供应商承担，采购人不承担连带责任。</w:t>
      </w:r>
    </w:p>
    <w:p w14:paraId="2F1AAF23">
      <w:pPr>
        <w:rPr>
          <w:rFonts w:hint="eastAsia" w:ascii="仿宋_GB2312" w:hAnsi="仿宋_GB2312" w:eastAsia="仿宋_GB2312" w:cs="仿宋_GB2312"/>
          <w:iCs/>
          <w:kern w:val="0"/>
          <w:sz w:val="32"/>
          <w:szCs w:val="32"/>
          <w:highlight w:val="none"/>
          <w:lang w:eastAsia="zh-CN"/>
        </w:rPr>
      </w:pPr>
      <w:r>
        <w:rPr>
          <w:rFonts w:hint="eastAsia" w:ascii="仿宋_GB2312" w:hAnsi="仿宋_GB2312" w:eastAsia="仿宋_GB2312" w:cs="仿宋_GB2312"/>
          <w:b w:val="0"/>
          <w:bCs w:val="0"/>
          <w:kern w:val="0"/>
          <w:sz w:val="32"/>
          <w:szCs w:val="32"/>
          <w:highlight w:val="none"/>
          <w:lang w:val="en-US" w:eastAsia="zh-CN" w:bidi="ar-SA"/>
        </w:rPr>
        <w:t>7、</w:t>
      </w:r>
      <w:r>
        <w:rPr>
          <w:rFonts w:hint="eastAsia" w:ascii="仿宋_GB2312" w:hAnsi="仿宋_GB2312" w:eastAsia="仿宋_GB2312" w:cs="仿宋_GB2312"/>
          <w:iCs/>
          <w:kern w:val="0"/>
          <w:sz w:val="32"/>
          <w:szCs w:val="32"/>
          <w:highlight w:val="none"/>
        </w:rPr>
        <w:t>服务期限</w:t>
      </w:r>
      <w:r>
        <w:rPr>
          <w:rFonts w:hint="eastAsia" w:ascii="仿宋_GB2312" w:hAnsi="仿宋_GB2312" w:eastAsia="仿宋_GB2312" w:cs="仿宋_GB2312"/>
          <w:iCs/>
          <w:kern w:val="0"/>
          <w:sz w:val="32"/>
          <w:szCs w:val="32"/>
          <w:highlight w:val="none"/>
          <w:lang w:eastAsia="zh-CN"/>
        </w:rPr>
        <w:t>：</w:t>
      </w:r>
    </w:p>
    <w:p w14:paraId="301F6D13">
      <w:pPr>
        <w:ind w:firstLine="320" w:firstLineChars="100"/>
        <w:rPr>
          <w:rFonts w:hint="eastAsia" w:ascii="仿宋_GB2312" w:hAnsi="仿宋_GB2312" w:eastAsia="仿宋_GB2312" w:cs="仿宋_GB2312"/>
          <w:iCs/>
          <w:kern w:val="0"/>
          <w:sz w:val="32"/>
          <w:szCs w:val="32"/>
          <w:highlight w:val="none"/>
          <w:u w:val="none"/>
          <w:lang w:val="en-US" w:eastAsia="zh-CN"/>
        </w:rPr>
      </w:pPr>
      <w:r>
        <w:rPr>
          <w:rFonts w:hint="eastAsia" w:ascii="仿宋_GB2312" w:hAnsi="仿宋_GB2312" w:eastAsia="仿宋_GB2312" w:cs="仿宋_GB2312"/>
          <w:iCs/>
          <w:kern w:val="0"/>
          <w:sz w:val="32"/>
          <w:szCs w:val="32"/>
          <w:highlight w:val="none"/>
          <w:u w:val="none"/>
          <w:lang w:eastAsia="zh-CN"/>
        </w:rPr>
        <w:t>自合同签订之日起至202</w:t>
      </w:r>
      <w:r>
        <w:rPr>
          <w:rFonts w:hint="eastAsia" w:ascii="仿宋_GB2312" w:hAnsi="仿宋_GB2312" w:eastAsia="仿宋_GB2312" w:cs="仿宋_GB2312"/>
          <w:iCs/>
          <w:kern w:val="0"/>
          <w:sz w:val="32"/>
          <w:szCs w:val="32"/>
          <w:highlight w:val="none"/>
          <w:u w:val="none"/>
          <w:lang w:val="en-US" w:eastAsia="zh-CN"/>
        </w:rPr>
        <w:t>7</w:t>
      </w:r>
      <w:r>
        <w:rPr>
          <w:rFonts w:hint="eastAsia" w:ascii="仿宋_GB2312" w:hAnsi="仿宋_GB2312" w:eastAsia="仿宋_GB2312" w:cs="仿宋_GB2312"/>
          <w:iCs/>
          <w:kern w:val="0"/>
          <w:sz w:val="32"/>
          <w:szCs w:val="32"/>
          <w:highlight w:val="none"/>
          <w:u w:val="none"/>
          <w:lang w:eastAsia="zh-CN"/>
        </w:rPr>
        <w:t>年</w:t>
      </w:r>
      <w:r>
        <w:rPr>
          <w:rFonts w:hint="eastAsia" w:ascii="仿宋_GB2312" w:hAnsi="仿宋_GB2312" w:eastAsia="仿宋_GB2312" w:cs="仿宋_GB2312"/>
          <w:iCs/>
          <w:kern w:val="0"/>
          <w:sz w:val="32"/>
          <w:szCs w:val="32"/>
          <w:highlight w:val="none"/>
          <w:u w:val="none"/>
          <w:lang w:val="en-US" w:eastAsia="zh-CN"/>
        </w:rPr>
        <w:t>3</w:t>
      </w:r>
      <w:r>
        <w:rPr>
          <w:rFonts w:hint="eastAsia" w:ascii="仿宋_GB2312" w:hAnsi="仿宋_GB2312" w:eastAsia="仿宋_GB2312" w:cs="仿宋_GB2312"/>
          <w:iCs/>
          <w:kern w:val="0"/>
          <w:sz w:val="32"/>
          <w:szCs w:val="32"/>
          <w:highlight w:val="none"/>
          <w:u w:val="none"/>
          <w:lang w:eastAsia="zh-CN"/>
        </w:rPr>
        <w:t>月</w:t>
      </w:r>
      <w:r>
        <w:rPr>
          <w:rFonts w:hint="eastAsia" w:ascii="仿宋_GB2312" w:hAnsi="仿宋_GB2312" w:eastAsia="仿宋_GB2312" w:cs="仿宋_GB2312"/>
          <w:iCs/>
          <w:kern w:val="0"/>
          <w:sz w:val="32"/>
          <w:szCs w:val="32"/>
          <w:highlight w:val="none"/>
          <w:u w:val="none"/>
          <w:lang w:val="en-US" w:eastAsia="zh-CN"/>
        </w:rPr>
        <w:t>31日</w:t>
      </w:r>
      <w:r>
        <w:rPr>
          <w:rFonts w:hint="eastAsia" w:ascii="仿宋_GB2312" w:hAnsi="仿宋_GB2312" w:eastAsia="仿宋_GB2312" w:cs="仿宋_GB2312"/>
          <w:iCs/>
          <w:kern w:val="0"/>
          <w:sz w:val="32"/>
          <w:szCs w:val="32"/>
          <w:highlight w:val="none"/>
          <w:u w:val="none"/>
          <w:lang w:eastAsia="zh-CN"/>
        </w:rPr>
        <w:t>内编制完成并通过相关评审。</w:t>
      </w:r>
    </w:p>
    <w:p w14:paraId="6E5785E7">
      <w:pPr>
        <w:numPr>
          <w:ilvl w:val="0"/>
          <w:numId w:val="0"/>
        </w:numPr>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lang w:val="en-US" w:eastAsia="zh-CN" w:bidi="ar-SA"/>
        </w:rPr>
        <w:t>8、</w:t>
      </w:r>
      <w:r>
        <w:rPr>
          <w:rFonts w:hint="eastAsia" w:ascii="仿宋_GB2312" w:hAnsi="仿宋_GB2312" w:eastAsia="仿宋_GB2312" w:cs="仿宋_GB2312"/>
          <w:b w:val="0"/>
          <w:bCs w:val="0"/>
          <w:kern w:val="0"/>
          <w:sz w:val="32"/>
          <w:szCs w:val="32"/>
          <w:highlight w:val="none"/>
          <w:lang w:val="en-US" w:eastAsia="zh-CN" w:bidi="ar-SA"/>
        </w:rPr>
        <w:t>其他要求：</w:t>
      </w:r>
    </w:p>
    <w:p w14:paraId="6313E73A">
      <w:pPr>
        <w:numPr>
          <w:ilvl w:val="0"/>
          <w:numId w:val="0"/>
        </w:numPr>
        <w:ind w:firstLine="640" w:firstLineChars="200"/>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供应商应严格执行数据保密的相关规定，非经采购人书面同意，不得将因参加本次采购项目和完成项目工作任务而获取的以任何纸质或电子文档等方式体现的信息、资料或向任何第三人披露、泄露、提供第三人使用。对于涉及国家秘密的数据应采取相应保密措施，确保数据安全，避免有意和无意造成国家秘密泄露给任何不应该获得的人或组织，因此违犯国家法律的将追究其法律责任。</w:t>
      </w:r>
    </w:p>
    <w:p w14:paraId="649303A1">
      <w:pPr>
        <w:widowControl/>
        <w:numPr>
          <w:ilvl w:val="0"/>
          <w:numId w:val="0"/>
        </w:numPr>
        <w:spacing w:line="240" w:lineRule="auto"/>
        <w:ind w:leftChars="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履约验收程序</w:t>
      </w:r>
      <w:r>
        <w:rPr>
          <w:rFonts w:hint="eastAsia" w:ascii="仿宋_GB2312" w:hAnsi="仿宋_GB2312" w:eastAsia="仿宋_GB2312" w:cs="仿宋_GB2312"/>
          <w:kern w:val="0"/>
          <w:sz w:val="32"/>
          <w:szCs w:val="32"/>
          <w:lang w:eastAsia="zh-CN"/>
        </w:rPr>
        <w:t>：</w:t>
      </w:r>
    </w:p>
    <w:p w14:paraId="5AA25AFA">
      <w:pPr>
        <w:widowControl/>
        <w:numPr>
          <w:ilvl w:val="0"/>
          <w:numId w:val="0"/>
        </w:numPr>
        <w:spacing w:line="600" w:lineRule="exact"/>
        <w:ind w:leftChars="0" w:firstLine="320" w:firstLineChars="1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1、野外实地抽查：</w:t>
      </w:r>
      <w:r>
        <w:rPr>
          <w:rFonts w:hint="eastAsia" w:ascii="仿宋_GB2312" w:hAnsi="仿宋_GB2312" w:eastAsia="仿宋_GB2312" w:cs="仿宋_GB2312"/>
          <w:kern w:val="0"/>
          <w:sz w:val="32"/>
          <w:szCs w:val="32"/>
          <w:lang w:eastAsia="zh-CN"/>
        </w:rPr>
        <w:t>专家组分组赴野外进行实地抽查。重点核查风险区等级范围划定、隐患点精细判识、住户管控分类、警示牌设置、责任体系落实、管控措施等关键环节，通过实地查看、现场核验等方式确认项目实物工作完成情况。</w:t>
      </w:r>
    </w:p>
    <w:p w14:paraId="7B2C497C">
      <w:pPr>
        <w:widowControl/>
        <w:spacing w:line="600" w:lineRule="exact"/>
        <w:ind w:firstLine="320" w:firstLineChars="100"/>
        <w:rPr>
          <w:rFonts w:hint="default"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2、室内资料核查：</w:t>
      </w:r>
      <w:r>
        <w:rPr>
          <w:rFonts w:hint="default" w:ascii="仿宋_GB2312" w:hAnsi="仿宋_GB2312" w:eastAsia="仿宋_GB2312" w:cs="仿宋_GB2312"/>
          <w:kern w:val="0"/>
          <w:sz w:val="32"/>
          <w:szCs w:val="32"/>
          <w:lang w:eastAsia="zh-CN"/>
        </w:rPr>
        <w:t>专家组在验收会议现场或通过查阅资料进行核查。核查内容：重点核查项目完成的各类资料，包括项目整体实施情况报告、成果报告、风险区划定与隐患点判识资料、风险管控措施记录、日常巡排查记录等，核验资料是否齐全、规范、符合相关技术指南（如《县级地质灾害“隐患点+风险区”双控体系建设指南》）要求。</w:t>
      </w:r>
    </w:p>
    <w:p w14:paraId="292E33B9">
      <w:pPr>
        <w:numPr>
          <w:ilvl w:val="0"/>
          <w:numId w:val="0"/>
        </w:numPr>
        <w:rPr>
          <w:rFonts w:hint="default"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3、</w:t>
      </w:r>
      <w:r>
        <w:rPr>
          <w:rFonts w:hint="default" w:ascii="仿宋_GB2312" w:hAnsi="仿宋_GB2312" w:eastAsia="仿宋_GB2312" w:cs="仿宋_GB2312"/>
          <w:kern w:val="0"/>
          <w:sz w:val="32"/>
          <w:szCs w:val="32"/>
          <w:lang w:eastAsia="zh-CN"/>
        </w:rPr>
        <w:t>会议评审：召开验收总结会，由专家组听取项目负责人对整体实施情况和取得成果的详细汇报，并进行质询与评议。评估项目是否全面完成方案建设任务（如“九化”建设任务），是否构建了完善的风险双控责任体系，是否实现了风险识别精准化与风险管理动态化，以及项目成果的实际应用成效。</w:t>
      </w:r>
    </w:p>
    <w:p w14:paraId="25DC1A74">
      <w:pPr>
        <w:numPr>
          <w:ilvl w:val="0"/>
          <w:numId w:val="0"/>
        </w:numP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10、付款方式</w:t>
      </w:r>
    </w:p>
    <w:p w14:paraId="437C3297">
      <w:pPr>
        <w:pStyle w:val="2"/>
        <w:numPr>
          <w:ilvl w:val="1"/>
          <w:numId w:val="0"/>
        </w:numPr>
        <w:tabs>
          <w:tab w:val="clear" w:pos="575"/>
        </w:tabs>
        <w:ind w:leftChars="0" w:firstLine="640" w:firstLineChars="200"/>
        <w:rPr>
          <w:rFonts w:hint="eastAsia" w:ascii="宋体" w:hAnsi="宋体" w:eastAsia="宋体" w:cs="宋体"/>
          <w:b/>
          <w:sz w:val="24"/>
          <w:szCs w:val="24"/>
        </w:rPr>
      </w:pPr>
      <w:r>
        <w:rPr>
          <w:rFonts w:hint="eastAsia" w:ascii="仿宋_GB2312" w:hAnsi="仿宋_GB2312" w:eastAsia="仿宋_GB2312" w:cs="仿宋_GB2312"/>
          <w:kern w:val="0"/>
          <w:sz w:val="32"/>
          <w:szCs w:val="32"/>
          <w:lang w:val="en-US" w:eastAsia="zh-CN" w:bidi="ar-SA"/>
        </w:rPr>
        <w:t>合同签订生效后，中标（成交）人进场开展野外摸底调查，并提交巡查员、监测员、转移避险负责人及转移避险人员清单，采购人支付合同价款的20%；中标（成交）人完成整体工作量 60%（完成野外复核调查，并提交风险居民统计表和村级避险转移预案初稿），采购人支付合同价款的 40%；项目完成最终验收后，采购人支付合同价款的37%；项目验收合格满一年，采购人支付剩余3% 运营维护质保金。</w:t>
      </w:r>
      <w:bookmarkEnd w:id="0"/>
      <w:bookmarkEnd w:id="1"/>
      <w:bookmarkEnd w:id="2"/>
    </w:p>
    <w:p w14:paraId="659BF020">
      <w:pPr>
        <w:rPr>
          <w:rFonts w:hint="default"/>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3599AB"/>
    <w:multiLevelType w:val="multilevel"/>
    <w:tmpl w:val="573599AB"/>
    <w:lvl w:ilvl="0" w:tentative="0">
      <w:start w:val="1"/>
      <w:numFmt w:val="decimal"/>
      <w:lvlText w:val="%1."/>
      <w:lvlJc w:val="left"/>
      <w:pPr>
        <w:tabs>
          <w:tab w:val="left" w:pos="432"/>
        </w:tabs>
        <w:ind w:left="432" w:hanging="432"/>
      </w:pPr>
      <w:rPr>
        <w:rFonts w:hint="default" w:ascii="宋体" w:hAnsi="宋体" w:eastAsia="宋体" w:cs="楷体"/>
      </w:rPr>
    </w:lvl>
    <w:lvl w:ilvl="1" w:tentative="0">
      <w:start w:val="1"/>
      <w:numFmt w:val="decimal"/>
      <w:pStyle w:val="2"/>
      <w:isLgl/>
      <w:lvlText w:val="%1.%2."/>
      <w:lvlJc w:val="left"/>
      <w:pPr>
        <w:tabs>
          <w:tab w:val="left" w:pos="575"/>
        </w:tabs>
        <w:ind w:left="575" w:hanging="575"/>
      </w:pPr>
      <w:rPr>
        <w:rFonts w:hint="default" w:ascii="宋体" w:hAnsi="宋体" w:eastAsia="宋体" w:cs="楷体"/>
      </w:rPr>
    </w:lvl>
    <w:lvl w:ilvl="2" w:tentative="0">
      <w:start w:val="1"/>
      <w:numFmt w:val="decimal"/>
      <w:isLgl/>
      <w:lvlText w:val="%1.%2.%3."/>
      <w:lvlJc w:val="left"/>
      <w:pPr>
        <w:tabs>
          <w:tab w:val="left" w:pos="720"/>
        </w:tabs>
        <w:ind w:left="720" w:hanging="720"/>
      </w:pPr>
      <w:rPr>
        <w:rFonts w:hint="default" w:ascii="宋体" w:hAnsi="宋体" w:eastAsia="宋体" w:cs="楷体"/>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1"/>
        </w:tabs>
        <w:ind w:left="1151" w:hanging="1151"/>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3"/>
        </w:tabs>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3F1CDB"/>
    <w:rsid w:val="323F1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jc w:val="center"/>
      <w:outlineLvl w:val="0"/>
    </w:pPr>
    <w:rPr>
      <w:b/>
      <w:bCs/>
      <w:sz w:val="24"/>
      <w:szCs w:val="20"/>
    </w:rPr>
  </w:style>
  <w:style w:type="paragraph" w:styleId="4">
    <w:name w:val="heading 2"/>
    <w:basedOn w:val="3"/>
    <w:next w:val="1"/>
    <w:qFormat/>
    <w:uiPriority w:val="0"/>
    <w:pPr>
      <w:keepNext/>
      <w:keepLines/>
      <w:spacing w:before="260" w:beforeLines="0" w:beforeAutospacing="0" w:after="260" w:afterLines="0" w:afterAutospacing="0" w:line="413" w:lineRule="auto"/>
      <w:outlineLvl w:val="1"/>
    </w:pPr>
    <w:rPr>
      <w:rFonts w:ascii="Arial" w:hAnsi="Arial" w:eastAsia="黑体"/>
      <w:b w:val="0"/>
      <w:sz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样式9"/>
    <w:qFormat/>
    <w:uiPriority w:val="0"/>
    <w:pPr>
      <w:widowControl w:val="0"/>
      <w:numPr>
        <w:ilvl w:val="1"/>
        <w:numId w:val="1"/>
      </w:numPr>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2026-07-26T11:20:00Z</dcterms:created>
  <dc:creator>Administrator</dc:creator>
  <cp:lastModifiedBy>Administrator</cp:lastModifiedBy>
  <dcterms:modified xsi:type="dcterms:W3CDTF">2026-07-26T11:27:00Z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EA2E9D6350D24DA4A46C43BAD2073014_11</vt:lpwstr>
  </property>
  <property fmtid="{D5CDD505-2E9C-101B-9397-08002B2CF9AE}" pid="4" name="KSOTemplateDocerSaveRecord">
    <vt:lpwstr>eyJoZGlkIjoiOWUzZTI3ZmVjOTlkOTMwZjRiZmE3MzMzZjYyMDc1YmYiLCJ1c2VySWQiOiIyNDI1NDMwNCJ9</vt:lpwstr>
  </property>
</Properties>
</file>