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48CD7">
      <w:pPr>
        <w:pStyle w:val="3"/>
        <w:keepNext w:val="0"/>
        <w:adjustRightInd w:val="0"/>
        <w:snapToGrid w:val="0"/>
        <w:spacing w:before="120" w:beforeLines="50" w:line="360" w:lineRule="auto"/>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w:t>
      </w:r>
      <w:bookmarkEnd w:id="0"/>
      <w:r>
        <w:rPr>
          <w:rFonts w:hint="eastAsia" w:ascii="黑体" w:hAnsi="华文中宋" w:eastAsia="黑体"/>
          <w:color w:val="auto"/>
          <w:sz w:val="32"/>
          <w:szCs w:val="32"/>
          <w:highlight w:val="none"/>
        </w:rPr>
        <w:t>求</w:t>
      </w:r>
      <w:bookmarkStart w:id="1" w:name="_Toc3070"/>
    </w:p>
    <w:p w14:paraId="03079FC3">
      <w:pPr>
        <w:pStyle w:val="4"/>
        <w:adjustRightInd w:val="0"/>
        <w:snapToGrid w:val="0"/>
        <w:spacing w:before="120" w:beforeLines="50"/>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第一节 采购清单一览表</w:t>
      </w:r>
    </w:p>
    <w:bookmarkEnd w:id="1"/>
    <w:tbl>
      <w:tblPr>
        <w:tblStyle w:val="8"/>
        <w:tblpPr w:leftFromText="180" w:rightFromText="180" w:vertAnchor="text" w:horzAnchor="page" w:tblpXSpec="center" w:tblpY="226"/>
        <w:tblOverlap w:val="never"/>
        <w:tblW w:w="89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2"/>
        <w:gridCol w:w="3743"/>
        <w:gridCol w:w="1755"/>
        <w:gridCol w:w="888"/>
        <w:gridCol w:w="969"/>
        <w:gridCol w:w="909"/>
      </w:tblGrid>
      <w:tr w14:paraId="0B3DC1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9" w:hRule="atLeast"/>
          <w:jc w:val="center"/>
        </w:trPr>
        <w:tc>
          <w:tcPr>
            <w:tcW w:w="712" w:type="dxa"/>
            <w:noWrap/>
            <w:vAlign w:val="center"/>
          </w:tcPr>
          <w:p w14:paraId="31350F3E">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 xml:space="preserve">序号 </w:t>
            </w:r>
          </w:p>
        </w:tc>
        <w:tc>
          <w:tcPr>
            <w:tcW w:w="3743" w:type="dxa"/>
            <w:noWrap/>
            <w:vAlign w:val="center"/>
          </w:tcPr>
          <w:p w14:paraId="5AAAE9CC">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标的名称</w:t>
            </w:r>
          </w:p>
        </w:tc>
        <w:tc>
          <w:tcPr>
            <w:tcW w:w="1755" w:type="dxa"/>
            <w:tcBorders>
              <w:left w:val="single" w:color="auto" w:sz="4" w:space="0"/>
            </w:tcBorders>
            <w:noWrap/>
            <w:vAlign w:val="center"/>
          </w:tcPr>
          <w:p w14:paraId="615BCCD0">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简要技术要求</w:t>
            </w:r>
          </w:p>
        </w:tc>
        <w:tc>
          <w:tcPr>
            <w:tcW w:w="888" w:type="dxa"/>
            <w:tcBorders>
              <w:left w:val="single" w:color="auto" w:sz="4" w:space="0"/>
            </w:tcBorders>
            <w:noWrap/>
            <w:vAlign w:val="center"/>
          </w:tcPr>
          <w:p w14:paraId="1C2F75B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服务期</w:t>
            </w:r>
          </w:p>
        </w:tc>
        <w:tc>
          <w:tcPr>
            <w:tcW w:w="969" w:type="dxa"/>
            <w:noWrap/>
            <w:vAlign w:val="center"/>
          </w:tcPr>
          <w:p w14:paraId="470448C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节能产品</w:t>
            </w:r>
          </w:p>
        </w:tc>
        <w:tc>
          <w:tcPr>
            <w:tcW w:w="909" w:type="dxa"/>
            <w:noWrap/>
            <w:vAlign w:val="center"/>
          </w:tcPr>
          <w:p w14:paraId="20FF738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进口产品</w:t>
            </w:r>
          </w:p>
        </w:tc>
      </w:tr>
      <w:tr w14:paraId="3FC008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atLeast"/>
          <w:jc w:val="center"/>
        </w:trPr>
        <w:tc>
          <w:tcPr>
            <w:tcW w:w="712" w:type="dxa"/>
            <w:noWrap/>
            <w:vAlign w:val="center"/>
          </w:tcPr>
          <w:p w14:paraId="574BA476">
            <w:pPr>
              <w:keepNext w:val="0"/>
              <w:keepLines w:val="0"/>
              <w:suppressLineNumbers w:val="0"/>
              <w:adjustRightInd w:val="0"/>
              <w:snapToGrid w:val="0"/>
              <w:spacing w:before="120" w:beforeLines="5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3743" w:type="dxa"/>
            <w:noWrap/>
            <w:vAlign w:val="center"/>
          </w:tcPr>
          <w:p w14:paraId="1FBCB4D1">
            <w:pPr>
              <w:keepNext w:val="0"/>
              <w:keepLines w:val="0"/>
              <w:suppressLineNumbers w:val="0"/>
              <w:adjustRightInd w:val="0"/>
              <w:snapToGrid w:val="0"/>
              <w:spacing w:before="120" w:beforeLines="50" w:beforeAutospacing="0" w:after="0" w:afterAutospacing="0"/>
              <w:ind w:left="0" w:right="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雷泰VenusX直线加速器三年维保服务项目</w:t>
            </w:r>
            <w:r>
              <w:rPr>
                <w:rFonts w:hint="default" w:ascii="宋体" w:hAnsi="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第二次）</w:t>
            </w:r>
          </w:p>
        </w:tc>
        <w:tc>
          <w:tcPr>
            <w:tcW w:w="1755" w:type="dxa"/>
            <w:tcBorders>
              <w:left w:val="single" w:color="auto" w:sz="4" w:space="0"/>
            </w:tcBorders>
            <w:noWrap/>
            <w:vAlign w:val="center"/>
          </w:tcPr>
          <w:p w14:paraId="1C8E9326">
            <w:pPr>
              <w:keepNext w:val="0"/>
              <w:keepLines w:val="0"/>
              <w:suppressLineNumbers w:val="0"/>
              <w:adjustRightInd w:val="0"/>
              <w:snapToGrid w:val="0"/>
              <w:spacing w:before="120" w:beforeLines="5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具体服务要求详见本章第二节技术要求</w:t>
            </w:r>
          </w:p>
        </w:tc>
        <w:tc>
          <w:tcPr>
            <w:tcW w:w="888" w:type="dxa"/>
            <w:tcBorders>
              <w:left w:val="single" w:color="auto" w:sz="4" w:space="0"/>
            </w:tcBorders>
            <w:noWrap/>
            <w:vAlign w:val="center"/>
          </w:tcPr>
          <w:p w14:paraId="4642BEF2">
            <w:pPr>
              <w:pStyle w:val="4"/>
              <w:suppressLineNumbers w:val="0"/>
              <w:spacing w:before="240" w:beforeAutospacing="0" w:after="240" w:afterAutospacing="0" w:line="240" w:lineRule="auto"/>
              <w:ind w:left="0" w:right="0"/>
              <w:jc w:val="center"/>
              <w:rPr>
                <w:rFonts w:hint="default" w:ascii="宋体" w:hAnsi="宋体" w:eastAsia="宋体" w:cs="宋体"/>
                <w:color w:val="auto"/>
                <w:sz w:val="21"/>
                <w:szCs w:val="21"/>
                <w:highlight w:val="none"/>
                <w:lang w:val="en-US" w:eastAsia="zh-CN"/>
              </w:rPr>
            </w:pPr>
            <w:r>
              <w:rPr>
                <w:rFonts w:hint="eastAsia" w:ascii="宋体" w:hAnsi="宋体" w:cs="宋体"/>
                <w:b w:val="0"/>
                <w:bCs w:val="0"/>
                <w:color w:val="auto"/>
                <w:kern w:val="0"/>
                <w:sz w:val="21"/>
                <w:szCs w:val="21"/>
                <w:highlight w:val="none"/>
                <w:lang w:val="en-US" w:eastAsia="zh-CN"/>
              </w:rPr>
              <w:t>3年</w:t>
            </w:r>
          </w:p>
        </w:tc>
        <w:tc>
          <w:tcPr>
            <w:tcW w:w="969" w:type="dxa"/>
            <w:noWrap/>
            <w:vAlign w:val="center"/>
          </w:tcPr>
          <w:p w14:paraId="6C739BF4">
            <w:pPr>
              <w:keepNext w:val="0"/>
              <w:keepLines w:val="0"/>
              <w:suppressLineNumbers w:val="0"/>
              <w:adjustRightInd w:val="0"/>
              <w:snapToGrid w:val="0"/>
              <w:spacing w:before="120" w:beforeLines="50" w:beforeAutospacing="0" w:after="0" w:afterAutospacing="0"/>
              <w:ind w:left="0" w:right="0"/>
              <w:jc w:val="center"/>
              <w:rPr>
                <w:rFonts w:hint="default" w:ascii="宋体" w:hAnsi="宋体" w:cs="宋体"/>
                <w:color w:val="auto"/>
                <w:szCs w:val="21"/>
                <w:highlight w:val="none"/>
              </w:rPr>
            </w:pPr>
            <w:r>
              <w:rPr>
                <w:rFonts w:hint="eastAsia"/>
                <w:color w:val="auto"/>
                <w:highlight w:val="none"/>
              </w:rPr>
              <w:t>/</w:t>
            </w:r>
          </w:p>
        </w:tc>
        <w:tc>
          <w:tcPr>
            <w:tcW w:w="909" w:type="dxa"/>
            <w:noWrap/>
            <w:vAlign w:val="center"/>
          </w:tcPr>
          <w:p w14:paraId="64CD38C0">
            <w:pPr>
              <w:keepNext w:val="0"/>
              <w:keepLines w:val="0"/>
              <w:suppressLineNumbers w:val="0"/>
              <w:adjustRightInd w:val="0"/>
              <w:snapToGrid w:val="0"/>
              <w:spacing w:before="120" w:beforeLines="50" w:beforeAutospacing="0" w:after="0" w:afterAutospacing="0"/>
              <w:ind w:left="0" w:right="0"/>
              <w:jc w:val="center"/>
              <w:rPr>
                <w:rFonts w:hint="default" w:ascii="宋体" w:hAnsi="宋体" w:cs="宋体"/>
                <w:color w:val="auto"/>
                <w:szCs w:val="21"/>
                <w:highlight w:val="none"/>
              </w:rPr>
            </w:pPr>
            <w:r>
              <w:rPr>
                <w:rFonts w:hint="eastAsia"/>
                <w:color w:val="auto"/>
                <w:highlight w:val="none"/>
              </w:rPr>
              <w:t>/</w:t>
            </w:r>
          </w:p>
        </w:tc>
      </w:tr>
    </w:tbl>
    <w:p w14:paraId="6E0D9134">
      <w:pPr>
        <w:adjustRightInd w:val="0"/>
        <w:snapToGrid w:val="0"/>
        <w:spacing w:before="120" w:beforeLines="50" w:line="360" w:lineRule="auto"/>
        <w:rPr>
          <w:rFonts w:hint="eastAsia" w:ascii="宋体" w:hAnsi="宋体"/>
          <w:color w:val="auto"/>
          <w:szCs w:val="21"/>
          <w:highlight w:val="none"/>
        </w:rPr>
      </w:pPr>
    </w:p>
    <w:p w14:paraId="1C33A936">
      <w:pPr>
        <w:spacing w:line="370" w:lineRule="exact"/>
        <w:rPr>
          <w:rFonts w:ascii="宋体" w:hAnsi="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val="en-US" w:eastAsia="zh-CN"/>
        </w:rPr>
        <w:t>1</w:t>
      </w:r>
      <w:r>
        <w:rPr>
          <w:rFonts w:hint="eastAsia" w:ascii="宋体" w:hAnsi="宋体"/>
          <w:color w:val="auto"/>
          <w:szCs w:val="21"/>
          <w:highlight w:val="none"/>
        </w:rPr>
        <w:t>.“包”为最小合同单位（最小投标单位）。每“包”内容应细化到具体标的。</w:t>
      </w:r>
    </w:p>
    <w:p w14:paraId="5FA7F018">
      <w:pPr>
        <w:adjustRightInd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.投标人必须对一个完整、独立的包进行投标，不得仅对一个包中的部分标的投标，否则</w:t>
      </w:r>
      <w:r>
        <w:rPr>
          <w:rFonts w:hint="eastAsia" w:ascii="宋体" w:hAnsi="宋体"/>
          <w:b/>
          <w:color w:val="auto"/>
          <w:szCs w:val="21"/>
          <w:highlight w:val="none"/>
        </w:rPr>
        <w:t>投标无效。</w:t>
      </w:r>
    </w:p>
    <w:p w14:paraId="35AA67C5">
      <w:pPr>
        <w:adjustRightInd w:val="0"/>
        <w:snapToGrid w:val="0"/>
        <w:spacing w:before="159" w:beforeLines="50"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3.服务的主要技术要求：</w:t>
      </w:r>
      <w:r>
        <w:rPr>
          <w:rFonts w:ascii="宋体" w:hAnsi="宋体" w:cs="宋体"/>
          <w:color w:val="auto"/>
          <w:kern w:val="0"/>
          <w:szCs w:val="21"/>
          <w:highlight w:val="none"/>
        </w:rPr>
        <w:t>详见“技术要求”中的具体</w:t>
      </w:r>
      <w:r>
        <w:rPr>
          <w:rFonts w:hint="eastAsia" w:ascii="宋体" w:hAnsi="宋体" w:cs="宋体"/>
          <w:color w:val="auto"/>
          <w:kern w:val="0"/>
          <w:szCs w:val="21"/>
          <w:highlight w:val="none"/>
        </w:rPr>
        <w:t>要求。</w:t>
      </w:r>
    </w:p>
    <w:p w14:paraId="2DBA54C5">
      <w:pPr>
        <w:adjustRightInd w:val="0"/>
        <w:snapToGrid w:val="0"/>
        <w:spacing w:before="159" w:beforeLines="50" w:line="360" w:lineRule="auto"/>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1F0C6377">
      <w:pPr>
        <w:pStyle w:val="2"/>
        <w:rPr>
          <w:color w:val="auto"/>
          <w:highlight w:val="none"/>
        </w:rPr>
      </w:pPr>
    </w:p>
    <w:p w14:paraId="3DE2C0D8">
      <w:pPr>
        <w:pStyle w:val="4"/>
        <w:adjustRightInd w:val="0"/>
        <w:snapToGrid w:val="0"/>
        <w:spacing w:before="120" w:beforeLines="50"/>
        <w:jc w:val="center"/>
        <w:rPr>
          <w:rFonts w:hint="eastAsia" w:ascii="宋体" w:hAnsi="宋体"/>
          <w:b/>
          <w:bCs/>
          <w:color w:val="auto"/>
          <w:szCs w:val="21"/>
          <w:highlight w:val="none"/>
        </w:rPr>
      </w:pPr>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Start w:id="2" w:name="_Toc430953303"/>
      <w:bookmarkStart w:id="3" w:name="_Toc119401544"/>
    </w:p>
    <w:p w14:paraId="522A96E4">
      <w:pPr>
        <w:spacing w:line="37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w:t>
      </w:r>
      <w:bookmarkEnd w:id="2"/>
      <w:r>
        <w:rPr>
          <w:rFonts w:hint="eastAsia" w:ascii="宋体" w:hAnsi="宋体" w:eastAsia="宋体" w:cs="宋体"/>
          <w:b/>
          <w:bCs/>
          <w:color w:val="auto"/>
          <w:sz w:val="21"/>
          <w:szCs w:val="21"/>
          <w:highlight w:val="none"/>
        </w:rPr>
        <w:t>概述</w:t>
      </w:r>
      <w:bookmarkEnd w:id="3"/>
    </w:p>
    <w:p w14:paraId="4E275215">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1、项目名称：</w:t>
      </w:r>
      <w:r>
        <w:rPr>
          <w:rFonts w:hint="eastAsia" w:ascii="宋体" w:hAnsi="宋体" w:cs="宋体"/>
          <w:color w:val="auto"/>
          <w:kern w:val="0"/>
          <w:sz w:val="21"/>
          <w:szCs w:val="21"/>
          <w:highlight w:val="none"/>
          <w:lang w:val="en-US" w:eastAsia="zh-CN"/>
        </w:rPr>
        <w:t>雷泰VenusX直线加速器三年维保服务项目（第二次）</w:t>
      </w:r>
    </w:p>
    <w:p w14:paraId="3A7C9B4B">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2、采购人：</w:t>
      </w:r>
      <w:r>
        <w:rPr>
          <w:rFonts w:hint="eastAsia" w:ascii="宋体" w:hAnsi="宋体" w:cs="宋体"/>
          <w:color w:val="auto"/>
          <w:kern w:val="0"/>
          <w:sz w:val="21"/>
          <w:szCs w:val="21"/>
          <w:highlight w:val="none"/>
          <w:lang w:val="en-US" w:bidi="zh-CN"/>
        </w:rPr>
        <w:t>平江县第一</w:t>
      </w:r>
      <w:r>
        <w:rPr>
          <w:rFonts w:hint="eastAsia" w:ascii="宋体" w:hAnsi="宋体" w:eastAsia="宋体" w:cs="宋体"/>
          <w:color w:val="auto"/>
          <w:kern w:val="0"/>
          <w:sz w:val="21"/>
          <w:szCs w:val="21"/>
          <w:highlight w:val="none"/>
          <w:lang w:bidi="zh-CN"/>
        </w:rPr>
        <w:t>人民医院</w:t>
      </w:r>
    </w:p>
    <w:p w14:paraId="2DAA3973">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zh-CN"/>
        </w:rPr>
        <w:t>3、采购内容：</w:t>
      </w:r>
      <w:r>
        <w:rPr>
          <w:rFonts w:hint="eastAsia" w:ascii="宋体" w:hAnsi="宋体" w:cs="宋体"/>
          <w:color w:val="auto"/>
          <w:kern w:val="0"/>
          <w:sz w:val="21"/>
          <w:szCs w:val="21"/>
          <w:highlight w:val="none"/>
          <w:lang w:val="en-US" w:eastAsia="zh-CN"/>
        </w:rPr>
        <w:t>雷泰VenusX直线加速器三年维保服务</w:t>
      </w:r>
      <w:bookmarkStart w:id="6" w:name="_GoBack"/>
      <w:bookmarkEnd w:id="6"/>
    </w:p>
    <w:p w14:paraId="6C512FE7">
      <w:pPr>
        <w:spacing w:line="360" w:lineRule="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w:t>
      </w:r>
      <w:r>
        <w:rPr>
          <w:rFonts w:hint="eastAsia" w:ascii="宋体" w:hAnsi="宋体" w:eastAsia="宋体" w:cs="宋体"/>
          <w:b/>
          <w:color w:val="auto"/>
          <w:sz w:val="21"/>
          <w:szCs w:val="21"/>
          <w:highlight w:val="none"/>
        </w:rPr>
        <w:t>服务范围、要求及标准</w:t>
      </w:r>
    </w:p>
    <w:p w14:paraId="078E82C4">
      <w:pPr>
        <w:pageBreakBefore w:val="0"/>
        <w:kinsoku/>
        <w:wordWrap/>
        <w:overflowPunct/>
        <w:topLinePunct w:val="0"/>
        <w:autoSpaceDE/>
        <w:autoSpaceDN/>
        <w:bidi w:val="0"/>
        <w:spacing w:line="360" w:lineRule="auto"/>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（一）服务范围：</w:t>
      </w:r>
      <w:r>
        <w:rPr>
          <w:rFonts w:hint="eastAsia" w:ascii="宋体" w:hAnsi="宋体" w:eastAsia="宋体" w:cs="宋体"/>
          <w:color w:val="auto"/>
          <w:sz w:val="21"/>
          <w:szCs w:val="21"/>
          <w:highlight w:val="none"/>
          <w:lang w:val="en-US" w:eastAsia="zh-CN"/>
        </w:rPr>
        <w:t>对</w:t>
      </w:r>
      <w:r>
        <w:rPr>
          <w:rFonts w:hint="eastAsia" w:ascii="宋体" w:hAnsi="宋体" w:eastAsia="宋体" w:cs="宋体"/>
          <w:color w:val="auto"/>
          <w:sz w:val="21"/>
          <w:szCs w:val="21"/>
          <w:highlight w:val="none"/>
        </w:rPr>
        <w:t>医用</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直线加速器（</w:t>
      </w:r>
      <w:r>
        <w:rPr>
          <w:rFonts w:hint="eastAsia" w:ascii="宋体" w:hAnsi="宋体" w:eastAsia="宋体" w:cs="宋体"/>
          <w:color w:val="auto"/>
          <w:sz w:val="21"/>
          <w:szCs w:val="21"/>
          <w:highlight w:val="none"/>
          <w:lang w:val="en-US" w:eastAsia="zh-CN"/>
        </w:rPr>
        <w:t>VenusX</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整机软硬件全保（含人工、备件、软件服务升级）</w:t>
      </w:r>
      <w:r>
        <w:rPr>
          <w:rFonts w:hint="eastAsia" w:ascii="宋体" w:hAnsi="宋体" w:eastAsia="宋体" w:cs="宋体"/>
          <w:color w:val="auto"/>
          <w:sz w:val="21"/>
          <w:szCs w:val="21"/>
          <w:highlight w:val="none"/>
        </w:rPr>
        <w:t>维保服务；</w:t>
      </w:r>
    </w:p>
    <w:p w14:paraId="0D5FC2D5">
      <w:pPr>
        <w:pageBreakBefore w:val="0"/>
        <w:kinsoku/>
        <w:wordWrap/>
        <w:overflowPunct/>
        <w:topLinePunct w:val="0"/>
        <w:autoSpaceDE/>
        <w:autoSpaceDN/>
        <w:bidi w:val="0"/>
        <w:spacing w:line="360" w:lineRule="auto"/>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（二）服务要求：</w:t>
      </w:r>
      <w:r>
        <w:rPr>
          <w:rFonts w:hint="eastAsia" w:ascii="宋体" w:hAnsi="宋体" w:eastAsia="宋体" w:cs="宋体"/>
          <w:color w:val="auto"/>
          <w:sz w:val="21"/>
          <w:szCs w:val="21"/>
          <w:highlight w:val="none"/>
          <w:lang w:val="en-US" w:eastAsia="zh-CN"/>
        </w:rPr>
        <w:t>按照维保服务要求服务</w:t>
      </w:r>
      <w:r>
        <w:rPr>
          <w:rFonts w:hint="eastAsia" w:ascii="宋体" w:hAnsi="宋体" w:eastAsia="宋体" w:cs="宋体"/>
          <w:color w:val="auto"/>
          <w:sz w:val="21"/>
          <w:szCs w:val="21"/>
          <w:highlight w:val="none"/>
        </w:rPr>
        <w:t>；</w:t>
      </w:r>
    </w:p>
    <w:p w14:paraId="0C79D621">
      <w:pPr>
        <w:pageBreakBefore w:val="0"/>
        <w:kinsoku/>
        <w:wordWrap/>
        <w:overflowPunct/>
        <w:topLinePunct w:val="0"/>
        <w:autoSpaceDE/>
        <w:autoSpaceDN/>
        <w:bidi w:val="0"/>
        <w:spacing w:line="360" w:lineRule="auto"/>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（三）服务标准：服务质量必须达到中华人民共和国相关质量标准。</w:t>
      </w:r>
    </w:p>
    <w:p w14:paraId="0C9BFE11">
      <w:pPr>
        <w:keepNext/>
        <w:keepLines/>
        <w:pageBreakBefore w:val="0"/>
        <w:widowControl w:val="0"/>
        <w:kinsoku/>
        <w:wordWrap/>
        <w:overflowPunct/>
        <w:topLinePunct w:val="0"/>
        <w:autoSpaceDE/>
        <w:autoSpaceDN/>
        <w:bidi w:val="0"/>
        <w:adjustRightInd w:val="0"/>
        <w:snapToGrid w:val="0"/>
        <w:spacing w:line="360" w:lineRule="auto"/>
        <w:jc w:val="left"/>
        <w:textAlignment w:val="auto"/>
        <w:outlineLvl w:val="1"/>
        <w:rPr>
          <w:rFonts w:hint="eastAsia" w:ascii="宋体" w:hAnsi="宋体" w:eastAsia="宋体" w:cs="宋体"/>
          <w:b/>
          <w:color w:val="auto"/>
          <w:kern w:val="2"/>
          <w:sz w:val="21"/>
          <w:szCs w:val="21"/>
          <w:highlight w:val="none"/>
          <w:lang w:val="en-US" w:eastAsia="zh-CN" w:bidi="ar-SA"/>
        </w:rPr>
      </w:pPr>
      <w:bookmarkStart w:id="4" w:name="_Toc11409"/>
      <w:bookmarkStart w:id="5" w:name="_Toc19578"/>
      <w:r>
        <w:rPr>
          <w:rFonts w:hint="eastAsia" w:ascii="宋体" w:hAnsi="宋体" w:eastAsia="宋体" w:cs="宋体"/>
          <w:b/>
          <w:color w:val="auto"/>
          <w:kern w:val="2"/>
          <w:sz w:val="21"/>
          <w:szCs w:val="21"/>
          <w:highlight w:val="none"/>
          <w:lang w:val="en-US" w:eastAsia="zh-CN" w:bidi="ar-SA"/>
        </w:rPr>
        <w:t>三、招标项目服务需求</w:t>
      </w:r>
      <w:bookmarkEnd w:id="4"/>
      <w:bookmarkEnd w:id="5"/>
    </w:p>
    <w:p w14:paraId="75F12B84">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（一）维保设备信息</w:t>
      </w:r>
    </w:p>
    <w:tbl>
      <w:tblPr>
        <w:tblStyle w:val="8"/>
        <w:tblW w:w="34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987"/>
        <w:gridCol w:w="1912"/>
      </w:tblGrid>
      <w:tr w14:paraId="315C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81" w:hRule="atLeast"/>
          <w:jc w:val="center"/>
        </w:trPr>
        <w:tc>
          <w:tcPr>
            <w:tcW w:w="3379" w:type="pct"/>
            <w:tcBorders>
              <w:top w:val="single" w:color="auto" w:sz="4" w:space="0"/>
              <w:left w:val="single" w:color="auto" w:sz="4" w:space="0"/>
              <w:bottom w:val="single" w:color="auto" w:sz="4" w:space="0"/>
              <w:right w:val="single" w:color="auto" w:sz="4" w:space="0"/>
            </w:tcBorders>
            <w:shd w:val="clear" w:color="auto" w:fill="auto"/>
            <w:vAlign w:val="center"/>
          </w:tcPr>
          <w:p w14:paraId="6BD080C8">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设备名称</w:t>
            </w:r>
          </w:p>
        </w:tc>
        <w:tc>
          <w:tcPr>
            <w:tcW w:w="1620" w:type="pct"/>
            <w:tcBorders>
              <w:top w:val="single" w:color="auto" w:sz="4" w:space="0"/>
              <w:left w:val="single" w:color="auto" w:sz="4" w:space="0"/>
              <w:bottom w:val="single" w:color="auto" w:sz="4" w:space="0"/>
              <w:right w:val="single" w:color="auto" w:sz="4" w:space="0"/>
            </w:tcBorders>
            <w:shd w:val="clear" w:color="auto" w:fill="auto"/>
            <w:vAlign w:val="center"/>
          </w:tcPr>
          <w:p w14:paraId="0E1F6CD9">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型号</w:t>
            </w:r>
          </w:p>
        </w:tc>
      </w:tr>
      <w:tr w14:paraId="0697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3379" w:type="pct"/>
            <w:tcBorders>
              <w:top w:val="single" w:color="auto" w:sz="4" w:space="0"/>
              <w:left w:val="single" w:color="auto" w:sz="4" w:space="0"/>
              <w:bottom w:val="single" w:color="auto" w:sz="4" w:space="0"/>
              <w:right w:val="single" w:color="auto" w:sz="4" w:space="0"/>
            </w:tcBorders>
            <w:shd w:val="clear" w:color="auto" w:fill="auto"/>
            <w:vAlign w:val="center"/>
          </w:tcPr>
          <w:p w14:paraId="11F088AE">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医用电子直线加速器</w:t>
            </w:r>
          </w:p>
        </w:tc>
        <w:tc>
          <w:tcPr>
            <w:tcW w:w="1620" w:type="pct"/>
            <w:tcBorders>
              <w:top w:val="single" w:color="auto" w:sz="4" w:space="0"/>
              <w:left w:val="single" w:color="auto" w:sz="4" w:space="0"/>
              <w:bottom w:val="single" w:color="auto" w:sz="4" w:space="0"/>
              <w:right w:val="single" w:color="auto" w:sz="4" w:space="0"/>
            </w:tcBorders>
            <w:shd w:val="clear" w:color="auto" w:fill="auto"/>
            <w:vAlign w:val="center"/>
          </w:tcPr>
          <w:p w14:paraId="0BEE4F4D">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VenusX</w:t>
            </w:r>
          </w:p>
        </w:tc>
      </w:tr>
    </w:tbl>
    <w:p w14:paraId="39A13457">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（二）维保服务要求</w:t>
      </w:r>
    </w:p>
    <w:p w14:paraId="66B1B98A">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1.1维保范围：整机软硬件全保（含所有人工、全部备件、软件服务升级），包含但不限于医用电子直线加速器（VenusX）、水冷系统、空气压缩系统、稳压电源、监视器和摄像头等。</w:t>
      </w:r>
    </w:p>
    <w:p w14:paraId="608F4715">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1.2服务要求</w:t>
      </w:r>
    </w:p>
    <w:p w14:paraId="743BE1C3">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kern w:val="2"/>
          <w:sz w:val="21"/>
          <w:szCs w:val="21"/>
          <w:highlight w:val="none"/>
          <w:lang w:val="en-US" w:eastAsia="zh-CN" w:bidi="ar"/>
        </w:rPr>
      </w:pP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1.2.1服务期内不限次全年全天24小时提供临床、技术、维修电话、邮件免费技术支持，并在30分钟内电话响应；接到故障报修电话后，派指定工程师20分钟内进行线上指导，线上无法解决问题的，工程师必须在</w:t>
      </w:r>
      <w:r>
        <w:rPr>
          <w:rFonts w:hint="default" w:ascii="宋体" w:hAnsi="宋体" w:eastAsia="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小时内到达现场维修，最迟不超过12小时。</w:t>
      </w:r>
    </w:p>
    <w:p w14:paraId="6D2DAACE">
      <w:pPr>
        <w:keepNext w:val="0"/>
        <w:keepLines w:val="0"/>
        <w:widowControl w:val="0"/>
        <w:suppressLineNumbers w:val="0"/>
        <w:autoSpaceDE w:val="0"/>
        <w:autoSpaceDN/>
        <w:spacing w:before="0" w:beforeAutospacing="0" w:after="0" w:afterAutospacing="0" w:line="49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1.2.2合同期内提供不限次数的设备备件更换服务，所更换的备件必须</w:t>
      </w:r>
      <w:r>
        <w:rPr>
          <w:rFonts w:hint="eastAsia" w:ascii="宋体" w:hAnsi="宋体" w:cs="宋体"/>
          <w:color w:val="auto"/>
          <w:kern w:val="2"/>
          <w:sz w:val="21"/>
          <w:szCs w:val="21"/>
          <w:highlight w:val="none"/>
          <w:lang w:val="en-US" w:eastAsia="zh-CN" w:bidi="ar"/>
        </w:rPr>
        <w:t>是</w:t>
      </w:r>
      <w:r>
        <w:rPr>
          <w:rFonts w:hint="eastAsia" w:ascii="宋体" w:hAnsi="宋体" w:eastAsia="宋体" w:cs="宋体"/>
          <w:color w:val="auto"/>
          <w:kern w:val="2"/>
          <w:sz w:val="21"/>
          <w:szCs w:val="21"/>
          <w:highlight w:val="none"/>
          <w:lang w:val="en-US" w:eastAsia="zh-CN" w:bidi="ar"/>
        </w:rPr>
        <w:t xml:space="preserve">与原设备型号一致的经过测试合格的产品，保证维修后设备的性能达到原厂运行标准，且不会对设备造成任何损害或安全隐患。若因使用劣质或非原厂配件导致设备损坏，所涉及的人工费、差旅费、原厂零配件更换费用和医院损失均由中标方负责； </w:t>
      </w:r>
    </w:p>
    <w:p w14:paraId="799070B0">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1.2.3为保证设备处于优良的运行状态，提供维修、安全检查，质量检查（QC），运行状态检查，设备保养等服务，每次维修维护保养等工作必须提供报告，维</w:t>
      </w:r>
      <w:r>
        <w:rPr>
          <w:rFonts w:hint="eastAsia" w:ascii="宋体" w:hAnsi="宋体" w:eastAsia="宋体" w:cs="宋体"/>
          <w:color w:val="auto"/>
          <w:kern w:val="0"/>
          <w:sz w:val="21"/>
          <w:szCs w:val="21"/>
          <w:highlight w:val="none"/>
          <w:lang w:val="en-US" w:eastAsia="zh-CN" w:bidi="ar"/>
        </w:rPr>
        <w:t>修维护相关记录须经采购人相关部门签字确认，</w:t>
      </w:r>
      <w:r>
        <w:rPr>
          <w:rFonts w:hint="eastAsia" w:ascii="宋体" w:hAnsi="宋体" w:eastAsia="宋体" w:cs="宋体"/>
          <w:color w:val="auto"/>
          <w:kern w:val="2"/>
          <w:sz w:val="21"/>
          <w:szCs w:val="21"/>
          <w:highlight w:val="none"/>
          <w:lang w:val="en-US" w:eastAsia="zh-CN" w:bidi="ar"/>
        </w:rPr>
        <w:t>确保医院设备运行正常。</w:t>
      </w:r>
    </w:p>
    <w:p w14:paraId="3D3206D8">
      <w:pPr>
        <w:keepNext w:val="0"/>
        <w:keepLines w:val="0"/>
        <w:widowControl w:val="0"/>
        <w:suppressLineNumbers w:val="0"/>
        <w:autoSpaceDE w:val="0"/>
        <w:autoSpaceDN/>
        <w:spacing w:before="0" w:beforeAutospacing="0" w:after="0" w:afterAutospacing="0" w:line="49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 xml:space="preserve">1.2.4提供预防性保养≥4次/年，使之保持原厂QC标准或国家质量计监部门之标准，内容包含但不限于如下项目：设备清洁、性能测试及校准、必要的电气环境检测等；若国家及相关部门有相应质量控制检测规范的，按照相关规范执行，配合各级质控检测机构做好质控检测。具体保养时间应在不影响采购人正常工作的时间内进行，并出具季度与年度维护保养报告。 </w:t>
      </w:r>
    </w:p>
    <w:p w14:paraId="3766D565">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kern w:val="2"/>
          <w:sz w:val="21"/>
          <w:szCs w:val="21"/>
          <w:highlight w:val="none"/>
          <w:lang w:val="en-US" w:eastAsia="zh-CN" w:bidi="ar"/>
        </w:rPr>
      </w:pP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1.2.5维保设备全年的开机率≥95%（按照一年365日计算，每天不限定工作时间），否则按1：3顺延服务期</w:t>
      </w:r>
      <w:r>
        <w:rPr>
          <w:rFonts w:hint="eastAsia" w:ascii="宋体" w:hAnsi="宋体" w:eastAsia="宋体" w:cs="Times New Roman"/>
          <w:color w:val="auto"/>
          <w:kern w:val="2"/>
          <w:sz w:val="21"/>
          <w:szCs w:val="21"/>
          <w:highlight w:val="none"/>
          <w:lang w:val="en-US" w:eastAsia="zh-CN" w:bidi="ar"/>
        </w:rPr>
        <w:t>并罚款2万元每天</w:t>
      </w:r>
      <w:r>
        <w:rPr>
          <w:rFonts w:hint="eastAsia" w:ascii="宋体" w:hAnsi="宋体" w:eastAsia="宋体" w:cs="宋体"/>
          <w:color w:val="auto"/>
          <w:kern w:val="2"/>
          <w:sz w:val="21"/>
          <w:szCs w:val="21"/>
          <w:highlight w:val="none"/>
          <w:lang w:val="en-US" w:eastAsia="zh-CN" w:bidi="ar"/>
        </w:rPr>
        <w:t>。开机率=（设备正常开机或正常待机天数/365）×100%，当日故障时间大于8小时，计当日故障1天；小于8小时，故障天数=故障小时数/8。故障时间从报修开始计算，修复后正常开机运行截止。</w:t>
      </w:r>
    </w:p>
    <w:p w14:paraId="031E4ED9">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color w:val="auto"/>
          <w:sz w:val="21"/>
          <w:szCs w:val="21"/>
          <w:highlight w:val="none"/>
          <w:lang w:val="en-US"/>
        </w:rPr>
      </w:pPr>
      <w:r>
        <w:rPr>
          <w:rFonts w:hint="eastAsia" w:ascii="宋体" w:hAnsi="宋体" w:cs="宋体"/>
          <w:color w:val="auto"/>
          <w:kern w:val="2"/>
          <w:sz w:val="21"/>
          <w:szCs w:val="21"/>
          <w:highlight w:val="none"/>
          <w:lang w:val="en-US" w:eastAsia="zh-CN" w:bidi="ar"/>
        </w:rPr>
        <w:t>1.2.6</w:t>
      </w:r>
      <w:r>
        <w:rPr>
          <w:rFonts w:hint="eastAsia" w:ascii="宋体" w:hAnsi="宋体" w:eastAsia="宋体" w:cs="宋体"/>
          <w:color w:val="auto"/>
          <w:kern w:val="2"/>
          <w:sz w:val="21"/>
          <w:szCs w:val="21"/>
          <w:highlight w:val="none"/>
          <w:lang w:val="en-US" w:eastAsia="zh-CN" w:bidi="ar"/>
        </w:rPr>
        <w:t xml:space="preserve">停机时长：单次停机时间不得连续超过5个工作日，如不能对该设备及时修复，采购人有权选择聘请包括厂家在内的第三方公司进行维修或解除合同，维修所产生的费用（含配件费、人工费、差旅费等一切费用）由中标人支付。 </w:t>
      </w:r>
    </w:p>
    <w:p w14:paraId="4E6EB7F6">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1.2.7工程师要求：</w:t>
      </w:r>
      <w:r>
        <w:rPr>
          <w:rFonts w:hint="eastAsia" w:ascii="宋体" w:hAnsi="宋体" w:cs="宋体"/>
          <w:color w:val="auto"/>
          <w:kern w:val="2"/>
          <w:sz w:val="21"/>
          <w:szCs w:val="21"/>
          <w:highlight w:val="none"/>
          <w:lang w:val="en-US" w:eastAsia="zh-CN" w:bidi="ar"/>
        </w:rPr>
        <w:t>中标</w:t>
      </w:r>
      <w:r>
        <w:rPr>
          <w:rFonts w:hint="eastAsia" w:ascii="宋体" w:hAnsi="宋体" w:eastAsia="宋体" w:cs="宋体"/>
          <w:color w:val="auto"/>
          <w:kern w:val="2"/>
          <w:sz w:val="21"/>
          <w:szCs w:val="21"/>
          <w:lang w:val="en-US" w:eastAsia="zh-CN" w:bidi="ar"/>
        </w:rPr>
        <w:t>人</w:t>
      </w:r>
      <w:r>
        <w:rPr>
          <w:rFonts w:hint="eastAsia" w:ascii="宋体" w:hAnsi="宋体" w:eastAsia="宋体" w:cs="宋体"/>
          <w:color w:val="auto"/>
          <w:kern w:val="2"/>
          <w:sz w:val="21"/>
          <w:szCs w:val="21"/>
          <w:highlight w:val="none"/>
          <w:lang w:val="en-US" w:eastAsia="zh-CN" w:bidi="ar"/>
        </w:rPr>
        <w:t>指派至少2名原厂现场服务工程师，能以现场或者远程形式提供临床应用、设备操作维护支持</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且持有在有效期内的培训证书或上岗证，按照采购人要求服务。</w:t>
      </w:r>
    </w:p>
    <w:p w14:paraId="79C29856">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1.2.8项目所维保设备的生产厂家发布新版本软件，须在第一时间告知采购人，投标人须提供软件安全升级，提高性能、增强系统稳定性，且所有组件必须从原厂采购，按照约定时间，在标准工作时间内完成升级。</w:t>
      </w:r>
    </w:p>
    <w:p w14:paraId="36B584E1">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1.2.9在不违反相关数据保密规定的情况下，提供远程及现场服务，能通过互联网连接远程进行故障排除。</w:t>
      </w:r>
    </w:p>
    <w:p w14:paraId="5C78D5E6">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1.2.10故障确定后，“常规备件”4小时内到达维修现场，其他备件（节假日照常服务 ）24个小时内到现场，境外订购备件除外。所有备件、备品到货后，由</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送至维修、维护现场，相关费用由中标人承担。</w:t>
      </w:r>
    </w:p>
    <w:p w14:paraId="06D5C8A9">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 xml:space="preserve">1.2.11专业维修工具：供应商须配备维修保养医用直线加速器所必需的精密专业工具，并提供其有效的检定或校准证书。 </w:t>
      </w:r>
    </w:p>
    <w:p w14:paraId="0981A9E0">
      <w:pPr>
        <w:keepNext w:val="0"/>
        <w:keepLines w:val="0"/>
        <w:widowControl w:val="0"/>
        <w:suppressLineNumbers w:val="0"/>
        <w:spacing w:before="0" w:beforeAutospacing="0" w:after="0" w:afterAutospacing="0" w:line="360" w:lineRule="auto"/>
        <w:ind w:left="0" w:right="0" w:firstLine="420" w:firstLineChars="200"/>
        <w:jc w:val="both"/>
        <w:outlineLvl w:val="2"/>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1.2.1</w:t>
      </w:r>
      <w:r>
        <w:rPr>
          <w:rFonts w:hint="eastAsia" w:ascii="宋体" w:hAnsi="宋体" w:cs="宋体"/>
          <w:color w:val="auto"/>
          <w:kern w:val="2"/>
          <w:sz w:val="21"/>
          <w:szCs w:val="21"/>
          <w:highlight w:val="none"/>
          <w:lang w:val="en-US" w:eastAsia="zh-CN" w:bidi="ar"/>
        </w:rPr>
        <w:t>2本项目是对本医用直线加速器全周期、全方位维修与保养服务，在此期间所有风险（如材料、人工、意外伤害等）及费用均由中标人承担，采购人不承担任何责任。</w:t>
      </w:r>
    </w:p>
    <w:p w14:paraId="5D9F1512">
      <w:pPr>
        <w:keepNext w:val="0"/>
        <w:keepLines w:val="0"/>
        <w:widowControl w:val="0"/>
        <w:suppressLineNumbers w:val="0"/>
        <w:autoSpaceDE w:val="0"/>
        <w:autoSpaceDN/>
        <w:spacing w:before="0" w:beforeAutospacing="0" w:after="0" w:afterAutospacing="0" w:line="49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1.2.1</w:t>
      </w: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合同期内，医院将对中标人的服务质量进行考核（包括：软件安装升级、开机率、故障响应时间、故障排除时间及维保服务条款履行情况等），若考核不合格的，采购人可解除合同，并有权要求中标公司赔偿由于设备停机造成的直接和间接经济损失。每半年为一个考核周期。</w:t>
      </w:r>
    </w:p>
    <w:p w14:paraId="76EE384E">
      <w:pPr>
        <w:keepNext w:val="0"/>
        <w:keepLines w:val="0"/>
        <w:widowControl w:val="0"/>
        <w:suppressLineNumbers w:val="0"/>
        <w:autoSpaceDE w:val="0"/>
        <w:autoSpaceDN/>
        <w:spacing w:before="0" w:beforeAutospacing="0" w:after="0" w:afterAutospacing="0" w:line="490" w:lineRule="exact"/>
        <w:ind w:left="0" w:right="0" w:firstLine="420" w:firstLineChars="200"/>
        <w:jc w:val="both"/>
        <w:rPr>
          <w:rFonts w:hint="eastAsia" w:ascii="宋体" w:hAnsi="宋体" w:eastAsia="宋体" w:cs="宋体"/>
          <w:color w:val="auto"/>
          <w:kern w:val="2"/>
          <w:sz w:val="21"/>
          <w:szCs w:val="21"/>
          <w:highlight w:val="none"/>
          <w:lang w:eastAsia="zh-CN" w:bidi="ar-SA"/>
        </w:rPr>
      </w:pPr>
      <w:r>
        <w:rPr>
          <w:rFonts w:hint="eastAsia" w:ascii="宋体" w:hAnsi="宋体" w:eastAsia="宋体" w:cs="Times New Roman"/>
          <w:color w:val="auto"/>
          <w:kern w:val="2"/>
          <w:sz w:val="21"/>
          <w:szCs w:val="21"/>
          <w:highlight w:val="none"/>
          <w:lang w:val="en-US" w:eastAsia="zh-CN" w:bidi="ar"/>
        </w:rPr>
        <w:t>标注“▲”的条款为评标时重要评分指标，不作为符合性审查条款。</w:t>
      </w:r>
    </w:p>
    <w:p w14:paraId="2FB0CC85">
      <w:pPr>
        <w:keepNext w:val="0"/>
        <w:keepLines w:val="0"/>
        <w:pageBreakBefore w:val="0"/>
        <w:widowControl w:val="0"/>
        <w:kinsoku/>
        <w:wordWrap/>
        <w:overflowPunct/>
        <w:topLinePunct w:val="0"/>
        <w:autoSpaceDE/>
        <w:autoSpaceDN/>
        <w:bidi w:val="0"/>
        <w:adjustRightInd/>
        <w:snapToGrid/>
        <w:spacing w:after="0" w:line="490" w:lineRule="exact"/>
        <w:jc w:val="both"/>
        <w:textAlignment w:val="auto"/>
        <w:rPr>
          <w:rFonts w:hint="eastAsia" w:ascii="宋体" w:hAnsi="宋体" w:eastAsia="宋体" w:cs="宋体"/>
          <w:color w:val="auto"/>
          <w:kern w:val="2"/>
          <w:sz w:val="21"/>
          <w:szCs w:val="21"/>
          <w:highlight w:val="none"/>
          <w:lang w:eastAsia="zh-CN" w:bidi="ar-SA"/>
        </w:rPr>
      </w:pPr>
    </w:p>
    <w:p w14:paraId="2499346B">
      <w:pPr>
        <w:spacing w:line="360" w:lineRule="auto"/>
        <w:ind w:firstLine="2800" w:firstLineChars="1000"/>
        <w:rPr>
          <w:color w:val="auto"/>
          <w:highlight w:val="none"/>
        </w:rPr>
      </w:pPr>
      <w:r>
        <w:rPr>
          <w:rFonts w:hint="eastAsia" w:ascii="黑体" w:hAnsi="黑体" w:eastAsia="黑体"/>
          <w:color w:val="auto"/>
          <w:sz w:val="28"/>
          <w:szCs w:val="28"/>
          <w:highlight w:val="none"/>
        </w:rPr>
        <w:t>第三节 商务</w:t>
      </w:r>
      <w:r>
        <w:rPr>
          <w:rFonts w:ascii="黑体" w:hAnsi="黑体" w:eastAsia="黑体"/>
          <w:color w:val="auto"/>
          <w:sz w:val="28"/>
          <w:szCs w:val="28"/>
          <w:highlight w:val="none"/>
        </w:rPr>
        <w:t>要求</w:t>
      </w:r>
    </w:p>
    <w:p w14:paraId="75560A48">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一、主要商务要求</w:t>
      </w:r>
    </w:p>
    <w:p w14:paraId="716250B3">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kern w:val="0"/>
          <w:sz w:val="21"/>
          <w:szCs w:val="21"/>
          <w:highlight w:val="none"/>
          <w:lang w:bidi="zh-CN"/>
        </w:rPr>
      </w:pPr>
      <w:r>
        <w:rPr>
          <w:rFonts w:hint="eastAsia" w:ascii="宋体" w:hAnsi="宋体" w:eastAsia="宋体" w:cs="宋体"/>
          <w:color w:val="auto"/>
          <w:sz w:val="21"/>
          <w:szCs w:val="21"/>
          <w:highlight w:val="none"/>
          <w:lang w:eastAsia="zh-CN"/>
        </w:rPr>
        <w:t>1、项目名称：</w:t>
      </w:r>
      <w:r>
        <w:rPr>
          <w:rFonts w:hint="eastAsia" w:ascii="宋体" w:hAnsi="宋体" w:cs="宋体"/>
          <w:color w:val="auto"/>
          <w:kern w:val="0"/>
          <w:sz w:val="21"/>
          <w:szCs w:val="21"/>
          <w:highlight w:val="none"/>
          <w:lang w:val="en-US" w:eastAsia="zh-CN"/>
        </w:rPr>
        <w:t>雷泰VenusX直线加速器三年维保服务项目</w:t>
      </w:r>
    </w:p>
    <w:p w14:paraId="05D1C030">
      <w:pPr>
        <w:adjustRightInd w:val="0"/>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2、采购项目预算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2700000</w:t>
      </w:r>
      <w:r>
        <w:rPr>
          <w:rFonts w:hint="eastAsia" w:ascii="宋体" w:hAnsi="宋体" w:eastAsia="宋体" w:cs="宋体"/>
          <w:color w:val="auto"/>
          <w:sz w:val="21"/>
          <w:szCs w:val="21"/>
          <w:highlight w:val="none"/>
          <w:lang w:eastAsia="zh-CN"/>
        </w:rPr>
        <w:t>元</w:t>
      </w:r>
    </w:p>
    <w:p w14:paraId="3BFC0DB9">
      <w:pPr>
        <w:adjustRightInd w:val="0"/>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3、维保期限:三年</w:t>
      </w:r>
    </w:p>
    <w:p w14:paraId="4B0E96ED">
      <w:pPr>
        <w:adjustRightInd w:val="0"/>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4、项目现场：</w:t>
      </w:r>
      <w:r>
        <w:rPr>
          <w:rFonts w:hint="eastAsia" w:ascii="宋体" w:hAnsi="宋体" w:cs="宋体"/>
          <w:color w:val="auto"/>
          <w:sz w:val="21"/>
          <w:szCs w:val="21"/>
          <w:highlight w:val="none"/>
          <w:lang w:eastAsia="zh-CN"/>
        </w:rPr>
        <w:t>平江县第一人民医院</w:t>
      </w:r>
    </w:p>
    <w:p w14:paraId="279F647D">
      <w:pPr>
        <w:pStyle w:val="7"/>
        <w:keepNext w:val="0"/>
        <w:keepLines w:val="0"/>
        <w:widowControl/>
        <w:suppressLineNumbers w:val="0"/>
        <w:spacing w:before="0" w:beforeAutospacing="0" w:after="200" w:afterAutospacing="0" w:line="300" w:lineRule="exact"/>
        <w:ind w:left="0" w:right="0"/>
        <w:jc w:val="left"/>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TW"/>
        </w:rPr>
        <w:t>付款方式:</w:t>
      </w:r>
      <w:r>
        <w:rPr>
          <w:rFonts w:hint="eastAsia" w:ascii="宋体" w:hAnsi="宋体" w:eastAsia="宋体" w:cs="宋体"/>
          <w:color w:val="auto"/>
          <w:kern w:val="0"/>
          <w:sz w:val="21"/>
          <w:szCs w:val="21"/>
          <w:highlight w:val="none"/>
          <w:lang w:val="en-US" w:eastAsia="zh-CN" w:bidi="ar"/>
        </w:rPr>
        <w:t>先服务后付款，每服务半年支付该</w:t>
      </w:r>
      <w:r>
        <w:rPr>
          <w:rFonts w:hint="eastAsia" w:ascii="宋体" w:hAnsi="宋体" w:cs="宋体"/>
          <w:color w:val="auto"/>
          <w:kern w:val="0"/>
          <w:sz w:val="21"/>
          <w:szCs w:val="21"/>
          <w:highlight w:val="none"/>
          <w:lang w:val="en-US" w:eastAsia="zh-CN" w:bidi="ar"/>
        </w:rPr>
        <w:t>半</w:t>
      </w:r>
      <w:r>
        <w:rPr>
          <w:rFonts w:hint="eastAsia" w:ascii="宋体" w:hAnsi="宋体" w:eastAsia="宋体" w:cs="宋体"/>
          <w:color w:val="auto"/>
          <w:kern w:val="0"/>
          <w:sz w:val="21"/>
          <w:szCs w:val="21"/>
          <w:highlight w:val="none"/>
          <w:lang w:val="en-US" w:eastAsia="zh-CN" w:bidi="ar"/>
        </w:rPr>
        <w:t>年度服务费。</w:t>
      </w:r>
    </w:p>
    <w:p w14:paraId="455EE70D">
      <w:pPr>
        <w:widowControl/>
        <w:spacing w:line="360" w:lineRule="auto"/>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lang w:val="en-US" w:eastAsia="zh-CN" w:bidi="ar"/>
        </w:rPr>
        <w:t>二</w:t>
      </w:r>
      <w:r>
        <w:rPr>
          <w:rFonts w:hint="eastAsia" w:ascii="宋体" w:hAnsi="宋体" w:cs="宋体"/>
          <w:color w:val="auto"/>
          <w:kern w:val="0"/>
          <w:sz w:val="21"/>
          <w:szCs w:val="21"/>
          <w:highlight w:val="none"/>
          <w:lang w:bidi="ar"/>
        </w:rPr>
        <w:t xml:space="preserve">、其他要求及说明 </w:t>
      </w:r>
    </w:p>
    <w:p w14:paraId="7987ED7A">
      <w:pPr>
        <w:widowControl/>
        <w:spacing w:line="360" w:lineRule="auto"/>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 xml:space="preserve">1、本项目所列的国家或行业相关标准要求，如与最新出台的国家或行业标准相冲突的，按最新的标准执行。 </w:t>
      </w:r>
    </w:p>
    <w:p w14:paraId="76B1D5C8">
      <w:pPr>
        <w:pStyle w:val="13"/>
        <w:spacing w:line="360" w:lineRule="auto"/>
        <w:rPr>
          <w:rFonts w:hint="eastAsia" w:ascii="宋体" w:hAnsi="宋体" w:cs="宋体"/>
          <w:color w:val="auto"/>
          <w:sz w:val="21"/>
          <w:szCs w:val="21"/>
          <w:highlight w:val="none"/>
        </w:rPr>
      </w:pPr>
      <w:r>
        <w:rPr>
          <w:rFonts w:hint="eastAsia" w:ascii="宋体" w:hAnsi="宋体" w:cs="宋体"/>
          <w:bCs/>
          <w:color w:val="auto"/>
          <w:sz w:val="21"/>
          <w:szCs w:val="21"/>
          <w:highlight w:val="none"/>
        </w:rPr>
        <w:t>2、</w:t>
      </w:r>
      <w:r>
        <w:rPr>
          <w:rFonts w:hint="eastAsia" w:ascii="宋体" w:hAnsi="宋体" w:cs="宋体"/>
          <w:color w:val="auto"/>
          <w:sz w:val="21"/>
          <w:szCs w:val="21"/>
          <w:highlight w:val="none"/>
        </w:rPr>
        <w:t>采购人不组织现场踏勘，投标人在投标前，如需踏勘现场，有关费用自理，踏勘期间发生的意外自负。</w:t>
      </w:r>
    </w:p>
    <w:p w14:paraId="1E9CB1B5">
      <w:pPr>
        <w:pStyle w:val="13"/>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lang w:bidi="ar"/>
        </w:rPr>
        <w:t>3. 投标人需承诺中标后取得设备厂家的</w:t>
      </w:r>
      <w:r>
        <w:rPr>
          <w:rFonts w:hint="eastAsia" w:ascii="宋体" w:hAnsi="宋体" w:eastAsia="宋体" w:cs="宋体"/>
          <w:color w:val="auto"/>
          <w:kern w:val="0"/>
          <w:sz w:val="21"/>
          <w:szCs w:val="21"/>
          <w:lang w:val="en-US" w:eastAsia="zh-CN" w:bidi="ar"/>
        </w:rPr>
        <w:t>授权及</w:t>
      </w:r>
      <w:r>
        <w:rPr>
          <w:rFonts w:hint="eastAsia" w:ascii="宋体" w:hAnsi="宋体" w:eastAsia="宋体" w:cs="宋体"/>
          <w:color w:val="auto"/>
          <w:kern w:val="0"/>
          <w:sz w:val="21"/>
          <w:szCs w:val="21"/>
          <w:lang w:bidi="ar"/>
        </w:rPr>
        <w:t>技</w:t>
      </w:r>
      <w:r>
        <w:rPr>
          <w:rFonts w:hint="eastAsia" w:ascii="宋体" w:hAnsi="宋体" w:eastAsia="宋体" w:cs="宋体"/>
          <w:color w:val="auto"/>
          <w:kern w:val="0"/>
          <w:sz w:val="21"/>
          <w:szCs w:val="21"/>
          <w:lang w:val="en-US" w:eastAsia="zh-CN" w:bidi="ar"/>
        </w:rPr>
        <w:t>术和</w:t>
      </w:r>
      <w:r>
        <w:rPr>
          <w:rFonts w:hint="eastAsia" w:ascii="宋体" w:hAnsi="宋体" w:eastAsia="宋体" w:cs="宋体"/>
          <w:color w:val="auto"/>
          <w:kern w:val="0"/>
          <w:sz w:val="21"/>
          <w:szCs w:val="21"/>
          <w:lang w:bidi="ar"/>
        </w:rPr>
        <w:t>物力支持，并按采购人要求提供相关证明材料。</w:t>
      </w:r>
      <w:r>
        <w:rPr>
          <w:rFonts w:hint="eastAsia" w:ascii="宋体" w:hAnsi="宋体" w:eastAsia="宋体" w:cs="宋体"/>
          <w:b/>
          <w:bCs/>
          <w:color w:val="auto"/>
          <w:kern w:val="0"/>
          <w:sz w:val="21"/>
          <w:szCs w:val="21"/>
          <w:lang w:bidi="ar"/>
        </w:rPr>
        <w:t>要求投标人针对此内容在投标文件中出具书面承诺书（格式自拟）并加盖投标人公章</w:t>
      </w: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val="en-US" w:eastAsia="zh-CN" w:bidi="ar"/>
        </w:rPr>
        <w:t>签订合同时提供厂家相关授权书。</w:t>
      </w:r>
    </w:p>
    <w:p w14:paraId="23000B84">
      <w:pPr>
        <w:spacing w:line="370" w:lineRule="exact"/>
        <w:rPr>
          <w:rFonts w:hint="eastAsia" w:ascii="宋体" w:hAnsi="宋体" w:eastAsia="宋体" w:cs="宋体"/>
          <w:color w:val="auto"/>
          <w:kern w:val="2"/>
          <w:sz w:val="21"/>
          <w:szCs w:val="21"/>
          <w:highlight w:val="none"/>
          <w:lang w:eastAsia="zh-CN" w:bidi="ar-SA"/>
        </w:rPr>
      </w:pP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bidi="ar"/>
        </w:rPr>
        <w:t>、其他未尽事宜由采购人和中标人在采购合同中详细约定。</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5A078D-8DFE-4272-9FF3-21FA2F7E07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8387A025-9481-443A-AE38-47E51332AC8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C50496"/>
    <w:rsid w:val="000B7D78"/>
    <w:rsid w:val="00885B23"/>
    <w:rsid w:val="04D255BF"/>
    <w:rsid w:val="07862691"/>
    <w:rsid w:val="0A8921FE"/>
    <w:rsid w:val="0BFC5617"/>
    <w:rsid w:val="0FC41FA8"/>
    <w:rsid w:val="120B2110"/>
    <w:rsid w:val="15F55CFA"/>
    <w:rsid w:val="164C09CE"/>
    <w:rsid w:val="17746C2C"/>
    <w:rsid w:val="18317AB1"/>
    <w:rsid w:val="184620F4"/>
    <w:rsid w:val="18F90F15"/>
    <w:rsid w:val="191E097B"/>
    <w:rsid w:val="1A0E2862"/>
    <w:rsid w:val="1B416BA3"/>
    <w:rsid w:val="1E977FB1"/>
    <w:rsid w:val="1FC34FCA"/>
    <w:rsid w:val="20A200E4"/>
    <w:rsid w:val="25C50496"/>
    <w:rsid w:val="26E36D60"/>
    <w:rsid w:val="272D7F38"/>
    <w:rsid w:val="2AF41B4D"/>
    <w:rsid w:val="2DF500D0"/>
    <w:rsid w:val="37C001F2"/>
    <w:rsid w:val="39993C06"/>
    <w:rsid w:val="3A80103E"/>
    <w:rsid w:val="3B3D36E5"/>
    <w:rsid w:val="3BF04D81"/>
    <w:rsid w:val="415E7BFF"/>
    <w:rsid w:val="429A4C67"/>
    <w:rsid w:val="449C6A74"/>
    <w:rsid w:val="45B65F52"/>
    <w:rsid w:val="46D21527"/>
    <w:rsid w:val="47833F1C"/>
    <w:rsid w:val="480C2163"/>
    <w:rsid w:val="49092D04"/>
    <w:rsid w:val="495D022C"/>
    <w:rsid w:val="4BAE52DF"/>
    <w:rsid w:val="4DBC30CA"/>
    <w:rsid w:val="5764380C"/>
    <w:rsid w:val="58C61EBA"/>
    <w:rsid w:val="5A6C48D8"/>
    <w:rsid w:val="5C2018E1"/>
    <w:rsid w:val="5F2D4A41"/>
    <w:rsid w:val="5F93693F"/>
    <w:rsid w:val="601856F1"/>
    <w:rsid w:val="61241E74"/>
    <w:rsid w:val="63F60FCB"/>
    <w:rsid w:val="67515045"/>
    <w:rsid w:val="6C223454"/>
    <w:rsid w:val="6ED770E9"/>
    <w:rsid w:val="70755E26"/>
    <w:rsid w:val="70CC1BE0"/>
    <w:rsid w:val="715706D7"/>
    <w:rsid w:val="73726A6F"/>
    <w:rsid w:val="78216CB5"/>
    <w:rsid w:val="79B41377"/>
    <w:rsid w:val="7E34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1"/>
    <w:next w:val="1"/>
    <w:link w:val="15"/>
    <w:qFormat/>
    <w:uiPriority w:val="0"/>
    <w:pPr>
      <w:keepNext/>
      <w:keepLines/>
      <w:spacing w:line="360" w:lineRule="auto"/>
      <w:outlineLvl w:val="1"/>
    </w:pPr>
    <w:rPr>
      <w:rFonts w:ascii="Arial" w:hAnsi="Arial"/>
      <w:b/>
      <w:bCs/>
      <w:sz w:val="24"/>
      <w:szCs w:val="32"/>
    </w:rPr>
  </w:style>
  <w:style w:type="character" w:default="1" w:styleId="9">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next w:val="1"/>
    <w:qFormat/>
    <w:uiPriority w:val="39"/>
    <w:pPr>
      <w:widowControl w:val="0"/>
      <w:tabs>
        <w:tab w:val="left" w:pos="1260"/>
        <w:tab w:val="left" w:pos="1685"/>
        <w:tab w:val="right" w:leader="dot" w:pos="8400"/>
      </w:tabs>
      <w:spacing w:line="360" w:lineRule="auto"/>
      <w:ind w:firstLine="0" w:firstLineChars="0"/>
      <w:jc w:val="both"/>
    </w:pPr>
    <w:rPr>
      <w:rFonts w:ascii="Times New Roman" w:hAnsi="Times New Roman" w:eastAsia="宋体" w:cs="Times New Roman"/>
      <w:b/>
      <w:kern w:val="2"/>
      <w:sz w:val="21"/>
      <w:szCs w:val="24"/>
      <w:lang w:val="en-US" w:eastAsia="zh-CN" w:bidi="ar-SA"/>
    </w:r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spacing w:after="120" w:line="480" w:lineRule="auto"/>
      <w:ind w:left="420" w:leftChars="200"/>
    </w:pPr>
  </w:style>
  <w:style w:type="paragraph" w:styleId="7">
    <w:name w:val="Normal (Web)"/>
    <w:basedOn w:val="1"/>
    <w:qFormat/>
    <w:uiPriority w:val="0"/>
    <w:rPr>
      <w:sz w:val="24"/>
    </w:rPr>
  </w:style>
  <w:style w:type="character" w:styleId="10">
    <w:name w:val="Strong"/>
    <w:basedOn w:val="9"/>
    <w:qFormat/>
    <w:uiPriority w:val="22"/>
    <w:rPr>
      <w:b/>
      <w:bCs/>
    </w:rPr>
  </w:style>
  <w:style w:type="paragraph" w:customStyle="1" w:styleId="11">
    <w:name w:val="列出段落1"/>
    <w:basedOn w:val="12"/>
    <w:qFormat/>
    <w:uiPriority w:val="0"/>
    <w:pPr>
      <w:ind w:firstLine="420" w:firstLineChars="200"/>
    </w:pPr>
    <w:rPr>
      <w:szCs w:val="21"/>
    </w:rPr>
  </w:style>
  <w:style w:type="paragraph" w:customStyle="1" w:styleId="12">
    <w:name w:val="正文_11_0"/>
    <w:next w:val="11"/>
    <w:qFormat/>
    <w:uiPriority w:val="0"/>
    <w:pPr>
      <w:widowControl w:val="0"/>
      <w:jc w:val="both"/>
    </w:pPr>
    <w:rPr>
      <w:rFonts w:ascii="Calibri" w:hAnsi="Calibri" w:eastAsia="宋体" w:cs="Times New Roman"/>
      <w:kern w:val="2"/>
      <w:sz w:val="24"/>
      <w:szCs w:val="22"/>
      <w:lang w:val="en-US" w:eastAsia="zh-CN" w:bidi="ar-SA"/>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 A"/>
    <w:qFormat/>
    <w:uiPriority w:val="0"/>
    <w:pPr>
      <w:spacing w:after="200" w:line="251" w:lineRule="auto"/>
    </w:pPr>
    <w:rPr>
      <w:rFonts w:ascii="Cambria" w:hAnsi="Cambria" w:eastAsia="Cambria" w:cs="Cambria"/>
      <w:color w:val="000000"/>
      <w:sz w:val="22"/>
      <w:szCs w:val="22"/>
      <w:lang w:val="en-US" w:eastAsia="zh-CN" w:bidi="ar-SA"/>
    </w:rPr>
  </w:style>
  <w:style w:type="character" w:customStyle="1" w:styleId="15">
    <w:name w:val="标题 2 字符"/>
    <w:basedOn w:val="9"/>
    <w:link w:val="4"/>
    <w:qFormat/>
    <w:uiPriority w:val="0"/>
    <w:rPr>
      <w:rFonts w:ascii="Calibri Light" w:hAnsi="Calibri Light" w:eastAsia="宋体" w:cs="Times New Roman"/>
      <w:color w:val="2D53A0"/>
      <w:kern w:val="2"/>
      <w:sz w:val="40"/>
      <w:szCs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2227</Words>
  <Characters>2351</Characters>
  <Lines>0</Lines>
  <Paragraphs>0</Paragraphs>
  <TotalTime>4</TotalTime>
  <ScaleCrop>false</ScaleCrop>
  <LinksUpToDate>false</LinksUpToDate>
  <CharactersWithSpaces>2363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2026-06-25T06:28:00Z</dcterms:created>
  <dc:creator>如如</dc:creator>
  <cp:lastModifiedBy>Administrator</cp:lastModifiedBy>
  <dcterms:modified xsi:type="dcterms:W3CDTF">2026-08-12T02:16:12Z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7C6D8026ACAE42F791C71C7964E67858_11</vt:lpwstr>
  </property>
  <property fmtid="{D5CDD505-2E9C-101B-9397-08002B2CF9AE}" pid="4" name="KSOTemplateDocerSaveRecord">
    <vt:lpwstr>eyJoZGlkIjoiYzc2NjM3NDlhNDI2YTY0ODAyOGE0MjA0NmJiMjZjZmIiLCJ1c2VySWQiOiI3MTMwOTExMTUifQ==</vt:lpwstr>
  </property>
</Properties>
</file>