
<file path=[Content_Types].xml><?xml version="1.0" encoding="utf-8"?>
<Types xmlns="http://schemas.openxmlformats.org/package/2006/content-types">
  <Default Extension="xml" ContentType="application/xml"/>
  <Default Extension="jpeg" ContentType="image/jpe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rPr>
          <w:color w:val="auto"/>
        </w:rPr>
      </w:pPr>
    </w:p>
    <w:p>
      <w:pPr>
        <w:pStyle w:val="25"/>
        <w:jc w:val="center"/>
        <w:rPr>
          <w:rFonts w:asciiTheme="minorEastAsia" w:hAnsiTheme="minorEastAsia" w:eastAsiaTheme="minorEastAsia" w:cstheme="minorEastAsia"/>
          <w:b/>
          <w:bCs/>
          <w:color w:val="auto"/>
          <w:sz w:val="84"/>
          <w:szCs w:val="84"/>
        </w:rPr>
      </w:pPr>
      <w:r>
        <w:rPr>
          <w:rFonts w:hint="eastAsia" w:asciiTheme="minorEastAsia" w:hAnsiTheme="minorEastAsia" w:eastAsiaTheme="minorEastAsia" w:cstheme="minorEastAsia"/>
          <w:b/>
          <w:color w:val="auto"/>
          <w:sz w:val="84"/>
          <w:szCs w:val="84"/>
        </w:rPr>
        <w:t>政府采购</w:t>
      </w:r>
    </w:p>
    <w:p>
      <w:pPr>
        <w:pStyle w:val="25"/>
        <w:adjustRightInd w:val="0"/>
        <w:snapToGrid w:val="0"/>
        <w:spacing w:line="360" w:lineRule="auto"/>
        <w:jc w:val="center"/>
        <w:rPr>
          <w:rFonts w:asciiTheme="minorEastAsia" w:hAnsiTheme="minorEastAsia" w:eastAsiaTheme="minorEastAsia" w:cstheme="minorEastAsia"/>
          <w:b/>
          <w:color w:val="auto"/>
          <w:sz w:val="84"/>
          <w:szCs w:val="84"/>
        </w:rPr>
      </w:pPr>
      <w:r>
        <w:rPr>
          <w:rFonts w:hint="eastAsia" w:asciiTheme="minorEastAsia" w:hAnsiTheme="minorEastAsia" w:eastAsiaTheme="minorEastAsia" w:cstheme="minorEastAsia"/>
          <w:b/>
          <w:color w:val="auto"/>
          <w:sz w:val="84"/>
          <w:szCs w:val="84"/>
        </w:rPr>
        <w:t>竞争性磋商文件</w:t>
      </w:r>
    </w:p>
    <w:p>
      <w:pPr>
        <w:pStyle w:val="25"/>
        <w:adjustRightInd w:val="0"/>
        <w:snapToGrid w:val="0"/>
        <w:spacing w:beforeLines="50" w:line="360" w:lineRule="auto"/>
        <w:jc w:val="center"/>
        <w:rPr>
          <w:rFonts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drawing>
          <wp:inline distT="0" distB="0" distL="114300" distR="114300">
            <wp:extent cx="1412875" cy="1304290"/>
            <wp:effectExtent l="0" t="0" r="15875" b="10160"/>
            <wp:docPr id="5" name="图片 5" descr="6f0abc9eebc7f3729d8753356d4ee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6f0abc9eebc7f3729d8753356d4ee48"/>
                    <pic:cNvPicPr>
                      <a:picLocks noChangeAspect="1"/>
                    </pic:cNvPicPr>
                  </pic:nvPicPr>
                  <pic:blipFill>
                    <a:blip r:embed="rId11"/>
                    <a:stretch>
                      <a:fillRect/>
                    </a:stretch>
                  </pic:blipFill>
                  <pic:spPr>
                    <a:xfrm>
                      <a:off x="0" y="0"/>
                      <a:ext cx="1412875" cy="1304290"/>
                    </a:xfrm>
                    <a:prstGeom prst="rect">
                      <a:avLst/>
                    </a:prstGeom>
                  </pic:spPr>
                </pic:pic>
              </a:graphicData>
            </a:graphic>
          </wp:inline>
        </w:drawing>
      </w:r>
    </w:p>
    <w:p>
      <w:pPr>
        <w:pStyle w:val="25"/>
        <w:adjustRightInd w:val="0"/>
        <w:snapToGrid w:val="0"/>
        <w:spacing w:beforeLines="50" w:line="360" w:lineRule="auto"/>
        <w:ind w:left="846" w:leftChars="403" w:firstLine="157" w:firstLineChars="49"/>
        <w:rPr>
          <w:rFonts w:asciiTheme="minorEastAsia" w:hAnsiTheme="minorEastAsia" w:eastAsiaTheme="minorEastAsia" w:cstheme="minorEastAsia"/>
          <w:b/>
          <w:color w:val="auto"/>
          <w:sz w:val="32"/>
          <w:szCs w:val="32"/>
        </w:rPr>
      </w:pPr>
    </w:p>
    <w:p>
      <w:pPr>
        <w:pStyle w:val="25"/>
        <w:adjustRightInd w:val="0"/>
        <w:snapToGrid w:val="0"/>
        <w:spacing w:beforeLines="50" w:line="360" w:lineRule="auto"/>
        <w:ind w:left="846" w:leftChars="403" w:firstLine="157" w:firstLineChars="49"/>
        <w:rPr>
          <w:rFonts w:asciiTheme="minorEastAsia" w:hAnsiTheme="minorEastAsia" w:eastAsiaTheme="minorEastAsia" w:cstheme="minorEastAsia"/>
          <w:b/>
          <w:color w:val="auto"/>
          <w:sz w:val="32"/>
          <w:szCs w:val="32"/>
        </w:rPr>
      </w:pPr>
    </w:p>
    <w:p>
      <w:pPr>
        <w:pStyle w:val="25"/>
        <w:adjustRightInd w:val="0"/>
        <w:snapToGrid w:val="0"/>
        <w:spacing w:beforeLines="50" w:line="360" w:lineRule="auto"/>
        <w:ind w:left="846" w:leftChars="403" w:firstLine="157" w:firstLineChars="49"/>
        <w:rPr>
          <w:rFonts w:asciiTheme="minorEastAsia" w:hAnsiTheme="minorEastAsia" w:eastAsiaTheme="minorEastAsia" w:cstheme="minorEastAsia"/>
          <w:b/>
          <w:color w:val="auto"/>
          <w:sz w:val="32"/>
          <w:szCs w:val="32"/>
        </w:rPr>
      </w:pPr>
    </w:p>
    <w:p>
      <w:pPr>
        <w:pStyle w:val="25"/>
        <w:adjustRightInd w:val="0"/>
        <w:snapToGrid w:val="0"/>
        <w:spacing w:beforeLines="50" w:line="360" w:lineRule="auto"/>
        <w:ind w:left="846" w:leftChars="403" w:firstLine="157" w:firstLineChars="49"/>
        <w:rPr>
          <w:rFonts w:asciiTheme="minorEastAsia" w:hAnsiTheme="minorEastAsia" w:eastAsiaTheme="minorEastAsia" w:cstheme="minorEastAsia"/>
          <w:b/>
          <w:color w:val="auto"/>
          <w:sz w:val="32"/>
          <w:szCs w:val="32"/>
        </w:rPr>
      </w:pPr>
    </w:p>
    <w:p>
      <w:pPr>
        <w:pStyle w:val="25"/>
        <w:adjustRightInd w:val="0"/>
        <w:snapToGrid w:val="0"/>
        <w:spacing w:beforeLines="50" w:line="360" w:lineRule="auto"/>
        <w:ind w:left="846" w:leftChars="403" w:firstLine="157" w:firstLineChars="49"/>
        <w:rPr>
          <w:rFonts w:asciiTheme="minorEastAsia" w:hAnsiTheme="minorEastAsia" w:eastAsiaTheme="minorEastAsia" w:cstheme="minorEastAsia"/>
          <w:b/>
          <w:color w:val="auto"/>
          <w:sz w:val="32"/>
          <w:szCs w:val="32"/>
        </w:rPr>
      </w:pPr>
    </w:p>
    <w:p>
      <w:pPr>
        <w:pStyle w:val="25"/>
        <w:adjustRightInd w:val="0"/>
        <w:snapToGrid w:val="0"/>
        <w:spacing w:beforeLines="50" w:line="360" w:lineRule="auto"/>
        <w:ind w:left="846" w:leftChars="403" w:firstLine="157" w:firstLineChars="49"/>
        <w:rPr>
          <w:rFonts w:asciiTheme="minorEastAsia" w:hAnsiTheme="minorEastAsia" w:eastAsiaTheme="minorEastAsia" w:cstheme="minorEastAsia"/>
          <w:b/>
          <w:color w:val="auto"/>
          <w:sz w:val="32"/>
          <w:szCs w:val="32"/>
        </w:rPr>
      </w:pPr>
    </w:p>
    <w:p>
      <w:pPr>
        <w:spacing w:line="360" w:lineRule="auto"/>
        <w:ind w:firstLine="964" w:firstLineChars="300"/>
        <w:rPr>
          <w:rFonts w:hint="eastAsia" w:ascii="宋体" w:hAnsi="宋体"/>
          <w:b/>
          <w:color w:val="auto"/>
          <w:sz w:val="32"/>
          <w:szCs w:val="32"/>
          <w:lang w:eastAsia="zh-CN"/>
        </w:rPr>
      </w:pPr>
      <w:r>
        <w:rPr>
          <w:rFonts w:hint="eastAsia" w:ascii="宋体" w:hAnsi="宋体"/>
          <w:b/>
          <w:color w:val="auto"/>
          <w:sz w:val="32"/>
          <w:szCs w:val="32"/>
        </w:rPr>
        <w:t>项目名称：</w:t>
      </w:r>
      <w:bookmarkStart w:id="0" w:name="OLE_LINK1"/>
      <w:r>
        <w:rPr>
          <w:rFonts w:hint="eastAsia" w:ascii="宋体" w:hAnsi="宋体"/>
          <w:b/>
          <w:color w:val="auto"/>
          <w:sz w:val="32"/>
          <w:szCs w:val="32"/>
          <w:lang w:val="en-US" w:eastAsia="zh-CN"/>
        </w:rPr>
        <w:t>临湘高新区化工园水系改造（四期）工程项目</w:t>
      </w:r>
      <w:bookmarkEnd w:id="0"/>
    </w:p>
    <w:p>
      <w:pPr>
        <w:spacing w:line="360" w:lineRule="auto"/>
        <w:ind w:firstLine="1285" w:firstLineChars="400"/>
        <w:rPr>
          <w:rFonts w:hint="eastAsia" w:ascii="宋体" w:hAnsi="宋体" w:eastAsia="宋体"/>
          <w:b/>
          <w:color w:val="auto"/>
          <w:sz w:val="32"/>
          <w:szCs w:val="32"/>
          <w:lang w:eastAsia="zh-CN"/>
        </w:rPr>
      </w:pPr>
      <w:r>
        <w:rPr>
          <w:rFonts w:hint="eastAsia" w:ascii="宋体" w:hAnsi="宋体"/>
          <w:b/>
          <w:color w:val="auto"/>
          <w:sz w:val="32"/>
          <w:szCs w:val="32"/>
        </w:rPr>
        <w:t>采 购 人：</w:t>
      </w:r>
      <w:r>
        <w:rPr>
          <w:rFonts w:hint="eastAsia" w:ascii="宋体" w:hAnsi="宋体"/>
          <w:b/>
          <w:color w:val="auto"/>
          <w:sz w:val="32"/>
          <w:szCs w:val="32"/>
          <w:lang w:eastAsia="zh-CN"/>
        </w:rPr>
        <w:t>临湘高新技术产业开发区管理委员会</w:t>
      </w:r>
    </w:p>
    <w:p>
      <w:pPr>
        <w:spacing w:line="360" w:lineRule="auto"/>
        <w:ind w:firstLine="1285" w:firstLineChars="400"/>
        <w:rPr>
          <w:rFonts w:hint="eastAsia" w:ascii="宋体" w:hAnsi="宋体" w:eastAsia="宋体"/>
          <w:b/>
          <w:color w:val="auto"/>
          <w:sz w:val="32"/>
          <w:szCs w:val="32"/>
          <w:lang w:eastAsia="zh-CN"/>
        </w:rPr>
      </w:pPr>
      <w:r>
        <w:rPr>
          <w:rFonts w:hint="eastAsia" w:ascii="宋体" w:hAnsi="宋体"/>
          <w:b/>
          <w:color w:val="auto"/>
          <w:sz w:val="32"/>
          <w:szCs w:val="32"/>
        </w:rPr>
        <w:t>代理机构：</w:t>
      </w:r>
      <w:r>
        <w:rPr>
          <w:rFonts w:hint="eastAsia" w:ascii="宋体" w:hAnsi="宋体"/>
          <w:b/>
          <w:color w:val="auto"/>
          <w:sz w:val="32"/>
          <w:szCs w:val="32"/>
          <w:lang w:eastAsia="zh-CN"/>
        </w:rPr>
        <w:t>中采联合招标有限公司</w:t>
      </w:r>
    </w:p>
    <w:p>
      <w:pPr>
        <w:spacing w:line="360" w:lineRule="auto"/>
        <w:ind w:firstLine="1285" w:firstLineChars="400"/>
        <w:jc w:val="left"/>
        <w:rPr>
          <w:rFonts w:asciiTheme="minorEastAsia" w:hAnsiTheme="minorEastAsia" w:eastAsiaTheme="minorEastAsia" w:cstheme="minorEastAsia"/>
          <w:b/>
          <w:color w:val="auto"/>
          <w:sz w:val="28"/>
          <w:szCs w:val="28"/>
        </w:rPr>
      </w:pPr>
      <w:r>
        <w:rPr>
          <w:rFonts w:hint="eastAsia" w:ascii="宋体" w:hAnsi="宋体"/>
          <w:b/>
          <w:color w:val="auto"/>
          <w:sz w:val="32"/>
          <w:szCs w:val="32"/>
        </w:rPr>
        <w:t>日</w:t>
      </w:r>
      <w:r>
        <w:rPr>
          <w:rFonts w:hint="eastAsia" w:ascii="宋体" w:hAnsi="宋体"/>
          <w:b/>
          <w:color w:val="auto"/>
          <w:sz w:val="32"/>
          <w:szCs w:val="32"/>
          <w:lang w:val="en-US" w:eastAsia="zh-CN"/>
        </w:rPr>
        <w:t xml:space="preserve">    </w:t>
      </w:r>
      <w:r>
        <w:rPr>
          <w:rFonts w:hint="eastAsia" w:ascii="宋体" w:hAnsi="宋体"/>
          <w:b/>
          <w:color w:val="auto"/>
          <w:sz w:val="32"/>
          <w:szCs w:val="32"/>
        </w:rPr>
        <w:t>期：202</w:t>
      </w:r>
      <w:r>
        <w:rPr>
          <w:rFonts w:hint="eastAsia" w:ascii="宋体" w:hAnsi="宋体"/>
          <w:b/>
          <w:color w:val="auto"/>
          <w:sz w:val="32"/>
          <w:szCs w:val="32"/>
          <w:lang w:val="en-US" w:eastAsia="zh-CN"/>
        </w:rPr>
        <w:t>6</w:t>
      </w:r>
      <w:r>
        <w:rPr>
          <w:rFonts w:hint="eastAsia" w:ascii="宋体" w:hAnsi="宋体"/>
          <w:b/>
          <w:color w:val="auto"/>
          <w:sz w:val="32"/>
          <w:szCs w:val="32"/>
        </w:rPr>
        <w:t>年</w:t>
      </w:r>
      <w:r>
        <w:rPr>
          <w:rFonts w:hint="eastAsia" w:ascii="宋体" w:hAnsi="宋体"/>
          <w:b/>
          <w:color w:val="auto"/>
          <w:sz w:val="32"/>
          <w:szCs w:val="32"/>
          <w:lang w:val="en-US" w:eastAsia="zh-CN"/>
        </w:rPr>
        <w:t>06</w:t>
      </w:r>
      <w:r>
        <w:rPr>
          <w:rFonts w:hint="eastAsia" w:ascii="宋体" w:hAnsi="宋体"/>
          <w:b/>
          <w:color w:val="auto"/>
          <w:sz w:val="32"/>
          <w:szCs w:val="32"/>
        </w:rPr>
        <w:t>月</w:t>
      </w:r>
    </w:p>
    <w:sdt>
      <w:sdtPr>
        <w:rPr>
          <w:rFonts w:ascii="宋体" w:hAnsi="宋体"/>
          <w:color w:val="auto"/>
        </w:rPr>
        <w:id w:val="147452475"/>
      </w:sdtPr>
      <w:sdtEndPr>
        <w:rPr>
          <w:rFonts w:hint="eastAsia" w:asciiTheme="minorEastAsia" w:hAnsiTheme="minorEastAsia" w:eastAsiaTheme="minorEastAsia" w:cstheme="minorEastAsia"/>
          <w:b/>
          <w:color w:val="auto"/>
        </w:rPr>
      </w:sdtEndPr>
      <w:sdtContent>
        <w:p>
          <w:pPr>
            <w:jc w:val="center"/>
            <w:rPr>
              <w:rFonts w:ascii="宋体" w:hAnsi="宋体"/>
              <w:color w:val="auto"/>
            </w:rPr>
          </w:pPr>
        </w:p>
        <w:p>
          <w:pPr>
            <w:jc w:val="center"/>
            <w:rPr>
              <w:rFonts w:ascii="宋体" w:hAnsi="宋体"/>
              <w:color w:val="auto"/>
            </w:rPr>
          </w:pPr>
        </w:p>
        <w:p>
          <w:pPr>
            <w:jc w:val="center"/>
            <w:rPr>
              <w:rFonts w:ascii="宋体" w:hAnsi="宋体"/>
              <w:b/>
              <w:bCs/>
              <w:color w:val="auto"/>
              <w:sz w:val="28"/>
              <w:szCs w:val="28"/>
            </w:rPr>
          </w:pPr>
          <w:r>
            <w:rPr>
              <w:rFonts w:ascii="宋体" w:hAnsi="宋体"/>
              <w:b/>
              <w:bCs/>
              <w:color w:val="auto"/>
              <w:sz w:val="28"/>
              <w:szCs w:val="28"/>
            </w:rPr>
            <w:t>目录</w:t>
          </w:r>
        </w:p>
        <w:p>
          <w:pPr>
            <w:pStyle w:val="20"/>
            <w:rPr>
              <w:color w:val="auto"/>
            </w:rPr>
          </w:pPr>
        </w:p>
        <w:p>
          <w:pPr>
            <w:pStyle w:val="32"/>
            <w:tabs>
              <w:tab w:val="right" w:leader="dot" w:pos="8844"/>
            </w:tabs>
            <w:rPr>
              <w:color w:val="auto"/>
              <w:sz w:val="21"/>
              <w:szCs w:val="21"/>
            </w:rPr>
          </w:pPr>
          <w:r>
            <w:rPr>
              <w:rFonts w:hint="eastAsia" w:asciiTheme="minorEastAsia" w:hAnsiTheme="minorEastAsia" w:eastAsiaTheme="minorEastAsia" w:cstheme="minorEastAsia"/>
              <w:color w:val="auto"/>
              <w:sz w:val="24"/>
            </w:rPr>
            <w:fldChar w:fldCharType="begin"/>
          </w:r>
          <w:r>
            <w:rPr>
              <w:rFonts w:hint="eastAsia" w:asciiTheme="minorEastAsia" w:hAnsiTheme="minorEastAsia" w:eastAsiaTheme="minorEastAsia" w:cstheme="minorEastAsia"/>
              <w:color w:val="auto"/>
              <w:sz w:val="24"/>
            </w:rPr>
            <w:instrText xml:space="preserve">TOC \o "1-2" \h \u </w:instrText>
          </w:r>
          <w:r>
            <w:rPr>
              <w:rFonts w:hint="eastAsia" w:asciiTheme="minorEastAsia" w:hAnsiTheme="minorEastAsia" w:eastAsiaTheme="minorEastAsia" w:cstheme="minorEastAsia"/>
              <w:color w:val="auto"/>
              <w:sz w:val="24"/>
            </w:rPr>
            <w:fldChar w:fldCharType="separate"/>
          </w:r>
          <w:r>
            <w:rPr>
              <w:color w:val="auto"/>
            </w:rPr>
            <w:fldChar w:fldCharType="begin"/>
          </w:r>
          <w:r>
            <w:rPr>
              <w:color w:val="auto"/>
            </w:rPr>
            <w:instrText xml:space="preserve"> HYPERLINK \l "_Toc27458" </w:instrText>
          </w:r>
          <w:r>
            <w:rPr>
              <w:color w:val="auto"/>
            </w:rPr>
            <w:fldChar w:fldCharType="separate"/>
          </w:r>
          <w:r>
            <w:rPr>
              <w:rFonts w:hint="eastAsia" w:asciiTheme="minorEastAsia" w:hAnsiTheme="minorEastAsia" w:eastAsiaTheme="minorEastAsia" w:cstheme="minorEastAsia"/>
              <w:color w:val="auto"/>
              <w:sz w:val="21"/>
              <w:szCs w:val="21"/>
            </w:rPr>
            <w:t>第一章  磋商邀请</w:t>
          </w:r>
          <w:r>
            <w:rPr>
              <w:color w:val="auto"/>
              <w:sz w:val="21"/>
              <w:szCs w:val="21"/>
            </w:rPr>
            <w:tab/>
          </w:r>
          <w:r>
            <w:rPr>
              <w:rFonts w:hint="eastAsia"/>
              <w:color w:val="auto"/>
              <w:sz w:val="21"/>
              <w:szCs w:val="21"/>
            </w:rPr>
            <w:t>2</w:t>
          </w:r>
          <w:r>
            <w:rPr>
              <w:rFonts w:hint="eastAsia"/>
              <w:color w:val="auto"/>
              <w:sz w:val="21"/>
              <w:szCs w:val="21"/>
            </w:rPr>
            <w:fldChar w:fldCharType="end"/>
          </w:r>
        </w:p>
        <w:p>
          <w:pPr>
            <w:pStyle w:val="32"/>
            <w:tabs>
              <w:tab w:val="right" w:leader="dot" w:pos="8844"/>
            </w:tabs>
            <w:rPr>
              <w:color w:val="auto"/>
              <w:sz w:val="21"/>
              <w:szCs w:val="21"/>
            </w:rPr>
          </w:pPr>
          <w:r>
            <w:rPr>
              <w:color w:val="auto"/>
            </w:rPr>
            <w:fldChar w:fldCharType="begin"/>
          </w:r>
          <w:r>
            <w:rPr>
              <w:color w:val="auto"/>
            </w:rPr>
            <w:instrText xml:space="preserve"> HYPERLINK \l "_Toc15656" </w:instrText>
          </w:r>
          <w:r>
            <w:rPr>
              <w:color w:val="auto"/>
            </w:rPr>
            <w:fldChar w:fldCharType="separate"/>
          </w:r>
          <w:r>
            <w:rPr>
              <w:rFonts w:hint="eastAsia" w:asciiTheme="minorEastAsia" w:hAnsiTheme="minorEastAsia" w:eastAsiaTheme="minorEastAsia" w:cstheme="minorEastAsia"/>
              <w:color w:val="auto"/>
              <w:sz w:val="21"/>
              <w:szCs w:val="21"/>
            </w:rPr>
            <w:t>第二章 磋商须知</w:t>
          </w:r>
          <w:r>
            <w:rPr>
              <w:color w:val="auto"/>
              <w:sz w:val="21"/>
              <w:szCs w:val="21"/>
            </w:rPr>
            <w:tab/>
          </w:r>
          <w:r>
            <w:rPr>
              <w:rFonts w:hint="eastAsia"/>
              <w:color w:val="auto"/>
              <w:sz w:val="21"/>
              <w:szCs w:val="21"/>
            </w:rPr>
            <w:t>4</w:t>
          </w:r>
          <w:r>
            <w:rPr>
              <w:rFonts w:hint="eastAsia"/>
              <w:color w:val="auto"/>
              <w:sz w:val="21"/>
              <w:szCs w:val="21"/>
            </w:rPr>
            <w:fldChar w:fldCharType="end"/>
          </w:r>
        </w:p>
        <w:p>
          <w:pPr>
            <w:pStyle w:val="32"/>
            <w:tabs>
              <w:tab w:val="right" w:leader="dot" w:pos="8844"/>
            </w:tabs>
            <w:rPr>
              <w:rFonts w:eastAsiaTheme="minorEastAsia"/>
              <w:color w:val="auto"/>
              <w:sz w:val="21"/>
              <w:szCs w:val="21"/>
            </w:rPr>
          </w:pPr>
          <w:r>
            <w:rPr>
              <w:color w:val="auto"/>
            </w:rPr>
            <w:fldChar w:fldCharType="begin"/>
          </w:r>
          <w:r>
            <w:rPr>
              <w:color w:val="auto"/>
            </w:rPr>
            <w:instrText xml:space="preserve"> HYPERLINK \l "_Toc27256" </w:instrText>
          </w:r>
          <w:r>
            <w:rPr>
              <w:color w:val="auto"/>
            </w:rPr>
            <w:fldChar w:fldCharType="separate"/>
          </w:r>
          <w:r>
            <w:rPr>
              <w:rFonts w:hint="eastAsia" w:asciiTheme="minorEastAsia" w:hAnsiTheme="minorEastAsia" w:eastAsiaTheme="minorEastAsia" w:cstheme="minorEastAsia"/>
              <w:color w:val="auto"/>
              <w:sz w:val="21"/>
              <w:szCs w:val="21"/>
            </w:rPr>
            <w:t>第三章 政府采购合同格式</w:t>
          </w:r>
          <w:r>
            <w:rPr>
              <w:color w:val="auto"/>
              <w:sz w:val="21"/>
              <w:szCs w:val="21"/>
            </w:rPr>
            <w:tab/>
          </w:r>
          <w:r>
            <w:rPr>
              <w:rFonts w:hint="eastAsia"/>
              <w:color w:val="auto"/>
              <w:sz w:val="21"/>
              <w:szCs w:val="21"/>
            </w:rPr>
            <w:t>2</w:t>
          </w:r>
          <w:r>
            <w:rPr>
              <w:rFonts w:hint="eastAsia"/>
              <w:color w:val="auto"/>
              <w:sz w:val="21"/>
              <w:szCs w:val="21"/>
            </w:rPr>
            <w:fldChar w:fldCharType="end"/>
          </w:r>
          <w:r>
            <w:rPr>
              <w:rFonts w:hint="eastAsia" w:asciiTheme="minorEastAsia" w:hAnsiTheme="minorEastAsia" w:eastAsiaTheme="minorEastAsia" w:cstheme="minorEastAsia"/>
              <w:color w:val="auto"/>
              <w:sz w:val="21"/>
              <w:szCs w:val="21"/>
            </w:rPr>
            <w:t>9</w:t>
          </w:r>
        </w:p>
        <w:p>
          <w:pPr>
            <w:pStyle w:val="32"/>
            <w:tabs>
              <w:tab w:val="right" w:leader="dot" w:pos="8844"/>
            </w:tabs>
            <w:rPr>
              <w:rFonts w:eastAsiaTheme="minorEastAsia"/>
              <w:color w:val="auto"/>
              <w:sz w:val="21"/>
              <w:szCs w:val="21"/>
            </w:rPr>
          </w:pPr>
          <w:r>
            <w:rPr>
              <w:color w:val="auto"/>
            </w:rPr>
            <w:fldChar w:fldCharType="begin"/>
          </w:r>
          <w:r>
            <w:rPr>
              <w:color w:val="auto"/>
            </w:rPr>
            <w:instrText xml:space="preserve"> HYPERLINK \l "_Toc8865" </w:instrText>
          </w:r>
          <w:r>
            <w:rPr>
              <w:color w:val="auto"/>
            </w:rPr>
            <w:fldChar w:fldCharType="separate"/>
          </w:r>
          <w:r>
            <w:rPr>
              <w:rFonts w:hint="eastAsia" w:asciiTheme="minorEastAsia" w:hAnsiTheme="minorEastAsia" w:eastAsiaTheme="minorEastAsia" w:cstheme="minorEastAsia"/>
              <w:bCs/>
              <w:color w:val="auto"/>
              <w:sz w:val="21"/>
              <w:szCs w:val="21"/>
            </w:rPr>
            <w:t>第四章 采购需求</w:t>
          </w:r>
          <w:r>
            <w:rPr>
              <w:color w:val="auto"/>
              <w:sz w:val="21"/>
              <w:szCs w:val="21"/>
            </w:rPr>
            <w:tab/>
          </w:r>
          <w:r>
            <w:rPr>
              <w:rFonts w:hint="eastAsia"/>
              <w:color w:val="auto"/>
              <w:sz w:val="21"/>
              <w:szCs w:val="21"/>
            </w:rPr>
            <w:t>3</w:t>
          </w:r>
          <w:r>
            <w:rPr>
              <w:rFonts w:hint="eastAsia"/>
              <w:color w:val="auto"/>
              <w:sz w:val="21"/>
              <w:szCs w:val="21"/>
            </w:rPr>
            <w:fldChar w:fldCharType="end"/>
          </w:r>
          <w:r>
            <w:rPr>
              <w:rFonts w:hint="eastAsia" w:asciiTheme="minorEastAsia" w:hAnsiTheme="minorEastAsia" w:eastAsiaTheme="minorEastAsia" w:cstheme="minorEastAsia"/>
              <w:color w:val="auto"/>
              <w:sz w:val="21"/>
              <w:szCs w:val="21"/>
            </w:rPr>
            <w:t>2</w:t>
          </w:r>
        </w:p>
        <w:p>
          <w:pPr>
            <w:pStyle w:val="32"/>
            <w:tabs>
              <w:tab w:val="right" w:leader="dot" w:pos="8844"/>
            </w:tabs>
            <w:rPr>
              <w:color w:val="auto"/>
              <w:sz w:val="21"/>
              <w:szCs w:val="21"/>
            </w:rPr>
          </w:pPr>
          <w:r>
            <w:rPr>
              <w:color w:val="auto"/>
            </w:rPr>
            <w:fldChar w:fldCharType="begin"/>
          </w:r>
          <w:r>
            <w:rPr>
              <w:color w:val="auto"/>
            </w:rPr>
            <w:instrText xml:space="preserve"> HYPERLINK \l "_Toc16060" </w:instrText>
          </w:r>
          <w:r>
            <w:rPr>
              <w:color w:val="auto"/>
            </w:rPr>
            <w:fldChar w:fldCharType="separate"/>
          </w:r>
          <w:r>
            <w:rPr>
              <w:rFonts w:hint="eastAsia" w:asciiTheme="minorEastAsia" w:hAnsiTheme="minorEastAsia" w:eastAsiaTheme="minorEastAsia" w:cstheme="minorEastAsia"/>
              <w:color w:val="auto"/>
              <w:sz w:val="21"/>
              <w:szCs w:val="21"/>
            </w:rPr>
            <w:t>第五章 响应文件组成</w:t>
          </w:r>
          <w:r>
            <w:rPr>
              <w:color w:val="auto"/>
              <w:sz w:val="21"/>
              <w:szCs w:val="21"/>
            </w:rPr>
            <w:tab/>
          </w:r>
          <w:r>
            <w:rPr>
              <w:rFonts w:hint="eastAsia"/>
              <w:color w:val="auto"/>
              <w:sz w:val="21"/>
              <w:szCs w:val="21"/>
            </w:rPr>
            <w:t>34</w:t>
          </w:r>
          <w:r>
            <w:rPr>
              <w:color w:val="auto"/>
              <w:sz w:val="21"/>
              <w:szCs w:val="21"/>
            </w:rPr>
            <w:tab/>
          </w:r>
          <w:r>
            <w:rPr>
              <w:color w:val="auto"/>
              <w:sz w:val="21"/>
              <w:szCs w:val="21"/>
            </w:rPr>
            <w:fldChar w:fldCharType="end"/>
          </w:r>
        </w:p>
        <w:p>
          <w:pPr>
            <w:pStyle w:val="32"/>
            <w:tabs>
              <w:tab w:val="right" w:leader="dot" w:pos="8844"/>
            </w:tabs>
            <w:rPr>
              <w:color w:val="auto"/>
              <w:sz w:val="21"/>
              <w:szCs w:val="21"/>
            </w:rPr>
          </w:pPr>
        </w:p>
        <w:p>
          <w:pPr>
            <w:spacing w:line="360" w:lineRule="exact"/>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color w:val="auto"/>
            </w:rPr>
            <w:fldChar w:fldCharType="end"/>
          </w:r>
        </w:p>
      </w:sdtContent>
    </w:sdt>
    <w:p>
      <w:pPr>
        <w:spacing w:line="360" w:lineRule="exact"/>
        <w:rPr>
          <w:rFonts w:asciiTheme="minorEastAsia" w:hAnsiTheme="minorEastAsia" w:eastAsiaTheme="minorEastAsia" w:cstheme="minorEastAsia"/>
          <w:b/>
          <w:color w:val="auto"/>
          <w:sz w:val="24"/>
        </w:rPr>
      </w:pPr>
    </w:p>
    <w:p>
      <w:pPr>
        <w:spacing w:line="360" w:lineRule="exact"/>
        <w:rPr>
          <w:rFonts w:asciiTheme="minorEastAsia" w:hAnsiTheme="minorEastAsia" w:eastAsiaTheme="minorEastAsia" w:cstheme="minorEastAsia"/>
          <w:b/>
          <w:color w:val="auto"/>
          <w:sz w:val="24"/>
        </w:rPr>
      </w:pPr>
    </w:p>
    <w:p>
      <w:pPr>
        <w:spacing w:line="360" w:lineRule="exact"/>
        <w:rPr>
          <w:rFonts w:asciiTheme="minorEastAsia" w:hAnsiTheme="minorEastAsia" w:eastAsiaTheme="minorEastAsia" w:cstheme="minorEastAsia"/>
          <w:b/>
          <w:color w:val="auto"/>
          <w:sz w:val="24"/>
        </w:rPr>
      </w:pPr>
    </w:p>
    <w:p>
      <w:pPr>
        <w:jc w:val="center"/>
        <w:rPr>
          <w:rFonts w:asciiTheme="minorEastAsia" w:hAnsiTheme="minorEastAsia" w:eastAsiaTheme="minorEastAsia" w:cstheme="minorEastAsia"/>
          <w:color w:val="auto"/>
          <w:sz w:val="32"/>
          <w:szCs w:val="32"/>
        </w:rPr>
      </w:pPr>
    </w:p>
    <w:p>
      <w:pPr>
        <w:jc w:val="center"/>
        <w:rPr>
          <w:rFonts w:asciiTheme="minorEastAsia" w:hAnsiTheme="minorEastAsia" w:eastAsiaTheme="minorEastAsia" w:cstheme="minorEastAsia"/>
          <w:color w:val="auto"/>
          <w:sz w:val="32"/>
          <w:szCs w:val="32"/>
        </w:rPr>
      </w:pPr>
    </w:p>
    <w:p>
      <w:pPr>
        <w:jc w:val="center"/>
        <w:rPr>
          <w:rFonts w:asciiTheme="minorEastAsia" w:hAnsiTheme="minorEastAsia" w:eastAsiaTheme="minorEastAsia" w:cstheme="minorEastAsia"/>
          <w:color w:val="auto"/>
          <w:sz w:val="32"/>
          <w:szCs w:val="32"/>
        </w:rPr>
      </w:pPr>
    </w:p>
    <w:p>
      <w:pPr>
        <w:jc w:val="center"/>
        <w:rPr>
          <w:rFonts w:asciiTheme="minorEastAsia" w:hAnsiTheme="minorEastAsia" w:eastAsiaTheme="minorEastAsia" w:cstheme="minorEastAsia"/>
          <w:color w:val="auto"/>
          <w:sz w:val="32"/>
          <w:szCs w:val="32"/>
        </w:rPr>
      </w:pPr>
    </w:p>
    <w:p>
      <w:pPr>
        <w:jc w:val="center"/>
        <w:rPr>
          <w:rFonts w:asciiTheme="minorEastAsia" w:hAnsiTheme="minorEastAsia" w:eastAsiaTheme="minorEastAsia" w:cstheme="minorEastAsia"/>
          <w:color w:val="auto"/>
          <w:sz w:val="32"/>
          <w:szCs w:val="32"/>
        </w:rPr>
      </w:pPr>
    </w:p>
    <w:p>
      <w:pPr>
        <w:jc w:val="center"/>
        <w:rPr>
          <w:rFonts w:asciiTheme="minorEastAsia" w:hAnsiTheme="minorEastAsia" w:eastAsiaTheme="minorEastAsia" w:cstheme="minorEastAsia"/>
          <w:color w:val="auto"/>
          <w:sz w:val="32"/>
          <w:szCs w:val="32"/>
        </w:rPr>
      </w:pPr>
    </w:p>
    <w:p>
      <w:pPr>
        <w:pStyle w:val="4"/>
        <w:rPr>
          <w:rFonts w:asciiTheme="minorEastAsia" w:hAnsiTheme="minorEastAsia" w:eastAsiaTheme="minorEastAsia" w:cstheme="minorEastAsia"/>
          <w:color w:val="auto"/>
          <w:sz w:val="32"/>
          <w:szCs w:val="32"/>
        </w:rPr>
      </w:pPr>
    </w:p>
    <w:p>
      <w:pPr>
        <w:rPr>
          <w:rFonts w:asciiTheme="minorEastAsia" w:hAnsiTheme="minorEastAsia" w:eastAsiaTheme="minorEastAsia" w:cstheme="minorEastAsia"/>
          <w:color w:val="auto"/>
          <w:sz w:val="32"/>
          <w:szCs w:val="32"/>
        </w:rPr>
      </w:pPr>
    </w:p>
    <w:p>
      <w:pPr>
        <w:rPr>
          <w:rFonts w:asciiTheme="minorEastAsia" w:hAnsiTheme="minorEastAsia" w:eastAsiaTheme="minorEastAsia" w:cstheme="minorEastAsia"/>
          <w:b/>
          <w:color w:val="auto"/>
          <w:sz w:val="32"/>
          <w:szCs w:val="32"/>
        </w:rPr>
      </w:pPr>
      <w:bookmarkStart w:id="1" w:name="_Toc17038_WPSOffice_Level1"/>
      <w:r>
        <w:rPr>
          <w:rFonts w:hint="eastAsia" w:asciiTheme="minorEastAsia" w:hAnsiTheme="minorEastAsia" w:eastAsiaTheme="minorEastAsia" w:cstheme="minorEastAsia"/>
          <w:b/>
          <w:color w:val="auto"/>
          <w:sz w:val="32"/>
          <w:szCs w:val="32"/>
        </w:rPr>
        <w:br w:type="page"/>
      </w:r>
    </w:p>
    <w:p>
      <w:pPr>
        <w:jc w:val="center"/>
        <w:outlineLvl w:val="0"/>
        <w:rPr>
          <w:rFonts w:asciiTheme="minorEastAsia" w:hAnsiTheme="minorEastAsia" w:eastAsiaTheme="minorEastAsia" w:cstheme="minorEastAsia"/>
          <w:b/>
          <w:color w:val="auto"/>
          <w:sz w:val="32"/>
          <w:szCs w:val="32"/>
        </w:rPr>
      </w:pPr>
      <w:bookmarkStart w:id="2" w:name="_Toc27458"/>
      <w:r>
        <w:rPr>
          <w:rFonts w:hint="eastAsia" w:asciiTheme="minorEastAsia" w:hAnsiTheme="minorEastAsia" w:eastAsiaTheme="minorEastAsia" w:cstheme="minorEastAsia"/>
          <w:b/>
          <w:color w:val="auto"/>
          <w:sz w:val="32"/>
          <w:szCs w:val="32"/>
        </w:rPr>
        <w:t>第一章  磋商邀请</w:t>
      </w:r>
      <w:bookmarkEnd w:id="1"/>
      <w:bookmarkEnd w:id="2"/>
    </w:p>
    <w:p>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lang w:eastAsia="zh-CN"/>
        </w:rPr>
        <w:t>临湘高新技术产业开发区管理委员会</w:t>
      </w:r>
      <w:r>
        <w:rPr>
          <w:rFonts w:hint="eastAsia" w:ascii="宋体" w:hAnsi="宋体" w:cs="宋体"/>
          <w:color w:val="auto"/>
          <w:kern w:val="0"/>
          <w:sz w:val="24"/>
        </w:rPr>
        <w:t>的</w:t>
      </w:r>
      <w:r>
        <w:rPr>
          <w:rFonts w:hint="eastAsia" w:ascii="宋体" w:hAnsi="宋体" w:cs="宋体"/>
          <w:color w:val="auto"/>
          <w:kern w:val="0"/>
          <w:sz w:val="24"/>
          <w:lang w:eastAsia="zh-CN"/>
        </w:rPr>
        <w:t>临湘高新区化工园水系改造（四期）工程项目</w:t>
      </w:r>
      <w:r>
        <w:rPr>
          <w:rFonts w:hint="eastAsia" w:ascii="宋体" w:hAnsi="宋体" w:cs="宋体"/>
          <w:color w:val="auto"/>
          <w:kern w:val="0"/>
          <w:sz w:val="24"/>
        </w:rPr>
        <w:t>进行采购，现邀请合格投标人参加投标。</w:t>
      </w:r>
    </w:p>
    <w:p>
      <w:pPr>
        <w:pStyle w:val="6"/>
        <w:keepNext w:val="0"/>
        <w:keepLines w:val="0"/>
        <w:widowControl/>
        <w:spacing w:before="75" w:after="0" w:line="460" w:lineRule="atLeast"/>
        <w:ind w:firstLine="420"/>
        <w:rPr>
          <w:rFonts w:ascii="宋体" w:hAnsi="宋体" w:cs="宋体"/>
          <w:color w:val="auto"/>
          <w:sz w:val="24"/>
          <w:szCs w:val="24"/>
        </w:rPr>
      </w:pPr>
      <w:r>
        <w:rPr>
          <w:rFonts w:hint="eastAsia" w:ascii="宋体" w:hAnsi="宋体" w:cs="宋体"/>
          <w:color w:val="auto"/>
          <w:sz w:val="24"/>
          <w:szCs w:val="24"/>
        </w:rPr>
        <w:t>一、采购项目基本信息</w:t>
      </w:r>
    </w:p>
    <w:p>
      <w:pPr>
        <w:widowControl/>
        <w:spacing w:before="75" w:line="460" w:lineRule="atLeast"/>
        <w:ind w:firstLine="420"/>
        <w:jc w:val="left"/>
        <w:rPr>
          <w:rFonts w:hint="eastAsia" w:ascii="宋体" w:hAnsi="宋体" w:eastAsia="宋体" w:cs="宋体"/>
          <w:color w:val="auto"/>
          <w:sz w:val="24"/>
          <w:lang w:eastAsia="zh-CN"/>
        </w:rPr>
      </w:pPr>
      <w:r>
        <w:rPr>
          <w:rFonts w:hint="eastAsia" w:ascii="宋体" w:hAnsi="宋体" w:cs="宋体"/>
          <w:color w:val="auto"/>
          <w:kern w:val="0"/>
          <w:sz w:val="24"/>
        </w:rPr>
        <w:t>1、采购项目名称：</w:t>
      </w:r>
      <w:r>
        <w:rPr>
          <w:rFonts w:hint="eastAsia" w:ascii="宋体" w:hAnsi="宋体" w:cs="宋体"/>
          <w:color w:val="auto"/>
          <w:kern w:val="0"/>
          <w:sz w:val="24"/>
          <w:lang w:eastAsia="zh-CN"/>
        </w:rPr>
        <w:t>临湘高新区化工园水系改造（四期）工程项目</w:t>
      </w:r>
    </w:p>
    <w:p>
      <w:pPr>
        <w:widowControl/>
        <w:spacing w:before="75" w:line="460" w:lineRule="atLeast"/>
        <w:ind w:firstLine="420"/>
        <w:jc w:val="left"/>
        <w:rPr>
          <w:rFonts w:hint="eastAsia" w:ascii="宋体" w:hAnsi="宋体" w:eastAsia="宋体" w:cs="宋体"/>
          <w:color w:val="auto"/>
          <w:sz w:val="24"/>
          <w:lang w:val="en-US" w:eastAsia="zh-CN"/>
        </w:rPr>
      </w:pPr>
      <w:r>
        <w:rPr>
          <w:rFonts w:hint="eastAsia" w:ascii="宋体" w:hAnsi="宋体" w:cs="宋体"/>
          <w:color w:val="auto"/>
          <w:kern w:val="0"/>
          <w:sz w:val="24"/>
        </w:rPr>
        <w:t>2、政府采购计划编号：(2026)43068200000</w:t>
      </w:r>
      <w:r>
        <w:rPr>
          <w:rFonts w:hint="eastAsia" w:ascii="宋体" w:hAnsi="宋体" w:cs="宋体"/>
          <w:color w:val="auto"/>
          <w:kern w:val="0"/>
          <w:sz w:val="24"/>
          <w:lang w:val="en-US" w:eastAsia="zh-CN"/>
        </w:rPr>
        <w:t>4</w:t>
      </w:r>
      <w:r>
        <w:rPr>
          <w:rFonts w:hint="eastAsia" w:ascii="宋体" w:hAnsi="宋体" w:cs="宋体"/>
          <w:color w:val="auto"/>
          <w:kern w:val="0"/>
          <w:sz w:val="24"/>
        </w:rPr>
        <w:t>-1</w:t>
      </w:r>
      <w:r>
        <w:rPr>
          <w:rFonts w:hint="eastAsia" w:ascii="宋体" w:hAnsi="宋体" w:cs="宋体"/>
          <w:color w:val="auto"/>
          <w:kern w:val="0"/>
          <w:sz w:val="24"/>
          <w:lang w:val="en-US" w:eastAsia="zh-CN"/>
        </w:rPr>
        <w:t xml:space="preserve">    </w:t>
      </w:r>
    </w:p>
    <w:p>
      <w:pPr>
        <w:widowControl/>
        <w:spacing w:before="75" w:line="460" w:lineRule="atLeast"/>
        <w:ind w:firstLine="420"/>
        <w:jc w:val="left"/>
        <w:rPr>
          <w:rFonts w:hint="default" w:ascii="宋体" w:hAnsi="宋体" w:eastAsia="宋体" w:cs="宋体"/>
          <w:color w:val="auto"/>
          <w:kern w:val="0"/>
          <w:sz w:val="24"/>
          <w:lang w:val="en-US" w:eastAsia="zh-CN"/>
        </w:rPr>
      </w:pPr>
      <w:r>
        <w:rPr>
          <w:rFonts w:hint="eastAsia" w:ascii="宋体" w:hAnsi="宋体" w:cs="宋体"/>
          <w:color w:val="auto"/>
          <w:kern w:val="0"/>
          <w:sz w:val="24"/>
        </w:rPr>
        <w:t>3、委托代理编号：ZCLX(CG)-202</w:t>
      </w:r>
      <w:r>
        <w:rPr>
          <w:rFonts w:hint="eastAsia" w:ascii="宋体" w:hAnsi="宋体" w:cs="宋体"/>
          <w:color w:val="auto"/>
          <w:kern w:val="0"/>
          <w:sz w:val="24"/>
          <w:lang w:val="en-US" w:eastAsia="zh-CN"/>
        </w:rPr>
        <w:t>6021</w:t>
      </w:r>
    </w:p>
    <w:p>
      <w:pPr>
        <w:widowControl/>
        <w:spacing w:before="75" w:line="460" w:lineRule="atLeast"/>
        <w:ind w:firstLine="420"/>
        <w:jc w:val="left"/>
        <w:rPr>
          <w:rFonts w:ascii="宋体" w:hAnsi="宋体" w:cs="宋体"/>
          <w:color w:val="auto"/>
          <w:kern w:val="0"/>
          <w:sz w:val="24"/>
        </w:rPr>
      </w:pPr>
      <w:r>
        <w:rPr>
          <w:rFonts w:hint="eastAsia" w:ascii="宋体" w:hAnsi="宋体" w:cs="宋体"/>
          <w:color w:val="auto"/>
          <w:kern w:val="0"/>
          <w:sz w:val="24"/>
        </w:rPr>
        <w:t>4、采购项目预算：</w:t>
      </w:r>
      <w:r>
        <w:rPr>
          <w:rFonts w:hint="eastAsia" w:ascii="宋体" w:hAnsi="宋体" w:cs="宋体"/>
          <w:color w:val="auto"/>
          <w:kern w:val="0"/>
          <w:sz w:val="24"/>
          <w:lang w:eastAsia="zh-CN"/>
        </w:rPr>
        <w:t>3032563.94元</w:t>
      </w:r>
    </w:p>
    <w:p>
      <w:pPr>
        <w:widowControl/>
        <w:spacing w:before="75" w:line="460" w:lineRule="atLeast"/>
        <w:ind w:firstLine="840"/>
        <w:jc w:val="left"/>
        <w:rPr>
          <w:rFonts w:ascii="宋体" w:hAnsi="宋体" w:cs="宋体"/>
          <w:color w:val="auto"/>
          <w:sz w:val="24"/>
          <w:u w:val="single"/>
        </w:rPr>
      </w:pPr>
      <w:r>
        <w:rPr>
          <w:rFonts w:ascii="宋体" w:hAnsi="宋体" w:cs="宋体"/>
          <w:color w:val="auto"/>
          <w:kern w:val="0"/>
          <w:sz w:val="24"/>
        </w:rPr>
        <w:drawing>
          <wp:inline distT="0" distB="0" distL="114300" distR="114300">
            <wp:extent cx="260985" cy="201930"/>
            <wp:effectExtent l="0" t="0" r="571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支持预付款，预付比例：</w:t>
      </w:r>
    </w:p>
    <w:p>
      <w:pPr>
        <w:widowControl/>
        <w:spacing w:before="75" w:line="460" w:lineRule="atLeast"/>
        <w:ind w:firstLine="420"/>
        <w:jc w:val="left"/>
        <w:rPr>
          <w:rFonts w:hint="eastAsia" w:ascii="宋体" w:hAnsi="宋体" w:eastAsia="宋体" w:cs="宋体"/>
          <w:color w:val="auto"/>
          <w:kern w:val="0"/>
          <w:sz w:val="24"/>
          <w:lang w:val="en-US" w:eastAsia="zh-CN"/>
        </w:rPr>
      </w:pPr>
      <w:r>
        <w:rPr>
          <w:rFonts w:hint="eastAsia" w:ascii="宋体" w:hAnsi="宋体" w:cs="宋体"/>
          <w:color w:val="auto"/>
          <w:kern w:val="0"/>
          <w:sz w:val="24"/>
        </w:rPr>
        <w:t>5、本项目对应的中小企业划分标准所属行业：</w:t>
      </w:r>
      <w:r>
        <w:rPr>
          <w:rFonts w:hint="eastAsia" w:ascii="宋体" w:hAnsi="宋体" w:cs="宋体"/>
          <w:color w:val="auto"/>
          <w:kern w:val="0"/>
          <w:sz w:val="24"/>
          <w:lang w:eastAsia="zh-CN"/>
        </w:rPr>
        <w:t>建筑业</w:t>
      </w:r>
    </w:p>
    <w:p>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6、评标方法： </w:t>
      </w:r>
      <w:r>
        <w:rPr>
          <w:rFonts w:ascii="宋体" w:hAnsi="宋体" w:cs="宋体"/>
          <w:color w:val="auto"/>
          <w:kern w:val="0"/>
          <w:sz w:val="24"/>
        </w:rPr>
        <w:drawing>
          <wp:inline distT="0" distB="0" distL="114300" distR="114300">
            <wp:extent cx="260985" cy="201930"/>
            <wp:effectExtent l="0" t="0" r="5715" b="762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2"/>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最低价法 </w:t>
      </w:r>
      <w:r>
        <w:rPr>
          <w:rFonts w:ascii="宋体" w:hAnsi="宋体" w:cs="宋体"/>
          <w:color w:val="auto"/>
          <w:kern w:val="0"/>
          <w:sz w:val="24"/>
        </w:rPr>
        <w:drawing>
          <wp:inline distT="0" distB="0" distL="114300" distR="114300">
            <wp:extent cx="260985" cy="201930"/>
            <wp:effectExtent l="0" t="0" r="5715" b="762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3"/>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综合评分法</w:t>
      </w:r>
    </w:p>
    <w:p>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7、合同定价方式： </w:t>
      </w:r>
      <w:r>
        <w:rPr>
          <w:rFonts w:ascii="宋体" w:hAnsi="宋体" w:cs="宋体"/>
          <w:color w:val="auto"/>
          <w:kern w:val="0"/>
          <w:sz w:val="24"/>
        </w:rPr>
        <w:drawing>
          <wp:inline distT="0" distB="0" distL="114300" distR="114300">
            <wp:extent cx="260985" cy="201930"/>
            <wp:effectExtent l="0" t="0" r="5715" b="762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3"/>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固定总价 </w:t>
      </w:r>
      <w:r>
        <w:rPr>
          <w:rFonts w:ascii="宋体" w:hAnsi="宋体" w:cs="宋体"/>
          <w:color w:val="auto"/>
          <w:kern w:val="0"/>
          <w:sz w:val="24"/>
        </w:rPr>
        <w:drawing>
          <wp:inline distT="0" distB="0" distL="114300" distR="114300">
            <wp:extent cx="260985" cy="201930"/>
            <wp:effectExtent l="0" t="0" r="5715" b="762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2"/>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固定单价 </w:t>
      </w:r>
      <w:r>
        <w:rPr>
          <w:rFonts w:ascii="宋体" w:hAnsi="宋体" w:cs="宋体"/>
          <w:color w:val="auto"/>
          <w:kern w:val="0"/>
          <w:sz w:val="24"/>
        </w:rPr>
        <w:drawing>
          <wp:inline distT="0" distB="0" distL="114300" distR="114300">
            <wp:extent cx="260985" cy="201930"/>
            <wp:effectExtent l="0" t="0" r="5715" b="762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12"/>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成本补偿 </w:t>
      </w:r>
      <w:r>
        <w:rPr>
          <w:rFonts w:ascii="宋体" w:hAnsi="宋体" w:cs="宋体"/>
          <w:color w:val="auto"/>
          <w:kern w:val="0"/>
          <w:sz w:val="24"/>
        </w:rPr>
        <w:drawing>
          <wp:inline distT="0" distB="0" distL="114300" distR="114300">
            <wp:extent cx="260985" cy="201930"/>
            <wp:effectExtent l="0" t="0" r="5715" b="762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12"/>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绩效激励</w:t>
      </w:r>
    </w:p>
    <w:p>
      <w:pPr>
        <w:widowControl/>
        <w:spacing w:before="75" w:line="460" w:lineRule="atLeast"/>
        <w:ind w:firstLine="420"/>
        <w:jc w:val="left"/>
        <w:rPr>
          <w:rFonts w:hint="eastAsia" w:ascii="宋体" w:hAnsi="宋体" w:cs="宋体"/>
          <w:color w:val="auto"/>
          <w:kern w:val="0"/>
          <w:sz w:val="24"/>
          <w:lang w:val="en-US" w:eastAsia="zh-CN"/>
        </w:rPr>
      </w:pPr>
      <w:r>
        <w:rPr>
          <w:rFonts w:hint="eastAsia" w:ascii="宋体" w:hAnsi="宋体" w:cs="宋体"/>
          <w:color w:val="auto"/>
          <w:kern w:val="0"/>
          <w:sz w:val="24"/>
        </w:rPr>
        <w:t>8、合同履行期限：</w:t>
      </w:r>
      <w:bookmarkStart w:id="3" w:name="OLE_LINK45"/>
      <w:r>
        <w:rPr>
          <w:rFonts w:hint="eastAsia" w:ascii="宋体" w:hAnsi="宋体" w:cs="宋体"/>
          <w:color w:val="auto"/>
          <w:kern w:val="0"/>
          <w:sz w:val="24"/>
          <w:lang w:val="en-US" w:eastAsia="zh-CN"/>
        </w:rPr>
        <w:t>自合同签订之日起60日历天</w:t>
      </w:r>
      <w:bookmarkEnd w:id="3"/>
      <w:r>
        <w:rPr>
          <w:rFonts w:hint="eastAsia" w:ascii="宋体" w:hAnsi="宋体" w:cs="宋体"/>
          <w:color w:val="auto"/>
          <w:kern w:val="0"/>
          <w:sz w:val="24"/>
          <w:lang w:val="en-US" w:eastAsia="zh-CN"/>
        </w:rPr>
        <w:t>。</w:t>
      </w:r>
    </w:p>
    <w:p>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9、本项目分阶段要求投标人提供以下保证：</w:t>
      </w:r>
    </w:p>
    <w:p>
      <w:pPr>
        <w:widowControl/>
        <w:spacing w:before="75" w:line="460" w:lineRule="atLeast"/>
        <w:ind w:firstLine="840"/>
        <w:jc w:val="left"/>
        <w:rPr>
          <w:rFonts w:ascii="宋体" w:hAnsi="宋体" w:cs="宋体"/>
          <w:color w:val="auto"/>
          <w:sz w:val="24"/>
        </w:rPr>
      </w:pPr>
      <w:r>
        <w:rPr>
          <w:rFonts w:ascii="宋体" w:hAnsi="宋体" w:cs="宋体"/>
          <w:color w:val="auto"/>
          <w:kern w:val="0"/>
          <w:sz w:val="24"/>
        </w:rPr>
        <w:drawing>
          <wp:inline distT="0" distB="0" distL="114300" distR="114300">
            <wp:extent cx="260985" cy="201930"/>
            <wp:effectExtent l="0" t="0" r="5715" b="7620"/>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12"/>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投标保证金：采购项目预算的</w:t>
      </w:r>
      <w:r>
        <w:rPr>
          <w:rFonts w:hint="eastAsia" w:ascii="宋体" w:hAnsi="宋体" w:cs="宋体"/>
          <w:color w:val="auto"/>
          <w:kern w:val="0"/>
          <w:sz w:val="24"/>
          <w:u w:val="single"/>
        </w:rPr>
        <w:t>  </w:t>
      </w:r>
      <w:r>
        <w:rPr>
          <w:rFonts w:hint="eastAsia" w:ascii="宋体" w:hAnsi="宋体" w:cs="宋体"/>
          <w:color w:val="auto"/>
          <w:kern w:val="0"/>
          <w:sz w:val="24"/>
        </w:rPr>
        <w:t>%；</w:t>
      </w:r>
    </w:p>
    <w:p>
      <w:pPr>
        <w:widowControl/>
        <w:spacing w:before="75" w:line="460" w:lineRule="atLeast"/>
        <w:ind w:firstLine="840"/>
        <w:jc w:val="left"/>
        <w:rPr>
          <w:rFonts w:ascii="宋体" w:hAnsi="宋体" w:cs="宋体"/>
          <w:color w:val="auto"/>
          <w:sz w:val="24"/>
        </w:rPr>
      </w:pPr>
      <w:r>
        <w:rPr>
          <w:rFonts w:ascii="宋体" w:hAnsi="宋体" w:cs="宋体"/>
          <w:color w:val="auto"/>
          <w:kern w:val="0"/>
          <w:sz w:val="24"/>
        </w:rPr>
        <w:drawing>
          <wp:inline distT="0" distB="0" distL="114300" distR="114300">
            <wp:extent cx="260985" cy="201930"/>
            <wp:effectExtent l="0" t="0" r="5715" b="7620"/>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pic:cNvPicPr>
                      <a:picLocks noChangeAspect="1"/>
                    </pic:cNvPicPr>
                  </pic:nvPicPr>
                  <pic:blipFill>
                    <a:blip r:embed="rId12"/>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履约保证金：中标金额的</w:t>
      </w:r>
      <w:r>
        <w:rPr>
          <w:rFonts w:hint="eastAsia" w:ascii="宋体" w:hAnsi="宋体" w:cs="宋体"/>
          <w:color w:val="auto"/>
          <w:kern w:val="0"/>
          <w:sz w:val="24"/>
          <w:u w:val="single"/>
        </w:rPr>
        <w:t>  </w:t>
      </w:r>
      <w:r>
        <w:rPr>
          <w:rFonts w:hint="eastAsia" w:ascii="宋体" w:hAnsi="宋体" w:cs="宋体"/>
          <w:color w:val="auto"/>
          <w:kern w:val="0"/>
          <w:sz w:val="24"/>
        </w:rPr>
        <w:t>%；</w:t>
      </w:r>
    </w:p>
    <w:p>
      <w:pPr>
        <w:widowControl/>
        <w:spacing w:before="75" w:line="460" w:lineRule="atLeast"/>
        <w:ind w:firstLine="840"/>
        <w:jc w:val="left"/>
        <w:rPr>
          <w:rFonts w:ascii="宋体" w:hAnsi="宋体" w:cs="宋体"/>
          <w:color w:val="auto"/>
          <w:sz w:val="24"/>
        </w:rPr>
      </w:pPr>
      <w:r>
        <w:rPr>
          <w:rFonts w:ascii="宋体" w:hAnsi="宋体" w:cs="宋体"/>
          <w:color w:val="auto"/>
          <w:kern w:val="0"/>
          <w:sz w:val="24"/>
        </w:rPr>
        <w:drawing>
          <wp:inline distT="0" distB="0" distL="114300" distR="114300">
            <wp:extent cx="260985" cy="201930"/>
            <wp:effectExtent l="0" t="0" r="5715" b="7620"/>
            <wp:docPr id="1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pic:cNvPicPr>
                      <a:picLocks noChangeAspect="1"/>
                    </pic:cNvPicPr>
                  </pic:nvPicPr>
                  <pic:blipFill>
                    <a:blip r:embed="rId12"/>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预付款保证金：预付款的</w:t>
      </w:r>
      <w:r>
        <w:rPr>
          <w:rFonts w:hint="eastAsia" w:ascii="宋体" w:hAnsi="宋体" w:cs="宋体"/>
          <w:color w:val="auto"/>
          <w:kern w:val="0"/>
          <w:sz w:val="24"/>
          <w:u w:val="single"/>
        </w:rPr>
        <w:t>  </w:t>
      </w:r>
      <w:r>
        <w:rPr>
          <w:rFonts w:hint="eastAsia" w:ascii="宋体" w:hAnsi="宋体" w:cs="宋体"/>
          <w:color w:val="auto"/>
          <w:kern w:val="0"/>
          <w:sz w:val="24"/>
        </w:rPr>
        <w:t>%；</w:t>
      </w:r>
    </w:p>
    <w:p>
      <w:pPr>
        <w:widowControl/>
        <w:spacing w:before="75" w:line="460" w:lineRule="atLeast"/>
        <w:ind w:firstLine="840"/>
        <w:jc w:val="left"/>
        <w:rPr>
          <w:rFonts w:ascii="宋体" w:hAnsi="宋体" w:cs="宋体"/>
          <w:color w:val="auto"/>
          <w:sz w:val="24"/>
        </w:rPr>
      </w:pPr>
      <w:r>
        <w:rPr>
          <w:rFonts w:ascii="宋体" w:hAnsi="宋体" w:cs="宋体"/>
          <w:color w:val="auto"/>
          <w:kern w:val="0"/>
          <w:sz w:val="24"/>
        </w:rPr>
        <w:drawing>
          <wp:inline distT="0" distB="0" distL="114300" distR="114300">
            <wp:extent cx="260985" cy="201930"/>
            <wp:effectExtent l="0" t="0" r="5715" b="7620"/>
            <wp:docPr id="1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
                    <pic:cNvPicPr>
                      <a:picLocks noChangeAspect="1"/>
                    </pic:cNvPicPr>
                  </pic:nvPicPr>
                  <pic:blipFill>
                    <a:blip r:embed="rId12"/>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质量保证金：合同金额的</w:t>
      </w:r>
      <w:r>
        <w:rPr>
          <w:rFonts w:hint="eastAsia" w:ascii="宋体" w:hAnsi="宋体" w:cs="宋体"/>
          <w:color w:val="auto"/>
          <w:kern w:val="0"/>
          <w:sz w:val="24"/>
          <w:u w:val="single"/>
        </w:rPr>
        <w:t>  </w:t>
      </w:r>
      <w:r>
        <w:rPr>
          <w:rFonts w:hint="eastAsia" w:ascii="宋体" w:hAnsi="宋体" w:cs="宋体"/>
          <w:color w:val="auto"/>
          <w:kern w:val="0"/>
          <w:sz w:val="24"/>
        </w:rPr>
        <w:t>%；</w:t>
      </w:r>
    </w:p>
    <w:p>
      <w:pPr>
        <w:pStyle w:val="6"/>
        <w:keepNext w:val="0"/>
        <w:keepLines w:val="0"/>
        <w:widowControl/>
        <w:spacing w:before="75" w:after="0" w:line="460" w:lineRule="atLeast"/>
        <w:ind w:firstLine="420"/>
        <w:rPr>
          <w:rFonts w:ascii="宋体" w:hAnsi="宋体" w:cs="宋体"/>
          <w:b w:val="0"/>
          <w:bCs w:val="0"/>
          <w:color w:val="auto"/>
          <w:sz w:val="24"/>
          <w:szCs w:val="24"/>
        </w:rPr>
      </w:pPr>
      <w:r>
        <w:rPr>
          <w:rFonts w:hint="eastAsia" w:ascii="宋体" w:hAnsi="宋体" w:cs="宋体"/>
          <w:color w:val="auto"/>
          <w:sz w:val="24"/>
          <w:szCs w:val="24"/>
        </w:rPr>
        <w:t>二、采购人的采购需求</w:t>
      </w:r>
    </w:p>
    <w:tbl>
      <w:tblPr>
        <w:tblStyle w:val="45"/>
        <w:tblW w:w="8697" w:type="dxa"/>
        <w:tblCellSpacing w:w="0" w:type="dxa"/>
        <w:tblInd w:w="15" w:type="dxa"/>
        <w:tblBorders>
          <w:top w:val="single" w:color="D5D5D5" w:sz="6" w:space="0"/>
          <w:left w:val="single" w:color="D5D5D5" w:sz="6" w:space="0"/>
          <w:bottom w:val="single" w:color="D5D5D5" w:sz="6" w:space="0"/>
          <w:right w:val="single" w:color="D5D5D5" w:sz="6" w:space="0"/>
          <w:insideH w:val="none" w:color="auto" w:sz="0" w:space="0"/>
          <w:insideV w:val="none" w:color="auto" w:sz="0" w:space="0"/>
        </w:tblBorders>
        <w:tblLayout w:type="fixed"/>
        <w:tblCellMar>
          <w:top w:w="0" w:type="dxa"/>
          <w:left w:w="0" w:type="dxa"/>
          <w:bottom w:w="0" w:type="dxa"/>
          <w:right w:w="0" w:type="dxa"/>
        </w:tblCellMar>
      </w:tblPr>
      <w:tblGrid>
        <w:gridCol w:w="739"/>
        <w:gridCol w:w="1686"/>
        <w:gridCol w:w="647"/>
        <w:gridCol w:w="1359"/>
        <w:gridCol w:w="540"/>
        <w:gridCol w:w="1686"/>
        <w:gridCol w:w="1020"/>
        <w:gridCol w:w="1020"/>
      </w:tblGrid>
      <w:tr>
        <w:tblPrEx>
          <w:tblBorders>
            <w:top w:val="single" w:color="D5D5D5" w:sz="6" w:space="0"/>
            <w:left w:val="single" w:color="D5D5D5" w:sz="6" w:space="0"/>
            <w:bottom w:val="single" w:color="D5D5D5" w:sz="6" w:space="0"/>
            <w:right w:val="single" w:color="D5D5D5"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39" w:type="dxa"/>
            <w:tcBorders>
              <w:top w:val="single" w:color="D5D5D5" w:sz="6" w:space="0"/>
              <w:left w:val="single" w:color="D5D5D5" w:sz="6" w:space="0"/>
              <w:bottom w:val="single" w:color="D5D5D5" w:sz="6" w:space="0"/>
              <w:right w:val="single" w:color="D5D5D5" w:sz="6" w:space="0"/>
            </w:tcBorders>
            <w:shd w:val="clear" w:color="auto" w:fill="auto"/>
            <w:noWrap/>
            <w:vAlign w:val="center"/>
          </w:tcPr>
          <w:p>
            <w:pPr>
              <w:widowControl/>
              <w:spacing w:before="75" w:line="460" w:lineRule="atLeast"/>
              <w:jc w:val="center"/>
              <w:rPr>
                <w:rFonts w:ascii="宋体" w:hAnsi="宋体" w:cs="宋体"/>
                <w:color w:val="auto"/>
                <w:sz w:val="24"/>
              </w:rPr>
            </w:pPr>
            <w:r>
              <w:rPr>
                <w:rFonts w:hint="eastAsia" w:ascii="宋体" w:hAnsi="宋体" w:cs="宋体"/>
                <w:color w:val="auto"/>
                <w:kern w:val="0"/>
                <w:sz w:val="24"/>
              </w:rPr>
              <w:t>包名称</w:t>
            </w:r>
          </w:p>
        </w:tc>
        <w:tc>
          <w:tcPr>
            <w:tcW w:w="1686" w:type="dxa"/>
            <w:tcBorders>
              <w:top w:val="single" w:color="D5D5D5" w:sz="6" w:space="0"/>
              <w:left w:val="single" w:color="D5D5D5" w:sz="6" w:space="0"/>
              <w:bottom w:val="single" w:color="D5D5D5" w:sz="6" w:space="0"/>
              <w:right w:val="single" w:color="D5D5D5" w:sz="6" w:space="0"/>
            </w:tcBorders>
            <w:shd w:val="clear" w:color="auto" w:fill="auto"/>
            <w:noWrap/>
            <w:vAlign w:val="center"/>
          </w:tcPr>
          <w:p>
            <w:pPr>
              <w:widowControl/>
              <w:spacing w:before="75" w:line="460" w:lineRule="atLeast"/>
              <w:jc w:val="center"/>
              <w:rPr>
                <w:rFonts w:ascii="宋体" w:hAnsi="宋体" w:cs="宋体"/>
                <w:color w:val="auto"/>
                <w:sz w:val="24"/>
              </w:rPr>
            </w:pPr>
            <w:r>
              <w:rPr>
                <w:rFonts w:hint="eastAsia" w:ascii="宋体" w:hAnsi="宋体" w:cs="宋体"/>
                <w:color w:val="auto"/>
                <w:kern w:val="0"/>
                <w:sz w:val="24"/>
              </w:rPr>
              <w:t>最高限价（元）</w:t>
            </w:r>
          </w:p>
        </w:tc>
        <w:tc>
          <w:tcPr>
            <w:tcW w:w="647" w:type="dxa"/>
            <w:tcBorders>
              <w:top w:val="single" w:color="D5D5D5" w:sz="6" w:space="0"/>
              <w:left w:val="single" w:color="D5D5D5" w:sz="6" w:space="0"/>
              <w:bottom w:val="single" w:color="D5D5D5" w:sz="6" w:space="0"/>
              <w:right w:val="single" w:color="D5D5D5" w:sz="6" w:space="0"/>
            </w:tcBorders>
            <w:shd w:val="clear" w:color="auto" w:fill="auto"/>
            <w:noWrap/>
            <w:vAlign w:val="center"/>
          </w:tcPr>
          <w:p>
            <w:pPr>
              <w:widowControl/>
              <w:spacing w:before="75" w:line="460" w:lineRule="atLeast"/>
              <w:jc w:val="center"/>
              <w:rPr>
                <w:rFonts w:ascii="宋体" w:hAnsi="宋体" w:cs="宋体"/>
                <w:color w:val="auto"/>
                <w:kern w:val="0"/>
                <w:sz w:val="24"/>
              </w:rPr>
            </w:pPr>
            <w:r>
              <w:rPr>
                <w:rFonts w:hint="eastAsia" w:ascii="宋体" w:hAnsi="宋体" w:cs="宋体"/>
                <w:color w:val="auto"/>
                <w:kern w:val="0"/>
                <w:sz w:val="24"/>
              </w:rPr>
              <w:t>标的</w:t>
            </w:r>
          </w:p>
          <w:p>
            <w:pPr>
              <w:widowControl/>
              <w:spacing w:before="75" w:line="460" w:lineRule="atLeast"/>
              <w:jc w:val="center"/>
              <w:rPr>
                <w:rFonts w:ascii="宋体" w:hAnsi="宋体" w:cs="宋体"/>
                <w:color w:val="auto"/>
                <w:sz w:val="24"/>
              </w:rPr>
            </w:pPr>
            <w:r>
              <w:rPr>
                <w:rFonts w:hint="eastAsia" w:ascii="宋体" w:hAnsi="宋体" w:cs="宋体"/>
                <w:color w:val="auto"/>
                <w:kern w:val="0"/>
                <w:sz w:val="24"/>
              </w:rPr>
              <w:t>名称</w:t>
            </w:r>
          </w:p>
        </w:tc>
        <w:tc>
          <w:tcPr>
            <w:tcW w:w="1359" w:type="dxa"/>
            <w:tcBorders>
              <w:top w:val="single" w:color="D5D5D5" w:sz="6" w:space="0"/>
              <w:left w:val="single" w:color="D5D5D5" w:sz="6" w:space="0"/>
              <w:bottom w:val="single" w:color="D5D5D5" w:sz="6" w:space="0"/>
              <w:right w:val="single" w:color="D5D5D5" w:sz="6" w:space="0"/>
            </w:tcBorders>
            <w:shd w:val="clear" w:color="auto" w:fill="auto"/>
            <w:noWrap/>
            <w:vAlign w:val="center"/>
          </w:tcPr>
          <w:p>
            <w:pPr>
              <w:widowControl/>
              <w:spacing w:before="75" w:line="460" w:lineRule="atLeast"/>
              <w:jc w:val="center"/>
              <w:rPr>
                <w:rFonts w:ascii="宋体" w:hAnsi="宋体" w:cs="宋体"/>
                <w:color w:val="auto"/>
                <w:sz w:val="24"/>
              </w:rPr>
            </w:pPr>
            <w:r>
              <w:rPr>
                <w:rFonts w:hint="eastAsia" w:ascii="宋体" w:hAnsi="宋体" w:cs="宋体"/>
                <w:color w:val="auto"/>
                <w:kern w:val="0"/>
                <w:sz w:val="24"/>
              </w:rPr>
              <w:t>简要技术要求</w:t>
            </w:r>
          </w:p>
        </w:tc>
        <w:tc>
          <w:tcPr>
            <w:tcW w:w="540" w:type="dxa"/>
            <w:tcBorders>
              <w:top w:val="single" w:color="D5D5D5" w:sz="6" w:space="0"/>
              <w:left w:val="single" w:color="D5D5D5" w:sz="6" w:space="0"/>
              <w:bottom w:val="single" w:color="D5D5D5" w:sz="6" w:space="0"/>
              <w:right w:val="single" w:color="D5D5D5" w:sz="6" w:space="0"/>
            </w:tcBorders>
            <w:shd w:val="clear" w:color="auto" w:fill="auto"/>
            <w:noWrap/>
            <w:vAlign w:val="center"/>
          </w:tcPr>
          <w:p>
            <w:pPr>
              <w:widowControl/>
              <w:spacing w:before="75" w:line="460" w:lineRule="atLeast"/>
              <w:jc w:val="center"/>
              <w:rPr>
                <w:rFonts w:ascii="宋体" w:hAnsi="宋体" w:cs="宋体"/>
                <w:color w:val="auto"/>
                <w:sz w:val="24"/>
              </w:rPr>
            </w:pPr>
            <w:r>
              <w:rPr>
                <w:rFonts w:hint="eastAsia" w:ascii="宋体" w:hAnsi="宋体" w:cs="宋体"/>
                <w:color w:val="auto"/>
                <w:kern w:val="0"/>
                <w:sz w:val="24"/>
              </w:rPr>
              <w:t>数量</w:t>
            </w:r>
          </w:p>
        </w:tc>
        <w:tc>
          <w:tcPr>
            <w:tcW w:w="1686" w:type="dxa"/>
            <w:tcBorders>
              <w:top w:val="single" w:color="D5D5D5" w:sz="6" w:space="0"/>
              <w:left w:val="single" w:color="D5D5D5" w:sz="6" w:space="0"/>
              <w:bottom w:val="single" w:color="D5D5D5" w:sz="6" w:space="0"/>
              <w:right w:val="single" w:color="D5D5D5" w:sz="6" w:space="0"/>
            </w:tcBorders>
            <w:shd w:val="clear" w:color="auto" w:fill="auto"/>
            <w:noWrap/>
            <w:vAlign w:val="center"/>
          </w:tcPr>
          <w:p>
            <w:pPr>
              <w:widowControl/>
              <w:spacing w:before="75" w:line="460" w:lineRule="atLeast"/>
              <w:jc w:val="center"/>
              <w:rPr>
                <w:rFonts w:ascii="宋体" w:hAnsi="宋体" w:cs="宋体"/>
                <w:color w:val="auto"/>
                <w:sz w:val="24"/>
              </w:rPr>
            </w:pPr>
            <w:r>
              <w:rPr>
                <w:rFonts w:hint="eastAsia" w:ascii="宋体" w:hAnsi="宋体" w:cs="宋体"/>
                <w:color w:val="auto"/>
                <w:kern w:val="0"/>
                <w:sz w:val="24"/>
              </w:rPr>
              <w:t>标的预算（元）</w:t>
            </w:r>
          </w:p>
        </w:tc>
        <w:tc>
          <w:tcPr>
            <w:tcW w:w="1020" w:type="dxa"/>
            <w:tcBorders>
              <w:top w:val="single" w:color="D5D5D5" w:sz="6" w:space="0"/>
              <w:left w:val="single" w:color="D5D5D5" w:sz="6" w:space="0"/>
              <w:bottom w:val="single" w:color="D5D5D5" w:sz="6" w:space="0"/>
              <w:right w:val="single" w:color="D5D5D5" w:sz="6" w:space="0"/>
            </w:tcBorders>
            <w:shd w:val="clear" w:color="auto" w:fill="auto"/>
            <w:noWrap/>
            <w:vAlign w:val="center"/>
          </w:tcPr>
          <w:p>
            <w:pPr>
              <w:widowControl/>
              <w:spacing w:before="75" w:line="460" w:lineRule="atLeast"/>
              <w:jc w:val="center"/>
              <w:rPr>
                <w:rFonts w:ascii="宋体" w:hAnsi="宋体" w:cs="宋体"/>
                <w:color w:val="auto"/>
                <w:sz w:val="24"/>
              </w:rPr>
            </w:pPr>
            <w:r>
              <w:rPr>
                <w:rFonts w:hint="eastAsia" w:ascii="宋体" w:hAnsi="宋体" w:cs="宋体"/>
                <w:color w:val="auto"/>
                <w:kern w:val="0"/>
                <w:sz w:val="24"/>
              </w:rPr>
              <w:t>节能产品</w:t>
            </w:r>
          </w:p>
        </w:tc>
        <w:tc>
          <w:tcPr>
            <w:tcW w:w="1020" w:type="dxa"/>
            <w:tcBorders>
              <w:top w:val="single" w:color="D5D5D5" w:sz="6" w:space="0"/>
              <w:left w:val="single" w:color="D5D5D5" w:sz="6" w:space="0"/>
              <w:bottom w:val="single" w:color="D5D5D5" w:sz="6" w:space="0"/>
              <w:right w:val="single" w:color="D5D5D5" w:sz="6" w:space="0"/>
            </w:tcBorders>
            <w:shd w:val="clear" w:color="auto" w:fill="auto"/>
            <w:noWrap/>
            <w:vAlign w:val="center"/>
          </w:tcPr>
          <w:p>
            <w:pPr>
              <w:widowControl/>
              <w:spacing w:before="75" w:line="460" w:lineRule="atLeast"/>
              <w:jc w:val="center"/>
              <w:rPr>
                <w:rFonts w:ascii="宋体" w:hAnsi="宋体" w:cs="宋体"/>
                <w:color w:val="auto"/>
                <w:sz w:val="24"/>
              </w:rPr>
            </w:pPr>
            <w:r>
              <w:rPr>
                <w:rFonts w:hint="eastAsia" w:ascii="宋体" w:hAnsi="宋体" w:cs="宋体"/>
                <w:color w:val="auto"/>
                <w:kern w:val="0"/>
                <w:sz w:val="24"/>
              </w:rPr>
              <w:t>进口产品</w:t>
            </w:r>
          </w:p>
        </w:tc>
      </w:tr>
      <w:tr>
        <w:tblPrEx>
          <w:tblBorders>
            <w:top w:val="single" w:color="D5D5D5" w:sz="6" w:space="0"/>
            <w:left w:val="single" w:color="D5D5D5" w:sz="6" w:space="0"/>
            <w:bottom w:val="single" w:color="D5D5D5" w:sz="6" w:space="0"/>
            <w:right w:val="single" w:color="D5D5D5"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39" w:type="dxa"/>
            <w:tcBorders>
              <w:top w:val="single" w:color="D5D5D5" w:sz="6" w:space="0"/>
              <w:left w:val="single" w:color="D5D5D5" w:sz="6" w:space="0"/>
              <w:bottom w:val="single" w:color="D5D5D5" w:sz="6" w:space="0"/>
              <w:right w:val="single" w:color="D5D5D5" w:sz="6" w:space="0"/>
            </w:tcBorders>
            <w:shd w:val="clear" w:color="auto" w:fill="auto"/>
            <w:vAlign w:val="center"/>
          </w:tcPr>
          <w:p>
            <w:pPr>
              <w:widowControl/>
              <w:spacing w:before="75" w:line="460" w:lineRule="atLeast"/>
              <w:jc w:val="center"/>
              <w:rPr>
                <w:rFonts w:ascii="宋体" w:hAnsi="宋体" w:cs="宋体"/>
                <w:color w:val="auto"/>
                <w:sz w:val="24"/>
              </w:rPr>
            </w:pPr>
            <w:r>
              <w:rPr>
                <w:rFonts w:hint="eastAsia" w:ascii="宋体" w:hAnsi="宋体" w:cs="宋体"/>
                <w:color w:val="auto"/>
                <w:kern w:val="0"/>
                <w:sz w:val="24"/>
              </w:rPr>
              <w:t>包1</w:t>
            </w:r>
          </w:p>
        </w:tc>
        <w:tc>
          <w:tcPr>
            <w:tcW w:w="1686" w:type="dxa"/>
            <w:tcBorders>
              <w:top w:val="single" w:color="D5D5D5" w:sz="6" w:space="0"/>
              <w:left w:val="single" w:color="D5D5D5" w:sz="6" w:space="0"/>
              <w:bottom w:val="single" w:color="D5D5D5" w:sz="6" w:space="0"/>
              <w:right w:val="single" w:color="D5D5D5" w:sz="6" w:space="0"/>
            </w:tcBorders>
            <w:shd w:val="clear" w:color="auto" w:fill="auto"/>
            <w:vAlign w:val="center"/>
          </w:tcPr>
          <w:p>
            <w:pPr>
              <w:widowControl/>
              <w:spacing w:before="75" w:line="460" w:lineRule="atLeast"/>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3032563.94</w:t>
            </w:r>
          </w:p>
        </w:tc>
        <w:tc>
          <w:tcPr>
            <w:tcW w:w="647" w:type="dxa"/>
            <w:tcBorders>
              <w:top w:val="single" w:color="D5D5D5" w:sz="6" w:space="0"/>
              <w:left w:val="single" w:color="D5D5D5" w:sz="6" w:space="0"/>
              <w:bottom w:val="single" w:color="D5D5D5" w:sz="6" w:space="0"/>
              <w:right w:val="single" w:color="D5D5D5" w:sz="6" w:space="0"/>
            </w:tcBorders>
            <w:shd w:val="clear" w:color="auto" w:fill="auto"/>
            <w:vAlign w:val="center"/>
          </w:tcPr>
          <w:p>
            <w:pPr>
              <w:widowControl/>
              <w:spacing w:before="75" w:line="460" w:lineRule="atLeast"/>
              <w:jc w:val="center"/>
              <w:rPr>
                <w:rFonts w:ascii="宋体" w:hAnsi="宋体" w:cs="宋体"/>
                <w:color w:val="auto"/>
                <w:sz w:val="24"/>
              </w:rPr>
            </w:pPr>
            <w:r>
              <w:rPr>
                <w:rFonts w:hint="eastAsia" w:ascii="宋体" w:hAnsi="宋体" w:cs="宋体"/>
                <w:color w:val="auto"/>
                <w:kern w:val="0"/>
                <w:sz w:val="24"/>
              </w:rPr>
              <w:t>其他工程</w:t>
            </w:r>
          </w:p>
        </w:tc>
        <w:tc>
          <w:tcPr>
            <w:tcW w:w="1359" w:type="dxa"/>
            <w:tcBorders>
              <w:top w:val="single" w:color="D5D5D5" w:sz="6" w:space="0"/>
              <w:left w:val="single" w:color="D5D5D5" w:sz="6" w:space="0"/>
              <w:bottom w:val="single" w:color="D5D5D5" w:sz="6" w:space="0"/>
              <w:right w:val="single" w:color="D5D5D5" w:sz="6" w:space="0"/>
            </w:tcBorders>
            <w:shd w:val="clear" w:color="auto" w:fill="auto"/>
            <w:vAlign w:val="center"/>
          </w:tcPr>
          <w:p>
            <w:pPr>
              <w:widowControl/>
              <w:spacing w:before="75" w:line="460" w:lineRule="atLeast"/>
              <w:jc w:val="center"/>
              <w:rPr>
                <w:rFonts w:ascii="宋体" w:hAnsi="宋体" w:cs="宋体"/>
                <w:color w:val="auto"/>
                <w:kern w:val="0"/>
                <w:sz w:val="24"/>
              </w:rPr>
            </w:pPr>
            <w:r>
              <w:rPr>
                <w:rFonts w:hint="eastAsia" w:ascii="宋体" w:hAnsi="宋体" w:cs="宋体"/>
                <w:color w:val="auto"/>
                <w:kern w:val="0"/>
                <w:sz w:val="24"/>
              </w:rPr>
              <w:t>详见磋商</w:t>
            </w:r>
          </w:p>
          <w:p>
            <w:pPr>
              <w:widowControl/>
              <w:spacing w:before="75" w:line="460" w:lineRule="atLeast"/>
              <w:jc w:val="center"/>
              <w:rPr>
                <w:rFonts w:ascii="宋体" w:hAnsi="宋体" w:cs="宋体"/>
                <w:color w:val="auto"/>
                <w:sz w:val="24"/>
              </w:rPr>
            </w:pPr>
            <w:r>
              <w:rPr>
                <w:rFonts w:hint="eastAsia" w:ascii="宋体" w:hAnsi="宋体" w:cs="宋体"/>
                <w:color w:val="auto"/>
                <w:kern w:val="0"/>
                <w:sz w:val="24"/>
              </w:rPr>
              <w:t>文件</w:t>
            </w:r>
          </w:p>
        </w:tc>
        <w:tc>
          <w:tcPr>
            <w:tcW w:w="540" w:type="dxa"/>
            <w:tcBorders>
              <w:top w:val="single" w:color="D5D5D5" w:sz="6" w:space="0"/>
              <w:left w:val="single" w:color="D5D5D5" w:sz="6" w:space="0"/>
              <w:bottom w:val="single" w:color="D5D5D5" w:sz="6" w:space="0"/>
              <w:right w:val="single" w:color="D5D5D5" w:sz="6" w:space="0"/>
            </w:tcBorders>
            <w:shd w:val="clear" w:color="auto" w:fill="auto"/>
            <w:vAlign w:val="center"/>
          </w:tcPr>
          <w:p>
            <w:pPr>
              <w:widowControl/>
              <w:spacing w:before="75" w:line="460" w:lineRule="atLeast"/>
              <w:jc w:val="center"/>
              <w:rPr>
                <w:rFonts w:ascii="宋体" w:hAnsi="宋体" w:cs="宋体"/>
                <w:color w:val="auto"/>
                <w:sz w:val="24"/>
              </w:rPr>
            </w:pPr>
            <w:r>
              <w:rPr>
                <w:rFonts w:hint="eastAsia" w:ascii="宋体" w:hAnsi="宋体" w:cs="宋体"/>
                <w:color w:val="auto"/>
                <w:kern w:val="0"/>
                <w:sz w:val="24"/>
              </w:rPr>
              <w:t>/</w:t>
            </w:r>
          </w:p>
        </w:tc>
        <w:tc>
          <w:tcPr>
            <w:tcW w:w="1686" w:type="dxa"/>
            <w:tcBorders>
              <w:top w:val="single" w:color="D5D5D5" w:sz="6" w:space="0"/>
              <w:left w:val="single" w:color="D5D5D5" w:sz="6" w:space="0"/>
              <w:bottom w:val="single" w:color="D5D5D5" w:sz="6" w:space="0"/>
              <w:right w:val="single" w:color="D5D5D5" w:sz="6" w:space="0"/>
            </w:tcBorders>
            <w:shd w:val="clear" w:color="auto" w:fill="auto"/>
            <w:vAlign w:val="center"/>
          </w:tcPr>
          <w:p>
            <w:pPr>
              <w:widowControl/>
              <w:spacing w:before="75" w:line="460" w:lineRule="atLeast"/>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3032563.94</w:t>
            </w:r>
          </w:p>
        </w:tc>
        <w:tc>
          <w:tcPr>
            <w:tcW w:w="1020" w:type="dxa"/>
            <w:tcBorders>
              <w:top w:val="single" w:color="D5D5D5" w:sz="6" w:space="0"/>
              <w:left w:val="single" w:color="D5D5D5" w:sz="6" w:space="0"/>
              <w:bottom w:val="single" w:color="D5D5D5" w:sz="6" w:space="0"/>
              <w:right w:val="single" w:color="D5D5D5" w:sz="6" w:space="0"/>
            </w:tcBorders>
            <w:shd w:val="clear" w:color="auto" w:fill="auto"/>
            <w:vAlign w:val="center"/>
          </w:tcPr>
          <w:p>
            <w:pPr>
              <w:widowControl/>
              <w:spacing w:before="75" w:line="460" w:lineRule="atLeast"/>
              <w:jc w:val="center"/>
              <w:rPr>
                <w:rFonts w:ascii="宋体" w:hAnsi="宋体" w:cs="宋体"/>
                <w:color w:val="auto"/>
                <w:sz w:val="24"/>
              </w:rPr>
            </w:pPr>
            <w:r>
              <w:rPr>
                <w:rFonts w:ascii="宋体" w:hAnsi="宋体" w:cs="宋体"/>
                <w:color w:val="auto"/>
                <w:kern w:val="0"/>
                <w:sz w:val="24"/>
              </w:rPr>
              <w:drawing>
                <wp:inline distT="0" distB="0" distL="114300" distR="114300">
                  <wp:extent cx="260985" cy="201930"/>
                  <wp:effectExtent l="0" t="0" r="5715" b="7620"/>
                  <wp:docPr id="1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2"/>
                          <pic:cNvPicPr>
                            <a:picLocks noChangeAspect="1"/>
                          </pic:cNvPicPr>
                        </pic:nvPicPr>
                        <pic:blipFill>
                          <a:blip r:embed="rId12"/>
                          <a:stretch>
                            <a:fillRect/>
                          </a:stretch>
                        </pic:blipFill>
                        <pic:spPr>
                          <a:xfrm>
                            <a:off x="0" y="0"/>
                            <a:ext cx="260985" cy="201930"/>
                          </a:xfrm>
                          <a:prstGeom prst="rect">
                            <a:avLst/>
                          </a:prstGeom>
                          <a:noFill/>
                          <a:ln>
                            <a:noFill/>
                          </a:ln>
                        </pic:spPr>
                      </pic:pic>
                    </a:graphicData>
                  </a:graphic>
                </wp:inline>
              </w:drawing>
            </w:r>
          </w:p>
        </w:tc>
        <w:tc>
          <w:tcPr>
            <w:tcW w:w="1020" w:type="dxa"/>
            <w:tcBorders>
              <w:top w:val="single" w:color="D5D5D5" w:sz="6" w:space="0"/>
              <w:left w:val="single" w:color="D5D5D5" w:sz="6" w:space="0"/>
              <w:bottom w:val="single" w:color="D5D5D5" w:sz="6" w:space="0"/>
              <w:right w:val="single" w:color="D5D5D5" w:sz="6" w:space="0"/>
            </w:tcBorders>
            <w:shd w:val="clear" w:color="auto" w:fill="auto"/>
            <w:vAlign w:val="center"/>
          </w:tcPr>
          <w:p>
            <w:pPr>
              <w:widowControl/>
              <w:spacing w:before="75" w:line="460" w:lineRule="atLeast"/>
              <w:jc w:val="center"/>
              <w:rPr>
                <w:rFonts w:ascii="宋体" w:hAnsi="宋体" w:cs="宋体"/>
                <w:color w:val="auto"/>
                <w:sz w:val="24"/>
              </w:rPr>
            </w:pPr>
            <w:r>
              <w:rPr>
                <w:rFonts w:ascii="宋体" w:hAnsi="宋体" w:cs="宋体"/>
                <w:color w:val="auto"/>
                <w:kern w:val="0"/>
                <w:sz w:val="24"/>
              </w:rPr>
              <w:drawing>
                <wp:inline distT="0" distB="0" distL="114300" distR="114300">
                  <wp:extent cx="260985" cy="201930"/>
                  <wp:effectExtent l="0" t="0" r="5715" b="7620"/>
                  <wp:docPr id="1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3"/>
                          <pic:cNvPicPr>
                            <a:picLocks noChangeAspect="1"/>
                          </pic:cNvPicPr>
                        </pic:nvPicPr>
                        <pic:blipFill>
                          <a:blip r:embed="rId12"/>
                          <a:stretch>
                            <a:fillRect/>
                          </a:stretch>
                        </pic:blipFill>
                        <pic:spPr>
                          <a:xfrm>
                            <a:off x="0" y="0"/>
                            <a:ext cx="260985" cy="201930"/>
                          </a:xfrm>
                          <a:prstGeom prst="rect">
                            <a:avLst/>
                          </a:prstGeom>
                          <a:noFill/>
                          <a:ln>
                            <a:noFill/>
                          </a:ln>
                        </pic:spPr>
                      </pic:pic>
                    </a:graphicData>
                  </a:graphic>
                </wp:inline>
              </w:drawing>
            </w:r>
          </w:p>
        </w:tc>
      </w:tr>
    </w:tbl>
    <w:p>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说明：</w:t>
      </w:r>
    </w:p>
    <w:p>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1.节能产品实行强制采购的，需提供国家认证机构出具的、处于有效期内的节能产品证书。</w:t>
      </w:r>
    </w:p>
    <w:p>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2.同意购买进口产品的，不限制满足采购需求的国内产品参与投标。</w:t>
      </w:r>
    </w:p>
    <w:p>
      <w:pPr>
        <w:pStyle w:val="6"/>
        <w:keepNext w:val="0"/>
        <w:keepLines w:val="0"/>
        <w:widowControl/>
        <w:spacing w:before="75" w:after="0" w:line="460" w:lineRule="atLeast"/>
        <w:ind w:firstLine="420"/>
        <w:rPr>
          <w:rFonts w:ascii="宋体" w:hAnsi="宋体" w:cs="宋体"/>
          <w:color w:val="auto"/>
          <w:sz w:val="24"/>
          <w:szCs w:val="24"/>
        </w:rPr>
      </w:pPr>
      <w:r>
        <w:rPr>
          <w:rFonts w:hint="eastAsia" w:ascii="宋体" w:hAnsi="宋体" w:cs="宋体"/>
          <w:color w:val="auto"/>
          <w:sz w:val="24"/>
          <w:szCs w:val="24"/>
        </w:rPr>
        <w:t>三、采购项目需落实的政府采购政策：</w:t>
      </w:r>
    </w:p>
    <w:p>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1、优先采购：节能产品、环境标志产品、两型产品享受加分或价格折扣。</w:t>
      </w:r>
    </w:p>
    <w:p>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2、支持中小企业：中小企业享受预留采购份额或价格折扣。</w:t>
      </w:r>
    </w:p>
    <w:p>
      <w:pPr>
        <w:pStyle w:val="6"/>
        <w:keepNext w:val="0"/>
        <w:keepLines w:val="0"/>
        <w:widowControl/>
        <w:spacing w:before="75" w:after="0" w:line="460" w:lineRule="atLeast"/>
        <w:ind w:firstLine="420"/>
        <w:rPr>
          <w:rFonts w:ascii="宋体" w:hAnsi="宋体" w:cs="宋体"/>
          <w:color w:val="auto"/>
          <w:sz w:val="24"/>
          <w:szCs w:val="24"/>
        </w:rPr>
      </w:pPr>
      <w:r>
        <w:rPr>
          <w:rFonts w:hint="eastAsia" w:ascii="宋体" w:hAnsi="宋体" w:cs="宋体"/>
          <w:color w:val="auto"/>
          <w:sz w:val="24"/>
          <w:szCs w:val="24"/>
        </w:rPr>
        <w:t>四、投标人的资格要求：</w:t>
      </w:r>
    </w:p>
    <w:p>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1、投标人的基本资格条件：投标人必须是在中华人民共和国境内注册登记的法人、其他组织或者自然人，且应当符合《政府采购法》第二十二条第一款的规定。</w:t>
      </w:r>
    </w:p>
    <w:p>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2、落实政府采购政策需满足的资格要求：</w:t>
      </w:r>
    </w:p>
    <w:p>
      <w:pPr>
        <w:widowControl/>
        <w:spacing w:before="75" w:line="460" w:lineRule="atLeast"/>
        <w:ind w:firstLine="840"/>
        <w:jc w:val="left"/>
        <w:rPr>
          <w:rFonts w:ascii="宋体" w:hAnsi="宋体" w:cs="宋体"/>
          <w:color w:val="auto"/>
          <w:sz w:val="24"/>
        </w:rPr>
      </w:pPr>
      <w:r>
        <w:rPr>
          <w:rFonts w:ascii="宋体" w:hAnsi="宋体" w:cs="宋体"/>
          <w:color w:val="auto"/>
          <w:kern w:val="0"/>
          <w:sz w:val="24"/>
        </w:rPr>
        <w:drawing>
          <wp:inline distT="0" distB="0" distL="114300" distR="114300">
            <wp:extent cx="260985" cy="201930"/>
            <wp:effectExtent l="0" t="0" r="5715" b="7620"/>
            <wp:docPr id="1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4"/>
                    <pic:cNvPicPr>
                      <a:picLocks noChangeAspect="1"/>
                    </pic:cNvPicPr>
                  </pic:nvPicPr>
                  <pic:blipFill>
                    <a:blip r:embed="rId13"/>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专门面向： </w:t>
      </w:r>
      <w:r>
        <w:rPr>
          <w:rFonts w:ascii="宋体" w:hAnsi="宋体" w:cs="宋体"/>
          <w:color w:val="auto"/>
          <w:kern w:val="0"/>
          <w:sz w:val="24"/>
        </w:rPr>
        <w:drawing>
          <wp:inline distT="0" distB="0" distL="114300" distR="114300">
            <wp:extent cx="260985" cy="201930"/>
            <wp:effectExtent l="0" t="0" r="5715" b="7620"/>
            <wp:docPr id="17"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5"/>
                    <pic:cNvPicPr>
                      <a:picLocks noChangeAspect="1"/>
                    </pic:cNvPicPr>
                  </pic:nvPicPr>
                  <pic:blipFill>
                    <a:blip r:embed="rId13"/>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中小企业 </w:t>
      </w:r>
      <w:r>
        <w:rPr>
          <w:rFonts w:ascii="宋体" w:hAnsi="宋体" w:cs="宋体"/>
          <w:color w:val="auto"/>
          <w:kern w:val="0"/>
          <w:sz w:val="24"/>
        </w:rPr>
        <w:drawing>
          <wp:inline distT="0" distB="0" distL="114300" distR="114300">
            <wp:extent cx="260985" cy="201930"/>
            <wp:effectExtent l="0" t="0" r="5715" b="7620"/>
            <wp:docPr id="1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pic:cNvPicPr>
                      <a:picLocks noChangeAspect="1"/>
                    </pic:cNvPicPr>
                  </pic:nvPicPr>
                  <pic:blipFill>
                    <a:blip r:embed="rId12"/>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小微企业 </w:t>
      </w:r>
      <w:r>
        <w:rPr>
          <w:rFonts w:ascii="宋体" w:hAnsi="宋体" w:cs="宋体"/>
          <w:color w:val="auto"/>
          <w:kern w:val="0"/>
          <w:sz w:val="24"/>
        </w:rPr>
        <w:drawing>
          <wp:inline distT="0" distB="0" distL="114300" distR="114300">
            <wp:extent cx="260985" cy="201930"/>
            <wp:effectExtent l="0" t="0" r="5715" b="7620"/>
            <wp:docPr id="19"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7"/>
                    <pic:cNvPicPr>
                      <a:picLocks noChangeAspect="1"/>
                    </pic:cNvPicPr>
                  </pic:nvPicPr>
                  <pic:blipFill>
                    <a:blip r:embed="rId12"/>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监狱企业 </w:t>
      </w:r>
      <w:r>
        <w:rPr>
          <w:rFonts w:ascii="宋体" w:hAnsi="宋体" w:cs="宋体"/>
          <w:color w:val="auto"/>
          <w:kern w:val="0"/>
          <w:sz w:val="24"/>
        </w:rPr>
        <w:drawing>
          <wp:inline distT="0" distB="0" distL="114300" distR="114300">
            <wp:extent cx="260985" cy="201930"/>
            <wp:effectExtent l="0" t="0" r="5715" b="7620"/>
            <wp:docPr id="20"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8"/>
                    <pic:cNvPicPr>
                      <a:picLocks noChangeAspect="1"/>
                    </pic:cNvPicPr>
                  </pic:nvPicPr>
                  <pic:blipFill>
                    <a:blip r:embed="rId12"/>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福利性单位</w:t>
      </w:r>
    </w:p>
    <w:p>
      <w:pPr>
        <w:widowControl/>
        <w:spacing w:before="75" w:line="460" w:lineRule="atLeast"/>
        <w:ind w:firstLine="840"/>
        <w:jc w:val="left"/>
        <w:rPr>
          <w:rFonts w:ascii="宋体" w:hAnsi="宋体" w:cs="宋体"/>
          <w:color w:val="auto"/>
          <w:sz w:val="24"/>
        </w:rPr>
      </w:pPr>
      <w:r>
        <w:rPr>
          <w:rFonts w:ascii="宋体" w:hAnsi="宋体" w:cs="宋体"/>
          <w:color w:val="auto"/>
          <w:kern w:val="0"/>
          <w:sz w:val="24"/>
        </w:rPr>
        <w:drawing>
          <wp:inline distT="0" distB="0" distL="114300" distR="114300">
            <wp:extent cx="260985" cy="201930"/>
            <wp:effectExtent l="0" t="0" r="5715" b="7620"/>
            <wp:docPr id="21"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9"/>
                    <pic:cNvPicPr>
                      <a:picLocks noChangeAspect="1"/>
                    </pic:cNvPicPr>
                  </pic:nvPicPr>
                  <pic:blipFill>
                    <a:blip r:embed="rId12"/>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强制分包：大型企业应将采购份额的</w:t>
      </w:r>
      <w:r>
        <w:rPr>
          <w:rFonts w:hint="eastAsia" w:ascii="宋体" w:hAnsi="宋体" w:cs="宋体"/>
          <w:color w:val="auto"/>
          <w:kern w:val="0"/>
          <w:sz w:val="24"/>
          <w:u w:val="single"/>
        </w:rPr>
        <w:t>  </w:t>
      </w:r>
      <w:r>
        <w:rPr>
          <w:rFonts w:hint="eastAsia" w:ascii="宋体" w:hAnsi="宋体" w:cs="宋体"/>
          <w:color w:val="auto"/>
          <w:kern w:val="0"/>
          <w:sz w:val="24"/>
        </w:rPr>
        <w:t>%分包给中小企业。</w:t>
      </w:r>
    </w:p>
    <w:p>
      <w:pPr>
        <w:widowControl/>
        <w:spacing w:before="75" w:line="460" w:lineRule="atLeast"/>
        <w:ind w:firstLine="420"/>
        <w:jc w:val="left"/>
        <w:rPr>
          <w:rFonts w:ascii="宋体" w:hAnsi="宋体" w:cs="宋体"/>
          <w:color w:val="auto"/>
          <w:kern w:val="0"/>
          <w:sz w:val="24"/>
        </w:rPr>
      </w:pPr>
      <w:r>
        <w:rPr>
          <w:rFonts w:hint="eastAsia" w:ascii="宋体" w:hAnsi="宋体" w:cs="宋体"/>
          <w:color w:val="auto"/>
          <w:kern w:val="0"/>
          <w:sz w:val="24"/>
        </w:rPr>
        <w:t>3、供应商特定资格条件：</w:t>
      </w:r>
    </w:p>
    <w:p>
      <w:pPr>
        <w:widowControl/>
        <w:spacing w:before="75" w:line="460" w:lineRule="atLeast"/>
        <w:ind w:firstLine="420"/>
        <w:jc w:val="left"/>
        <w:rPr>
          <w:rFonts w:hint="eastAsia" w:ascii="宋体" w:hAnsi="宋体" w:cs="宋体"/>
          <w:color w:val="auto"/>
          <w:kern w:val="0"/>
          <w:sz w:val="24"/>
        </w:rPr>
      </w:pPr>
      <w:r>
        <w:rPr>
          <w:rFonts w:hint="eastAsia" w:ascii="宋体" w:hAnsi="宋体" w:cs="宋体"/>
          <w:color w:val="auto"/>
          <w:kern w:val="0"/>
          <w:sz w:val="24"/>
        </w:rPr>
        <w:t>（1）投标人具备</w:t>
      </w:r>
      <w:r>
        <w:rPr>
          <w:rFonts w:hint="eastAsia" w:ascii="宋体" w:hAnsi="宋体" w:cs="宋体"/>
          <w:color w:val="auto"/>
          <w:kern w:val="0"/>
          <w:sz w:val="24"/>
          <w:lang w:eastAsia="zh-CN"/>
        </w:rPr>
        <w:t>市政公用工程</w:t>
      </w:r>
      <w:r>
        <w:rPr>
          <w:rFonts w:hint="eastAsia" w:ascii="宋体" w:hAnsi="宋体" w:cs="宋体"/>
          <w:color w:val="auto"/>
          <w:kern w:val="0"/>
          <w:sz w:val="24"/>
        </w:rPr>
        <w:t>施工总承包叁级及以上资质；具有有效的安全生产许可证；</w:t>
      </w:r>
    </w:p>
    <w:p>
      <w:pPr>
        <w:widowControl/>
        <w:spacing w:before="75" w:line="460" w:lineRule="atLeast"/>
        <w:ind w:firstLine="420"/>
        <w:jc w:val="left"/>
        <w:rPr>
          <w:rFonts w:hint="eastAsia" w:ascii="宋体" w:hAnsi="宋体" w:cs="宋体"/>
          <w:color w:val="auto"/>
          <w:kern w:val="0"/>
          <w:sz w:val="24"/>
        </w:rPr>
      </w:pPr>
      <w:r>
        <w:rPr>
          <w:rFonts w:hint="eastAsia" w:ascii="宋体" w:hAnsi="宋体" w:cs="宋体"/>
          <w:color w:val="auto"/>
          <w:kern w:val="0"/>
          <w:sz w:val="24"/>
        </w:rPr>
        <w:t>（</w:t>
      </w:r>
      <w:r>
        <w:rPr>
          <w:rFonts w:hint="eastAsia" w:ascii="宋体" w:hAnsi="宋体" w:cs="宋体"/>
          <w:color w:val="auto"/>
          <w:kern w:val="0"/>
          <w:sz w:val="24"/>
          <w:lang w:val="en-US" w:eastAsia="zh-CN"/>
        </w:rPr>
        <w:t>2</w:t>
      </w:r>
      <w:r>
        <w:rPr>
          <w:rFonts w:hint="eastAsia" w:ascii="宋体" w:hAnsi="宋体" w:cs="宋体"/>
          <w:color w:val="auto"/>
          <w:kern w:val="0"/>
          <w:sz w:val="24"/>
        </w:rPr>
        <w:t>）拟派本项目的项目经理需具有</w:t>
      </w:r>
      <w:r>
        <w:rPr>
          <w:rFonts w:hint="eastAsia" w:ascii="宋体" w:hAnsi="宋体" w:cs="宋体"/>
          <w:color w:val="auto"/>
          <w:kern w:val="0"/>
          <w:sz w:val="24"/>
          <w:lang w:val="en-US" w:eastAsia="zh-CN"/>
        </w:rPr>
        <w:t>市政公用工程专业</w:t>
      </w:r>
      <w:r>
        <w:rPr>
          <w:rFonts w:hint="eastAsia" w:ascii="宋体" w:hAnsi="宋体" w:cs="宋体"/>
          <w:color w:val="auto"/>
          <w:kern w:val="0"/>
          <w:sz w:val="24"/>
        </w:rPr>
        <w:t>二级及以上注册建造师</w:t>
      </w:r>
      <w:r>
        <w:rPr>
          <w:rFonts w:hint="eastAsia" w:ascii="宋体" w:hAnsi="宋体" w:cs="宋体"/>
          <w:color w:val="auto"/>
          <w:kern w:val="0"/>
          <w:sz w:val="24"/>
          <w:lang w:val="en-US" w:eastAsia="zh-CN"/>
        </w:rPr>
        <w:t>执业资格</w:t>
      </w:r>
      <w:r>
        <w:rPr>
          <w:rFonts w:hint="eastAsia" w:ascii="宋体" w:hAnsi="宋体" w:cs="宋体"/>
          <w:color w:val="auto"/>
          <w:kern w:val="0"/>
          <w:sz w:val="24"/>
        </w:rPr>
        <w:t>证书</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具有</w:t>
      </w:r>
      <w:r>
        <w:rPr>
          <w:rFonts w:hint="eastAsia" w:ascii="宋体" w:hAnsi="宋体" w:cs="宋体"/>
          <w:color w:val="auto"/>
          <w:kern w:val="0"/>
          <w:sz w:val="24"/>
        </w:rPr>
        <w:t>安全生产考核合格证书（B 证），</w:t>
      </w:r>
      <w:r>
        <w:rPr>
          <w:rFonts w:hint="eastAsia" w:ascii="宋体" w:hAnsi="宋体" w:cs="宋体"/>
          <w:color w:val="auto"/>
          <w:kern w:val="0"/>
          <w:sz w:val="24"/>
          <w:lang w:val="en-US" w:eastAsia="zh-CN"/>
        </w:rPr>
        <w:t>且</w:t>
      </w:r>
      <w:r>
        <w:rPr>
          <w:rFonts w:hint="eastAsia" w:ascii="宋体" w:hAnsi="宋体" w:cs="宋体"/>
          <w:color w:val="auto"/>
          <w:kern w:val="0"/>
          <w:sz w:val="24"/>
        </w:rPr>
        <w:t>无在建项目（同一施工项目负责人不能同时在两个及以上的工程项目上担任施工项目负责人；无在建项目指至本项目投标截止期，无在建未完工项目或已中标（以网上发布中标</w:t>
      </w:r>
      <w:r>
        <w:rPr>
          <w:rFonts w:hint="eastAsia" w:ascii="宋体" w:hAnsi="宋体" w:cs="宋体"/>
          <w:color w:val="auto"/>
          <w:kern w:val="0"/>
          <w:sz w:val="24"/>
          <w:u w:val="none"/>
        </w:rPr>
        <w:t>侯选人公</w:t>
      </w:r>
      <w:r>
        <w:rPr>
          <w:rFonts w:hint="eastAsia" w:ascii="宋体" w:hAnsi="宋体" w:cs="宋体"/>
          <w:color w:val="auto"/>
          <w:kern w:val="0"/>
          <w:sz w:val="24"/>
        </w:rPr>
        <w:t>示为准）未开工项目，以及符合《注册建造师执业管理办法（试行）》第九条规定的其他情形）。</w:t>
      </w:r>
    </w:p>
    <w:p>
      <w:pPr>
        <w:widowControl/>
        <w:spacing w:before="75" w:line="460" w:lineRule="atLeast"/>
        <w:ind w:firstLine="420"/>
        <w:jc w:val="left"/>
        <w:rPr>
          <w:rFonts w:hint="eastAsia" w:ascii="宋体" w:hAnsi="宋体" w:cs="宋体"/>
          <w:color w:val="auto"/>
          <w:kern w:val="0"/>
          <w:sz w:val="24"/>
        </w:rPr>
      </w:pPr>
      <w:r>
        <w:rPr>
          <w:rFonts w:hint="eastAsia" w:ascii="宋体" w:hAnsi="宋体" w:cs="宋体"/>
          <w:color w:val="auto"/>
          <w:kern w:val="0"/>
          <w:sz w:val="24"/>
        </w:rPr>
        <w:t>注：</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1）</w:t>
      </w:r>
      <w:r>
        <w:rPr>
          <w:rFonts w:hint="eastAsia" w:ascii="宋体" w:hAnsi="宋体" w:cs="宋体"/>
          <w:color w:val="auto"/>
          <w:kern w:val="0"/>
          <w:sz w:val="24"/>
        </w:rPr>
        <w:t>根据《湖南省财政厅关于政府采购促进中小企业发展有关措施的通知》，符合法定条件的供应商凭《湖南省政府采购供应商资格承诺函》（格式见竞争性磋商文件）参与政府采购活动，无需提供财务状况、缴纳税收和社会保障资金等资格证明材料。经采购人或监管部门查实，如发现伪造、篡改、提供虚假证明材料等行为，有关行政监督部门将依法给予行政处罚（处理），执行诚信不良行为记录联合惩戒措施，触犯法律的，将依法承担法律责任。</w:t>
      </w:r>
    </w:p>
    <w:p>
      <w:pPr>
        <w:widowControl/>
        <w:spacing w:before="75" w:line="460" w:lineRule="atLeast"/>
        <w:ind w:firstLine="420"/>
        <w:jc w:val="left"/>
        <w:rPr>
          <w:rFonts w:hint="default" w:ascii="宋体" w:hAnsi="宋体" w:cs="宋体"/>
          <w:color w:val="auto"/>
          <w:kern w:val="0"/>
          <w:sz w:val="24"/>
          <w:lang w:val="en-US"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2）被“信用中国（www.creditchina.gov.cn）”“湖南信用网（www.hncredit.gov.cn）”网站列入失信被执行人和重大税收违法案件当事人名单的、被“中国政府采购网（www.ccgp.gov.cn）”“湖南省政府采购网（</w:t>
      </w:r>
      <w:r>
        <w:rPr>
          <w:rFonts w:hint="eastAsia" w:ascii="宋体" w:hAnsi="宋体" w:cs="宋体"/>
          <w:color w:val="auto"/>
          <w:kern w:val="0"/>
          <w:sz w:val="24"/>
          <w:lang w:val="en-US" w:eastAsia="zh-CN"/>
        </w:rPr>
        <w:fldChar w:fldCharType="begin"/>
      </w:r>
      <w:r>
        <w:rPr>
          <w:rFonts w:hint="eastAsia" w:ascii="宋体" w:hAnsi="宋体" w:cs="宋体"/>
          <w:color w:val="auto"/>
          <w:kern w:val="0"/>
          <w:sz w:val="24"/>
          <w:lang w:val="en-US" w:eastAsia="zh-CN"/>
        </w:rPr>
        <w:instrText xml:space="preserve"> HYPERLINK "http://www.ccgp-hunan.gov.cn/" </w:instrText>
      </w:r>
      <w:r>
        <w:rPr>
          <w:rFonts w:hint="eastAsia" w:ascii="宋体" w:hAnsi="宋体" w:cs="宋体"/>
          <w:color w:val="auto"/>
          <w:kern w:val="0"/>
          <w:sz w:val="24"/>
          <w:lang w:val="en-US" w:eastAsia="zh-CN"/>
        </w:rPr>
        <w:fldChar w:fldCharType="separate"/>
      </w:r>
      <w:r>
        <w:rPr>
          <w:rFonts w:hint="eastAsia" w:ascii="宋体" w:hAnsi="宋体" w:cs="宋体"/>
          <w:color w:val="auto"/>
          <w:kern w:val="0"/>
          <w:sz w:val="24"/>
          <w:lang w:val="en-US" w:eastAsia="zh-CN"/>
        </w:rPr>
        <w:t>www.ccgp-hunan.gov.cn</w:t>
      </w:r>
      <w:r>
        <w:rPr>
          <w:rFonts w:hint="eastAsia" w:ascii="宋体" w:hAnsi="宋体" w:cs="宋体"/>
          <w:color w:val="auto"/>
          <w:kern w:val="0"/>
          <w:sz w:val="24"/>
          <w:lang w:val="en-US" w:eastAsia="zh-CN"/>
        </w:rPr>
        <w:fldChar w:fldCharType="end"/>
      </w:r>
      <w:r>
        <w:rPr>
          <w:rFonts w:hint="eastAsia" w:ascii="宋体" w:hAnsi="宋体" w:cs="宋体"/>
          <w:color w:val="auto"/>
          <w:kern w:val="0"/>
          <w:sz w:val="24"/>
          <w:lang w:val="en-US" w:eastAsia="zh-CN"/>
        </w:rPr>
        <w:t>）”网站列入政府采购严重违法失信行为记录名单（处罚期限尚未届满的），不得参与本项目的政府采购活动；提供最近一个月的投标人查询记录网上打印件并加盖单位公章。</w:t>
      </w:r>
    </w:p>
    <w:p>
      <w:pPr>
        <w:widowControl/>
        <w:spacing w:before="75" w:line="460" w:lineRule="atLeast"/>
        <w:ind w:firstLine="420"/>
        <w:jc w:val="left"/>
        <w:rPr>
          <w:rFonts w:hint="eastAsia" w:ascii="宋体" w:hAnsi="宋体" w:eastAsia="宋体" w:cs="宋体"/>
          <w:color w:val="auto"/>
          <w:kern w:val="0"/>
          <w:sz w:val="24"/>
        </w:rPr>
      </w:pPr>
      <w:r>
        <w:rPr>
          <w:rFonts w:hint="eastAsia" w:ascii="宋体" w:hAnsi="宋体" w:eastAsia="宋体" w:cs="宋体"/>
          <w:color w:val="auto"/>
          <w:kern w:val="0"/>
          <w:sz w:val="24"/>
        </w:rPr>
        <w:t>4、单位负责人为同一人或者存在直接控股、管理关系的不同投标人，不得参加同一合同项下的政府采购活动。</w:t>
      </w:r>
    </w:p>
    <w:p>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5、为本采购项目提供整体设计、规范编制或者项目管理、监理、检测等服务的，不得再参加此项目的其他采购活动。</w:t>
      </w:r>
    </w:p>
    <w:p>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6、列入失信被执行人、重大税收违法失信主体名单、政府采购严重违法失信行为记录名单的，拒绝其参与政府采购活动。</w:t>
      </w:r>
    </w:p>
    <w:p>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7、联合体投标。本次招标不接受联合体投标。</w:t>
      </w:r>
    </w:p>
    <w:p>
      <w:pPr>
        <w:pStyle w:val="6"/>
        <w:keepNext w:val="0"/>
        <w:keepLines w:val="0"/>
        <w:widowControl/>
        <w:spacing w:before="150" w:after="0" w:line="460" w:lineRule="atLeast"/>
        <w:ind w:firstLine="420"/>
        <w:rPr>
          <w:rFonts w:ascii="宋体" w:hAnsi="宋体" w:cs="宋体"/>
          <w:color w:val="auto"/>
          <w:sz w:val="24"/>
          <w:szCs w:val="24"/>
        </w:rPr>
      </w:pPr>
      <w:r>
        <w:rPr>
          <w:rFonts w:hint="eastAsia" w:ascii="宋体" w:hAnsi="宋体" w:cs="宋体"/>
          <w:color w:val="auto"/>
          <w:sz w:val="24"/>
          <w:szCs w:val="24"/>
        </w:rPr>
        <w:t>五、获取招标文件的时间、期限、地点及方式</w:t>
      </w:r>
    </w:p>
    <w:p>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有意参加投标者，于</w:t>
      </w:r>
      <w:r>
        <w:rPr>
          <w:rFonts w:hint="eastAsia" w:ascii="宋体" w:hAnsi="宋体" w:cs="宋体"/>
          <w:color w:val="auto"/>
          <w:kern w:val="0"/>
          <w:sz w:val="24"/>
          <w:lang w:eastAsia="zh-CN"/>
        </w:rPr>
        <w:t>202</w:t>
      </w:r>
      <w:r>
        <w:rPr>
          <w:rFonts w:hint="eastAsia" w:ascii="宋体" w:hAnsi="宋体" w:cs="宋体"/>
          <w:color w:val="auto"/>
          <w:kern w:val="0"/>
          <w:sz w:val="24"/>
          <w:lang w:val="en-US" w:eastAsia="zh-CN"/>
        </w:rPr>
        <w:t>6</w:t>
      </w:r>
      <w:r>
        <w:rPr>
          <w:rFonts w:hint="eastAsia" w:ascii="宋体" w:hAnsi="宋体" w:cs="宋体"/>
          <w:color w:val="auto"/>
          <w:kern w:val="0"/>
          <w:sz w:val="24"/>
          <w:lang w:eastAsia="zh-CN"/>
        </w:rPr>
        <w:t>年</w:t>
      </w:r>
      <w:r>
        <w:rPr>
          <w:rFonts w:hint="eastAsia" w:ascii="宋体" w:hAnsi="宋体" w:cs="宋体"/>
          <w:color w:val="auto"/>
          <w:kern w:val="0"/>
          <w:sz w:val="24"/>
          <w:lang w:val="en-US" w:eastAsia="zh-CN"/>
        </w:rPr>
        <w:t>07</w:t>
      </w:r>
      <w:r>
        <w:rPr>
          <w:rFonts w:hint="eastAsia" w:ascii="宋体" w:hAnsi="宋体" w:cs="宋体"/>
          <w:color w:val="auto"/>
          <w:kern w:val="0"/>
          <w:sz w:val="24"/>
          <w:lang w:eastAsia="zh-CN"/>
        </w:rPr>
        <w:t>月</w:t>
      </w:r>
      <w:r>
        <w:rPr>
          <w:rFonts w:hint="eastAsia" w:ascii="宋体" w:hAnsi="宋体" w:cs="宋体"/>
          <w:color w:val="auto"/>
          <w:kern w:val="0"/>
          <w:sz w:val="24"/>
          <w:lang w:val="en-US" w:eastAsia="zh-CN"/>
        </w:rPr>
        <w:t>08</w:t>
      </w:r>
      <w:r>
        <w:rPr>
          <w:rFonts w:hint="eastAsia" w:ascii="宋体" w:hAnsi="宋体" w:cs="宋体"/>
          <w:color w:val="auto"/>
          <w:kern w:val="0"/>
          <w:sz w:val="24"/>
          <w:lang w:eastAsia="zh-CN"/>
        </w:rPr>
        <w:t>日至202</w:t>
      </w:r>
      <w:r>
        <w:rPr>
          <w:rFonts w:hint="eastAsia" w:ascii="宋体" w:hAnsi="宋体" w:cs="宋体"/>
          <w:color w:val="auto"/>
          <w:kern w:val="0"/>
          <w:sz w:val="24"/>
          <w:lang w:val="en-US" w:eastAsia="zh-CN"/>
        </w:rPr>
        <w:t>6</w:t>
      </w:r>
      <w:r>
        <w:rPr>
          <w:rFonts w:hint="eastAsia" w:ascii="宋体" w:hAnsi="宋体" w:cs="宋体"/>
          <w:color w:val="auto"/>
          <w:kern w:val="0"/>
          <w:sz w:val="24"/>
          <w:lang w:eastAsia="zh-CN"/>
        </w:rPr>
        <w:t>年</w:t>
      </w:r>
      <w:r>
        <w:rPr>
          <w:rFonts w:hint="eastAsia" w:ascii="宋体" w:hAnsi="宋体" w:cs="宋体"/>
          <w:color w:val="auto"/>
          <w:kern w:val="0"/>
          <w:sz w:val="24"/>
          <w:lang w:val="en-US" w:eastAsia="zh-CN"/>
        </w:rPr>
        <w:t>07</w:t>
      </w:r>
      <w:r>
        <w:rPr>
          <w:rFonts w:hint="eastAsia" w:ascii="宋体" w:hAnsi="宋体" w:cs="宋体"/>
          <w:color w:val="auto"/>
          <w:kern w:val="0"/>
          <w:sz w:val="24"/>
          <w:lang w:eastAsia="zh-CN"/>
        </w:rPr>
        <w:t>月</w:t>
      </w:r>
      <w:r>
        <w:rPr>
          <w:rFonts w:hint="eastAsia" w:ascii="宋体" w:hAnsi="宋体" w:cs="宋体"/>
          <w:color w:val="auto"/>
          <w:kern w:val="0"/>
          <w:sz w:val="24"/>
          <w:lang w:val="en-US" w:eastAsia="zh-CN"/>
        </w:rPr>
        <w:t>15</w:t>
      </w:r>
      <w:r>
        <w:rPr>
          <w:rFonts w:hint="eastAsia" w:ascii="宋体" w:hAnsi="宋体" w:cs="宋体"/>
          <w:color w:val="auto"/>
          <w:kern w:val="0"/>
          <w:sz w:val="24"/>
          <w:lang w:eastAsia="zh-CN"/>
        </w:rPr>
        <w:t>日</w:t>
      </w:r>
      <w:r>
        <w:rPr>
          <w:rFonts w:hint="eastAsia" w:ascii="宋体" w:hAnsi="宋体" w:cs="宋体"/>
          <w:color w:val="auto"/>
          <w:kern w:val="0"/>
          <w:sz w:val="24"/>
        </w:rPr>
        <w:t>，上午9:00 ～ 12:00 ，下午 15:00 ～ 17:00， 在法定代表人身份证明或授权委托书(附法定代表人身份证明)、个人身份证到</w:t>
      </w:r>
      <w:r>
        <w:rPr>
          <w:rFonts w:hint="eastAsia" w:ascii="宋体" w:hAnsi="宋体" w:cs="宋体"/>
          <w:color w:val="auto"/>
          <w:kern w:val="0"/>
          <w:sz w:val="24"/>
          <w:lang w:eastAsia="zh-CN"/>
        </w:rPr>
        <w:t>中采联合招标有限公司</w:t>
      </w:r>
      <w:r>
        <w:rPr>
          <w:rFonts w:hint="eastAsia" w:ascii="宋体" w:hAnsi="宋体" w:cs="宋体"/>
          <w:color w:val="auto"/>
          <w:kern w:val="0"/>
          <w:sz w:val="24"/>
        </w:rPr>
        <w:t>（岳阳市临湘市连心路110号3楼）获取招标文件。</w:t>
      </w:r>
    </w:p>
    <w:p>
      <w:pPr>
        <w:widowControl/>
        <w:spacing w:before="75" w:line="460" w:lineRule="atLeast"/>
        <w:ind w:firstLine="420"/>
        <w:jc w:val="left"/>
        <w:rPr>
          <w:rFonts w:ascii="宋体" w:hAnsi="宋体" w:cs="宋体"/>
          <w:color w:val="auto"/>
          <w:sz w:val="24"/>
        </w:rPr>
      </w:pPr>
      <w:r>
        <w:rPr>
          <w:rFonts w:ascii="宋体" w:hAnsi="宋体" w:cs="宋体"/>
          <w:color w:val="auto"/>
          <w:kern w:val="0"/>
          <w:sz w:val="24"/>
        </w:rPr>
        <w:drawing>
          <wp:inline distT="0" distB="0" distL="114300" distR="114300">
            <wp:extent cx="260985" cy="201930"/>
            <wp:effectExtent l="0" t="0" r="5715" b="7620"/>
            <wp:docPr id="22"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0"/>
                    <pic:cNvPicPr>
                      <a:picLocks noChangeAspect="1"/>
                    </pic:cNvPicPr>
                  </pic:nvPicPr>
                  <pic:blipFill>
                    <a:blip r:embed="rId12"/>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本项目实行电子交易，有意参加投标者，在法定代表人身份证明或授权委托书(附法定代表人身份证明)、个人身份证到</w:t>
      </w:r>
      <w:r>
        <w:rPr>
          <w:rFonts w:hint="eastAsia" w:ascii="宋体" w:hAnsi="宋体" w:cs="宋体"/>
          <w:color w:val="auto"/>
          <w:kern w:val="0"/>
          <w:sz w:val="24"/>
          <w:lang w:eastAsia="zh-CN"/>
        </w:rPr>
        <w:t>中采联合招标有限公司</w:t>
      </w:r>
      <w:r>
        <w:rPr>
          <w:rFonts w:hint="eastAsia" w:ascii="宋体" w:hAnsi="宋体" w:cs="宋体"/>
          <w:color w:val="auto"/>
          <w:kern w:val="0"/>
          <w:sz w:val="24"/>
        </w:rPr>
        <w:t>（岳阳市临湘市连心路110号3楼）获取电子版招标文件。</w:t>
      </w:r>
    </w:p>
    <w:p>
      <w:pPr>
        <w:widowControl/>
        <w:spacing w:before="75" w:line="460" w:lineRule="atLeast"/>
        <w:ind w:firstLine="420"/>
        <w:jc w:val="left"/>
        <w:rPr>
          <w:rFonts w:ascii="宋体" w:hAnsi="宋体" w:cs="宋体"/>
          <w:color w:val="auto"/>
          <w:sz w:val="24"/>
        </w:rPr>
      </w:pPr>
      <w:r>
        <w:rPr>
          <w:rFonts w:ascii="宋体" w:hAnsi="宋体" w:cs="宋体"/>
          <w:color w:val="auto"/>
          <w:kern w:val="0"/>
          <w:sz w:val="24"/>
        </w:rPr>
        <w:drawing>
          <wp:inline distT="0" distB="0" distL="114300" distR="114300">
            <wp:extent cx="260985" cy="201930"/>
            <wp:effectExtent l="0" t="0" r="5715" b="7620"/>
            <wp:docPr id="23"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1"/>
                    <pic:cNvPicPr>
                      <a:picLocks noChangeAspect="1"/>
                    </pic:cNvPicPr>
                  </pic:nvPicPr>
                  <pic:blipFill>
                    <a:blip r:embed="rId12"/>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本项目进行资格预审，招标文件将向所有通过资格预审的供应商提供。</w:t>
      </w:r>
    </w:p>
    <w:p>
      <w:pPr>
        <w:pStyle w:val="6"/>
        <w:keepNext w:val="0"/>
        <w:keepLines w:val="0"/>
        <w:widowControl/>
        <w:spacing w:before="150" w:after="0" w:line="460" w:lineRule="atLeast"/>
        <w:ind w:firstLine="420"/>
        <w:rPr>
          <w:rFonts w:ascii="宋体" w:hAnsi="宋体" w:cs="宋体"/>
          <w:b w:val="0"/>
          <w:bCs w:val="0"/>
          <w:color w:val="auto"/>
          <w:sz w:val="24"/>
          <w:szCs w:val="24"/>
        </w:rPr>
      </w:pPr>
      <w:r>
        <w:rPr>
          <w:rFonts w:hint="eastAsia" w:ascii="宋体" w:hAnsi="宋体" w:cs="宋体"/>
          <w:color w:val="auto"/>
          <w:sz w:val="24"/>
          <w:szCs w:val="24"/>
        </w:rPr>
        <w:t>六、投标截止时间、开标时间及地点</w:t>
      </w:r>
    </w:p>
    <w:p>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1、提交投标文件的截止时间：202</w:t>
      </w:r>
      <w:r>
        <w:rPr>
          <w:rFonts w:hint="eastAsia" w:ascii="宋体" w:hAnsi="宋体" w:cs="宋体"/>
          <w:color w:val="auto"/>
          <w:kern w:val="0"/>
          <w:sz w:val="24"/>
          <w:lang w:val="en-US" w:eastAsia="zh-CN"/>
        </w:rPr>
        <w:t>6</w:t>
      </w:r>
      <w:r>
        <w:rPr>
          <w:rFonts w:hint="eastAsia" w:ascii="宋体" w:hAnsi="宋体" w:cs="宋体"/>
          <w:color w:val="auto"/>
          <w:kern w:val="0"/>
          <w:sz w:val="24"/>
        </w:rPr>
        <w:t>年</w:t>
      </w:r>
      <w:r>
        <w:rPr>
          <w:rFonts w:hint="eastAsia" w:ascii="宋体" w:hAnsi="宋体" w:cs="宋体"/>
          <w:color w:val="auto"/>
          <w:kern w:val="0"/>
          <w:sz w:val="24"/>
          <w:lang w:val="en-US" w:eastAsia="zh-CN"/>
        </w:rPr>
        <w:t>07月20日下</w:t>
      </w:r>
      <w:r>
        <w:rPr>
          <w:rFonts w:hint="eastAsia" w:ascii="宋体" w:hAnsi="宋体" w:cs="宋体"/>
          <w:color w:val="auto"/>
          <w:kern w:val="0"/>
          <w:sz w:val="24"/>
        </w:rPr>
        <w:t>午</w:t>
      </w:r>
      <w:r>
        <w:rPr>
          <w:rFonts w:hint="eastAsia" w:ascii="宋体" w:hAnsi="宋体" w:cs="宋体"/>
          <w:color w:val="auto"/>
          <w:kern w:val="0"/>
          <w:sz w:val="24"/>
          <w:lang w:val="en-US" w:eastAsia="zh-CN"/>
        </w:rPr>
        <w:t>15</w:t>
      </w:r>
      <w:r>
        <w:rPr>
          <w:rFonts w:hint="eastAsia" w:ascii="宋体" w:hAnsi="宋体" w:cs="宋体"/>
          <w:color w:val="auto"/>
          <w:kern w:val="0"/>
          <w:sz w:val="24"/>
        </w:rPr>
        <w:t>:00（北京时间）</w:t>
      </w:r>
    </w:p>
    <w:p>
      <w:pPr>
        <w:widowControl/>
        <w:spacing w:before="75" w:line="460" w:lineRule="atLeast"/>
        <w:ind w:firstLine="420"/>
        <w:jc w:val="left"/>
        <w:rPr>
          <w:rFonts w:ascii="宋体" w:hAnsi="宋体" w:cs="宋体"/>
          <w:color w:val="auto"/>
          <w:kern w:val="0"/>
          <w:sz w:val="24"/>
        </w:rPr>
      </w:pPr>
      <w:r>
        <w:rPr>
          <w:rFonts w:hint="eastAsia" w:ascii="宋体" w:hAnsi="宋体" w:cs="宋体"/>
          <w:color w:val="auto"/>
          <w:kern w:val="0"/>
          <w:sz w:val="24"/>
        </w:rPr>
        <w:t>2、提交投标文件地点：</w:t>
      </w:r>
      <w:r>
        <w:rPr>
          <w:rFonts w:hint="eastAsia" w:ascii="宋体" w:hAnsi="宋体" w:cs="宋体"/>
          <w:color w:val="auto"/>
          <w:kern w:val="0"/>
          <w:sz w:val="24"/>
          <w:lang w:eastAsia="zh-CN"/>
        </w:rPr>
        <w:t>中采联合招标有限公司</w:t>
      </w:r>
      <w:r>
        <w:rPr>
          <w:rFonts w:hint="eastAsia" w:ascii="宋体" w:hAnsi="宋体" w:cs="宋体"/>
          <w:color w:val="auto"/>
          <w:kern w:val="0"/>
          <w:sz w:val="24"/>
        </w:rPr>
        <w:t>（岳阳市临湘市连心路110号3楼301室）</w:t>
      </w:r>
    </w:p>
    <w:p>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3、开标时间：202</w:t>
      </w:r>
      <w:r>
        <w:rPr>
          <w:rFonts w:hint="eastAsia" w:ascii="宋体" w:hAnsi="宋体" w:cs="宋体"/>
          <w:color w:val="auto"/>
          <w:kern w:val="0"/>
          <w:sz w:val="24"/>
          <w:lang w:val="en-US" w:eastAsia="zh-CN"/>
        </w:rPr>
        <w:t>6</w:t>
      </w:r>
      <w:r>
        <w:rPr>
          <w:rFonts w:hint="eastAsia" w:ascii="宋体" w:hAnsi="宋体" w:cs="宋体"/>
          <w:color w:val="auto"/>
          <w:kern w:val="0"/>
          <w:sz w:val="24"/>
        </w:rPr>
        <w:t>年</w:t>
      </w:r>
      <w:r>
        <w:rPr>
          <w:rFonts w:hint="eastAsia" w:ascii="宋体" w:hAnsi="宋体" w:cs="宋体"/>
          <w:color w:val="auto"/>
          <w:kern w:val="0"/>
          <w:sz w:val="24"/>
          <w:lang w:val="en-US" w:eastAsia="zh-CN"/>
        </w:rPr>
        <w:t>07月20日下</w:t>
      </w:r>
      <w:r>
        <w:rPr>
          <w:rFonts w:hint="eastAsia" w:ascii="宋体" w:hAnsi="宋体" w:cs="宋体"/>
          <w:color w:val="auto"/>
          <w:kern w:val="0"/>
          <w:sz w:val="24"/>
        </w:rPr>
        <w:t>午1</w:t>
      </w:r>
      <w:r>
        <w:rPr>
          <w:rFonts w:hint="eastAsia" w:ascii="宋体" w:hAnsi="宋体" w:cs="宋体"/>
          <w:color w:val="auto"/>
          <w:kern w:val="0"/>
          <w:sz w:val="24"/>
          <w:lang w:val="en-US" w:eastAsia="zh-CN"/>
        </w:rPr>
        <w:t>5</w:t>
      </w:r>
      <w:r>
        <w:rPr>
          <w:rFonts w:hint="eastAsia" w:ascii="宋体" w:hAnsi="宋体" w:cs="宋体"/>
          <w:color w:val="auto"/>
          <w:kern w:val="0"/>
          <w:sz w:val="24"/>
        </w:rPr>
        <w:t>:0</w:t>
      </w:r>
      <w:r>
        <w:rPr>
          <w:rFonts w:hint="eastAsia" w:ascii="宋体" w:hAnsi="宋体" w:cs="宋体"/>
          <w:color w:val="auto"/>
          <w:kern w:val="0"/>
          <w:sz w:val="24"/>
          <w:lang w:val="en-US" w:eastAsia="zh-CN"/>
        </w:rPr>
        <w:t>0</w:t>
      </w:r>
      <w:r>
        <w:rPr>
          <w:rFonts w:hint="eastAsia" w:ascii="宋体" w:hAnsi="宋体" w:cs="宋体"/>
          <w:color w:val="auto"/>
          <w:kern w:val="0"/>
          <w:sz w:val="24"/>
        </w:rPr>
        <w:t>（北京时间）</w:t>
      </w:r>
    </w:p>
    <w:p>
      <w:pPr>
        <w:widowControl/>
        <w:spacing w:before="75" w:line="460" w:lineRule="atLeast"/>
        <w:ind w:firstLine="420"/>
        <w:jc w:val="left"/>
        <w:rPr>
          <w:rFonts w:hint="eastAsia" w:ascii="宋体" w:hAnsi="宋体" w:eastAsia="宋体" w:cs="宋体"/>
          <w:color w:val="auto"/>
          <w:kern w:val="0"/>
          <w:sz w:val="24"/>
          <w:lang w:eastAsia="zh-CN"/>
        </w:rPr>
      </w:pPr>
      <w:r>
        <w:rPr>
          <w:rFonts w:hint="eastAsia" w:ascii="宋体" w:hAnsi="宋体" w:cs="宋体"/>
          <w:color w:val="auto"/>
          <w:kern w:val="0"/>
          <w:sz w:val="24"/>
        </w:rPr>
        <w:t>4、开标地点：</w:t>
      </w:r>
      <w:r>
        <w:rPr>
          <w:rFonts w:hint="eastAsia" w:ascii="宋体" w:hAnsi="宋体" w:cs="宋体"/>
          <w:color w:val="auto"/>
          <w:kern w:val="0"/>
          <w:sz w:val="24"/>
          <w:lang w:eastAsia="zh-CN"/>
        </w:rPr>
        <w:t>中采联合招标有限公司</w:t>
      </w:r>
    </w:p>
    <w:p>
      <w:pPr>
        <w:pStyle w:val="6"/>
        <w:keepNext w:val="0"/>
        <w:keepLines w:val="0"/>
        <w:widowControl/>
        <w:spacing w:before="150" w:after="0" w:line="460" w:lineRule="atLeast"/>
        <w:ind w:firstLine="420"/>
        <w:rPr>
          <w:rFonts w:ascii="宋体" w:hAnsi="宋体" w:cs="宋体"/>
          <w:color w:val="auto"/>
          <w:sz w:val="24"/>
          <w:szCs w:val="24"/>
        </w:rPr>
      </w:pPr>
      <w:r>
        <w:rPr>
          <w:rFonts w:hint="eastAsia" w:ascii="宋体" w:hAnsi="宋体" w:cs="宋体"/>
          <w:color w:val="auto"/>
          <w:sz w:val="24"/>
          <w:szCs w:val="24"/>
        </w:rPr>
        <w:t>七、公告期限</w:t>
      </w:r>
    </w:p>
    <w:p>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1、本招标公告在中国湖南政府采购网（www.ccgp-hunan.gov.cn）发布。公告期限从本招标公告发布之日起5个工作日。</w:t>
      </w:r>
    </w:p>
    <w:p>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2、在其他媒体发布的招标公告，公告内容以本招标公告指定媒体发布的公告为准；公告期限自本招标公告指定媒体最先发布公告之日起算。</w:t>
      </w:r>
    </w:p>
    <w:p>
      <w:pPr>
        <w:pStyle w:val="6"/>
        <w:keepNext w:val="0"/>
        <w:keepLines w:val="0"/>
        <w:widowControl/>
        <w:spacing w:before="150" w:after="0" w:line="460" w:lineRule="atLeast"/>
        <w:ind w:firstLine="420"/>
        <w:rPr>
          <w:rFonts w:ascii="宋体" w:hAnsi="宋体" w:cs="宋体"/>
          <w:color w:val="auto"/>
          <w:sz w:val="24"/>
          <w:szCs w:val="24"/>
        </w:rPr>
      </w:pPr>
      <w:r>
        <w:rPr>
          <w:rFonts w:hint="eastAsia" w:ascii="宋体" w:hAnsi="宋体" w:cs="宋体"/>
          <w:color w:val="auto"/>
          <w:sz w:val="24"/>
          <w:szCs w:val="24"/>
        </w:rPr>
        <w:t>八、询问及质疑</w:t>
      </w:r>
    </w:p>
    <w:p>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1、投标人对政府采购活动事项如有疑问的，可以向采购人、采购代理机构提出询问。采购人、采购代理机构将在3个工作日内作出答复。</w:t>
      </w:r>
    </w:p>
    <w:p>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2、投标人对电子交易平台办理CA证书、操作等如有疑问，请咨询电子交易平台服务机构。</w:t>
      </w:r>
    </w:p>
    <w:p>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3、潜在投标人认为招标文件或招标公告使自己的合法权益受到损害的，可以在收到招标文件之日或招标公告期限届满之日起7个工作日内，按《湖南省财政厅关于印发＜政府采购质疑答复和投诉处理操作规程＞的通知》(湘财购〔2019〕20号)规定，以纸质书面形式向采购人、采购代理机构提出质疑。</w:t>
      </w:r>
    </w:p>
    <w:p>
      <w:pPr>
        <w:pStyle w:val="6"/>
        <w:keepNext w:val="0"/>
        <w:keepLines w:val="0"/>
        <w:widowControl/>
        <w:spacing w:before="150" w:after="0" w:line="460" w:lineRule="atLeast"/>
        <w:ind w:firstLine="420"/>
        <w:rPr>
          <w:rFonts w:ascii="宋体" w:hAnsi="宋体" w:cs="宋体"/>
          <w:b w:val="0"/>
          <w:bCs w:val="0"/>
          <w:color w:val="auto"/>
          <w:sz w:val="24"/>
          <w:szCs w:val="24"/>
        </w:rPr>
      </w:pPr>
      <w:r>
        <w:rPr>
          <w:rFonts w:hint="eastAsia" w:ascii="宋体" w:hAnsi="宋体" w:cs="宋体"/>
          <w:color w:val="auto"/>
          <w:sz w:val="24"/>
          <w:szCs w:val="24"/>
        </w:rPr>
        <w:t>九、投标说明</w:t>
      </w:r>
    </w:p>
    <w:p>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1、本公告选项：</w:t>
      </w:r>
      <w:r>
        <w:rPr>
          <w:rFonts w:ascii="宋体" w:hAnsi="宋体" w:cs="宋体"/>
          <w:color w:val="auto"/>
          <w:kern w:val="0"/>
          <w:sz w:val="24"/>
        </w:rPr>
        <w:drawing>
          <wp:inline distT="0" distB="0" distL="114300" distR="114300">
            <wp:extent cx="260985" cy="201930"/>
            <wp:effectExtent l="0" t="0" r="5715" b="7620"/>
            <wp:docPr id="24"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2"/>
                    <pic:cNvPicPr>
                      <a:picLocks noChangeAspect="1"/>
                    </pic:cNvPicPr>
                  </pic:nvPicPr>
                  <pic:blipFill>
                    <a:blip r:embed="rId13"/>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表示选择，</w:t>
      </w:r>
      <w:r>
        <w:rPr>
          <w:rFonts w:ascii="宋体" w:hAnsi="宋体" w:cs="宋体"/>
          <w:color w:val="auto"/>
          <w:kern w:val="0"/>
          <w:sz w:val="24"/>
        </w:rPr>
        <w:drawing>
          <wp:inline distT="0" distB="0" distL="114300" distR="114300">
            <wp:extent cx="260985" cy="201930"/>
            <wp:effectExtent l="0" t="0" r="5715" b="7620"/>
            <wp:docPr id="25"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3"/>
                    <pic:cNvPicPr>
                      <a:picLocks noChangeAspect="1"/>
                    </pic:cNvPicPr>
                  </pic:nvPicPr>
                  <pic:blipFill>
                    <a:blip r:embed="rId12"/>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表示未选择。</w:t>
      </w:r>
    </w:p>
    <w:p>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2、投标人参与政府采购活动，无需向采购人、代理机构、交易平台缴纳任何费用。</w:t>
      </w:r>
    </w:p>
    <w:p>
      <w:pPr>
        <w:pStyle w:val="6"/>
        <w:keepNext w:val="0"/>
        <w:keepLines w:val="0"/>
        <w:widowControl/>
        <w:spacing w:before="150" w:after="0" w:line="460" w:lineRule="atLeast"/>
        <w:ind w:firstLine="420"/>
        <w:rPr>
          <w:rFonts w:ascii="宋体" w:hAnsi="宋体" w:cs="宋体"/>
          <w:color w:val="auto"/>
          <w:sz w:val="24"/>
          <w:szCs w:val="24"/>
        </w:rPr>
      </w:pPr>
      <w:r>
        <w:rPr>
          <w:rFonts w:hint="eastAsia" w:ascii="宋体" w:hAnsi="宋体" w:cs="宋体"/>
          <w:color w:val="auto"/>
          <w:sz w:val="24"/>
          <w:szCs w:val="24"/>
        </w:rPr>
        <w:t>十、采购项目联系人姓名和电话</w:t>
      </w:r>
    </w:p>
    <w:p>
      <w:pPr>
        <w:widowControl/>
        <w:spacing w:before="75" w:line="460" w:lineRule="atLeast"/>
        <w:ind w:firstLine="420"/>
        <w:jc w:val="left"/>
        <w:rPr>
          <w:rFonts w:hint="default" w:ascii="宋体" w:hAnsi="宋体" w:eastAsia="宋体" w:cs="宋体"/>
          <w:color w:val="auto"/>
          <w:sz w:val="24"/>
          <w:lang w:val="en-US" w:eastAsia="zh-CN"/>
        </w:rPr>
      </w:pPr>
      <w:r>
        <w:rPr>
          <w:rFonts w:hint="eastAsia" w:ascii="宋体" w:hAnsi="宋体" w:cs="宋体"/>
          <w:color w:val="auto"/>
          <w:kern w:val="0"/>
          <w:sz w:val="24"/>
        </w:rPr>
        <w:t>1、联系人姓名：</w:t>
      </w:r>
      <w:r>
        <w:rPr>
          <w:rFonts w:hint="eastAsia" w:ascii="宋体" w:hAnsi="宋体" w:cs="宋体"/>
          <w:color w:val="auto"/>
          <w:kern w:val="0"/>
          <w:sz w:val="24"/>
          <w:lang w:val="en-US" w:eastAsia="zh-CN"/>
        </w:rPr>
        <w:t>李先生</w:t>
      </w:r>
    </w:p>
    <w:p>
      <w:pPr>
        <w:widowControl/>
        <w:spacing w:before="75" w:line="460" w:lineRule="atLeast"/>
        <w:ind w:firstLine="420"/>
        <w:jc w:val="left"/>
        <w:rPr>
          <w:rFonts w:hint="eastAsia" w:ascii="宋体" w:hAnsi="宋体" w:cs="宋体"/>
          <w:color w:val="auto"/>
          <w:kern w:val="0"/>
          <w:sz w:val="24"/>
          <w:lang w:eastAsia="zh-CN"/>
        </w:rPr>
      </w:pPr>
      <w:r>
        <w:rPr>
          <w:rFonts w:hint="eastAsia" w:ascii="宋体" w:hAnsi="宋体" w:cs="宋体"/>
          <w:color w:val="auto"/>
          <w:kern w:val="0"/>
          <w:sz w:val="24"/>
        </w:rPr>
        <w:t>2、电话</w:t>
      </w:r>
      <w:r>
        <w:rPr>
          <w:rFonts w:hint="eastAsia" w:ascii="宋体" w:hAnsi="宋体" w:cs="宋体"/>
          <w:color w:val="auto"/>
          <w:kern w:val="0"/>
          <w:sz w:val="24"/>
          <w:lang w:eastAsia="zh-CN"/>
        </w:rPr>
        <w:t>：18075707369</w:t>
      </w:r>
    </w:p>
    <w:p>
      <w:pPr>
        <w:widowControl/>
        <w:spacing w:before="75" w:line="460" w:lineRule="atLeast"/>
        <w:ind w:firstLine="420"/>
        <w:jc w:val="left"/>
        <w:rPr>
          <w:rFonts w:ascii="宋体" w:hAnsi="宋体" w:cs="宋体"/>
          <w:color w:val="auto"/>
          <w:kern w:val="0"/>
          <w:sz w:val="24"/>
        </w:rPr>
      </w:pPr>
      <w:r>
        <w:rPr>
          <w:rFonts w:hint="eastAsia" w:ascii="宋体" w:hAnsi="宋体" w:cs="宋体"/>
          <w:b/>
          <w:bCs/>
          <w:color w:val="auto"/>
          <w:kern w:val="0"/>
          <w:sz w:val="24"/>
        </w:rPr>
        <w:t>十一、采购人、采购代理机构的名称、地址和联系方法</w:t>
      </w:r>
    </w:p>
    <w:p>
      <w:pPr>
        <w:widowControl/>
        <w:spacing w:before="75" w:line="460" w:lineRule="atLeast"/>
        <w:ind w:firstLine="420"/>
        <w:jc w:val="left"/>
        <w:rPr>
          <w:rFonts w:hint="eastAsia" w:ascii="宋体" w:hAnsi="宋体" w:eastAsia="宋体" w:cs="宋体"/>
          <w:color w:val="auto"/>
          <w:kern w:val="0"/>
          <w:sz w:val="24"/>
          <w:lang w:eastAsia="zh-CN"/>
        </w:rPr>
      </w:pPr>
      <w:r>
        <w:rPr>
          <w:rFonts w:hint="eastAsia" w:ascii="宋体" w:hAnsi="宋体" w:cs="宋体"/>
          <w:color w:val="auto"/>
          <w:kern w:val="0"/>
          <w:sz w:val="24"/>
        </w:rPr>
        <w:t>采购人名称：</w:t>
      </w:r>
      <w:r>
        <w:rPr>
          <w:rFonts w:hint="eastAsia" w:ascii="宋体" w:hAnsi="宋体" w:cs="宋体"/>
          <w:color w:val="auto"/>
          <w:kern w:val="0"/>
          <w:sz w:val="24"/>
          <w:lang w:eastAsia="zh-CN"/>
        </w:rPr>
        <w:t>临湘高新技术产业开发区管理委员会</w:t>
      </w:r>
    </w:p>
    <w:p>
      <w:pPr>
        <w:widowControl/>
        <w:spacing w:before="75" w:line="460" w:lineRule="atLeast"/>
        <w:ind w:firstLine="420"/>
        <w:jc w:val="left"/>
        <w:rPr>
          <w:rFonts w:ascii="宋体" w:hAnsi="宋体" w:cs="宋体"/>
          <w:color w:val="auto"/>
          <w:kern w:val="0"/>
          <w:sz w:val="24"/>
        </w:rPr>
      </w:pPr>
      <w:r>
        <w:rPr>
          <w:rFonts w:hint="eastAsia" w:ascii="宋体" w:hAnsi="宋体" w:cs="宋体"/>
          <w:color w:val="auto"/>
          <w:kern w:val="0"/>
          <w:sz w:val="24"/>
        </w:rPr>
        <w:t>单位地址：</w:t>
      </w:r>
      <w:bookmarkStart w:id="4" w:name="OLE_LINK11"/>
      <w:r>
        <w:rPr>
          <w:rFonts w:hint="eastAsia" w:ascii="宋体" w:hAnsi="宋体" w:cs="宋体"/>
          <w:color w:val="auto"/>
          <w:kern w:val="0"/>
          <w:sz w:val="24"/>
          <w:lang w:val="en-US" w:eastAsia="zh-CN"/>
        </w:rPr>
        <w:t>临湘市</w:t>
      </w:r>
      <w:bookmarkEnd w:id="4"/>
    </w:p>
    <w:p>
      <w:pPr>
        <w:widowControl/>
        <w:spacing w:before="75" w:line="460" w:lineRule="atLeast"/>
        <w:ind w:firstLine="420"/>
        <w:jc w:val="left"/>
        <w:rPr>
          <w:rFonts w:ascii="宋体" w:hAnsi="宋体" w:cs="宋体"/>
          <w:color w:val="auto"/>
          <w:kern w:val="0"/>
          <w:sz w:val="24"/>
        </w:rPr>
      </w:pPr>
      <w:r>
        <w:rPr>
          <w:rFonts w:hint="eastAsia" w:ascii="宋体" w:hAnsi="宋体" w:cs="宋体"/>
          <w:color w:val="auto"/>
          <w:kern w:val="0"/>
          <w:sz w:val="24"/>
        </w:rPr>
        <w:t>联 系 人：</w:t>
      </w:r>
      <w:r>
        <w:rPr>
          <w:rFonts w:hint="eastAsia" w:ascii="宋体" w:hAnsi="宋体" w:cs="宋体"/>
          <w:color w:val="auto"/>
          <w:kern w:val="0"/>
          <w:sz w:val="24"/>
          <w:lang w:val="en-US" w:eastAsia="zh-CN"/>
        </w:rPr>
        <w:t>李先生</w:t>
      </w:r>
      <w:r>
        <w:rPr>
          <w:rFonts w:hint="eastAsia" w:ascii="宋体" w:hAnsi="宋体" w:cs="宋体"/>
          <w:color w:val="auto"/>
          <w:kern w:val="0"/>
          <w:sz w:val="24"/>
        </w:rPr>
        <w:tab/>
      </w:r>
    </w:p>
    <w:p>
      <w:pPr>
        <w:widowControl/>
        <w:spacing w:before="75" w:line="460" w:lineRule="atLeast"/>
        <w:ind w:firstLine="420"/>
        <w:jc w:val="left"/>
        <w:rPr>
          <w:rFonts w:hint="eastAsia" w:ascii="宋体" w:hAnsi="宋体" w:cs="宋体"/>
          <w:color w:val="auto"/>
          <w:kern w:val="0"/>
          <w:sz w:val="24"/>
        </w:rPr>
      </w:pPr>
      <w:r>
        <w:rPr>
          <w:rFonts w:hint="eastAsia" w:ascii="宋体" w:hAnsi="宋体" w:cs="宋体"/>
          <w:color w:val="auto"/>
          <w:kern w:val="0"/>
          <w:sz w:val="24"/>
        </w:rPr>
        <w:t>联系电话：</w:t>
      </w:r>
      <w:r>
        <w:rPr>
          <w:rFonts w:hint="eastAsia" w:ascii="宋体" w:hAnsi="宋体" w:cs="宋体"/>
          <w:color w:val="auto"/>
          <w:kern w:val="0"/>
          <w:sz w:val="24"/>
          <w:lang w:eastAsia="zh-CN"/>
        </w:rPr>
        <w:t>18075707369</w:t>
      </w:r>
    </w:p>
    <w:p>
      <w:pPr>
        <w:widowControl/>
        <w:spacing w:before="75" w:line="460" w:lineRule="atLeast"/>
        <w:ind w:firstLine="420"/>
        <w:jc w:val="left"/>
        <w:rPr>
          <w:rFonts w:hint="eastAsia" w:ascii="宋体" w:hAnsi="宋体" w:eastAsia="宋体" w:cs="宋体"/>
          <w:color w:val="auto"/>
          <w:kern w:val="0"/>
          <w:sz w:val="24"/>
          <w:lang w:eastAsia="zh-CN"/>
        </w:rPr>
      </w:pPr>
      <w:r>
        <w:rPr>
          <w:rFonts w:hint="eastAsia" w:ascii="宋体" w:hAnsi="宋体" w:cs="宋体"/>
          <w:color w:val="auto"/>
          <w:kern w:val="0"/>
          <w:sz w:val="24"/>
        </w:rPr>
        <w:t>采购代理：</w:t>
      </w:r>
      <w:r>
        <w:rPr>
          <w:rFonts w:hint="eastAsia" w:ascii="宋体" w:hAnsi="宋体" w:cs="宋体"/>
          <w:color w:val="auto"/>
          <w:kern w:val="0"/>
          <w:sz w:val="24"/>
          <w:lang w:eastAsia="zh-CN"/>
        </w:rPr>
        <w:t>中采联合招标有限公司</w:t>
      </w:r>
    </w:p>
    <w:p>
      <w:pPr>
        <w:widowControl/>
        <w:spacing w:before="75" w:line="460" w:lineRule="atLeast"/>
        <w:ind w:firstLine="420"/>
        <w:jc w:val="left"/>
        <w:rPr>
          <w:rFonts w:ascii="宋体" w:hAnsi="宋体" w:cs="宋体"/>
          <w:color w:val="auto"/>
          <w:kern w:val="0"/>
          <w:sz w:val="24"/>
        </w:rPr>
      </w:pPr>
      <w:r>
        <w:rPr>
          <w:rFonts w:hint="eastAsia" w:ascii="宋体" w:hAnsi="宋体" w:cs="宋体"/>
          <w:color w:val="auto"/>
          <w:kern w:val="0"/>
          <w:sz w:val="24"/>
        </w:rPr>
        <w:t>单位地址：湖南省岳阳市临湘市连心路110号</w:t>
      </w:r>
    </w:p>
    <w:p>
      <w:pPr>
        <w:widowControl/>
        <w:spacing w:before="75" w:line="460" w:lineRule="atLeast"/>
        <w:ind w:firstLine="420"/>
        <w:jc w:val="left"/>
        <w:rPr>
          <w:rFonts w:ascii="宋体" w:hAnsi="宋体" w:cs="宋体"/>
          <w:color w:val="auto"/>
          <w:kern w:val="0"/>
          <w:sz w:val="24"/>
        </w:rPr>
      </w:pPr>
      <w:r>
        <w:rPr>
          <w:rFonts w:hint="eastAsia" w:ascii="宋体" w:hAnsi="宋体" w:cs="宋体"/>
          <w:color w:val="auto"/>
          <w:kern w:val="0"/>
          <w:sz w:val="24"/>
        </w:rPr>
        <w:t>联 系 人：</w:t>
      </w:r>
      <w:r>
        <w:rPr>
          <w:rFonts w:hint="eastAsia" w:ascii="宋体" w:hAnsi="宋体" w:cs="宋体"/>
          <w:color w:val="auto"/>
          <w:kern w:val="0"/>
          <w:sz w:val="24"/>
          <w:lang w:eastAsia="zh-CN"/>
        </w:rPr>
        <w:t>李斌</w:t>
      </w:r>
      <w:r>
        <w:rPr>
          <w:rFonts w:hint="eastAsia" w:ascii="宋体" w:hAnsi="宋体" w:cs="宋体"/>
          <w:color w:val="auto"/>
          <w:kern w:val="0"/>
          <w:sz w:val="24"/>
        </w:rPr>
        <w:t xml:space="preserve">        </w:t>
      </w:r>
    </w:p>
    <w:p>
      <w:pPr>
        <w:widowControl/>
        <w:spacing w:before="75" w:line="460" w:lineRule="atLeast"/>
        <w:ind w:firstLine="420"/>
        <w:jc w:val="left"/>
        <w:rPr>
          <w:rFonts w:hint="eastAsia" w:ascii="宋体" w:hAnsi="宋体" w:eastAsia="宋体" w:cs="宋体"/>
          <w:color w:val="auto"/>
          <w:kern w:val="0"/>
          <w:sz w:val="24"/>
          <w:lang w:eastAsia="zh-CN"/>
        </w:rPr>
      </w:pPr>
      <w:r>
        <w:rPr>
          <w:rFonts w:hint="eastAsia" w:ascii="宋体" w:hAnsi="宋体" w:cs="宋体"/>
          <w:color w:val="auto"/>
          <w:kern w:val="0"/>
          <w:sz w:val="24"/>
        </w:rPr>
        <w:t>联系电话：0730-3795833、</w:t>
      </w:r>
      <w:r>
        <w:rPr>
          <w:rFonts w:hint="eastAsia" w:ascii="宋体" w:hAnsi="宋体" w:cs="宋体"/>
          <w:color w:val="auto"/>
          <w:kern w:val="0"/>
          <w:sz w:val="24"/>
          <w:lang w:eastAsia="zh-CN"/>
        </w:rPr>
        <w:t>18274012327</w:t>
      </w:r>
    </w:p>
    <w:p>
      <w:pPr>
        <w:rPr>
          <w:rFonts w:ascii="宋体" w:hAnsi="宋体"/>
          <w:b/>
          <w:bCs/>
          <w:color w:val="auto"/>
          <w:sz w:val="28"/>
          <w:szCs w:val="28"/>
        </w:rPr>
      </w:pPr>
      <w:r>
        <w:rPr>
          <w:rFonts w:hint="eastAsia" w:ascii="宋体" w:hAnsi="宋体" w:cs="微软雅黑"/>
          <w:color w:val="auto"/>
          <w:kern w:val="0"/>
          <w:szCs w:val="21"/>
        </w:rPr>
        <w:br w:type="page"/>
      </w:r>
      <w:r>
        <w:rPr>
          <w:rFonts w:hint="eastAsia" w:ascii="宋体" w:hAnsi="宋体" w:cs="微软雅黑"/>
          <w:color w:val="auto"/>
          <w:kern w:val="0"/>
          <w:szCs w:val="21"/>
          <w:lang w:val="en-US" w:eastAsia="zh-CN"/>
        </w:rPr>
        <w:t>附件</w:t>
      </w:r>
      <w:r>
        <w:rPr>
          <w:rFonts w:hint="eastAsia" w:ascii="宋体" w:hAnsi="宋体"/>
          <w:b/>
          <w:bCs/>
          <w:color w:val="auto"/>
          <w:sz w:val="28"/>
          <w:szCs w:val="28"/>
        </w:rPr>
        <w:t>：</w:t>
      </w:r>
    </w:p>
    <w:p>
      <w:pPr>
        <w:spacing w:line="621" w:lineRule="exact"/>
        <w:ind w:left="1934" w:right="1935"/>
        <w:jc w:val="center"/>
        <w:rPr>
          <w:rFonts w:ascii="宋体" w:hAnsi="宋体"/>
          <w:b/>
          <w:bCs/>
          <w:color w:val="auto"/>
          <w:sz w:val="28"/>
          <w:szCs w:val="28"/>
        </w:rPr>
      </w:pPr>
      <w:r>
        <w:rPr>
          <w:rFonts w:hint="eastAsia" w:ascii="宋体" w:hAnsi="宋体"/>
          <w:b/>
          <w:bCs/>
          <w:color w:val="auto"/>
          <w:sz w:val="28"/>
          <w:szCs w:val="28"/>
        </w:rPr>
        <w:t>湖南省政府采购供应商资格承诺函</w:t>
      </w:r>
    </w:p>
    <w:p>
      <w:pPr>
        <w:pStyle w:val="2"/>
        <w:spacing w:before="16"/>
        <w:rPr>
          <w:color w:val="auto"/>
        </w:rPr>
      </w:pPr>
    </w:p>
    <w:p>
      <w:pPr>
        <w:pStyle w:val="2"/>
        <w:spacing w:line="326" w:lineRule="auto"/>
        <w:ind w:right="229" w:firstLine="640"/>
        <w:rPr>
          <w:rFonts w:ascii="宋体" w:hAnsi="宋体"/>
          <w:color w:val="auto"/>
          <w:sz w:val="24"/>
        </w:rPr>
      </w:pPr>
      <w:r>
        <w:rPr>
          <w:rFonts w:hint="eastAsia" w:ascii="宋体" w:hAnsi="宋体"/>
          <w:color w:val="auto"/>
          <w:sz w:val="24"/>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pPr>
        <w:pStyle w:val="2"/>
        <w:spacing w:line="560" w:lineRule="exact"/>
        <w:ind w:firstLine="360" w:firstLineChars="150"/>
        <w:rPr>
          <w:rFonts w:ascii="宋体" w:hAnsi="宋体"/>
          <w:color w:val="auto"/>
          <w:sz w:val="24"/>
        </w:rPr>
      </w:pPr>
      <w:r>
        <w:rPr>
          <w:rFonts w:hint="eastAsia" w:ascii="宋体" w:hAnsi="宋体"/>
          <w:color w:val="auto"/>
          <w:sz w:val="24"/>
        </w:rPr>
        <w:t>按照《政府采购促进中小企业发展管理办法》（财库〔</w:t>
      </w:r>
      <w:r>
        <w:rPr>
          <w:rFonts w:ascii="宋体" w:hAnsi="宋体"/>
          <w:color w:val="auto"/>
          <w:sz w:val="24"/>
        </w:rPr>
        <w:t>2020</w:t>
      </w:r>
      <w:r>
        <w:rPr>
          <w:rFonts w:hint="eastAsia" w:ascii="宋体" w:hAnsi="宋体"/>
          <w:color w:val="auto"/>
          <w:sz w:val="24"/>
        </w:rPr>
        <w:t>〕</w:t>
      </w:r>
      <w:r>
        <w:rPr>
          <w:rFonts w:ascii="宋体" w:hAnsi="宋体"/>
          <w:color w:val="auto"/>
          <w:sz w:val="24"/>
        </w:rPr>
        <w:t>46</w:t>
      </w:r>
      <w:r>
        <w:rPr>
          <w:rFonts w:hint="eastAsia" w:ascii="宋体" w:hAnsi="宋体"/>
          <w:color w:val="auto"/>
          <w:sz w:val="24"/>
        </w:rPr>
        <w:t>号），本公司企业规模为：大型□中型□小型□微型□</w:t>
      </w:r>
    </w:p>
    <w:p>
      <w:pPr>
        <w:pStyle w:val="2"/>
        <w:spacing w:before="3"/>
        <w:rPr>
          <w:rFonts w:ascii="宋体" w:hAnsi="宋体"/>
          <w:color w:val="auto"/>
          <w:sz w:val="24"/>
        </w:rPr>
      </w:pPr>
    </w:p>
    <w:p>
      <w:pPr>
        <w:pStyle w:val="2"/>
        <w:ind w:left="4596"/>
        <w:rPr>
          <w:rFonts w:ascii="宋体" w:hAnsi="宋体"/>
          <w:color w:val="auto"/>
          <w:sz w:val="24"/>
        </w:rPr>
      </w:pPr>
    </w:p>
    <w:p>
      <w:pPr>
        <w:pStyle w:val="2"/>
        <w:ind w:left="4596"/>
        <w:rPr>
          <w:rFonts w:ascii="宋体" w:hAnsi="宋体"/>
          <w:color w:val="auto"/>
          <w:sz w:val="24"/>
        </w:rPr>
      </w:pPr>
    </w:p>
    <w:p>
      <w:pPr>
        <w:pStyle w:val="2"/>
        <w:ind w:left="4596"/>
        <w:rPr>
          <w:rFonts w:ascii="宋体" w:hAnsi="宋体"/>
          <w:color w:val="auto"/>
          <w:sz w:val="24"/>
        </w:rPr>
      </w:pPr>
      <w:r>
        <w:rPr>
          <w:rFonts w:hint="eastAsia" w:ascii="宋体" w:hAnsi="宋体"/>
          <w:color w:val="auto"/>
          <w:sz w:val="24"/>
        </w:rPr>
        <w:t>公司（单位）名称（盖章）</w:t>
      </w:r>
    </w:p>
    <w:p>
      <w:pPr>
        <w:pStyle w:val="2"/>
        <w:rPr>
          <w:rFonts w:ascii="宋体" w:hAnsi="宋体"/>
          <w:color w:val="auto"/>
          <w:sz w:val="24"/>
        </w:rPr>
      </w:pPr>
    </w:p>
    <w:p>
      <w:pPr>
        <w:pStyle w:val="2"/>
        <w:spacing w:before="198"/>
        <w:ind w:left="4916"/>
        <w:rPr>
          <w:rFonts w:ascii="宋体" w:hAnsi="宋体"/>
          <w:color w:val="auto"/>
          <w:sz w:val="24"/>
        </w:rPr>
      </w:pPr>
      <w:r>
        <w:rPr>
          <w:rFonts w:ascii="宋体" w:hAnsi="宋体"/>
          <w:color w:val="auto"/>
          <w:sz w:val="24"/>
        </w:rPr>
        <w:tab/>
      </w:r>
      <w:r>
        <w:rPr>
          <w:rFonts w:hint="eastAsia" w:ascii="宋体" w:hAnsi="宋体"/>
          <w:color w:val="auto"/>
          <w:sz w:val="24"/>
        </w:rPr>
        <w:t xml:space="preserve">年 </w:t>
      </w:r>
      <w:r>
        <w:rPr>
          <w:rFonts w:hint="eastAsia" w:ascii="宋体" w:hAnsi="宋体"/>
          <w:color w:val="auto"/>
          <w:sz w:val="24"/>
        </w:rPr>
        <w:tab/>
      </w:r>
      <w:r>
        <w:rPr>
          <w:rFonts w:hint="eastAsia" w:ascii="宋体" w:hAnsi="宋体"/>
          <w:color w:val="auto"/>
          <w:sz w:val="24"/>
        </w:rPr>
        <w:t xml:space="preserve">月 </w:t>
      </w:r>
      <w:r>
        <w:rPr>
          <w:rFonts w:hint="eastAsia" w:ascii="宋体" w:hAnsi="宋体"/>
          <w:color w:val="auto"/>
          <w:sz w:val="24"/>
        </w:rPr>
        <w:tab/>
      </w:r>
      <w:r>
        <w:rPr>
          <w:rFonts w:hint="eastAsia" w:ascii="宋体" w:hAnsi="宋体"/>
          <w:color w:val="auto"/>
          <w:sz w:val="24"/>
        </w:rPr>
        <w:t>日</w:t>
      </w:r>
    </w:p>
    <w:p>
      <w:pPr>
        <w:pStyle w:val="2"/>
        <w:rPr>
          <w:color w:val="auto"/>
          <w:sz w:val="24"/>
        </w:rPr>
      </w:pPr>
    </w:p>
    <w:p>
      <w:pPr>
        <w:pStyle w:val="2"/>
        <w:spacing w:before="273" w:line="326" w:lineRule="auto"/>
        <w:ind w:right="116"/>
        <w:rPr>
          <w:rFonts w:ascii="宋体" w:hAnsi="宋体"/>
          <w:color w:val="auto"/>
          <w:sz w:val="24"/>
        </w:rPr>
      </w:pPr>
    </w:p>
    <w:p>
      <w:pPr>
        <w:pStyle w:val="2"/>
        <w:spacing w:before="273" w:line="326" w:lineRule="auto"/>
        <w:ind w:right="116"/>
        <w:rPr>
          <w:rFonts w:ascii="宋体" w:hAnsi="宋体"/>
          <w:color w:val="auto"/>
          <w:sz w:val="24"/>
        </w:rPr>
      </w:pPr>
      <w:r>
        <w:rPr>
          <w:rFonts w:hint="eastAsia" w:ascii="宋体" w:hAnsi="宋体"/>
          <w:color w:val="auto"/>
          <w:sz w:val="24"/>
        </w:rPr>
        <w:t>机构代码、注册登记机构、日期、有效期、注册资本、地址、经 济行业、经济性质</w:t>
      </w:r>
    </w:p>
    <w:p>
      <w:pPr>
        <w:pStyle w:val="2"/>
        <w:spacing w:line="324" w:lineRule="auto"/>
        <w:ind w:right="1028"/>
        <w:rPr>
          <w:rFonts w:ascii="宋体" w:hAnsi="宋体"/>
          <w:color w:val="auto"/>
          <w:sz w:val="24"/>
        </w:rPr>
      </w:pPr>
      <w:r>
        <w:rPr>
          <w:rFonts w:hint="eastAsia" w:ascii="宋体" w:hAnsi="宋体"/>
          <w:color w:val="auto"/>
          <w:sz w:val="24"/>
        </w:rPr>
        <w:t xml:space="preserve">法定代表人（负责人）姓名（签字）、身份证号、手机号： </w:t>
      </w:r>
    </w:p>
    <w:p>
      <w:pPr>
        <w:pStyle w:val="2"/>
        <w:spacing w:line="324" w:lineRule="auto"/>
        <w:ind w:right="1028"/>
        <w:rPr>
          <w:rFonts w:ascii="宋体" w:hAnsi="宋体"/>
          <w:color w:val="auto"/>
          <w:sz w:val="28"/>
          <w:szCs w:val="28"/>
        </w:rPr>
      </w:pPr>
      <w:r>
        <w:rPr>
          <w:rFonts w:hint="eastAsia" w:ascii="宋体" w:hAnsi="宋体"/>
          <w:color w:val="auto"/>
          <w:sz w:val="24"/>
        </w:rPr>
        <w:t>授权代表人姓名（签字）、身份证号、手机号：</w:t>
      </w:r>
    </w:p>
    <w:p>
      <w:pPr>
        <w:pStyle w:val="20"/>
        <w:rPr>
          <w:rFonts w:asciiTheme="minorEastAsia" w:hAnsiTheme="minorEastAsia" w:eastAsiaTheme="minorEastAsia" w:cstheme="minorEastAsia"/>
          <w:color w:val="auto"/>
          <w:szCs w:val="21"/>
        </w:rPr>
      </w:pPr>
    </w:p>
    <w:p>
      <w:pPr>
        <w:pStyle w:val="20"/>
        <w:rPr>
          <w:rFonts w:asciiTheme="minorEastAsia" w:hAnsiTheme="minorEastAsia" w:eastAsiaTheme="minorEastAsia" w:cstheme="minorEastAsia"/>
          <w:color w:val="auto"/>
          <w:szCs w:val="21"/>
        </w:rPr>
      </w:pPr>
    </w:p>
    <w:p>
      <w:pPr>
        <w:pStyle w:val="20"/>
        <w:rPr>
          <w:rFonts w:asciiTheme="minorEastAsia" w:hAnsiTheme="minorEastAsia" w:eastAsiaTheme="minorEastAsia" w:cstheme="minorEastAsia"/>
          <w:color w:val="auto"/>
          <w:szCs w:val="21"/>
        </w:rPr>
      </w:pPr>
    </w:p>
    <w:p>
      <w:pPr>
        <w:pStyle w:val="20"/>
        <w:rPr>
          <w:rFonts w:asciiTheme="minorEastAsia" w:hAnsiTheme="minorEastAsia" w:eastAsiaTheme="minorEastAsia" w:cstheme="minorEastAsia"/>
          <w:color w:val="auto"/>
          <w:szCs w:val="21"/>
        </w:rPr>
      </w:pPr>
    </w:p>
    <w:p>
      <w:pPr>
        <w:pStyle w:val="21"/>
        <w:rPr>
          <w:rFonts w:asciiTheme="minorEastAsia" w:hAnsiTheme="minorEastAsia" w:eastAsiaTheme="minorEastAsia" w:cstheme="minorEastAsia"/>
          <w:color w:val="auto"/>
          <w:szCs w:val="21"/>
        </w:rPr>
      </w:pPr>
    </w:p>
    <w:p>
      <w:pPr>
        <w:pStyle w:val="21"/>
        <w:rPr>
          <w:rFonts w:asciiTheme="minorEastAsia" w:hAnsiTheme="minorEastAsia" w:eastAsiaTheme="minorEastAsia" w:cstheme="minorEastAsia"/>
          <w:color w:val="auto"/>
          <w:szCs w:val="21"/>
        </w:rPr>
      </w:pPr>
    </w:p>
    <w:p>
      <w:pPr>
        <w:pStyle w:val="21"/>
        <w:rPr>
          <w:rFonts w:asciiTheme="minorEastAsia" w:hAnsiTheme="minorEastAsia" w:eastAsiaTheme="minorEastAsia" w:cstheme="minorEastAsia"/>
          <w:color w:val="auto"/>
          <w:szCs w:val="21"/>
        </w:rPr>
      </w:pPr>
    </w:p>
    <w:p>
      <w:pPr>
        <w:pStyle w:val="21"/>
        <w:rPr>
          <w:rFonts w:asciiTheme="minorEastAsia" w:hAnsiTheme="minorEastAsia" w:eastAsiaTheme="minorEastAsia" w:cstheme="minorEastAsia"/>
          <w:color w:val="auto"/>
          <w:szCs w:val="21"/>
        </w:rPr>
      </w:pPr>
    </w:p>
    <w:p>
      <w:pPr>
        <w:pStyle w:val="4"/>
        <w:rPr>
          <w:rFonts w:asciiTheme="minorEastAsia" w:hAnsiTheme="minorEastAsia" w:eastAsiaTheme="minorEastAsia" w:cstheme="minorEastAsia"/>
          <w:color w:val="auto"/>
          <w:szCs w:val="21"/>
        </w:rPr>
      </w:pPr>
    </w:p>
    <w:p>
      <w:pPr>
        <w:adjustRightInd w:val="0"/>
        <w:snapToGrid w:val="0"/>
        <w:spacing w:line="360" w:lineRule="auto"/>
        <w:ind w:firstLine="3534" w:firstLineChars="1100"/>
        <w:rPr>
          <w:rFonts w:asciiTheme="minorEastAsia" w:hAnsiTheme="minorEastAsia" w:eastAsiaTheme="minorEastAsia" w:cstheme="minorEastAsia"/>
          <w:b/>
          <w:color w:val="auto"/>
          <w:sz w:val="32"/>
          <w:szCs w:val="32"/>
        </w:rPr>
      </w:pPr>
      <w:bookmarkStart w:id="5" w:name="_Toc6636_WPSOffice_Level1"/>
      <w:bookmarkStart w:id="6" w:name="_Toc15656"/>
      <w:r>
        <w:rPr>
          <w:rFonts w:hint="eastAsia" w:asciiTheme="minorEastAsia" w:hAnsiTheme="minorEastAsia" w:eastAsiaTheme="minorEastAsia" w:cstheme="minorEastAsia"/>
          <w:b/>
          <w:color w:val="auto"/>
          <w:sz w:val="32"/>
          <w:szCs w:val="32"/>
        </w:rPr>
        <w:t>第二章 磋商须知</w:t>
      </w:r>
      <w:bookmarkEnd w:id="5"/>
      <w:bookmarkEnd w:id="6"/>
    </w:p>
    <w:p>
      <w:pPr>
        <w:pStyle w:val="4"/>
        <w:rPr>
          <w:color w:val="auto"/>
        </w:rPr>
      </w:pPr>
    </w:p>
    <w:p>
      <w:pPr>
        <w:pStyle w:val="25"/>
        <w:jc w:val="left"/>
        <w:outlineLvl w:val="1"/>
        <w:rPr>
          <w:rFonts w:asciiTheme="minorEastAsia" w:hAnsiTheme="minorEastAsia" w:eastAsiaTheme="minorEastAsia" w:cstheme="minorEastAsia"/>
          <w:b/>
          <w:color w:val="auto"/>
          <w:sz w:val="24"/>
          <w:szCs w:val="24"/>
        </w:rPr>
      </w:pPr>
      <w:bookmarkStart w:id="7" w:name="_Toc31520"/>
      <w:r>
        <w:rPr>
          <w:rFonts w:hint="eastAsia" w:asciiTheme="minorEastAsia" w:hAnsiTheme="minorEastAsia" w:eastAsiaTheme="minorEastAsia" w:cstheme="minorEastAsia"/>
          <w:b/>
          <w:color w:val="auto"/>
          <w:sz w:val="24"/>
          <w:szCs w:val="24"/>
        </w:rPr>
        <w:t>磋商须知前附表</w:t>
      </w:r>
      <w:bookmarkEnd w:id="7"/>
    </w:p>
    <w:p>
      <w:pPr>
        <w:pStyle w:val="25"/>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 请在方框□内划√选择，在“条款号”内限选一项。（本项目采用的条款用“■”标示）</w:t>
      </w:r>
    </w:p>
    <w:tbl>
      <w:tblPr>
        <w:tblStyle w:val="45"/>
        <w:tblW w:w="10460"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17"/>
        <w:gridCol w:w="1808"/>
        <w:gridCol w:w="703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13" w:hRule="atLeast"/>
          <w:tblHeader/>
          <w:jc w:val="center"/>
        </w:trPr>
        <w:tc>
          <w:tcPr>
            <w:tcW w:w="1617" w:type="dxa"/>
            <w:vAlign w:val="center"/>
          </w:tcPr>
          <w:p>
            <w:pPr>
              <w:adjustRightInd w:val="0"/>
              <w:snapToGrid w:val="0"/>
              <w:spacing w:line="360" w:lineRule="auto"/>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条款号</w:t>
            </w:r>
          </w:p>
        </w:tc>
        <w:tc>
          <w:tcPr>
            <w:tcW w:w="1808" w:type="dxa"/>
            <w:vAlign w:val="center"/>
          </w:tcPr>
          <w:p>
            <w:pPr>
              <w:adjustRightInd w:val="0"/>
              <w:snapToGrid w:val="0"/>
              <w:spacing w:line="360" w:lineRule="auto"/>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条款名称</w:t>
            </w:r>
          </w:p>
        </w:tc>
        <w:tc>
          <w:tcPr>
            <w:tcW w:w="7035" w:type="dxa"/>
            <w:vAlign w:val="center"/>
          </w:tcPr>
          <w:p>
            <w:pPr>
              <w:adjustRightInd w:val="0"/>
              <w:snapToGrid w:val="0"/>
              <w:spacing w:line="360" w:lineRule="auto"/>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83" w:hRule="atLeast"/>
          <w:jc w:val="center"/>
        </w:trPr>
        <w:tc>
          <w:tcPr>
            <w:tcW w:w="10460" w:type="dxa"/>
            <w:gridSpan w:val="3"/>
            <w:vAlign w:val="center"/>
          </w:tcPr>
          <w:p>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一、说明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617"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第二章第1.1款</w:t>
            </w:r>
          </w:p>
        </w:tc>
        <w:tc>
          <w:tcPr>
            <w:tcW w:w="1808"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采购项目</w:t>
            </w:r>
          </w:p>
        </w:tc>
        <w:tc>
          <w:tcPr>
            <w:tcW w:w="7035" w:type="dxa"/>
            <w:vAlign w:val="center"/>
          </w:tcPr>
          <w:p>
            <w:pPr>
              <w:adjustRightInd w:val="0"/>
              <w:snapToGrid w:val="0"/>
              <w:jc w:val="left"/>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临湘高新区化工园水系改造（四期）工程项目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89" w:hRule="atLeast"/>
          <w:jc w:val="center"/>
        </w:trPr>
        <w:tc>
          <w:tcPr>
            <w:tcW w:w="1617"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第二章第2.1款</w:t>
            </w:r>
          </w:p>
        </w:tc>
        <w:tc>
          <w:tcPr>
            <w:tcW w:w="1808"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采购人</w:t>
            </w:r>
          </w:p>
        </w:tc>
        <w:tc>
          <w:tcPr>
            <w:tcW w:w="7035" w:type="dxa"/>
            <w:vAlign w:val="center"/>
          </w:tcPr>
          <w:p>
            <w:pPr>
              <w:adjustRightInd w:val="0"/>
              <w:snapToGrid w:val="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采购人：</w:t>
            </w:r>
            <w:r>
              <w:rPr>
                <w:rFonts w:hint="eastAsia" w:asciiTheme="minorEastAsia" w:hAnsiTheme="minorEastAsia" w:eastAsiaTheme="minorEastAsia" w:cstheme="minorEastAsia"/>
                <w:color w:val="auto"/>
                <w:szCs w:val="21"/>
                <w:lang w:eastAsia="zh-CN"/>
              </w:rPr>
              <w:t>临湘高新技术产业开发区管理委员会</w:t>
            </w:r>
            <w:r>
              <w:rPr>
                <w:rFonts w:hint="eastAsia" w:asciiTheme="minorEastAsia" w:hAnsiTheme="minorEastAsia" w:eastAsiaTheme="minorEastAsia" w:cstheme="minorEastAsia"/>
                <w:color w:val="auto"/>
                <w:szCs w:val="21"/>
              </w:rPr>
              <w:t xml:space="preserve">   </w:t>
            </w:r>
          </w:p>
          <w:p>
            <w:pPr>
              <w:adjustRightInd w:val="0"/>
              <w:snapToGrid w:val="0"/>
              <w:jc w:val="left"/>
              <w:rPr>
                <w:rFonts w:hint="default" w:asciiTheme="minorEastAsia" w:hAnsiTheme="minorEastAsia" w:eastAsiaTheme="minorEastAsia" w:cstheme="minorEastAsia"/>
                <w:color w:val="auto"/>
                <w:szCs w:val="21"/>
                <w:lang w:val="en-US"/>
              </w:rPr>
            </w:pPr>
            <w:r>
              <w:rPr>
                <w:rFonts w:hint="eastAsia" w:asciiTheme="minorEastAsia" w:hAnsiTheme="minorEastAsia" w:eastAsiaTheme="minorEastAsia" w:cstheme="minorEastAsia"/>
                <w:color w:val="auto"/>
                <w:szCs w:val="21"/>
              </w:rPr>
              <w:t>联系人：</w:t>
            </w:r>
            <w:r>
              <w:rPr>
                <w:rFonts w:hint="eastAsia" w:asciiTheme="minorEastAsia" w:hAnsiTheme="minorEastAsia" w:eastAsiaTheme="minorEastAsia" w:cstheme="minorEastAsia"/>
                <w:color w:val="auto"/>
                <w:szCs w:val="21"/>
                <w:lang w:val="en-US" w:eastAsia="zh-CN"/>
              </w:rPr>
              <w:t>李先生</w:t>
            </w:r>
          </w:p>
          <w:p>
            <w:pPr>
              <w:adjustRightInd w:val="0"/>
              <w:snapToGrid w:val="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联系电话：</w:t>
            </w:r>
            <w:r>
              <w:rPr>
                <w:rFonts w:hint="eastAsia" w:asciiTheme="minorEastAsia" w:hAnsiTheme="minorEastAsia" w:eastAsiaTheme="minorEastAsia" w:cstheme="minorEastAsia"/>
                <w:color w:val="auto"/>
                <w:szCs w:val="21"/>
                <w:lang w:eastAsia="zh-CN"/>
              </w:rPr>
              <w:t>18075707369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617"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第二章第2.2款</w:t>
            </w:r>
          </w:p>
        </w:tc>
        <w:tc>
          <w:tcPr>
            <w:tcW w:w="1808"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采购代理机构</w:t>
            </w:r>
          </w:p>
        </w:tc>
        <w:tc>
          <w:tcPr>
            <w:tcW w:w="7035" w:type="dxa"/>
            <w:vAlign w:val="center"/>
          </w:tcPr>
          <w:p>
            <w:pPr>
              <w:adjustRightInd w:val="0"/>
              <w:snapToGrid w:val="0"/>
              <w:jc w:val="left"/>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rPr>
              <w:t>招标代理机构：</w:t>
            </w:r>
            <w:r>
              <w:rPr>
                <w:rFonts w:hint="eastAsia" w:asciiTheme="minorEastAsia" w:hAnsiTheme="minorEastAsia" w:eastAsiaTheme="minorEastAsia" w:cstheme="minorEastAsia"/>
                <w:color w:val="auto"/>
                <w:szCs w:val="21"/>
                <w:lang w:eastAsia="zh-CN"/>
              </w:rPr>
              <w:t>中采联合招标有限公司</w:t>
            </w:r>
          </w:p>
          <w:p>
            <w:pPr>
              <w:adjustRightInd w:val="0"/>
              <w:snapToGrid w:val="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地址：岳阳市</w:t>
            </w:r>
            <w:r>
              <w:rPr>
                <w:rFonts w:hint="eastAsia" w:ascii="宋体" w:hAnsi="宋体" w:cs="宋体"/>
                <w:color w:val="auto"/>
                <w:szCs w:val="21"/>
              </w:rPr>
              <w:t>临湘市连心路110号</w:t>
            </w:r>
          </w:p>
          <w:p>
            <w:pPr>
              <w:adjustRightInd w:val="0"/>
              <w:snapToGrid w:val="0"/>
              <w:jc w:val="left"/>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rPr>
              <w:t>联系人：</w:t>
            </w:r>
            <w:r>
              <w:rPr>
                <w:rFonts w:hint="eastAsia" w:asciiTheme="minorEastAsia" w:hAnsiTheme="minorEastAsia" w:eastAsiaTheme="minorEastAsia" w:cstheme="minorEastAsia"/>
                <w:color w:val="auto"/>
                <w:szCs w:val="21"/>
                <w:lang w:eastAsia="zh-CN"/>
              </w:rPr>
              <w:t>李斌</w:t>
            </w:r>
          </w:p>
          <w:p>
            <w:pPr>
              <w:adjustRightInd w:val="0"/>
              <w:snapToGrid w:val="0"/>
              <w:jc w:val="left"/>
              <w:rPr>
                <w:rFonts w:hint="eastAsia" w:eastAsia="宋体" w:asciiTheme="minorEastAsia" w:hAnsiTheme="minorEastAsia" w:cstheme="minorEastAsia"/>
                <w:color w:val="auto"/>
                <w:szCs w:val="21"/>
                <w:lang w:eastAsia="zh-CN"/>
              </w:rPr>
            </w:pPr>
            <w:r>
              <w:rPr>
                <w:rFonts w:hint="eastAsia" w:asciiTheme="minorEastAsia" w:hAnsiTheme="minorEastAsia" w:eastAsiaTheme="minorEastAsia" w:cstheme="minorEastAsia"/>
                <w:color w:val="auto"/>
                <w:szCs w:val="21"/>
              </w:rPr>
              <w:t>联系电话：</w:t>
            </w:r>
            <w:r>
              <w:rPr>
                <w:rFonts w:hint="eastAsia" w:ascii="宋体" w:hAnsi="宋体" w:cs="宋体"/>
                <w:color w:val="auto"/>
                <w:szCs w:val="21"/>
              </w:rPr>
              <w:t>0730-3795833、</w:t>
            </w:r>
            <w:r>
              <w:rPr>
                <w:rFonts w:hint="eastAsia" w:ascii="宋体" w:hAnsi="宋体" w:cs="宋体"/>
                <w:color w:val="auto"/>
                <w:szCs w:val="21"/>
                <w:lang w:eastAsia="zh-CN"/>
              </w:rPr>
              <w:t>18274012327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1617"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第二章第2.3款</w:t>
            </w:r>
          </w:p>
        </w:tc>
        <w:tc>
          <w:tcPr>
            <w:tcW w:w="1808"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供应商的邀请方式</w:t>
            </w:r>
          </w:p>
        </w:tc>
        <w:tc>
          <w:tcPr>
            <w:tcW w:w="7035" w:type="dxa"/>
            <w:vAlign w:val="center"/>
          </w:tcPr>
          <w:p>
            <w:pPr>
              <w:adjustRightInd w:val="0"/>
              <w:snapToGrid w:val="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发布公告</w:t>
            </w:r>
          </w:p>
          <w:p>
            <w:pPr>
              <w:adjustRightInd w:val="0"/>
              <w:snapToGrid w:val="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从省级以上财政部门建立的供应商库中随机抽取</w:t>
            </w:r>
          </w:p>
          <w:p>
            <w:pPr>
              <w:adjustRightInd w:val="0"/>
              <w:snapToGrid w:val="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采购人和评审专家分别书面推荐的方式</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796" w:hRule="atLeast"/>
          <w:jc w:val="center"/>
        </w:trPr>
        <w:tc>
          <w:tcPr>
            <w:tcW w:w="1617"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第二章第3.1款</w:t>
            </w:r>
          </w:p>
          <w:p>
            <w:pPr>
              <w:adjustRightInd w:val="0"/>
              <w:snapToGrid w:val="0"/>
              <w:jc w:val="center"/>
              <w:rPr>
                <w:rFonts w:asciiTheme="minorEastAsia" w:hAnsiTheme="minorEastAsia" w:eastAsiaTheme="minorEastAsia" w:cstheme="minorEastAsia"/>
                <w:color w:val="auto"/>
                <w:szCs w:val="21"/>
              </w:rPr>
            </w:pPr>
          </w:p>
        </w:tc>
        <w:tc>
          <w:tcPr>
            <w:tcW w:w="1808"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供应商资格条件（★）</w:t>
            </w:r>
          </w:p>
          <w:p>
            <w:pPr>
              <w:adjustRightInd w:val="0"/>
              <w:snapToGrid w:val="0"/>
              <w:jc w:val="center"/>
              <w:rPr>
                <w:rFonts w:asciiTheme="minorEastAsia" w:hAnsiTheme="minorEastAsia" w:eastAsiaTheme="minorEastAsia" w:cstheme="minorEastAsia"/>
                <w:color w:val="auto"/>
                <w:szCs w:val="21"/>
              </w:rPr>
            </w:pPr>
          </w:p>
        </w:tc>
        <w:tc>
          <w:tcPr>
            <w:tcW w:w="7035" w:type="dxa"/>
            <w:vAlign w:val="center"/>
          </w:tcPr>
          <w:p>
            <w:pPr>
              <w:numPr>
                <w:ilvl w:val="0"/>
                <w:numId w:val="1"/>
              </w:numPr>
              <w:adjustRightInd w:val="0"/>
              <w:snapToGrid w:val="0"/>
              <w:jc w:val="left"/>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供应商的基本资格条件：</w:t>
            </w:r>
          </w:p>
          <w:p>
            <w:pPr>
              <w:adjustRightInd w:val="0"/>
              <w:snapToGrid w:val="0"/>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供应商必须是在中华人民共和国境内注册登记的法人、其他组织或者自然人，且应当符合《政府采购法》第二十二条第一款的规定；</w:t>
            </w:r>
          </w:p>
          <w:p>
            <w:pPr>
              <w:adjustRightInd w:val="0"/>
              <w:snapToGrid w:val="0"/>
              <w:jc w:val="left"/>
              <w:rPr>
                <w:rFonts w:asciiTheme="minorEastAsia" w:hAnsiTheme="minorEastAsia" w:eastAsiaTheme="minorEastAsia" w:cstheme="minorEastAsia"/>
                <w:b/>
                <w:bCs/>
                <w:color w:val="auto"/>
                <w:szCs w:val="21"/>
              </w:rPr>
            </w:pPr>
          </w:p>
          <w:p>
            <w:pPr>
              <w:adjustRightInd w:val="0"/>
              <w:snapToGrid w:val="0"/>
              <w:jc w:val="left"/>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2、采购项目的特定资格条件：</w:t>
            </w:r>
          </w:p>
          <w:p>
            <w:pPr>
              <w:adjustRightInd w:val="0"/>
              <w:snapToGrid w:val="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（1）投标人具备</w:t>
            </w:r>
            <w:r>
              <w:rPr>
                <w:rFonts w:hint="eastAsia" w:asciiTheme="minorEastAsia" w:hAnsiTheme="minorEastAsia" w:eastAsiaTheme="minorEastAsia" w:cstheme="minorEastAsia"/>
                <w:color w:val="auto"/>
                <w:szCs w:val="21"/>
                <w:lang w:eastAsia="zh-CN"/>
              </w:rPr>
              <w:t>市政公用工程</w:t>
            </w:r>
            <w:r>
              <w:rPr>
                <w:rFonts w:hint="eastAsia" w:asciiTheme="minorEastAsia" w:hAnsiTheme="minorEastAsia" w:eastAsiaTheme="minorEastAsia" w:cstheme="minorEastAsia"/>
                <w:color w:val="auto"/>
                <w:szCs w:val="21"/>
              </w:rPr>
              <w:t>施工总承包叁级及以上资质；具有有效的安全生产许可证；</w:t>
            </w:r>
          </w:p>
          <w:p>
            <w:pPr>
              <w:adjustRightInd w:val="0"/>
              <w:snapToGrid w:val="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szCs w:val="21"/>
                <w:lang w:val="en-US" w:eastAsia="zh-CN"/>
              </w:rPr>
              <w:t>2</w:t>
            </w:r>
            <w:r>
              <w:rPr>
                <w:rFonts w:hint="eastAsia" w:asciiTheme="minorEastAsia" w:hAnsiTheme="minorEastAsia" w:eastAsiaTheme="minorEastAsia" w:cstheme="minorEastAsia"/>
                <w:color w:val="auto"/>
                <w:szCs w:val="21"/>
              </w:rPr>
              <w:t>）拟派本项目的项目经理需具有</w:t>
            </w:r>
            <w:r>
              <w:rPr>
                <w:rFonts w:hint="eastAsia" w:asciiTheme="minorEastAsia" w:hAnsiTheme="minorEastAsia" w:eastAsiaTheme="minorEastAsia" w:cstheme="minorEastAsia"/>
                <w:color w:val="auto"/>
                <w:szCs w:val="21"/>
                <w:lang w:val="en-US" w:eastAsia="zh-CN"/>
              </w:rPr>
              <w:t>市政公用工程专业</w:t>
            </w:r>
            <w:r>
              <w:rPr>
                <w:rFonts w:hint="eastAsia" w:asciiTheme="minorEastAsia" w:hAnsiTheme="minorEastAsia" w:eastAsiaTheme="minorEastAsia" w:cstheme="minorEastAsia"/>
                <w:color w:val="auto"/>
                <w:szCs w:val="21"/>
              </w:rPr>
              <w:t>二级及以上注册建造师</w:t>
            </w:r>
            <w:r>
              <w:rPr>
                <w:rFonts w:hint="eastAsia" w:asciiTheme="minorEastAsia" w:hAnsiTheme="minorEastAsia" w:eastAsiaTheme="minorEastAsia" w:cstheme="minorEastAsia"/>
                <w:color w:val="auto"/>
                <w:szCs w:val="21"/>
                <w:lang w:val="en-US" w:eastAsia="zh-CN"/>
              </w:rPr>
              <w:t>执业资格</w:t>
            </w:r>
            <w:r>
              <w:rPr>
                <w:rFonts w:hint="eastAsia" w:asciiTheme="minorEastAsia" w:hAnsiTheme="minorEastAsia" w:eastAsiaTheme="minorEastAsia" w:cstheme="minorEastAsia"/>
                <w:color w:val="auto"/>
                <w:szCs w:val="21"/>
              </w:rPr>
              <w:t>证书</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lang w:val="en-US" w:eastAsia="zh-CN"/>
              </w:rPr>
              <w:t>具有</w:t>
            </w:r>
            <w:r>
              <w:rPr>
                <w:rFonts w:hint="eastAsia" w:asciiTheme="minorEastAsia" w:hAnsiTheme="minorEastAsia" w:eastAsiaTheme="minorEastAsia" w:cstheme="minorEastAsia"/>
                <w:color w:val="auto"/>
                <w:szCs w:val="21"/>
              </w:rPr>
              <w:t>安全生产考核合格证书（B 证），</w:t>
            </w:r>
            <w:r>
              <w:rPr>
                <w:rFonts w:hint="eastAsia" w:asciiTheme="minorEastAsia" w:hAnsiTheme="minorEastAsia" w:eastAsiaTheme="minorEastAsia" w:cstheme="minorEastAsia"/>
                <w:color w:val="auto"/>
                <w:szCs w:val="21"/>
                <w:lang w:val="en-US" w:eastAsia="zh-CN"/>
              </w:rPr>
              <w:t>且</w:t>
            </w:r>
            <w:r>
              <w:rPr>
                <w:rFonts w:hint="eastAsia" w:asciiTheme="minorEastAsia" w:hAnsiTheme="minorEastAsia" w:eastAsiaTheme="minorEastAsia" w:cstheme="minorEastAsia"/>
                <w:color w:val="auto"/>
                <w:szCs w:val="21"/>
              </w:rPr>
              <w:t>无在建项目（同一施工项目负责人不能同时在两个及以上的工程项目上担任施工项目负责人；无在建项目指至本项目投标截止期，无在建未完工项目或已中标（以网上发布中标侯选人公示为准）未开工项目，以及符合《注册建造师执业管理办法（试行）》第九条规定的其他情形）。</w:t>
            </w:r>
          </w:p>
          <w:p>
            <w:pPr>
              <w:adjustRightInd w:val="0"/>
              <w:snapToGrid w:val="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注：</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lang w:val="en-US" w:eastAsia="zh-CN"/>
              </w:rPr>
              <w:t>1）</w:t>
            </w:r>
            <w:r>
              <w:rPr>
                <w:rFonts w:hint="eastAsia" w:asciiTheme="minorEastAsia" w:hAnsiTheme="minorEastAsia" w:eastAsiaTheme="minorEastAsia" w:cstheme="minorEastAsia"/>
                <w:color w:val="auto"/>
                <w:szCs w:val="21"/>
              </w:rPr>
              <w:t>根据《湖南省财政厅关于政府采购促进中小企业发展有关措施的通知》，符合法定条件的供应商凭《湖南省政府采购供应商资格承诺函》（格式见竞争性磋商文件）参与政府采购活动，无需提供财务状况、缴纳税收和社会保障资金等资格证明材料。经采购人或监管部门查实，如发现伪造、篡改、提供虚假证明材料等行为，有关行政监督部门将依法给予行政处罚（处理），执行诚信不良行为记录联合惩戒措施，触犯法律的，将依法承担法律责任。</w:t>
            </w:r>
          </w:p>
          <w:p>
            <w:pPr>
              <w:adjustRightInd w:val="0"/>
              <w:snapToGrid w:val="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lang w:val="en-US" w:eastAsia="zh-CN"/>
              </w:rPr>
              <w:t>2）被“信用中国（www.creditchina.gov.cn）”“湖南信用网（www.hncredit.gov.cn）”网站列入失信被执行人和重大税收违法案件当事人名单的、被“中国政府采购网（www.ccgp.gov.cn）”“湖南省政府采购网（</w:t>
            </w:r>
            <w:r>
              <w:rPr>
                <w:rFonts w:hint="eastAsia" w:asciiTheme="minorEastAsia" w:hAnsiTheme="minorEastAsia" w:eastAsiaTheme="minorEastAsia" w:cstheme="minorEastAsia"/>
                <w:color w:val="auto"/>
                <w:szCs w:val="21"/>
                <w:lang w:val="en-US" w:eastAsia="zh-CN"/>
              </w:rPr>
              <w:fldChar w:fldCharType="begin"/>
            </w:r>
            <w:r>
              <w:rPr>
                <w:rFonts w:hint="eastAsia" w:asciiTheme="minorEastAsia" w:hAnsiTheme="minorEastAsia" w:eastAsiaTheme="minorEastAsia" w:cstheme="minorEastAsia"/>
                <w:color w:val="auto"/>
                <w:szCs w:val="21"/>
                <w:lang w:val="en-US" w:eastAsia="zh-CN"/>
              </w:rPr>
              <w:instrText xml:space="preserve"> HYPERLINK "http://www.ccgp-hunan.gov.cn/" </w:instrText>
            </w:r>
            <w:r>
              <w:rPr>
                <w:rFonts w:hint="eastAsia" w:asciiTheme="minorEastAsia" w:hAnsiTheme="minorEastAsia" w:eastAsiaTheme="minorEastAsia" w:cstheme="minorEastAsia"/>
                <w:color w:val="auto"/>
                <w:szCs w:val="21"/>
                <w:lang w:val="en-US" w:eastAsia="zh-CN"/>
              </w:rPr>
              <w:fldChar w:fldCharType="separate"/>
            </w:r>
            <w:r>
              <w:rPr>
                <w:rFonts w:hint="eastAsia" w:asciiTheme="minorEastAsia" w:hAnsiTheme="minorEastAsia" w:eastAsiaTheme="minorEastAsia" w:cstheme="minorEastAsia"/>
                <w:color w:val="auto"/>
                <w:szCs w:val="21"/>
                <w:lang w:val="en-US" w:eastAsia="zh-CN"/>
              </w:rPr>
              <w:t>www.ccgp-hunan.gov.cn</w:t>
            </w:r>
            <w:r>
              <w:rPr>
                <w:rFonts w:hint="eastAsia" w:asciiTheme="minorEastAsia" w:hAnsiTheme="minorEastAsia" w:eastAsiaTheme="minorEastAsia" w:cstheme="minorEastAsia"/>
                <w:color w:val="auto"/>
                <w:szCs w:val="21"/>
                <w:lang w:val="en-US" w:eastAsia="zh-CN"/>
              </w:rPr>
              <w:fldChar w:fldCharType="end"/>
            </w:r>
            <w:r>
              <w:rPr>
                <w:rFonts w:hint="eastAsia" w:asciiTheme="minorEastAsia" w:hAnsiTheme="minorEastAsia" w:eastAsiaTheme="minorEastAsia" w:cstheme="minorEastAsia"/>
                <w:color w:val="auto"/>
                <w:szCs w:val="21"/>
                <w:lang w:val="en-US" w:eastAsia="zh-CN"/>
              </w:rPr>
              <w:t>）”网站列入政府采购严重违法失信行为记录名单（处罚期限尚未届满的），不得参与本项目的政府采购活动；提供最近一个月的投标人查询记录网上打印件并加盖单位公章。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3" w:hRule="atLeast"/>
          <w:jc w:val="center"/>
        </w:trPr>
        <w:tc>
          <w:tcPr>
            <w:tcW w:w="1617" w:type="dxa"/>
            <w:vAlign w:val="center"/>
          </w:tcPr>
          <w:p>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第二章第6.1款</w:t>
            </w:r>
          </w:p>
        </w:tc>
        <w:tc>
          <w:tcPr>
            <w:tcW w:w="1808"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联合体形式</w:t>
            </w:r>
          </w:p>
        </w:tc>
        <w:tc>
          <w:tcPr>
            <w:tcW w:w="7035" w:type="dxa"/>
            <w:vAlign w:val="center"/>
          </w:tcPr>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不接受</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82" w:hRule="atLeast"/>
          <w:jc w:val="center"/>
        </w:trPr>
        <w:tc>
          <w:tcPr>
            <w:tcW w:w="1617" w:type="dxa"/>
            <w:vAlign w:val="center"/>
          </w:tcPr>
          <w:p>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第二章第6.2款</w:t>
            </w:r>
          </w:p>
        </w:tc>
        <w:tc>
          <w:tcPr>
            <w:tcW w:w="1808"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对联合体各方的要求</w:t>
            </w:r>
          </w:p>
        </w:tc>
        <w:tc>
          <w:tcPr>
            <w:tcW w:w="7035" w:type="dxa"/>
            <w:vAlign w:val="center"/>
          </w:tcPr>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3" w:hRule="atLeast"/>
          <w:jc w:val="center"/>
        </w:trPr>
        <w:tc>
          <w:tcPr>
            <w:tcW w:w="1617" w:type="dxa"/>
            <w:vAlign w:val="center"/>
          </w:tcPr>
          <w:p>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第二章第7.1款</w:t>
            </w:r>
          </w:p>
        </w:tc>
        <w:tc>
          <w:tcPr>
            <w:tcW w:w="1808"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现场勘察</w:t>
            </w:r>
          </w:p>
        </w:tc>
        <w:tc>
          <w:tcPr>
            <w:tcW w:w="7035" w:type="dxa"/>
            <w:vAlign w:val="center"/>
          </w:tcPr>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采购人不组织</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采购人组织，时间：地点：联系人：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3" w:hRule="atLeast"/>
          <w:jc w:val="center"/>
        </w:trPr>
        <w:tc>
          <w:tcPr>
            <w:tcW w:w="1617" w:type="dxa"/>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第二章第8.1款</w:t>
            </w:r>
          </w:p>
        </w:tc>
        <w:tc>
          <w:tcPr>
            <w:tcW w:w="1808"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采购进口产品</w:t>
            </w:r>
          </w:p>
        </w:tc>
        <w:tc>
          <w:tcPr>
            <w:tcW w:w="7035" w:type="dxa"/>
            <w:vAlign w:val="center"/>
          </w:tcPr>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☑本项目拒绝采购进口产品</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□本项目已经财政部门审核同意购买进口产品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156" w:hRule="atLeast"/>
          <w:jc w:val="center"/>
        </w:trPr>
        <w:tc>
          <w:tcPr>
            <w:tcW w:w="1617" w:type="dxa"/>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第二章第9.1款</w:t>
            </w:r>
          </w:p>
        </w:tc>
        <w:tc>
          <w:tcPr>
            <w:tcW w:w="1808"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政府采购强制采购：</w:t>
            </w:r>
          </w:p>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1、强制采购的节能产品；</w:t>
            </w:r>
          </w:p>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2、其他。</w:t>
            </w:r>
          </w:p>
        </w:tc>
        <w:tc>
          <w:tcPr>
            <w:tcW w:w="7035" w:type="dxa"/>
            <w:vAlign w:val="center"/>
          </w:tcPr>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否</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是，采购《节能产品政府采购清单》(第期) 内标记★符号的节能产品。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997" w:hRule="atLeast"/>
          <w:jc w:val="center"/>
        </w:trPr>
        <w:tc>
          <w:tcPr>
            <w:tcW w:w="1617" w:type="dxa"/>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二章第9.2款</w:t>
            </w:r>
          </w:p>
        </w:tc>
        <w:tc>
          <w:tcPr>
            <w:tcW w:w="1808"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政府采购优先采购：</w:t>
            </w:r>
          </w:p>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r>
              <w:rPr>
                <w:rFonts w:hint="eastAsia" w:asciiTheme="minorEastAsia" w:hAnsiTheme="minorEastAsia" w:eastAsiaTheme="minorEastAsia" w:cstheme="minorEastAsia"/>
                <w:color w:val="auto"/>
                <w:szCs w:val="21"/>
                <w:lang w:eastAsia="zh-CN"/>
              </w:rPr>
              <w:t>非</w:t>
            </w:r>
            <w:r>
              <w:rPr>
                <w:rFonts w:hint="eastAsia" w:asciiTheme="minorEastAsia" w:hAnsiTheme="minorEastAsia" w:eastAsiaTheme="minorEastAsia" w:cstheme="minorEastAsia"/>
                <w:color w:val="auto"/>
                <w:szCs w:val="21"/>
              </w:rPr>
              <w:t>强制采购的节能产品；</w:t>
            </w:r>
          </w:p>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val="en-US" w:eastAsia="zh-CN"/>
              </w:rPr>
              <w:t>2</w:t>
            </w:r>
            <w:r>
              <w:rPr>
                <w:rFonts w:hint="eastAsia" w:asciiTheme="minorEastAsia" w:hAnsiTheme="minorEastAsia" w:eastAsiaTheme="minorEastAsia" w:cstheme="minorEastAsia"/>
                <w:color w:val="auto"/>
                <w:szCs w:val="21"/>
              </w:rPr>
              <w:t>、支持中小企业发展；</w:t>
            </w:r>
          </w:p>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val="en-US" w:eastAsia="zh-CN"/>
              </w:rPr>
              <w:t>3</w:t>
            </w:r>
            <w:r>
              <w:rPr>
                <w:rFonts w:hint="eastAsia" w:asciiTheme="minorEastAsia" w:hAnsiTheme="minorEastAsia" w:eastAsiaTheme="minorEastAsia" w:cstheme="minorEastAsia"/>
                <w:color w:val="auto"/>
                <w:szCs w:val="21"/>
              </w:rPr>
              <w:t>、其他。</w:t>
            </w:r>
          </w:p>
        </w:tc>
        <w:tc>
          <w:tcPr>
            <w:tcW w:w="7035" w:type="dxa"/>
            <w:tcBorders>
              <w:bottom w:val="single" w:color="auto" w:sz="4" w:space="0"/>
            </w:tcBorders>
            <w:vAlign w:val="center"/>
          </w:tcPr>
          <w:p>
            <w:pPr>
              <w:adjustRightInd w:val="0"/>
              <w:snapToGrid w:val="0"/>
              <w:rPr>
                <w:rFonts w:hint="eastAsia" w:asciiTheme="minorEastAsia" w:hAnsiTheme="minorEastAsia" w:eastAsiaTheme="minorEastAsia" w:cstheme="minorEastAsia"/>
                <w:color w:val="auto"/>
                <w:szCs w:val="21"/>
                <w:lang w:val="en-US" w:eastAsia="zh-CN"/>
              </w:rPr>
            </w:pPr>
          </w:p>
          <w:p>
            <w:pPr>
              <w:adjustRightInd w:val="0"/>
              <w:snapToGrid w:val="0"/>
              <w:rPr>
                <w:rFonts w:hint="default" w:asciiTheme="minorEastAsia" w:hAnsiTheme="minorEastAsia" w:eastAsiaTheme="minorEastAsia" w:cstheme="minorEastAsia"/>
                <w:b/>
                <w:bCs/>
                <w:color w:val="auto"/>
                <w:szCs w:val="21"/>
                <w:lang w:val="en-US" w:eastAsia="zh-CN"/>
              </w:rPr>
            </w:pPr>
            <w:r>
              <w:rPr>
                <w:rFonts w:hint="eastAsia" w:asciiTheme="minorEastAsia" w:hAnsiTheme="minorEastAsia" w:eastAsiaTheme="minorEastAsia" w:cstheme="minorEastAsia"/>
                <w:b/>
                <w:bCs/>
                <w:color w:val="auto"/>
                <w:szCs w:val="21"/>
                <w:lang w:val="en-US" w:eastAsia="zh-CN"/>
              </w:rPr>
              <w:t>本项目不适用。</w:t>
            </w:r>
          </w:p>
          <w:p>
            <w:pPr>
              <w:adjustRightInd w:val="0"/>
              <w:snapToGrid w:val="0"/>
              <w:rPr>
                <w:rFonts w:hint="eastAsia" w:asciiTheme="minorEastAsia" w:hAnsiTheme="minorEastAsia" w:eastAsiaTheme="minorEastAsia" w:cstheme="minorEastAsia"/>
                <w:color w:val="auto"/>
                <w:szCs w:val="21"/>
              </w:rPr>
            </w:pP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1、采购产品为《节能产品政府采购清单》(最新一期)内非标记★符号的，分别给予技术和价格项标准总分值4%-8%的加分。本项目具体加分比例分别为 ：技术</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u w:val="single"/>
                <w:lang w:val="en-US" w:eastAsia="zh-CN"/>
              </w:rPr>
              <w:t>/</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%、价格</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u w:val="single"/>
                <w:lang w:val="en-US" w:eastAsia="zh-CN"/>
              </w:rPr>
              <w:t>/</w:t>
            </w:r>
            <w:r>
              <w:rPr>
                <w:rFonts w:hint="eastAsia" w:asciiTheme="minorEastAsia" w:hAnsiTheme="minorEastAsia" w:eastAsiaTheme="minorEastAsia" w:cstheme="minorEastAsia"/>
                <w:color w:val="auto"/>
                <w:szCs w:val="21"/>
              </w:rPr>
              <w:t>%。</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val="en-US" w:eastAsia="zh-CN"/>
              </w:rPr>
              <w:t>2</w:t>
            </w:r>
            <w:r>
              <w:rPr>
                <w:rFonts w:hint="eastAsia" w:asciiTheme="minorEastAsia" w:hAnsiTheme="minorEastAsia" w:eastAsiaTheme="minorEastAsia" w:cstheme="minorEastAsia"/>
                <w:color w:val="auto"/>
                <w:szCs w:val="21"/>
              </w:rPr>
              <w:t>、非专门面向中小企业采购，且符合政府采购促进中小企业发展相关规定的：</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（1）给予小型和微型企业产品的价格给予6%-10%的扣除，用扣除后的价格参与评审，本项目具体扣除比例为</w:t>
            </w:r>
            <w:r>
              <w:rPr>
                <w:rFonts w:hint="eastAsia" w:asciiTheme="minorEastAsia" w:hAnsiTheme="minorEastAsia" w:eastAsiaTheme="minorEastAsia" w:cstheme="minorEastAsia"/>
                <w:color w:val="auto"/>
                <w:szCs w:val="21"/>
                <w:u w:val="single"/>
                <w:lang w:val="en-US" w:eastAsia="zh-CN"/>
              </w:rPr>
              <w:t>/</w:t>
            </w:r>
            <w:r>
              <w:rPr>
                <w:rFonts w:hint="eastAsia" w:asciiTheme="minorEastAsia" w:hAnsiTheme="minorEastAsia" w:eastAsiaTheme="minorEastAsia" w:cstheme="minorEastAsia"/>
                <w:color w:val="auto"/>
                <w:szCs w:val="21"/>
              </w:rPr>
              <w:t xml:space="preserve"> %。</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（2）给予联合体2%-3%的价格扣除，用扣除后的价格参与评审，本项目具体扣除比例为</w:t>
            </w:r>
            <w:r>
              <w:rPr>
                <w:rFonts w:hint="eastAsia" w:asciiTheme="minorEastAsia" w:hAnsiTheme="minorEastAsia" w:eastAsiaTheme="minorEastAsia" w:cstheme="minorEastAsia"/>
                <w:color w:val="auto"/>
                <w:szCs w:val="21"/>
                <w:u w:val="single"/>
              </w:rPr>
              <w:t xml:space="preserve"> / </w:t>
            </w:r>
            <w:r>
              <w:rPr>
                <w:rFonts w:hint="eastAsia" w:asciiTheme="minorEastAsia" w:hAnsiTheme="minorEastAsia" w:eastAsiaTheme="minorEastAsia" w:cstheme="minorEastAsia"/>
                <w:color w:val="auto"/>
                <w:szCs w:val="21"/>
              </w:rPr>
              <w:t>%。</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（3）给予中型企业产品的价格给予3%-5%的扣除，用扣除后的价格参与评审，本项目具体扣除比例为</w:t>
            </w:r>
            <w:r>
              <w:rPr>
                <w:rFonts w:hint="eastAsia" w:asciiTheme="minorEastAsia" w:hAnsiTheme="minorEastAsia" w:eastAsiaTheme="minorEastAsia" w:cstheme="minorEastAsia"/>
                <w:color w:val="auto"/>
                <w:szCs w:val="21"/>
                <w:u w:val="single"/>
                <w:lang w:val="en-US" w:eastAsia="zh-CN"/>
              </w:rPr>
              <w:t>/</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08" w:hRule="atLeast"/>
          <w:jc w:val="center"/>
        </w:trPr>
        <w:tc>
          <w:tcPr>
            <w:tcW w:w="1617" w:type="dxa"/>
            <w:vMerge w:val="restart"/>
            <w:tcBorders>
              <w:top w:val="single" w:color="auto" w:sz="4" w:space="0"/>
            </w:tcBorders>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第二章第9.6款</w:t>
            </w:r>
          </w:p>
        </w:tc>
        <w:tc>
          <w:tcPr>
            <w:tcW w:w="1808" w:type="dxa"/>
            <w:tcBorders>
              <w:top w:val="single" w:color="auto" w:sz="4" w:space="0"/>
            </w:tcBorders>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政府采购支持中小企业融资</w:t>
            </w:r>
          </w:p>
        </w:tc>
        <w:tc>
          <w:tcPr>
            <w:tcW w:w="7035" w:type="dxa"/>
            <w:tcBorders>
              <w:top w:val="single" w:color="auto" w:sz="4" w:space="0"/>
            </w:tcBorders>
          </w:tcPr>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有融资需求的，可向本附表附页1所列银行咨询或登陆中国湖南政府采购网查询。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37" w:hRule="atLeast"/>
          <w:jc w:val="center"/>
        </w:trPr>
        <w:tc>
          <w:tcPr>
            <w:tcW w:w="1617" w:type="dxa"/>
            <w:vMerge w:val="continue"/>
            <w:vAlign w:val="center"/>
          </w:tcPr>
          <w:p>
            <w:pPr>
              <w:spacing w:line="360" w:lineRule="auto"/>
              <w:jc w:val="center"/>
              <w:rPr>
                <w:rFonts w:asciiTheme="minorEastAsia" w:hAnsiTheme="minorEastAsia" w:eastAsiaTheme="minorEastAsia" w:cstheme="minorEastAsia"/>
                <w:color w:val="auto"/>
                <w:szCs w:val="21"/>
              </w:rPr>
            </w:pPr>
          </w:p>
        </w:tc>
        <w:tc>
          <w:tcPr>
            <w:tcW w:w="1808"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政府采购信用担保</w:t>
            </w:r>
          </w:p>
        </w:tc>
        <w:tc>
          <w:tcPr>
            <w:tcW w:w="7035" w:type="dxa"/>
            <w:vAlign w:val="center"/>
          </w:tcPr>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有履约担保或融资担保需求的，可向本附表附页2所列担保机构咨询或登陆中国湖南政府采购网查询，格式见附页3。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 w:hRule="atLeast"/>
          <w:jc w:val="center"/>
        </w:trPr>
        <w:tc>
          <w:tcPr>
            <w:tcW w:w="10460" w:type="dxa"/>
            <w:gridSpan w:val="3"/>
            <w:vAlign w:val="center"/>
          </w:tcPr>
          <w:p>
            <w:pPr>
              <w:adjustRightInd w:val="0"/>
              <w:snapToGrid w:val="0"/>
              <w:spacing w:line="360" w:lineRule="auto"/>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二、磋商文件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132" w:hRule="atLeast"/>
          <w:jc w:val="center"/>
        </w:trPr>
        <w:tc>
          <w:tcPr>
            <w:tcW w:w="1617" w:type="dxa"/>
            <w:vAlign w:val="center"/>
          </w:tcPr>
          <w:p>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第二章第10.2款</w:t>
            </w:r>
          </w:p>
        </w:tc>
        <w:tc>
          <w:tcPr>
            <w:tcW w:w="1808"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磋商文件的可能实质性变动内容</w:t>
            </w:r>
          </w:p>
        </w:tc>
        <w:tc>
          <w:tcPr>
            <w:tcW w:w="7035" w:type="dxa"/>
            <w:vAlign w:val="center"/>
          </w:tcPr>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采购需求、技术、服务、合同条款</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磋商文件的实质性变动内容为磋商文件的组成部分，实质性变动内容</w:t>
            </w:r>
            <w:r>
              <w:rPr>
                <w:rFonts w:hint="eastAsia" w:asciiTheme="minorEastAsia" w:hAnsiTheme="minorEastAsia" w:eastAsiaTheme="minorEastAsia" w:cstheme="minorEastAsia"/>
                <w:color w:val="auto"/>
                <w:szCs w:val="21"/>
                <w:lang w:val="zh-CN"/>
              </w:rPr>
              <w:t>与</w:t>
            </w:r>
            <w:r>
              <w:rPr>
                <w:rFonts w:hint="eastAsia" w:asciiTheme="minorEastAsia" w:hAnsiTheme="minorEastAsia" w:eastAsiaTheme="minorEastAsia" w:cstheme="minorEastAsia"/>
                <w:color w:val="auto"/>
                <w:szCs w:val="21"/>
              </w:rPr>
              <w:t>磋商文件</w:t>
            </w:r>
            <w:r>
              <w:rPr>
                <w:rFonts w:hint="eastAsia" w:asciiTheme="minorEastAsia" w:hAnsiTheme="minorEastAsia" w:eastAsiaTheme="minorEastAsia" w:cstheme="minorEastAsia"/>
                <w:color w:val="auto"/>
                <w:szCs w:val="21"/>
                <w:lang w:val="zh-CN"/>
              </w:rPr>
              <w:t>不一致时，以</w:t>
            </w:r>
            <w:r>
              <w:rPr>
                <w:rFonts w:hint="eastAsia" w:asciiTheme="minorEastAsia" w:hAnsiTheme="minorEastAsia" w:eastAsiaTheme="minorEastAsia" w:cstheme="minorEastAsia"/>
                <w:color w:val="auto"/>
                <w:szCs w:val="21"/>
              </w:rPr>
              <w:t>实质性变动内容</w:t>
            </w:r>
            <w:r>
              <w:rPr>
                <w:rFonts w:hint="eastAsia" w:asciiTheme="minorEastAsia" w:hAnsiTheme="minorEastAsia" w:eastAsiaTheme="minorEastAsia" w:cstheme="minorEastAsia"/>
                <w:color w:val="auto"/>
                <w:szCs w:val="21"/>
                <w:lang w:val="zh-CN"/>
              </w:rPr>
              <w:t>为准。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05" w:hRule="atLeast"/>
          <w:jc w:val="center"/>
        </w:trPr>
        <w:tc>
          <w:tcPr>
            <w:tcW w:w="1617" w:type="dxa"/>
            <w:vAlign w:val="center"/>
          </w:tcPr>
          <w:p>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第二章第11.1款</w:t>
            </w:r>
          </w:p>
        </w:tc>
        <w:tc>
          <w:tcPr>
            <w:tcW w:w="1808"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提供磋商文件期限</w:t>
            </w:r>
          </w:p>
        </w:tc>
        <w:tc>
          <w:tcPr>
            <w:tcW w:w="7035" w:type="dxa"/>
            <w:vAlign w:val="center"/>
          </w:tcPr>
          <w:p>
            <w:pPr>
              <w:adjustRightInd w:val="0"/>
              <w:snapToGrid w:val="0"/>
              <w:spacing w:line="360" w:lineRule="auto"/>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bCs/>
                <w:color w:val="auto"/>
                <w:szCs w:val="21"/>
              </w:rPr>
              <w:t>从202</w:t>
            </w:r>
            <w:r>
              <w:rPr>
                <w:rFonts w:hint="eastAsia" w:asciiTheme="minorEastAsia" w:hAnsiTheme="minorEastAsia" w:eastAsiaTheme="minorEastAsia" w:cstheme="minorEastAsia"/>
                <w:b/>
                <w:bCs/>
                <w:color w:val="auto"/>
                <w:szCs w:val="21"/>
                <w:lang w:val="en-US" w:eastAsia="zh-CN"/>
              </w:rPr>
              <w:t>6</w:t>
            </w:r>
            <w:r>
              <w:rPr>
                <w:rFonts w:hint="eastAsia" w:asciiTheme="minorEastAsia" w:hAnsiTheme="minorEastAsia" w:eastAsiaTheme="minorEastAsia" w:cstheme="minorEastAsia"/>
                <w:b/>
                <w:bCs/>
                <w:color w:val="auto"/>
                <w:szCs w:val="21"/>
              </w:rPr>
              <w:t>年</w:t>
            </w:r>
            <w:r>
              <w:rPr>
                <w:rFonts w:hint="eastAsia" w:asciiTheme="minorEastAsia" w:hAnsiTheme="minorEastAsia" w:eastAsiaTheme="minorEastAsia" w:cstheme="minorEastAsia"/>
                <w:b/>
                <w:bCs/>
                <w:color w:val="auto"/>
                <w:szCs w:val="21"/>
                <w:lang w:val="en-US" w:eastAsia="zh-CN"/>
              </w:rPr>
              <w:t>07</w:t>
            </w:r>
            <w:r>
              <w:rPr>
                <w:rFonts w:hint="eastAsia" w:asciiTheme="minorEastAsia" w:hAnsiTheme="minorEastAsia" w:eastAsiaTheme="minorEastAsia" w:cstheme="minorEastAsia"/>
                <w:b/>
                <w:bCs/>
                <w:color w:val="auto"/>
                <w:szCs w:val="21"/>
              </w:rPr>
              <w:t>月</w:t>
            </w:r>
            <w:r>
              <w:rPr>
                <w:rFonts w:hint="eastAsia" w:asciiTheme="minorEastAsia" w:hAnsiTheme="minorEastAsia" w:eastAsiaTheme="minorEastAsia" w:cstheme="minorEastAsia"/>
                <w:b/>
                <w:bCs/>
                <w:color w:val="auto"/>
                <w:szCs w:val="21"/>
                <w:lang w:val="en-US" w:eastAsia="zh-CN"/>
              </w:rPr>
              <w:t>08</w:t>
            </w:r>
            <w:r>
              <w:rPr>
                <w:rFonts w:hint="eastAsia" w:asciiTheme="minorEastAsia" w:hAnsiTheme="minorEastAsia" w:eastAsiaTheme="minorEastAsia" w:cstheme="minorEastAsia"/>
                <w:b/>
                <w:bCs/>
                <w:color w:val="auto"/>
                <w:szCs w:val="21"/>
              </w:rPr>
              <w:t>日起至202</w:t>
            </w:r>
            <w:r>
              <w:rPr>
                <w:rFonts w:hint="eastAsia" w:asciiTheme="minorEastAsia" w:hAnsiTheme="minorEastAsia" w:eastAsiaTheme="minorEastAsia" w:cstheme="minorEastAsia"/>
                <w:b/>
                <w:bCs/>
                <w:color w:val="auto"/>
                <w:szCs w:val="21"/>
                <w:lang w:val="en-US" w:eastAsia="zh-CN"/>
              </w:rPr>
              <w:t>6</w:t>
            </w:r>
            <w:r>
              <w:rPr>
                <w:rFonts w:hint="eastAsia" w:asciiTheme="minorEastAsia" w:hAnsiTheme="minorEastAsia" w:eastAsiaTheme="minorEastAsia" w:cstheme="minorEastAsia"/>
                <w:b/>
                <w:bCs/>
                <w:color w:val="auto"/>
                <w:szCs w:val="21"/>
              </w:rPr>
              <w:t>年</w:t>
            </w:r>
            <w:r>
              <w:rPr>
                <w:rFonts w:hint="eastAsia" w:asciiTheme="minorEastAsia" w:hAnsiTheme="minorEastAsia" w:eastAsiaTheme="minorEastAsia" w:cstheme="minorEastAsia"/>
                <w:b/>
                <w:bCs/>
                <w:color w:val="auto"/>
                <w:szCs w:val="21"/>
                <w:lang w:val="en-US" w:eastAsia="zh-CN"/>
              </w:rPr>
              <w:t>07</w:t>
            </w:r>
            <w:r>
              <w:rPr>
                <w:rFonts w:hint="eastAsia" w:asciiTheme="minorEastAsia" w:hAnsiTheme="minorEastAsia" w:eastAsiaTheme="minorEastAsia" w:cstheme="minorEastAsia"/>
                <w:b/>
                <w:bCs/>
                <w:color w:val="auto"/>
                <w:szCs w:val="21"/>
              </w:rPr>
              <w:t>月</w:t>
            </w:r>
            <w:r>
              <w:rPr>
                <w:rFonts w:hint="eastAsia" w:asciiTheme="minorEastAsia" w:hAnsiTheme="minorEastAsia" w:eastAsiaTheme="minorEastAsia" w:cstheme="minorEastAsia"/>
                <w:b/>
                <w:bCs/>
                <w:color w:val="auto"/>
                <w:szCs w:val="21"/>
                <w:lang w:val="en-US" w:eastAsia="zh-CN"/>
              </w:rPr>
              <w:t>15</w:t>
            </w:r>
            <w:r>
              <w:rPr>
                <w:rFonts w:hint="eastAsia" w:asciiTheme="minorEastAsia" w:hAnsiTheme="minorEastAsia" w:eastAsiaTheme="minorEastAsia" w:cstheme="minorEastAsia"/>
                <w:b/>
                <w:bCs/>
                <w:color w:val="auto"/>
                <w:szCs w:val="21"/>
              </w:rPr>
              <w:t>日止</w:t>
            </w:r>
            <w:r>
              <w:rPr>
                <w:rFonts w:hint="eastAsia" w:asciiTheme="minorEastAsia" w:hAnsiTheme="minorEastAsia" w:eastAsiaTheme="minorEastAsia" w:cstheme="minorEastAsia"/>
                <w:color w:val="auto"/>
                <w:szCs w:val="21"/>
              </w:rPr>
              <w:t>，每天上午9：00至12：00、下午14：30至17：</w:t>
            </w:r>
            <w:r>
              <w:rPr>
                <w:rFonts w:hint="eastAsia" w:asciiTheme="minorEastAsia" w:hAnsiTheme="minorEastAsia" w:eastAsiaTheme="minorEastAsia" w:cstheme="minorEastAsia"/>
                <w:color w:val="auto"/>
                <w:szCs w:val="21"/>
                <w:lang w:val="en-US" w:eastAsia="zh-CN"/>
              </w:rPr>
              <w:t>0</w:t>
            </w:r>
            <w:r>
              <w:rPr>
                <w:rFonts w:hint="eastAsia" w:asciiTheme="minorEastAsia" w:hAnsiTheme="minorEastAsia" w:eastAsiaTheme="minorEastAsia" w:cstheme="minorEastAsia"/>
                <w:color w:val="auto"/>
                <w:szCs w:val="21"/>
              </w:rPr>
              <w:t>0(北京时间)，双休日及节假日除外。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 w:hRule="atLeast"/>
          <w:jc w:val="center"/>
        </w:trPr>
        <w:tc>
          <w:tcPr>
            <w:tcW w:w="1617" w:type="dxa"/>
            <w:vAlign w:val="center"/>
          </w:tcPr>
          <w:p>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第二章第11.2款</w:t>
            </w:r>
          </w:p>
        </w:tc>
        <w:tc>
          <w:tcPr>
            <w:tcW w:w="1808"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领取或购买磋商文件时应提供的资料</w:t>
            </w:r>
          </w:p>
        </w:tc>
        <w:tc>
          <w:tcPr>
            <w:tcW w:w="7035" w:type="dxa"/>
            <w:vAlign w:val="center"/>
          </w:tcPr>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本次招标只支持现场报名，领取磋商文件。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05" w:hRule="atLeast"/>
          <w:jc w:val="center"/>
        </w:trPr>
        <w:tc>
          <w:tcPr>
            <w:tcW w:w="1617" w:type="dxa"/>
            <w:vAlign w:val="center"/>
          </w:tcPr>
          <w:p>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第二章第12.1款</w:t>
            </w:r>
          </w:p>
        </w:tc>
        <w:tc>
          <w:tcPr>
            <w:tcW w:w="1808"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提交首次响应文件的截止时间</w:t>
            </w:r>
          </w:p>
        </w:tc>
        <w:tc>
          <w:tcPr>
            <w:tcW w:w="7035" w:type="dxa"/>
            <w:vAlign w:val="center"/>
          </w:tcPr>
          <w:p>
            <w:pPr>
              <w:adjustRightInd w:val="0"/>
              <w:snapToGrid w:val="0"/>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202</w:t>
            </w:r>
            <w:r>
              <w:rPr>
                <w:rFonts w:hint="eastAsia" w:asciiTheme="minorEastAsia" w:hAnsiTheme="minorEastAsia" w:eastAsiaTheme="minorEastAsia" w:cstheme="minorEastAsia"/>
                <w:b/>
                <w:bCs/>
                <w:color w:val="auto"/>
                <w:szCs w:val="21"/>
                <w:lang w:val="en-US" w:eastAsia="zh-CN"/>
              </w:rPr>
              <w:t>6</w:t>
            </w:r>
            <w:r>
              <w:rPr>
                <w:rFonts w:hint="eastAsia" w:asciiTheme="minorEastAsia" w:hAnsiTheme="minorEastAsia" w:eastAsiaTheme="minorEastAsia" w:cstheme="minorEastAsia"/>
                <w:b/>
                <w:bCs/>
                <w:color w:val="auto"/>
                <w:szCs w:val="21"/>
              </w:rPr>
              <w:t>年</w:t>
            </w:r>
            <w:r>
              <w:rPr>
                <w:rFonts w:hint="eastAsia" w:asciiTheme="minorEastAsia" w:hAnsiTheme="minorEastAsia" w:eastAsiaTheme="minorEastAsia" w:cstheme="minorEastAsia"/>
                <w:b/>
                <w:bCs/>
                <w:color w:val="auto"/>
                <w:szCs w:val="21"/>
                <w:lang w:val="en-US" w:eastAsia="zh-CN"/>
              </w:rPr>
              <w:t>07月20日下</w:t>
            </w:r>
            <w:r>
              <w:rPr>
                <w:rFonts w:hint="eastAsia" w:asciiTheme="minorEastAsia" w:hAnsiTheme="minorEastAsia" w:eastAsiaTheme="minorEastAsia" w:cstheme="minorEastAsia"/>
                <w:b/>
                <w:bCs/>
                <w:color w:val="auto"/>
                <w:szCs w:val="21"/>
              </w:rPr>
              <w:t>午</w:t>
            </w:r>
            <w:r>
              <w:rPr>
                <w:rFonts w:hint="eastAsia" w:asciiTheme="minorEastAsia" w:hAnsiTheme="minorEastAsia" w:eastAsiaTheme="minorEastAsia" w:cstheme="minorEastAsia"/>
                <w:b/>
                <w:bCs/>
                <w:color w:val="auto"/>
                <w:szCs w:val="21"/>
                <w:lang w:val="en-US" w:eastAsia="zh-CN"/>
              </w:rPr>
              <w:t>15</w:t>
            </w:r>
            <w:bookmarkStart w:id="100" w:name="_GoBack"/>
            <w:bookmarkEnd w:id="100"/>
            <w:r>
              <w:rPr>
                <w:rFonts w:hint="eastAsia" w:asciiTheme="minorEastAsia" w:hAnsiTheme="minorEastAsia" w:eastAsiaTheme="minorEastAsia" w:cstheme="minorEastAsia"/>
                <w:b/>
                <w:bCs/>
                <w:color w:val="auto"/>
                <w:szCs w:val="21"/>
              </w:rPr>
              <w:t>时整(北京时间)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 w:hRule="atLeast"/>
          <w:jc w:val="center"/>
        </w:trPr>
        <w:tc>
          <w:tcPr>
            <w:tcW w:w="10460" w:type="dxa"/>
            <w:gridSpan w:val="3"/>
            <w:vAlign w:val="center"/>
          </w:tcPr>
          <w:p>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三、响应文件的编写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42" w:hRule="atLeast"/>
          <w:jc w:val="center"/>
        </w:trPr>
        <w:tc>
          <w:tcPr>
            <w:tcW w:w="1617" w:type="dxa"/>
            <w:vAlign w:val="center"/>
          </w:tcPr>
          <w:p>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第二章第16.4款</w:t>
            </w:r>
          </w:p>
        </w:tc>
        <w:tc>
          <w:tcPr>
            <w:tcW w:w="1808" w:type="dxa"/>
            <w:vAlign w:val="center"/>
          </w:tcPr>
          <w:p>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采购项目预算</w:t>
            </w:r>
          </w:p>
        </w:tc>
        <w:tc>
          <w:tcPr>
            <w:tcW w:w="7035" w:type="dxa"/>
            <w:vAlign w:val="center"/>
          </w:tcPr>
          <w:p>
            <w:pPr>
              <w:adjustRightInd w:val="0"/>
              <w:snapToGrid w:val="0"/>
              <w:spacing w:line="360" w:lineRule="auto"/>
              <w:rPr>
                <w:rFonts w:asciiTheme="minorEastAsia" w:hAnsiTheme="minorEastAsia" w:eastAsiaTheme="minorEastAsia" w:cstheme="minorEastAsia"/>
                <w:color w:val="auto"/>
                <w:szCs w:val="21"/>
              </w:rPr>
            </w:pPr>
            <w:r>
              <w:rPr>
                <w:rFonts w:hint="eastAsia" w:ascii="宋体" w:hAnsi="宋体" w:eastAsia="宋体" w:cs="宋体"/>
                <w:color w:val="auto"/>
                <w:szCs w:val="21"/>
                <w:lang w:eastAsia="zh-CN"/>
              </w:rPr>
              <w:t>￥</w:t>
            </w:r>
            <w:r>
              <w:rPr>
                <w:rFonts w:hint="eastAsia" w:ascii="宋体" w:hAnsi="宋体" w:cs="宋体"/>
                <w:color w:val="auto"/>
                <w:szCs w:val="21"/>
                <w:lang w:eastAsia="zh-CN"/>
              </w:rPr>
              <w:t>3032563.94元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42" w:hRule="atLeast"/>
          <w:jc w:val="center"/>
        </w:trPr>
        <w:tc>
          <w:tcPr>
            <w:tcW w:w="1617" w:type="dxa"/>
            <w:vAlign w:val="center"/>
          </w:tcPr>
          <w:p>
            <w:pPr>
              <w:adjustRightInd w:val="0"/>
              <w:snapToGrid w:val="0"/>
              <w:spacing w:line="360" w:lineRule="auto"/>
              <w:jc w:val="center"/>
              <w:rPr>
                <w:rFonts w:asciiTheme="minorEastAsia" w:hAnsiTheme="minorEastAsia" w:eastAsiaTheme="minorEastAsia" w:cstheme="minorEastAsia"/>
                <w:color w:val="auto"/>
                <w:szCs w:val="21"/>
              </w:rPr>
            </w:pPr>
          </w:p>
        </w:tc>
        <w:tc>
          <w:tcPr>
            <w:tcW w:w="1808" w:type="dxa"/>
            <w:vAlign w:val="center"/>
          </w:tcPr>
          <w:p>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工期要求</w:t>
            </w:r>
          </w:p>
        </w:tc>
        <w:tc>
          <w:tcPr>
            <w:tcW w:w="7035" w:type="dxa"/>
            <w:vAlign w:val="center"/>
          </w:tcPr>
          <w:p>
            <w:pPr>
              <w:adjustRightInd w:val="0"/>
              <w:snapToGrid w:val="0"/>
              <w:spacing w:line="360" w:lineRule="auto"/>
              <w:rPr>
                <w:rFonts w:hint="default" w:ascii="宋体" w:hAnsi="宋体" w:eastAsia="宋体" w:cs="宋体"/>
                <w:b/>
                <w:bCs/>
                <w:color w:val="auto"/>
                <w:szCs w:val="21"/>
                <w:lang w:val="en-US" w:eastAsia="zh-CN"/>
              </w:rPr>
            </w:pPr>
            <w:r>
              <w:rPr>
                <w:rFonts w:hint="eastAsia" w:ascii="宋体" w:hAnsi="宋体" w:cs="宋体"/>
                <w:color w:val="auto"/>
                <w:szCs w:val="21"/>
                <w:lang w:eastAsia="zh-CN"/>
              </w:rPr>
              <w:t>合同中明确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 w:hRule="atLeast"/>
          <w:jc w:val="center"/>
        </w:trPr>
        <w:tc>
          <w:tcPr>
            <w:tcW w:w="1617" w:type="dxa"/>
            <w:vAlign w:val="center"/>
          </w:tcPr>
          <w:p>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第二章第17.3款</w:t>
            </w:r>
          </w:p>
        </w:tc>
        <w:tc>
          <w:tcPr>
            <w:tcW w:w="1808"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非制造商的证明文件</w:t>
            </w:r>
          </w:p>
        </w:tc>
        <w:tc>
          <w:tcPr>
            <w:tcW w:w="7035" w:type="dxa"/>
            <w:vAlign w:val="center"/>
          </w:tcPr>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不要求提供</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要求提供：（证明文件复印件须加盖供应商单位公章，否则视为无效响应。）</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经销、或代理投标货物、或为投标货物提供售后服务的证明文件。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 w:hRule="atLeast"/>
          <w:jc w:val="center"/>
        </w:trPr>
        <w:tc>
          <w:tcPr>
            <w:tcW w:w="1617" w:type="dxa"/>
            <w:vAlign w:val="center"/>
          </w:tcPr>
          <w:p>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第二章第18.1款</w:t>
            </w:r>
          </w:p>
        </w:tc>
        <w:tc>
          <w:tcPr>
            <w:tcW w:w="1808"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样品提供及样品提交的时间、地点</w:t>
            </w:r>
          </w:p>
        </w:tc>
        <w:tc>
          <w:tcPr>
            <w:tcW w:w="7035" w:type="dxa"/>
            <w:vAlign w:val="center"/>
          </w:tcPr>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不要求提供</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要求提供，提交的样品,提交的时间、地点。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 w:hRule="atLeast"/>
          <w:jc w:val="center"/>
        </w:trPr>
        <w:tc>
          <w:tcPr>
            <w:tcW w:w="1617" w:type="dxa"/>
            <w:vAlign w:val="center"/>
          </w:tcPr>
          <w:p>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第二章第19.1款</w:t>
            </w:r>
          </w:p>
        </w:tc>
        <w:tc>
          <w:tcPr>
            <w:tcW w:w="1808"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磋商保证金</w:t>
            </w:r>
          </w:p>
        </w:tc>
        <w:tc>
          <w:tcPr>
            <w:tcW w:w="7035" w:type="dxa"/>
            <w:vAlign w:val="center"/>
          </w:tcPr>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不要求提供</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要求提供</w:t>
            </w:r>
          </w:p>
          <w:p>
            <w:pPr>
              <w:adjustRightInd w:val="0"/>
              <w:snapToGrid w:val="0"/>
              <w:spacing w:line="280" w:lineRule="exact"/>
              <w:jc w:val="left"/>
              <w:rPr>
                <w:rFonts w:ascii="宋体" w:hAnsi="宋体"/>
                <w:color w:val="auto"/>
                <w:szCs w:val="21"/>
              </w:rPr>
            </w:pPr>
            <w:r>
              <w:rPr>
                <w:rFonts w:hint="eastAsia" w:ascii="宋体" w:hAnsi="宋体"/>
                <w:color w:val="auto"/>
                <w:szCs w:val="21"/>
              </w:rPr>
              <w:t>数额为：/元</w:t>
            </w:r>
          </w:p>
          <w:p>
            <w:pPr>
              <w:adjustRightInd w:val="0"/>
              <w:snapToGrid w:val="0"/>
              <w:rPr>
                <w:rFonts w:asciiTheme="minorEastAsia" w:hAnsiTheme="minorEastAsia" w:eastAsiaTheme="minorEastAsia" w:cstheme="minorEastAsia"/>
                <w:color w:val="auto"/>
                <w:szCs w:val="21"/>
              </w:rPr>
            </w:pPr>
            <w:r>
              <w:rPr>
                <w:rFonts w:hint="eastAsia" w:ascii="宋体" w:hAnsi="宋体"/>
                <w:color w:val="auto"/>
                <w:szCs w:val="21"/>
              </w:rPr>
              <w:t>交纳方式：详见“第一章 邀请通知”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617" w:type="dxa"/>
            <w:vAlign w:val="center"/>
          </w:tcPr>
          <w:p>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第二章第20.1款</w:t>
            </w:r>
          </w:p>
        </w:tc>
        <w:tc>
          <w:tcPr>
            <w:tcW w:w="1808"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响应文件有效期</w:t>
            </w:r>
          </w:p>
        </w:tc>
        <w:tc>
          <w:tcPr>
            <w:tcW w:w="7035" w:type="dxa"/>
            <w:vAlign w:val="center"/>
          </w:tcPr>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90日（日历日）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617" w:type="dxa"/>
            <w:vAlign w:val="center"/>
          </w:tcPr>
          <w:p>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第二章第21.1款</w:t>
            </w:r>
          </w:p>
        </w:tc>
        <w:tc>
          <w:tcPr>
            <w:tcW w:w="1808"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响应文件份数</w:t>
            </w:r>
          </w:p>
        </w:tc>
        <w:tc>
          <w:tcPr>
            <w:tcW w:w="7035" w:type="dxa"/>
            <w:vAlign w:val="center"/>
          </w:tcPr>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3份（正本一份，副本二份，电子版一份）</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 w:hRule="atLeast"/>
          <w:jc w:val="center"/>
        </w:trPr>
        <w:tc>
          <w:tcPr>
            <w:tcW w:w="10460" w:type="dxa"/>
            <w:gridSpan w:val="3"/>
            <w:vAlign w:val="center"/>
          </w:tcPr>
          <w:p>
            <w:pPr>
              <w:adjustRightInd w:val="0"/>
              <w:snapToGrid w:val="0"/>
              <w:spacing w:line="360" w:lineRule="auto"/>
              <w:jc w:val="center"/>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color w:val="auto"/>
                <w:szCs w:val="21"/>
              </w:rPr>
              <w:t>四、响应文件的递交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59" w:hRule="atLeast"/>
          <w:jc w:val="center"/>
        </w:trPr>
        <w:tc>
          <w:tcPr>
            <w:tcW w:w="1617" w:type="dxa"/>
            <w:vAlign w:val="center"/>
          </w:tcPr>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第二章第22.2款</w:t>
            </w:r>
          </w:p>
        </w:tc>
        <w:tc>
          <w:tcPr>
            <w:tcW w:w="1808"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封套上应载明的信息</w:t>
            </w:r>
          </w:p>
        </w:tc>
        <w:tc>
          <w:tcPr>
            <w:tcW w:w="7035" w:type="dxa"/>
            <w:vAlign w:val="center"/>
          </w:tcPr>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u w:val="single"/>
              </w:rPr>
              <w:t xml:space="preserve">                      （项目名称）</w:t>
            </w:r>
            <w:r>
              <w:rPr>
                <w:rFonts w:hint="eastAsia" w:asciiTheme="minorEastAsia" w:hAnsiTheme="minorEastAsia" w:eastAsiaTheme="minorEastAsia" w:cstheme="minorEastAsia"/>
                <w:color w:val="auto"/>
                <w:szCs w:val="21"/>
              </w:rPr>
              <w:t>响应文件</w:t>
            </w:r>
          </w:p>
          <w:p>
            <w:pPr>
              <w:adjustRightInd w:val="0"/>
              <w:snapToGrid w:val="0"/>
              <w:rPr>
                <w:rFonts w:hint="default" w:asciiTheme="minorEastAsia" w:hAnsiTheme="minorEastAsia" w:eastAsiaTheme="minorEastAsia" w:cstheme="minorEastAsia"/>
                <w:color w:val="auto"/>
                <w:szCs w:val="21"/>
                <w:u w:val="single"/>
                <w:lang w:val="en-US" w:eastAsia="zh-CN"/>
              </w:rPr>
            </w:pPr>
            <w:r>
              <w:rPr>
                <w:rFonts w:hint="eastAsia" w:asciiTheme="minorEastAsia" w:hAnsiTheme="minorEastAsia" w:eastAsiaTheme="minorEastAsia" w:cstheme="minorEastAsia"/>
                <w:color w:val="auto"/>
                <w:szCs w:val="21"/>
              </w:rPr>
              <w:t>委托代理编号：</w:t>
            </w:r>
            <w:r>
              <w:rPr>
                <w:rFonts w:hint="eastAsia" w:asciiTheme="minorEastAsia" w:hAnsiTheme="minorEastAsia" w:eastAsiaTheme="minorEastAsia" w:cstheme="minorEastAsia"/>
                <w:color w:val="auto"/>
                <w:szCs w:val="21"/>
                <w:u w:val="single"/>
                <w:lang w:val="en-US" w:eastAsia="zh-CN"/>
              </w:rPr>
              <w:t xml:space="preserve">                   </w:t>
            </w:r>
          </w:p>
          <w:p>
            <w:pPr>
              <w:adjustRightInd w:val="0"/>
              <w:snapToGrid w:val="0"/>
              <w:rPr>
                <w:rFonts w:hint="default" w:asciiTheme="minorEastAsia" w:hAnsiTheme="minorEastAsia" w:eastAsiaTheme="minorEastAsia" w:cstheme="minorEastAsia"/>
                <w:color w:val="auto"/>
                <w:szCs w:val="21"/>
                <w:u w:val="single"/>
                <w:lang w:val="en-US" w:eastAsia="zh-CN"/>
              </w:rPr>
            </w:pPr>
            <w:r>
              <w:rPr>
                <w:rFonts w:hint="eastAsia" w:asciiTheme="minorEastAsia" w:hAnsiTheme="minorEastAsia" w:eastAsiaTheme="minorEastAsia" w:cstheme="minorEastAsia"/>
                <w:color w:val="auto"/>
                <w:szCs w:val="21"/>
              </w:rPr>
              <w:t>供应商名称：</w:t>
            </w:r>
            <w:r>
              <w:rPr>
                <w:rFonts w:hint="eastAsia" w:asciiTheme="minorEastAsia" w:hAnsiTheme="minorEastAsia" w:eastAsiaTheme="minorEastAsia" w:cstheme="minorEastAsia"/>
                <w:color w:val="auto"/>
                <w:szCs w:val="21"/>
                <w:u w:val="single"/>
                <w:lang w:val="en-US" w:eastAsia="zh-CN"/>
              </w:rPr>
              <w:t xml:space="preserve">                 </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u w:val="single"/>
              </w:rPr>
              <w:t>在</w:t>
            </w:r>
            <w:r>
              <w:rPr>
                <w:rFonts w:hint="eastAsia" w:ascii="宋体" w:hAnsi="宋体" w:cs="Times New Roman"/>
                <w:color w:val="auto"/>
                <w:szCs w:val="21"/>
                <w:u w:val="single"/>
                <w:lang w:eastAsia="zh-CN"/>
              </w:rPr>
              <w:t xml:space="preserve"> </w:t>
            </w:r>
            <w:r>
              <w:rPr>
                <w:rFonts w:hint="eastAsia" w:ascii="宋体" w:hAnsi="宋体" w:cs="Times New Roman"/>
                <w:color w:val="auto"/>
                <w:szCs w:val="21"/>
                <w:u w:val="single"/>
                <w:lang w:val="en-US" w:eastAsia="zh-CN"/>
              </w:rPr>
              <w:t xml:space="preserve">    </w:t>
            </w:r>
            <w:r>
              <w:rPr>
                <w:rFonts w:hint="eastAsia" w:ascii="宋体" w:hAnsi="宋体" w:cs="Times New Roman"/>
                <w:color w:val="auto"/>
                <w:szCs w:val="21"/>
                <w:u w:val="single"/>
                <w:lang w:eastAsia="zh-CN"/>
              </w:rPr>
              <w:t>年</w:t>
            </w:r>
            <w:r>
              <w:rPr>
                <w:rFonts w:hint="eastAsia" w:ascii="宋体" w:hAnsi="宋体" w:cs="Times New Roman"/>
                <w:color w:val="auto"/>
                <w:szCs w:val="21"/>
                <w:u w:val="single"/>
                <w:lang w:val="en-US" w:eastAsia="zh-CN"/>
              </w:rPr>
              <w:t xml:space="preserve">    月    日    </w:t>
            </w:r>
            <w:r>
              <w:rPr>
                <w:rFonts w:hint="eastAsia" w:ascii="宋体" w:hAnsi="宋体" w:cs="Times New Roman"/>
                <w:color w:val="auto"/>
                <w:szCs w:val="21"/>
                <w:u w:val="single"/>
                <w:lang w:eastAsia="zh-CN"/>
              </w:rPr>
              <w:t>时</w:t>
            </w:r>
            <w:r>
              <w:rPr>
                <w:rFonts w:hint="eastAsia" w:ascii="宋体" w:hAnsi="宋体" w:cs="Times New Roman"/>
                <w:color w:val="auto"/>
                <w:szCs w:val="21"/>
                <w:u w:val="single"/>
                <w:lang w:val="en-US" w:eastAsia="zh-CN"/>
              </w:rPr>
              <w:t xml:space="preserve">   </w:t>
            </w:r>
            <w:r>
              <w:rPr>
                <w:rFonts w:hint="eastAsia" w:ascii="宋体" w:hAnsi="宋体" w:cs="Times New Roman"/>
                <w:color w:val="auto"/>
                <w:szCs w:val="21"/>
                <w:u w:val="single"/>
                <w:lang w:eastAsia="zh-CN"/>
              </w:rPr>
              <w:t>分</w:t>
            </w:r>
            <w:r>
              <w:rPr>
                <w:rFonts w:hint="eastAsia" w:asciiTheme="minorEastAsia" w:hAnsiTheme="minorEastAsia" w:eastAsiaTheme="minorEastAsia" w:cstheme="minorEastAsia"/>
                <w:color w:val="auto"/>
                <w:szCs w:val="21"/>
                <w:u w:val="single"/>
              </w:rPr>
              <w:t>之前</w:t>
            </w:r>
            <w:r>
              <w:rPr>
                <w:rFonts w:hint="eastAsia" w:asciiTheme="minorEastAsia" w:hAnsiTheme="minorEastAsia" w:eastAsiaTheme="minorEastAsia" w:cstheme="minorEastAsia"/>
                <w:color w:val="auto"/>
                <w:szCs w:val="21"/>
              </w:rPr>
              <w:t>不得启封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617" w:type="dxa"/>
            <w:vAlign w:val="center"/>
          </w:tcPr>
          <w:p>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第二章第24.1款</w:t>
            </w:r>
          </w:p>
        </w:tc>
        <w:tc>
          <w:tcPr>
            <w:tcW w:w="1808"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响应文件的递交地点</w:t>
            </w:r>
          </w:p>
        </w:tc>
        <w:tc>
          <w:tcPr>
            <w:tcW w:w="7035" w:type="dxa"/>
            <w:vAlign w:val="center"/>
          </w:tcPr>
          <w:p>
            <w:pPr>
              <w:adjustRightInd w:val="0"/>
              <w:snapToGrid w:val="0"/>
              <w:rPr>
                <w:rFonts w:asciiTheme="minorEastAsia" w:hAnsiTheme="minorEastAsia" w:cstheme="minorEastAsia"/>
                <w:color w:val="auto"/>
                <w:szCs w:val="21"/>
              </w:rPr>
            </w:pPr>
            <w:r>
              <w:rPr>
                <w:rFonts w:hint="eastAsia" w:ascii="宋体" w:hAnsi="宋体"/>
                <w:color w:val="auto"/>
                <w:szCs w:val="21"/>
                <w:lang w:eastAsia="zh-CN"/>
              </w:rPr>
              <w:t>中采联合招标有限公司</w:t>
            </w:r>
            <w:r>
              <w:rPr>
                <w:rFonts w:hint="eastAsia" w:ascii="宋体" w:hAnsi="宋体"/>
                <w:color w:val="auto"/>
                <w:szCs w:val="21"/>
              </w:rPr>
              <w:t>（</w:t>
            </w:r>
            <w:r>
              <w:rPr>
                <w:rFonts w:hint="eastAsia" w:asciiTheme="minorEastAsia" w:hAnsiTheme="minorEastAsia" w:eastAsiaTheme="minorEastAsia" w:cstheme="minorEastAsia"/>
                <w:color w:val="auto"/>
                <w:szCs w:val="21"/>
              </w:rPr>
              <w:t>岳阳市</w:t>
            </w:r>
            <w:r>
              <w:rPr>
                <w:rFonts w:hint="eastAsia" w:ascii="宋体" w:hAnsi="宋体" w:cs="宋体"/>
                <w:color w:val="auto"/>
                <w:szCs w:val="21"/>
              </w:rPr>
              <w:t>临湘市连心路110号3楼301室</w:t>
            </w:r>
            <w:r>
              <w:rPr>
                <w:rFonts w:hint="eastAsia" w:ascii="宋体" w:hAnsi="宋体"/>
                <w:color w:val="auto"/>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0460" w:type="dxa"/>
            <w:gridSpan w:val="3"/>
            <w:vAlign w:val="center"/>
          </w:tcPr>
          <w:p>
            <w:pPr>
              <w:adjustRightInd w:val="0"/>
              <w:snapToGrid w:val="0"/>
              <w:spacing w:line="360" w:lineRule="auto"/>
              <w:jc w:val="center"/>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五、响应文件的磋商与评审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1617" w:type="dxa"/>
            <w:vAlign w:val="center"/>
          </w:tcPr>
          <w:p>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第二章第31.2款</w:t>
            </w:r>
          </w:p>
        </w:tc>
        <w:tc>
          <w:tcPr>
            <w:tcW w:w="1808" w:type="dxa"/>
            <w:vAlign w:val="center"/>
          </w:tcPr>
          <w:p>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评审因素和标准</w:t>
            </w:r>
          </w:p>
        </w:tc>
        <w:tc>
          <w:tcPr>
            <w:tcW w:w="7035" w:type="dxa"/>
            <w:vAlign w:val="center"/>
          </w:tcPr>
          <w:p>
            <w:pPr>
              <w:adjustRightInd w:val="0"/>
              <w:snapToGrid w:val="0"/>
              <w:spacing w:line="360" w:lineRule="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见附页4</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344" w:hRule="atLeast"/>
          <w:jc w:val="center"/>
        </w:trPr>
        <w:tc>
          <w:tcPr>
            <w:tcW w:w="1617" w:type="dxa"/>
            <w:vAlign w:val="center"/>
          </w:tcPr>
          <w:p>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第二章第31.3款</w:t>
            </w:r>
          </w:p>
        </w:tc>
        <w:tc>
          <w:tcPr>
            <w:tcW w:w="1808"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最后报价</w:t>
            </w:r>
            <w:r>
              <w:rPr>
                <w:rFonts w:hint="eastAsia" w:asciiTheme="minorEastAsia" w:hAnsiTheme="minorEastAsia" w:eastAsiaTheme="minorEastAsia" w:cstheme="minorEastAsia"/>
                <w:color w:val="auto"/>
                <w:szCs w:val="21"/>
              </w:rPr>
              <w:t>调整</w:t>
            </w:r>
          </w:p>
        </w:tc>
        <w:tc>
          <w:tcPr>
            <w:tcW w:w="7035" w:type="dxa"/>
            <w:vAlign w:val="center"/>
          </w:tcPr>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政府采购支持中小企业、残疾人福利性单位发展：</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小型或微型企业或残疾人福利性单位，价格扣除比例为</w:t>
            </w:r>
            <w:r>
              <w:rPr>
                <w:rFonts w:hint="eastAsia" w:asciiTheme="minorEastAsia" w:hAnsiTheme="minorEastAsia" w:eastAsiaTheme="minorEastAsia" w:cstheme="minorEastAsia"/>
                <w:color w:val="auto"/>
                <w:szCs w:val="21"/>
                <w:u w:val="single"/>
              </w:rPr>
              <w:t>/％</w:t>
            </w:r>
            <w:r>
              <w:rPr>
                <w:rFonts w:hint="eastAsia" w:asciiTheme="minorEastAsia" w:hAnsiTheme="minorEastAsia" w:eastAsiaTheme="minorEastAsia" w:cstheme="minorEastAsia"/>
                <w:color w:val="auto"/>
                <w:szCs w:val="21"/>
              </w:rPr>
              <w:t>；中型企业，价格扣除比例为</w:t>
            </w:r>
            <w:r>
              <w:rPr>
                <w:rFonts w:hint="eastAsia" w:asciiTheme="minorEastAsia" w:hAnsiTheme="minorEastAsia" w:eastAsiaTheme="minorEastAsia" w:cstheme="minorEastAsia"/>
                <w:color w:val="auto"/>
                <w:szCs w:val="21"/>
                <w:u w:val="single"/>
              </w:rPr>
              <w:t>/％</w:t>
            </w:r>
            <w:r>
              <w:rPr>
                <w:rFonts w:hint="eastAsia" w:asciiTheme="minorEastAsia" w:hAnsiTheme="minorEastAsia" w:eastAsiaTheme="minorEastAsia" w:cstheme="minorEastAsia"/>
                <w:color w:val="auto"/>
                <w:szCs w:val="21"/>
              </w:rPr>
              <w:t>；联合体投标的，价格扣除比例为</w:t>
            </w:r>
            <w:r>
              <w:rPr>
                <w:rFonts w:hint="eastAsia" w:asciiTheme="minorEastAsia" w:hAnsiTheme="minorEastAsia" w:eastAsiaTheme="minorEastAsia" w:cstheme="minorEastAsia"/>
                <w:color w:val="auto"/>
                <w:szCs w:val="21"/>
                <w:u w:val="single"/>
              </w:rPr>
              <w:t>/ %</w:t>
            </w:r>
            <w:r>
              <w:rPr>
                <w:rFonts w:hint="eastAsia" w:asciiTheme="minorEastAsia" w:hAnsiTheme="minorEastAsia" w:eastAsiaTheme="minorEastAsia" w:cstheme="minorEastAsia"/>
                <w:color w:val="auto"/>
                <w:szCs w:val="21"/>
              </w:rPr>
              <w:t>。评审时，用扣除后的最后报价计算价格分。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766" w:hRule="atLeast"/>
          <w:jc w:val="center"/>
        </w:trPr>
        <w:tc>
          <w:tcPr>
            <w:tcW w:w="1617" w:type="dxa"/>
            <w:vAlign w:val="center"/>
          </w:tcPr>
          <w:p>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第二章第31.5款</w:t>
            </w:r>
          </w:p>
        </w:tc>
        <w:tc>
          <w:tcPr>
            <w:tcW w:w="1808"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技术、商务、价格</w:t>
            </w:r>
            <w:r>
              <w:rPr>
                <w:rFonts w:hint="eastAsia" w:asciiTheme="minorEastAsia" w:hAnsiTheme="minorEastAsia" w:eastAsiaTheme="minorEastAsia" w:cstheme="minorEastAsia"/>
                <w:color w:val="auto"/>
                <w:kern w:val="0"/>
                <w:szCs w:val="21"/>
              </w:rPr>
              <w:t>得分或总得分</w:t>
            </w:r>
            <w:r>
              <w:rPr>
                <w:rFonts w:hint="eastAsia" w:asciiTheme="minorEastAsia" w:hAnsiTheme="minorEastAsia" w:eastAsiaTheme="minorEastAsia" w:cstheme="minorEastAsia"/>
                <w:color w:val="auto"/>
                <w:szCs w:val="21"/>
              </w:rPr>
              <w:t>调整</w:t>
            </w:r>
          </w:p>
        </w:tc>
        <w:tc>
          <w:tcPr>
            <w:tcW w:w="7035" w:type="dxa"/>
            <w:vAlign w:val="center"/>
          </w:tcPr>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符合第二章第9.1款规定，按第二章第31.6款规定及本款分值调整：</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节能产品：</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技术加分＝技术分值× 加分比例（比例见前附表第38.1项,下同）×（节能产品最后报价÷最后总报价）；</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价格加分＝价格分值×加分比例×（节能产品最后报价÷最后总报价）。</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2、环境标志产品：</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技术加分＝技术分值× 加分比例×（环境标志产品最后报价÷最后总报价）；</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价格加分＝价格分值×加分比例×（环境标志产品最后报价÷最后总报价）。3、两型产品：</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商务加分＝商务分值×加分比例×（两型产品最后报价÷最后总报价）；</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技术加分＝技术分值×加分比例×（两型产品最后报价÷最后总报价）；</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价格加分＝价格分值×加分比例×（两型产品最后报价÷最后总报价）。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705" w:hRule="atLeast"/>
          <w:jc w:val="center"/>
        </w:trPr>
        <w:tc>
          <w:tcPr>
            <w:tcW w:w="1617" w:type="dxa"/>
            <w:vAlign w:val="center"/>
          </w:tcPr>
          <w:p>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第二章第31.6款</w:t>
            </w:r>
          </w:p>
        </w:tc>
        <w:tc>
          <w:tcPr>
            <w:tcW w:w="1808" w:type="dxa"/>
            <w:vAlign w:val="center"/>
          </w:tcPr>
          <w:p>
            <w:pPr>
              <w:adjustRightInd w:val="0"/>
              <w:snapToGrid w:val="0"/>
              <w:spacing w:before="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多处或部分获得政府采购政策优惠的计算方法</w:t>
            </w:r>
          </w:p>
        </w:tc>
        <w:tc>
          <w:tcPr>
            <w:tcW w:w="7035" w:type="dxa"/>
            <w:vAlign w:val="center"/>
          </w:tcPr>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1、符合政府采购优先采购政策的，产品只能享受节能产品、环境标志产品、两型产品等产品优惠中的一项(由供应商在投标文件中选择并填报政策功能编码，评审时进行加分) 。</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2、供应商享受支持中小企业发展政策优惠的，可以与同时享受节能产品、环境标志产品、两型产品等产品优惠中的一项累加。</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3、同一项目中部分产品属于优先采购政策的，评审时只对该部分产品的报价实行加分。</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4、向残疾人福利性单位采购的金额，计入面向中小企业采购的统计数据。残疾人福利性单位属于小型、微型企业的，不重复享受政策。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13" w:hRule="atLeast"/>
          <w:jc w:val="center"/>
        </w:trPr>
        <w:tc>
          <w:tcPr>
            <w:tcW w:w="10460" w:type="dxa"/>
            <w:gridSpan w:val="3"/>
            <w:vAlign w:val="center"/>
          </w:tcPr>
          <w:p>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六、成交结果信息公布与授予合同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617" w:type="dxa"/>
            <w:vAlign w:val="center"/>
          </w:tcPr>
          <w:p>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第二章第37.1款、</w:t>
            </w:r>
          </w:p>
        </w:tc>
        <w:tc>
          <w:tcPr>
            <w:tcW w:w="1808"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财政部门指定的媒体</w:t>
            </w:r>
          </w:p>
        </w:tc>
        <w:tc>
          <w:tcPr>
            <w:tcW w:w="7035" w:type="dxa"/>
            <w:vAlign w:val="center"/>
          </w:tcPr>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《湖南政府采购网》（http://www.ccgp-hunan.gov.cn/）</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35" w:hRule="atLeast"/>
          <w:jc w:val="center"/>
        </w:trPr>
        <w:tc>
          <w:tcPr>
            <w:tcW w:w="1617" w:type="dxa"/>
            <w:vAlign w:val="center"/>
          </w:tcPr>
          <w:p>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第二章第39.3款</w:t>
            </w:r>
          </w:p>
        </w:tc>
        <w:tc>
          <w:tcPr>
            <w:tcW w:w="1808"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履约担保</w:t>
            </w:r>
          </w:p>
        </w:tc>
        <w:tc>
          <w:tcPr>
            <w:tcW w:w="7035" w:type="dxa"/>
            <w:vAlign w:val="center"/>
          </w:tcPr>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☑不要求提供</w:t>
            </w:r>
          </w:p>
          <w:p>
            <w:pPr>
              <w:adjustRightInd w:val="0"/>
              <w:snapToGrid w:val="0"/>
              <w:rPr>
                <w:rFonts w:asciiTheme="minorEastAsia" w:hAnsiTheme="minorEastAsia" w:eastAsiaTheme="minorEastAsia" w:cstheme="minorEastAsia"/>
                <w:color w:val="auto"/>
                <w:szCs w:val="21"/>
              </w:rPr>
            </w:pPr>
            <w:r>
              <w:rPr>
                <w:rFonts w:hint="eastAsia" w:ascii="宋体" w:hAnsi="宋体"/>
                <w:color w:val="auto"/>
                <w:szCs w:val="21"/>
              </w:rPr>
              <w:t xml:space="preserve">□ </w:t>
            </w:r>
            <w:r>
              <w:rPr>
                <w:rFonts w:hint="eastAsia" w:asciiTheme="minorEastAsia" w:hAnsiTheme="minorEastAsia" w:eastAsiaTheme="minorEastAsia" w:cstheme="minorEastAsia"/>
                <w:color w:val="auto"/>
                <w:szCs w:val="21"/>
              </w:rPr>
              <w:t xml:space="preserve"> 要求提供，履约担保的金额为：中标金额的5%。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41" w:hRule="atLeast"/>
          <w:jc w:val="center"/>
        </w:trPr>
        <w:tc>
          <w:tcPr>
            <w:tcW w:w="10460" w:type="dxa"/>
            <w:gridSpan w:val="3"/>
            <w:vAlign w:val="center"/>
          </w:tcPr>
          <w:p>
            <w:pPr>
              <w:adjustRightInd w:val="0"/>
              <w:snapToGrid w:val="0"/>
              <w:spacing w:line="360" w:lineRule="auto"/>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七、其他规定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285" w:hRule="atLeast"/>
          <w:jc w:val="center"/>
        </w:trPr>
        <w:tc>
          <w:tcPr>
            <w:tcW w:w="1617" w:type="dxa"/>
            <w:vAlign w:val="center"/>
          </w:tcPr>
          <w:p>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第二章第41.1款</w:t>
            </w:r>
          </w:p>
        </w:tc>
        <w:tc>
          <w:tcPr>
            <w:tcW w:w="1808"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采购代理服务费及劳务费</w:t>
            </w:r>
          </w:p>
        </w:tc>
        <w:tc>
          <w:tcPr>
            <w:tcW w:w="7035" w:type="dxa"/>
            <w:vAlign w:val="center"/>
          </w:tcPr>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招标代理服务费支付方式：按招标代理协议约定支付。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898" w:hRule="atLeast"/>
          <w:jc w:val="center"/>
        </w:trPr>
        <w:tc>
          <w:tcPr>
            <w:tcW w:w="1617" w:type="dxa"/>
            <w:vMerge w:val="restart"/>
            <w:vAlign w:val="center"/>
          </w:tcPr>
          <w:p>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第二章第42.1款</w:t>
            </w:r>
          </w:p>
        </w:tc>
        <w:tc>
          <w:tcPr>
            <w:tcW w:w="1808" w:type="dxa"/>
            <w:vAlign w:val="center"/>
          </w:tcPr>
          <w:p>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其他规定</w:t>
            </w:r>
          </w:p>
        </w:tc>
        <w:tc>
          <w:tcPr>
            <w:tcW w:w="7035" w:type="dxa"/>
            <w:vAlign w:val="center"/>
          </w:tcPr>
          <w:p>
            <w:pPr>
              <w:adjustRightInd w:val="0"/>
              <w:snapToGrid w:val="0"/>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对列入失信被执行人、重大税收违法案件当事人名单、政府采购严重违法失信行为记录名单的供应商，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adjustRightInd w:val="0"/>
              <w:snapToGrid w:val="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1、信用信息查询的查询渠道：“信用中国”网站（www.creditchina.gov.cn）、中国政府采购网（www.ccgp.gov.cn）。</w:t>
            </w:r>
          </w:p>
          <w:p>
            <w:pPr>
              <w:adjustRightInd w:val="0"/>
              <w:snapToGrid w:val="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2、信用信息查询的截止时点：至本项目投标截止时间止。</w:t>
            </w:r>
          </w:p>
          <w:p>
            <w:pPr>
              <w:adjustRightInd w:val="0"/>
              <w:snapToGrid w:val="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3、信用信息查询记录的具体方式：采购人或采购代理机构在开标后在规定的查询渠道进行查询。</w:t>
            </w:r>
          </w:p>
          <w:p>
            <w:pPr>
              <w:adjustRightInd w:val="0"/>
              <w:snapToGrid w:val="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4、信用信息查询记录证据留存的具体方式：查询记录的网上打印件。</w:t>
            </w:r>
          </w:p>
          <w:p>
            <w:pPr>
              <w:adjustRightInd w:val="0"/>
              <w:snapToGrid w:val="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5、信用信息的使用规则：查询后交由评标委员会评定。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538" w:hRule="atLeast"/>
          <w:jc w:val="center"/>
        </w:trPr>
        <w:tc>
          <w:tcPr>
            <w:tcW w:w="1617" w:type="dxa"/>
            <w:vMerge w:val="continue"/>
            <w:vAlign w:val="center"/>
          </w:tcPr>
          <w:p>
            <w:pPr>
              <w:adjustRightInd w:val="0"/>
              <w:snapToGrid w:val="0"/>
              <w:spacing w:line="360" w:lineRule="auto"/>
              <w:jc w:val="center"/>
              <w:rPr>
                <w:rFonts w:asciiTheme="minorEastAsia" w:hAnsiTheme="minorEastAsia" w:eastAsiaTheme="minorEastAsia" w:cstheme="minorEastAsia"/>
                <w:color w:val="auto"/>
                <w:szCs w:val="21"/>
              </w:rPr>
            </w:pPr>
          </w:p>
        </w:tc>
        <w:tc>
          <w:tcPr>
            <w:tcW w:w="1808" w:type="dxa"/>
            <w:vAlign w:val="center"/>
          </w:tcPr>
          <w:p>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无效响应的规定</w:t>
            </w:r>
          </w:p>
        </w:tc>
        <w:tc>
          <w:tcPr>
            <w:tcW w:w="7035" w:type="dxa"/>
            <w:vAlign w:val="center"/>
          </w:tcPr>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磋商小组在对资格性和符合性进行审查时，有下列情况之一的，属无效响应（★）：</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（1）供应商不具备磋商须知前附表第3.1款规定的供应商资格条件要求，或存在磋商须知正文第3.3款情形的；</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（2）联合体不符合磋商须知正文第3.2款规定的；</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（3）应交未交磋商保证金或金额不足、磋商保证金缴纳形式不符合磋商文件要求的；</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（4）响应文件未按照磋商文件要求签署、盖章的；</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（4）响应文件不满足磋商须知正文第27.1款规定的实质性要求的；</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（5）报价超过采购项目预算的；</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（6）响应文件有效期不足的；</w:t>
            </w:r>
          </w:p>
          <w:p>
            <w:pPr>
              <w:adjustRightInd w:val="0"/>
              <w:snapToGrid w:val="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zCs w:val="21"/>
              </w:rPr>
              <w:t>（7）响应文件不符合法律、规章、规范性文件和磋商文件规定及要求的。</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943" w:hRule="atLeast"/>
          <w:jc w:val="center"/>
        </w:trPr>
        <w:tc>
          <w:tcPr>
            <w:tcW w:w="1617" w:type="dxa"/>
            <w:vMerge w:val="continue"/>
            <w:vAlign w:val="center"/>
          </w:tcPr>
          <w:p>
            <w:pPr>
              <w:adjustRightInd w:val="0"/>
              <w:snapToGrid w:val="0"/>
              <w:spacing w:line="360" w:lineRule="auto"/>
              <w:jc w:val="center"/>
              <w:rPr>
                <w:rFonts w:asciiTheme="minorEastAsia" w:hAnsiTheme="minorEastAsia" w:eastAsiaTheme="minorEastAsia" w:cstheme="minorEastAsia"/>
                <w:color w:val="auto"/>
                <w:szCs w:val="21"/>
              </w:rPr>
            </w:pPr>
          </w:p>
        </w:tc>
        <w:tc>
          <w:tcPr>
            <w:tcW w:w="1808" w:type="dxa"/>
            <w:vAlign w:val="center"/>
          </w:tcPr>
          <w:p>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无效投标的规定</w:t>
            </w:r>
          </w:p>
        </w:tc>
        <w:tc>
          <w:tcPr>
            <w:tcW w:w="7035" w:type="dxa"/>
            <w:vAlign w:val="center"/>
          </w:tcPr>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投标人有下列情形之一的，视为无效投标（★）：</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（1）有一项资格证明文件未提交的；</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（2）提供不符合要求或虚假资格证明文件的；</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（3）资格证明文件过了有效期的；</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（4）资格证明文件资料未加盖投标人公章的。</w:t>
            </w:r>
          </w:p>
          <w:p>
            <w:pP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zCs w:val="21"/>
              </w:rPr>
              <w:t>（5）开标时未按文件要求提交原件证明资料的。</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934" w:hRule="atLeast"/>
          <w:jc w:val="center"/>
        </w:trPr>
        <w:tc>
          <w:tcPr>
            <w:tcW w:w="1617" w:type="dxa"/>
            <w:vMerge w:val="continue"/>
            <w:vAlign w:val="center"/>
          </w:tcPr>
          <w:p>
            <w:pPr>
              <w:adjustRightInd w:val="0"/>
              <w:snapToGrid w:val="0"/>
              <w:spacing w:line="360" w:lineRule="auto"/>
              <w:jc w:val="center"/>
              <w:rPr>
                <w:rFonts w:asciiTheme="minorEastAsia" w:hAnsiTheme="minorEastAsia" w:eastAsiaTheme="minorEastAsia" w:cstheme="minorEastAsia"/>
                <w:color w:val="auto"/>
                <w:szCs w:val="21"/>
              </w:rPr>
            </w:pPr>
          </w:p>
        </w:tc>
        <w:tc>
          <w:tcPr>
            <w:tcW w:w="1808"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废标的规定</w:t>
            </w:r>
          </w:p>
        </w:tc>
        <w:tc>
          <w:tcPr>
            <w:tcW w:w="7035" w:type="dxa"/>
            <w:vAlign w:val="center"/>
          </w:tcPr>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有下列情形之一时，评标委员会应予废标（★）：</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（1）符合专业条件的投标人或者对招标文件作实质性响应的投标人不足三家的；</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（2）出现影响采购公正的违法、违规行为的；</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（3）投标人的报价均超过了采购预算总价的；</w:t>
            </w:r>
          </w:p>
          <w:p>
            <w:pPr>
              <w:adjustRightInd w:val="0"/>
              <w:snapToGrid w:val="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zCs w:val="21"/>
              </w:rPr>
              <w:t>（4）因重大变故，采购任务取消的。</w:t>
            </w:r>
          </w:p>
        </w:tc>
      </w:tr>
    </w:tbl>
    <w:p>
      <w:pPr>
        <w:adjustRightInd w:val="0"/>
        <w:snapToGrid w:val="0"/>
        <w:spacing w:line="360" w:lineRule="auto"/>
        <w:rPr>
          <w:rFonts w:asciiTheme="minorEastAsia" w:hAnsiTheme="minorEastAsia" w:eastAsiaTheme="minorEastAsia" w:cstheme="minorEastAsia"/>
          <w:b/>
          <w:bCs/>
          <w:color w:val="auto"/>
          <w:szCs w:val="21"/>
        </w:rPr>
      </w:pPr>
    </w:p>
    <w:p>
      <w:pPr>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br w:type="page"/>
      </w:r>
    </w:p>
    <w:p>
      <w:pPr>
        <w:adjustRightInd w:val="0"/>
        <w:snapToGrid w:val="0"/>
        <w:spacing w:line="360" w:lineRule="auto"/>
        <w:outlineLvl w:val="1"/>
        <w:rPr>
          <w:rFonts w:asciiTheme="minorEastAsia" w:hAnsiTheme="minorEastAsia" w:eastAsiaTheme="minorEastAsia" w:cstheme="minorEastAsia"/>
          <w:b/>
          <w:bCs/>
          <w:color w:val="auto"/>
          <w:szCs w:val="21"/>
        </w:rPr>
      </w:pPr>
      <w:bookmarkStart w:id="8" w:name="_Toc11331"/>
      <w:r>
        <w:rPr>
          <w:rFonts w:hint="eastAsia" w:asciiTheme="minorEastAsia" w:hAnsiTheme="minorEastAsia" w:eastAsiaTheme="minorEastAsia" w:cstheme="minorEastAsia"/>
          <w:b/>
          <w:bCs/>
          <w:color w:val="auto"/>
          <w:szCs w:val="21"/>
        </w:rPr>
        <w:t>附页1</w:t>
      </w:r>
      <w:bookmarkEnd w:id="8"/>
    </w:p>
    <w:p>
      <w:pPr>
        <w:adjustRightInd w:val="0"/>
        <w:snapToGrid w:val="0"/>
        <w:spacing w:line="360" w:lineRule="auto"/>
        <w:jc w:val="center"/>
        <w:outlineLvl w:val="1"/>
        <w:rPr>
          <w:rFonts w:asciiTheme="minorEastAsia" w:hAnsiTheme="minorEastAsia" w:eastAsiaTheme="minorEastAsia" w:cstheme="minorEastAsia"/>
          <w:b/>
          <w:bCs/>
          <w:color w:val="auto"/>
          <w:sz w:val="28"/>
          <w:szCs w:val="28"/>
        </w:rPr>
      </w:pPr>
      <w:bookmarkStart w:id="9" w:name="_Toc26726"/>
      <w:r>
        <w:rPr>
          <w:rFonts w:hint="eastAsia" w:asciiTheme="minorEastAsia" w:hAnsiTheme="minorEastAsia" w:eastAsiaTheme="minorEastAsia" w:cstheme="minorEastAsia"/>
          <w:b/>
          <w:bCs/>
          <w:color w:val="auto"/>
          <w:kern w:val="0"/>
          <w:sz w:val="28"/>
          <w:szCs w:val="28"/>
        </w:rPr>
        <w:t>湖南省政府采购支持中小企业融资合作银行及联系人名单</w:t>
      </w:r>
      <w:bookmarkEnd w:id="9"/>
    </w:p>
    <w:tbl>
      <w:tblPr>
        <w:tblStyle w:val="45"/>
        <w:tblW w:w="9180"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700"/>
        <w:gridCol w:w="1080"/>
        <w:gridCol w:w="3060"/>
        <w:gridCol w:w="234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jc w:val="center"/>
        </w:trPr>
        <w:tc>
          <w:tcPr>
            <w:tcW w:w="2700" w:type="dxa"/>
            <w:vAlign w:val="center"/>
          </w:tcPr>
          <w:p>
            <w:pPr>
              <w:adjustRightInd w:val="0"/>
              <w:snapToGrid w:val="0"/>
              <w:spacing w:beforeLines="50" w:line="360" w:lineRule="auto"/>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bCs/>
                <w:color w:val="auto"/>
                <w:kern w:val="0"/>
                <w:szCs w:val="21"/>
              </w:rPr>
              <w:t>银行名称</w:t>
            </w:r>
          </w:p>
        </w:tc>
        <w:tc>
          <w:tcPr>
            <w:tcW w:w="1080" w:type="dxa"/>
            <w:vAlign w:val="center"/>
          </w:tcPr>
          <w:p>
            <w:pPr>
              <w:adjustRightInd w:val="0"/>
              <w:snapToGrid w:val="0"/>
              <w:spacing w:beforeLines="50" w:line="360" w:lineRule="auto"/>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bCs/>
                <w:color w:val="auto"/>
                <w:kern w:val="0"/>
                <w:szCs w:val="21"/>
              </w:rPr>
              <w:t>联系人</w:t>
            </w:r>
          </w:p>
        </w:tc>
        <w:tc>
          <w:tcPr>
            <w:tcW w:w="3060" w:type="dxa"/>
            <w:vAlign w:val="center"/>
          </w:tcPr>
          <w:p>
            <w:pPr>
              <w:adjustRightInd w:val="0"/>
              <w:snapToGrid w:val="0"/>
              <w:spacing w:beforeLines="50" w:line="360" w:lineRule="auto"/>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bCs/>
                <w:color w:val="auto"/>
                <w:kern w:val="0"/>
                <w:szCs w:val="21"/>
              </w:rPr>
              <w:t>职 务</w:t>
            </w:r>
          </w:p>
        </w:tc>
        <w:tc>
          <w:tcPr>
            <w:tcW w:w="2340" w:type="dxa"/>
            <w:vAlign w:val="center"/>
          </w:tcPr>
          <w:p>
            <w:pPr>
              <w:adjustRightInd w:val="0"/>
              <w:snapToGrid w:val="0"/>
              <w:spacing w:beforeLines="50" w:line="360" w:lineRule="auto"/>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bCs/>
                <w:color w:val="auto"/>
                <w:kern w:val="0"/>
                <w:szCs w:val="21"/>
              </w:rPr>
              <w:t>联系电话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270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交通银行湖南省分行</w:t>
            </w:r>
          </w:p>
        </w:tc>
        <w:tc>
          <w:tcPr>
            <w:tcW w:w="108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刘  波</w:t>
            </w:r>
          </w:p>
        </w:tc>
        <w:tc>
          <w:tcPr>
            <w:tcW w:w="306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名城支行客户经理</w:t>
            </w:r>
          </w:p>
        </w:tc>
        <w:tc>
          <w:tcPr>
            <w:tcW w:w="234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13874998873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80" w:hRule="atLeast"/>
          <w:jc w:val="center"/>
        </w:trPr>
        <w:tc>
          <w:tcPr>
            <w:tcW w:w="270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交通银行湖南省分行</w:t>
            </w:r>
          </w:p>
        </w:tc>
        <w:tc>
          <w:tcPr>
            <w:tcW w:w="108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肖勇光</w:t>
            </w:r>
          </w:p>
        </w:tc>
        <w:tc>
          <w:tcPr>
            <w:tcW w:w="306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分行高级经理</w:t>
            </w:r>
          </w:p>
        </w:tc>
        <w:tc>
          <w:tcPr>
            <w:tcW w:w="234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13755192647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10" w:hRule="atLeast"/>
          <w:jc w:val="center"/>
        </w:trPr>
        <w:tc>
          <w:tcPr>
            <w:tcW w:w="270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中国民生银行长沙分行</w:t>
            </w:r>
          </w:p>
        </w:tc>
        <w:tc>
          <w:tcPr>
            <w:tcW w:w="108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黄飞燕</w:t>
            </w:r>
          </w:p>
        </w:tc>
        <w:tc>
          <w:tcPr>
            <w:tcW w:w="306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营业部总经理</w:t>
            </w:r>
          </w:p>
        </w:tc>
        <w:tc>
          <w:tcPr>
            <w:tcW w:w="234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13308463468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10" w:hRule="atLeast"/>
          <w:jc w:val="center"/>
        </w:trPr>
        <w:tc>
          <w:tcPr>
            <w:tcW w:w="270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中国民生银行长沙分行</w:t>
            </w:r>
          </w:p>
        </w:tc>
        <w:tc>
          <w:tcPr>
            <w:tcW w:w="108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蒋寒奇</w:t>
            </w:r>
          </w:p>
        </w:tc>
        <w:tc>
          <w:tcPr>
            <w:tcW w:w="306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营业部中小企业客户经理</w:t>
            </w:r>
          </w:p>
        </w:tc>
        <w:tc>
          <w:tcPr>
            <w:tcW w:w="234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13548982975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50" w:hRule="atLeast"/>
          <w:jc w:val="center"/>
        </w:trPr>
        <w:tc>
          <w:tcPr>
            <w:tcW w:w="270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兴业银行长沙分行</w:t>
            </w:r>
          </w:p>
        </w:tc>
        <w:tc>
          <w:tcPr>
            <w:tcW w:w="108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刘栅延</w:t>
            </w:r>
          </w:p>
        </w:tc>
        <w:tc>
          <w:tcPr>
            <w:tcW w:w="306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支行行长</w:t>
            </w:r>
          </w:p>
        </w:tc>
        <w:tc>
          <w:tcPr>
            <w:tcW w:w="234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13337316405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270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兴业银行长沙分行</w:t>
            </w:r>
          </w:p>
        </w:tc>
        <w:tc>
          <w:tcPr>
            <w:tcW w:w="108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蒋修远</w:t>
            </w:r>
          </w:p>
        </w:tc>
        <w:tc>
          <w:tcPr>
            <w:tcW w:w="306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支行客户经理</w:t>
            </w:r>
          </w:p>
        </w:tc>
        <w:tc>
          <w:tcPr>
            <w:tcW w:w="234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18607310422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25" w:hRule="atLeast"/>
          <w:jc w:val="center"/>
        </w:trPr>
        <w:tc>
          <w:tcPr>
            <w:tcW w:w="270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中国光大银行长沙分行</w:t>
            </w:r>
          </w:p>
        </w:tc>
        <w:tc>
          <w:tcPr>
            <w:tcW w:w="108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邓永胜</w:t>
            </w:r>
          </w:p>
        </w:tc>
        <w:tc>
          <w:tcPr>
            <w:tcW w:w="306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岳麓支行副行长</w:t>
            </w:r>
          </w:p>
        </w:tc>
        <w:tc>
          <w:tcPr>
            <w:tcW w:w="234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13617319650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270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中信银行长沙分行</w:t>
            </w:r>
          </w:p>
        </w:tc>
        <w:tc>
          <w:tcPr>
            <w:tcW w:w="108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蔡学军</w:t>
            </w:r>
          </w:p>
        </w:tc>
        <w:tc>
          <w:tcPr>
            <w:tcW w:w="306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公司银行部负责人</w:t>
            </w:r>
          </w:p>
        </w:tc>
        <w:tc>
          <w:tcPr>
            <w:tcW w:w="234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13055167195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10" w:hRule="atLeast"/>
          <w:jc w:val="center"/>
        </w:trPr>
        <w:tc>
          <w:tcPr>
            <w:tcW w:w="270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中信银行长沙分行</w:t>
            </w:r>
          </w:p>
        </w:tc>
        <w:tc>
          <w:tcPr>
            <w:tcW w:w="108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宋学农</w:t>
            </w:r>
          </w:p>
        </w:tc>
        <w:tc>
          <w:tcPr>
            <w:tcW w:w="306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银行部综合管理部副总经理</w:t>
            </w:r>
          </w:p>
        </w:tc>
        <w:tc>
          <w:tcPr>
            <w:tcW w:w="234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0731-845822141</w:t>
            </w:r>
          </w:p>
        </w:tc>
      </w:tr>
    </w:tbl>
    <w:p>
      <w:pPr>
        <w:adjustRightInd w:val="0"/>
        <w:snapToGrid w:val="0"/>
        <w:spacing w:line="360" w:lineRule="auto"/>
        <w:rPr>
          <w:rFonts w:asciiTheme="minorEastAsia" w:hAnsiTheme="minorEastAsia" w:eastAsiaTheme="minorEastAsia" w:cstheme="minorEastAsia"/>
          <w:b/>
          <w:bCs/>
          <w:color w:val="auto"/>
          <w:szCs w:val="21"/>
        </w:rPr>
      </w:pPr>
    </w:p>
    <w:p>
      <w:pPr>
        <w:adjustRightInd w:val="0"/>
        <w:snapToGrid w:val="0"/>
        <w:spacing w:line="360" w:lineRule="auto"/>
        <w:rPr>
          <w:rFonts w:asciiTheme="minorEastAsia" w:hAnsiTheme="minorEastAsia" w:eastAsiaTheme="minorEastAsia" w:cstheme="minorEastAsia"/>
          <w:b/>
          <w:bCs/>
          <w:color w:val="auto"/>
          <w:szCs w:val="21"/>
        </w:rPr>
      </w:pPr>
    </w:p>
    <w:p>
      <w:pPr>
        <w:adjustRightInd w:val="0"/>
        <w:snapToGrid w:val="0"/>
        <w:spacing w:line="360" w:lineRule="auto"/>
        <w:outlineLvl w:val="1"/>
        <w:rPr>
          <w:rFonts w:asciiTheme="minorEastAsia" w:hAnsiTheme="minorEastAsia" w:eastAsiaTheme="minorEastAsia" w:cstheme="minorEastAsia"/>
          <w:b/>
          <w:bCs/>
          <w:color w:val="auto"/>
          <w:szCs w:val="21"/>
        </w:rPr>
      </w:pPr>
      <w:bookmarkStart w:id="10" w:name="_Toc21324"/>
      <w:r>
        <w:rPr>
          <w:rFonts w:hint="eastAsia" w:asciiTheme="minorEastAsia" w:hAnsiTheme="minorEastAsia" w:eastAsiaTheme="minorEastAsia" w:cstheme="minorEastAsia"/>
          <w:b/>
          <w:bCs/>
          <w:color w:val="auto"/>
          <w:szCs w:val="21"/>
        </w:rPr>
        <w:t>附页2</w:t>
      </w:r>
      <w:bookmarkEnd w:id="10"/>
    </w:p>
    <w:p>
      <w:pPr>
        <w:adjustRightInd w:val="0"/>
        <w:snapToGrid w:val="0"/>
        <w:spacing w:line="360" w:lineRule="auto"/>
        <w:jc w:val="center"/>
        <w:outlineLvl w:val="1"/>
        <w:rPr>
          <w:rFonts w:asciiTheme="minorEastAsia" w:hAnsiTheme="minorEastAsia" w:eastAsiaTheme="minorEastAsia" w:cstheme="minorEastAsia"/>
          <w:b/>
          <w:bCs/>
          <w:color w:val="auto"/>
          <w:sz w:val="28"/>
          <w:szCs w:val="28"/>
        </w:rPr>
      </w:pPr>
      <w:bookmarkStart w:id="11" w:name="_Toc19161"/>
      <w:r>
        <w:rPr>
          <w:rFonts w:hint="eastAsia" w:asciiTheme="minorEastAsia" w:hAnsiTheme="minorEastAsia" w:eastAsiaTheme="minorEastAsia" w:cstheme="minorEastAsia"/>
          <w:b/>
          <w:bCs/>
          <w:color w:val="auto"/>
          <w:kern w:val="0"/>
          <w:sz w:val="28"/>
          <w:szCs w:val="28"/>
        </w:rPr>
        <w:t>湖南省政府采购信用担保试点工作的</w:t>
      </w:r>
      <w:r>
        <w:rPr>
          <w:rFonts w:hint="eastAsia" w:asciiTheme="minorEastAsia" w:hAnsiTheme="minorEastAsia" w:eastAsiaTheme="minorEastAsia" w:cstheme="minorEastAsia"/>
          <w:b/>
          <w:color w:val="auto"/>
          <w:sz w:val="28"/>
          <w:szCs w:val="28"/>
        </w:rPr>
        <w:t>信用担保机构名单</w:t>
      </w:r>
      <w:bookmarkEnd w:id="11"/>
    </w:p>
    <w:tbl>
      <w:tblPr>
        <w:tblStyle w:val="45"/>
        <w:tblW w:w="9180"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20"/>
        <w:gridCol w:w="1080"/>
        <w:gridCol w:w="37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320" w:type="dxa"/>
            <w:vAlign w:val="center"/>
          </w:tcPr>
          <w:p>
            <w:pPr>
              <w:adjustRightInd w:val="0"/>
              <w:snapToGrid w:val="0"/>
              <w:spacing w:line="240" w:lineRule="exact"/>
              <w:jc w:val="center"/>
              <w:rPr>
                <w:rFonts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color w:val="auto"/>
                <w:szCs w:val="21"/>
              </w:rPr>
              <w:t>信用担保机构</w:t>
            </w:r>
          </w:p>
        </w:tc>
        <w:tc>
          <w:tcPr>
            <w:tcW w:w="1080" w:type="dxa"/>
            <w:vAlign w:val="center"/>
          </w:tcPr>
          <w:p>
            <w:pPr>
              <w:adjustRightInd w:val="0"/>
              <w:snapToGrid w:val="0"/>
              <w:spacing w:line="240" w:lineRule="exact"/>
              <w:jc w:val="center"/>
              <w:rPr>
                <w:rFonts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color w:val="auto"/>
                <w:szCs w:val="21"/>
              </w:rPr>
              <w:t>联系人</w:t>
            </w:r>
          </w:p>
        </w:tc>
        <w:tc>
          <w:tcPr>
            <w:tcW w:w="3780" w:type="dxa"/>
            <w:vAlign w:val="center"/>
          </w:tcPr>
          <w:p>
            <w:pPr>
              <w:adjustRightInd w:val="0"/>
              <w:snapToGrid w:val="0"/>
              <w:spacing w:line="240" w:lineRule="exact"/>
              <w:jc w:val="center"/>
              <w:rPr>
                <w:rFonts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color w:val="auto"/>
                <w:szCs w:val="21"/>
              </w:rPr>
              <w:t>联系电话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15" w:hRule="atLeast"/>
          <w:jc w:val="center"/>
        </w:trPr>
        <w:tc>
          <w:tcPr>
            <w:tcW w:w="4320" w:type="dxa"/>
            <w:vAlign w:val="center"/>
          </w:tcPr>
          <w:p>
            <w:pPr>
              <w:adjustRightInd w:val="0"/>
              <w:snapToGrid w:val="0"/>
              <w:spacing w:line="360" w:lineRule="auto"/>
              <w:jc w:val="center"/>
              <w:rPr>
                <w:rFonts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color w:val="auto"/>
                <w:szCs w:val="21"/>
              </w:rPr>
              <w:t>中国投资担保公司</w:t>
            </w:r>
          </w:p>
        </w:tc>
        <w:tc>
          <w:tcPr>
            <w:tcW w:w="1080" w:type="dxa"/>
            <w:vAlign w:val="center"/>
          </w:tcPr>
          <w:p>
            <w:pPr>
              <w:adjustRightInd w:val="0"/>
              <w:snapToGrid w:val="0"/>
              <w:spacing w:line="360" w:lineRule="auto"/>
              <w:jc w:val="center"/>
              <w:rPr>
                <w:rFonts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color w:val="auto"/>
                <w:szCs w:val="21"/>
              </w:rPr>
              <w:t>何  嘉</w:t>
            </w:r>
          </w:p>
        </w:tc>
        <w:tc>
          <w:tcPr>
            <w:tcW w:w="3780" w:type="dxa"/>
            <w:vAlign w:val="center"/>
          </w:tcPr>
          <w:p>
            <w:pPr>
              <w:adjustRightInd w:val="0"/>
              <w:snapToGrid w:val="0"/>
              <w:spacing w:line="360" w:lineRule="auto"/>
              <w:jc w:val="center"/>
              <w:rPr>
                <w:rFonts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color w:val="auto"/>
                <w:szCs w:val="21"/>
              </w:rPr>
              <w:t>010-88822659/13718642233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55" w:hRule="atLeast"/>
          <w:jc w:val="center"/>
        </w:trPr>
        <w:tc>
          <w:tcPr>
            <w:tcW w:w="4320" w:type="dxa"/>
            <w:vAlign w:val="center"/>
          </w:tcPr>
          <w:p>
            <w:pPr>
              <w:adjustRightInd w:val="0"/>
              <w:snapToGrid w:val="0"/>
              <w:spacing w:line="360" w:lineRule="auto"/>
              <w:jc w:val="center"/>
              <w:rPr>
                <w:rFonts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color w:val="auto"/>
                <w:szCs w:val="21"/>
              </w:rPr>
              <w:t>湖南省中小企业信用担保有限责任公司</w:t>
            </w:r>
          </w:p>
        </w:tc>
        <w:tc>
          <w:tcPr>
            <w:tcW w:w="1080" w:type="dxa"/>
            <w:vAlign w:val="center"/>
          </w:tcPr>
          <w:p>
            <w:pPr>
              <w:adjustRightInd w:val="0"/>
              <w:snapToGrid w:val="0"/>
              <w:spacing w:line="360" w:lineRule="auto"/>
              <w:jc w:val="center"/>
              <w:rPr>
                <w:rFonts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color w:val="auto"/>
                <w:szCs w:val="21"/>
              </w:rPr>
              <w:t>蔡建雄</w:t>
            </w:r>
          </w:p>
        </w:tc>
        <w:tc>
          <w:tcPr>
            <w:tcW w:w="3780" w:type="dxa"/>
            <w:vAlign w:val="center"/>
          </w:tcPr>
          <w:p>
            <w:pPr>
              <w:adjustRightInd w:val="0"/>
              <w:snapToGrid w:val="0"/>
              <w:spacing w:line="360" w:lineRule="auto"/>
              <w:jc w:val="center"/>
              <w:rPr>
                <w:rFonts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color w:val="auto"/>
                <w:szCs w:val="21"/>
              </w:rPr>
              <w:t>0731-84172390-201/15573193555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43" w:hRule="atLeast"/>
          <w:jc w:val="center"/>
        </w:trPr>
        <w:tc>
          <w:tcPr>
            <w:tcW w:w="4320" w:type="dxa"/>
            <w:vAlign w:val="center"/>
          </w:tcPr>
          <w:p>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湖南农业信用担保有限公司</w:t>
            </w:r>
          </w:p>
        </w:tc>
        <w:tc>
          <w:tcPr>
            <w:tcW w:w="1080" w:type="dxa"/>
            <w:vAlign w:val="center"/>
          </w:tcPr>
          <w:p>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彭  球</w:t>
            </w:r>
          </w:p>
          <w:p>
            <w:pPr>
              <w:adjustRightInd w:val="0"/>
              <w:snapToGrid w:val="0"/>
              <w:spacing w:line="360" w:lineRule="auto"/>
              <w:jc w:val="center"/>
              <w:rPr>
                <w:rFonts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color w:val="auto"/>
                <w:szCs w:val="21"/>
              </w:rPr>
              <w:t>邓霞英</w:t>
            </w:r>
          </w:p>
        </w:tc>
        <w:tc>
          <w:tcPr>
            <w:tcW w:w="3780" w:type="dxa"/>
            <w:vAlign w:val="center"/>
          </w:tcPr>
          <w:p>
            <w:pPr>
              <w:adjustRightInd w:val="0"/>
              <w:snapToGrid w:val="0"/>
              <w:spacing w:line="360" w:lineRule="auto"/>
              <w:jc w:val="center"/>
              <w:rPr>
                <w:rFonts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color w:val="auto"/>
                <w:szCs w:val="21"/>
              </w:rPr>
              <w:t>0731-89761702/13875980906 0731-89761706/13574125851</w:t>
            </w:r>
          </w:p>
        </w:tc>
      </w:tr>
    </w:tbl>
    <w:p>
      <w:pPr>
        <w:pStyle w:val="133"/>
        <w:widowControl w:val="0"/>
        <w:spacing w:beforeLines="50" w:line="600" w:lineRule="exact"/>
        <w:jc w:val="center"/>
        <w:rPr>
          <w:rFonts w:eastAsia="方正小标宋简体"/>
          <w:bCs/>
          <w:color w:val="auto"/>
          <w:sz w:val="40"/>
          <w:szCs w:val="40"/>
        </w:rPr>
      </w:pPr>
    </w:p>
    <w:p>
      <w:pPr>
        <w:pStyle w:val="133"/>
        <w:widowControl w:val="0"/>
        <w:spacing w:beforeLines="50" w:line="600" w:lineRule="exact"/>
        <w:jc w:val="center"/>
        <w:rPr>
          <w:rFonts w:eastAsia="方正小标宋简体"/>
          <w:bCs/>
          <w:color w:val="auto"/>
          <w:sz w:val="40"/>
          <w:szCs w:val="40"/>
        </w:rPr>
      </w:pPr>
    </w:p>
    <w:p>
      <w:pPr>
        <w:pStyle w:val="133"/>
        <w:widowControl w:val="0"/>
        <w:spacing w:beforeLines="50" w:line="600" w:lineRule="exact"/>
        <w:jc w:val="center"/>
        <w:rPr>
          <w:rFonts w:eastAsia="方正小标宋简体"/>
          <w:bCs/>
          <w:color w:val="auto"/>
          <w:sz w:val="40"/>
          <w:szCs w:val="40"/>
        </w:rPr>
      </w:pPr>
    </w:p>
    <w:p>
      <w:pPr>
        <w:pStyle w:val="133"/>
        <w:widowControl w:val="0"/>
        <w:spacing w:beforeLines="50" w:line="600" w:lineRule="exact"/>
        <w:jc w:val="center"/>
        <w:rPr>
          <w:rFonts w:eastAsia="方正小标宋简体"/>
          <w:bCs/>
          <w:color w:val="auto"/>
          <w:sz w:val="40"/>
          <w:szCs w:val="40"/>
        </w:rPr>
      </w:pPr>
      <w:r>
        <w:rPr>
          <w:rFonts w:eastAsia="方正小标宋简体"/>
          <w:bCs/>
          <w:color w:val="auto"/>
          <w:sz w:val="36"/>
          <w:szCs w:val="36"/>
        </w:rPr>
        <w:t>政府采购招标文件“中标贷”推广介绍</w:t>
      </w:r>
    </w:p>
    <w:p>
      <w:pPr>
        <w:pStyle w:val="133"/>
        <w:widowControl w:val="0"/>
        <w:spacing w:line="600" w:lineRule="exact"/>
        <w:ind w:firstLine="420"/>
        <w:rPr>
          <w:color w:val="auto"/>
        </w:rPr>
      </w:pPr>
    </w:p>
    <w:p>
      <w:pPr>
        <w:pStyle w:val="133"/>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为进一步优化营商环境，帮助企业解决融资难、融资贵的问题，所有在岳阳市成交的政府采购类项目，中标企业都可以通过中标贷平台在线向银行提出贷款申请。</w:t>
      </w:r>
    </w:p>
    <w:p>
      <w:pPr>
        <w:pStyle w:val="133"/>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中标贷是银行、担保公司等金融机构以工程建设、政府采购合同为载体，以财政支付为保障，以企业参与公共资源交易形成的信用为融资依据，向中标企业发放的信用贷款。</w:t>
      </w:r>
    </w:p>
    <w:p>
      <w:pPr>
        <w:pStyle w:val="133"/>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一、中标贷的特点</w:t>
      </w:r>
    </w:p>
    <w:p>
      <w:pPr>
        <w:pStyle w:val="133"/>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在线申请，快捷方便：中标企业用CA证书即可登录中标贷平台，进行在线申请。银行贷前、贷中调查需要的企业相关资料，都可以在线提交。</w:t>
      </w:r>
    </w:p>
    <w:p>
      <w:pPr>
        <w:pStyle w:val="133"/>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信用贷款，无需抵押：凭中标通知书，中标合同即可申请，无需抵押。</w:t>
      </w:r>
    </w:p>
    <w:p>
      <w:pPr>
        <w:pStyle w:val="133"/>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平台渠道，利率优惠：相比其他渠道的同类贷款，银行针对中标贷给出的利率优惠力度更大。</w:t>
      </w:r>
    </w:p>
    <w:p>
      <w:pPr>
        <w:pStyle w:val="133"/>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专用产品，放款快速：银行提供专用产品匹配中标贷，中标企业提交中标合同、约定还款账号等关键资料后，符合条件的，不超过15天即可放款。</w:t>
      </w:r>
    </w:p>
    <w:p>
      <w:pPr>
        <w:pStyle w:val="133"/>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二、中标贷的操作</w:t>
      </w:r>
    </w:p>
    <w:p>
      <w:pPr>
        <w:pStyle w:val="133"/>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登录入口：</w:t>
      </w:r>
    </w:p>
    <w:p>
      <w:pPr>
        <w:pStyle w:val="133"/>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岳阳市公共资源交易中心官网-中标贷平台，</w:t>
      </w:r>
    </w:p>
    <w:p>
      <w:pPr>
        <w:pStyle w:val="133"/>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或https://hnyy.biddingloan.com</w:t>
      </w:r>
    </w:p>
    <w:p>
      <w:pPr>
        <w:pStyle w:val="133"/>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登录工具：企业CA（湖南CA办理电话：0730-8181828）</w:t>
      </w:r>
    </w:p>
    <w:p>
      <w:pPr>
        <w:pStyle w:val="133"/>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贷款申请：详见“中标贷操作手册 ”。</w:t>
      </w:r>
    </w:p>
    <w:p>
      <w:pPr>
        <w:pStyle w:val="133"/>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岳阳市公共资源交易中心官网-办事服务-政府采购-【中标贷手册V1.2.4】，或下载</w:t>
      </w:r>
    </w:p>
    <w:p>
      <w:pPr>
        <w:pStyle w:val="133"/>
        <w:widowControl w:val="0"/>
        <w:spacing w:line="440" w:lineRule="exact"/>
        <w:ind w:firstLine="420" w:firstLineChars="200"/>
        <w:rPr>
          <w:rFonts w:asciiTheme="minorEastAsia" w:hAnsiTheme="minorEastAsia" w:eastAsiaTheme="minorEastAsia" w:cstheme="minorEastAsia"/>
          <w:color w:val="auto"/>
          <w:sz w:val="24"/>
          <w:szCs w:val="24"/>
        </w:rPr>
      </w:pPr>
      <w:r>
        <w:rPr>
          <w:color w:val="auto"/>
        </w:rPr>
        <w:fldChar w:fldCharType="begin"/>
      </w:r>
      <w:r>
        <w:rPr>
          <w:color w:val="auto"/>
        </w:rPr>
        <w:instrText xml:space="preserve"> HYPERLINK "http://ggzy.yueyang.gov.cn/uploadfiles/202009/20200917151230447.pdf" </w:instrText>
      </w:r>
      <w:r>
        <w:rPr>
          <w:color w:val="auto"/>
        </w:rPr>
        <w:fldChar w:fldCharType="separate"/>
      </w:r>
      <w:r>
        <w:rPr>
          <w:rStyle w:val="278"/>
          <w:rFonts w:hint="eastAsia" w:asciiTheme="minorEastAsia" w:hAnsiTheme="minorEastAsia" w:eastAsiaTheme="minorEastAsia" w:cstheme="minorEastAsia"/>
          <w:color w:val="auto"/>
          <w:sz w:val="24"/>
          <w:szCs w:val="24"/>
          <w:u w:val="none"/>
        </w:rPr>
        <w:t>http://ggzy.yueyang.gov.cn/uploadfiles/202009/20200917151230447.pdf</w:t>
      </w:r>
      <w:r>
        <w:rPr>
          <w:rStyle w:val="278"/>
          <w:rFonts w:hint="eastAsia" w:asciiTheme="minorEastAsia" w:hAnsiTheme="minorEastAsia" w:eastAsiaTheme="minorEastAsia" w:cstheme="minorEastAsia"/>
          <w:color w:val="auto"/>
          <w:sz w:val="24"/>
          <w:szCs w:val="24"/>
          <w:u w:val="none"/>
        </w:rPr>
        <w:fldChar w:fldCharType="end"/>
      </w:r>
    </w:p>
    <w:p>
      <w:pPr>
        <w:pStyle w:val="133"/>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三、业务咨询电话</w:t>
      </w:r>
    </w:p>
    <w:p>
      <w:pPr>
        <w:pStyle w:val="133"/>
        <w:widowControl w:val="0"/>
        <w:autoSpaceDN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0730-2966626，张女士</w:t>
      </w:r>
    </w:p>
    <w:p>
      <w:pPr>
        <w:pStyle w:val="133"/>
        <w:widowControl w:val="0"/>
        <w:autoSpaceDN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16673063296，陈工</w:t>
      </w:r>
    </w:p>
    <w:p>
      <w:pPr>
        <w:adjustRightInd w:val="0"/>
        <w:snapToGrid w:val="0"/>
        <w:spacing w:line="440" w:lineRule="exact"/>
        <w:rPr>
          <w:rFonts w:asciiTheme="minorEastAsia" w:hAnsiTheme="minorEastAsia" w:eastAsiaTheme="minorEastAsia" w:cstheme="minorEastAsia"/>
          <w:b/>
          <w:color w:val="auto"/>
          <w:sz w:val="24"/>
        </w:rPr>
        <w:sectPr>
          <w:headerReference r:id="rId3" w:type="default"/>
          <w:footerReference r:id="rId4" w:type="default"/>
          <w:pgSz w:w="11906" w:h="16838"/>
          <w:pgMar w:top="1440" w:right="1531" w:bottom="1440" w:left="1531" w:header="851" w:footer="992" w:gutter="0"/>
          <w:pgNumType w:start="0"/>
          <w:cols w:space="720" w:num="1"/>
          <w:titlePg/>
          <w:docGrid w:type="lines" w:linePitch="312" w:charSpace="0"/>
        </w:sectPr>
      </w:pPr>
    </w:p>
    <w:p>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附页3</w:t>
      </w:r>
    </w:p>
    <w:p>
      <w:pPr>
        <w:adjustRightInd w:val="0"/>
        <w:snapToGrid w:val="0"/>
        <w:spacing w:line="360" w:lineRule="auto"/>
        <w:jc w:val="center"/>
        <w:outlineLvl w:val="1"/>
        <w:rPr>
          <w:rFonts w:asciiTheme="minorEastAsia" w:hAnsiTheme="minorEastAsia" w:eastAsiaTheme="minorEastAsia" w:cstheme="minorEastAsia"/>
          <w:b/>
          <w:color w:val="auto"/>
          <w:kern w:val="0"/>
          <w:sz w:val="28"/>
          <w:szCs w:val="28"/>
        </w:rPr>
      </w:pPr>
      <w:bookmarkStart w:id="12" w:name="_Toc14560"/>
      <w:r>
        <w:rPr>
          <w:rFonts w:hint="eastAsia" w:asciiTheme="minorEastAsia" w:hAnsiTheme="minorEastAsia" w:eastAsiaTheme="minorEastAsia" w:cstheme="minorEastAsia"/>
          <w:b/>
          <w:color w:val="auto"/>
          <w:kern w:val="0"/>
          <w:sz w:val="28"/>
          <w:szCs w:val="28"/>
        </w:rPr>
        <w:t>政府采购履约担保函</w:t>
      </w:r>
      <w:bookmarkEnd w:id="12"/>
    </w:p>
    <w:p>
      <w:pPr>
        <w:adjustRightInd w:val="0"/>
        <w:snapToGrid w:val="0"/>
        <w:spacing w:line="360" w:lineRule="auto"/>
        <w:ind w:firstLine="630" w:firstLineChars="300"/>
        <w:rPr>
          <w:rFonts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color w:val="auto"/>
          <w:kern w:val="0"/>
          <w:szCs w:val="21"/>
        </w:rPr>
        <w:t>编号：</w:t>
      </w:r>
    </w:p>
    <w:p>
      <w:pPr>
        <w:adjustRightInd w:val="0"/>
        <w:snapToGrid w:val="0"/>
        <w:spacing w:line="360" w:lineRule="auto"/>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（采购人）： </w:t>
      </w:r>
    </w:p>
    <w:p>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鉴于你方与（以下简称供应商）于年月日签定编号为的《政府采购合同》（以下简称主合同），且依据该合同的约定，供应商应在年月日前向你方交纳履约保证金，且可以履约担保函的形式交纳履约保证金。应供应商的申请，我方以保证的方式向你方提供如下履约保证金担保：</w:t>
      </w:r>
    </w:p>
    <w:p>
      <w:pPr>
        <w:adjustRightInd w:val="0"/>
        <w:snapToGrid w:val="0"/>
        <w:spacing w:line="360" w:lineRule="auto"/>
        <w:ind w:firstLine="422" w:firstLineChars="200"/>
        <w:outlineLvl w:val="1"/>
        <w:rPr>
          <w:rFonts w:asciiTheme="minorEastAsia" w:hAnsiTheme="minorEastAsia" w:eastAsiaTheme="minorEastAsia" w:cstheme="minorEastAsia"/>
          <w:b/>
          <w:color w:val="auto"/>
          <w:kern w:val="0"/>
          <w:szCs w:val="21"/>
        </w:rPr>
      </w:pPr>
      <w:bookmarkStart w:id="13" w:name="_Toc14449"/>
      <w:r>
        <w:rPr>
          <w:rFonts w:hint="eastAsia" w:asciiTheme="minorEastAsia" w:hAnsiTheme="minorEastAsia" w:eastAsiaTheme="minorEastAsia" w:cstheme="minorEastAsia"/>
          <w:b/>
          <w:color w:val="auto"/>
          <w:kern w:val="0"/>
          <w:szCs w:val="21"/>
        </w:rPr>
        <w:t>一、保证责任的情形及保证金额</w:t>
      </w:r>
      <w:bookmarkEnd w:id="13"/>
    </w:p>
    <w:p>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（一）在供应商出现下列情形之一时，我方承担保证责任：</w:t>
      </w:r>
    </w:p>
    <w:p>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1．将中标项目转让给他人，或者在投标文件中未说明，且未经采购人同意，将中标项目分包给他人的；</w:t>
      </w:r>
    </w:p>
    <w:p>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2．主合同约定的应当缴纳履约保证金的情形: </w:t>
      </w:r>
    </w:p>
    <w:p>
      <w:pPr>
        <w:adjustRightInd w:val="0"/>
        <w:snapToGrid w:val="0"/>
        <w:spacing w:line="360" w:lineRule="auto"/>
        <w:ind w:firstLine="420" w:firstLineChars="200"/>
        <w:rPr>
          <w:rFonts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color w:val="auto"/>
          <w:kern w:val="0"/>
          <w:szCs w:val="21"/>
        </w:rPr>
        <w:t xml:space="preserve">（1）未按主合同约定的质量、数量和期限供应货物/提供服务/完成工程的； </w:t>
      </w:r>
    </w:p>
    <w:p>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（二）我方的保证范围是主合同约定的合同价款总额的%数额为元（大写），币种为。（即主合同履约保证金金额）</w:t>
      </w:r>
    </w:p>
    <w:p>
      <w:pPr>
        <w:adjustRightInd w:val="0"/>
        <w:snapToGrid w:val="0"/>
        <w:spacing w:line="360" w:lineRule="auto"/>
        <w:ind w:firstLine="422" w:firstLineChars="200"/>
        <w:outlineLvl w:val="1"/>
        <w:rPr>
          <w:rFonts w:asciiTheme="minorEastAsia" w:hAnsiTheme="minorEastAsia" w:eastAsiaTheme="minorEastAsia" w:cstheme="minorEastAsia"/>
          <w:b/>
          <w:color w:val="auto"/>
          <w:kern w:val="0"/>
          <w:szCs w:val="21"/>
        </w:rPr>
      </w:pPr>
      <w:bookmarkStart w:id="14" w:name="_Toc17854"/>
      <w:r>
        <w:rPr>
          <w:rFonts w:hint="eastAsia" w:asciiTheme="minorEastAsia" w:hAnsiTheme="minorEastAsia" w:eastAsiaTheme="minorEastAsia" w:cstheme="minorEastAsia"/>
          <w:b/>
          <w:color w:val="auto"/>
          <w:kern w:val="0"/>
          <w:szCs w:val="21"/>
        </w:rPr>
        <w:t>二、保证的方式及保证期间</w:t>
      </w:r>
      <w:bookmarkEnd w:id="14"/>
    </w:p>
    <w:p>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我方保证的方式为：连带责任保证。 </w:t>
      </w:r>
    </w:p>
    <w:p>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我方保证的期间为：自本合同生效之日起至供应商按照主合同约定的供货/完工期限届满后日内。</w:t>
      </w:r>
    </w:p>
    <w:p>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如果供应商未按主合同约定向贵方供应货物/提供服务/完成工程的，由我方在保证金额内向你方支付上述款项。 </w:t>
      </w:r>
    </w:p>
    <w:p>
      <w:pPr>
        <w:adjustRightInd w:val="0"/>
        <w:snapToGrid w:val="0"/>
        <w:spacing w:line="360" w:lineRule="auto"/>
        <w:ind w:firstLine="422" w:firstLineChars="200"/>
        <w:outlineLvl w:val="1"/>
        <w:rPr>
          <w:rFonts w:asciiTheme="minorEastAsia" w:hAnsiTheme="minorEastAsia" w:eastAsiaTheme="minorEastAsia" w:cstheme="minorEastAsia"/>
          <w:b/>
          <w:color w:val="auto"/>
          <w:kern w:val="0"/>
          <w:szCs w:val="21"/>
        </w:rPr>
      </w:pPr>
      <w:bookmarkStart w:id="15" w:name="_Toc32522"/>
      <w:r>
        <w:rPr>
          <w:rFonts w:hint="eastAsia" w:asciiTheme="minorEastAsia" w:hAnsiTheme="minorEastAsia" w:eastAsiaTheme="minorEastAsia" w:cstheme="minorEastAsia"/>
          <w:b/>
          <w:color w:val="auto"/>
          <w:kern w:val="0"/>
          <w:szCs w:val="21"/>
        </w:rPr>
        <w:t>三、承担保证责任的程序</w:t>
      </w:r>
      <w:bookmarkEnd w:id="15"/>
    </w:p>
    <w:p>
      <w:pPr>
        <w:adjustRightInd w:val="0"/>
        <w:snapToGrid w:val="0"/>
        <w:spacing w:line="360" w:lineRule="auto"/>
        <w:ind w:firstLine="420" w:firstLineChars="200"/>
        <w:rPr>
          <w:rFonts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color w:val="auto"/>
          <w:kern w:val="0"/>
          <w:szCs w:val="21"/>
        </w:rPr>
        <w:t xml:space="preserve">1．你方要求我方承担保证责任的，应在本保函保证期间内向我方发出书面索赔通知。索赔通知应写明要求索赔的金额，支付款项应到达的帐号。并附有证明供应商违约事实的证明材料。 </w:t>
      </w:r>
    </w:p>
    <w:p>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如果你方与供应商因货物质量问题产生争议，你方还需同时提供部门出具的质量检测报告，或经诉讼（仲裁）程序裁决后的裁决书、调解书，本保证人即按照检测结果或裁决书、调解书决定是否承担保证责任。</w:t>
      </w:r>
    </w:p>
    <w:p>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2．我方收到你方的书面索赔通知及相应证明材料，在工作日内进行核定后按照本保函的承诺承担保证责任。</w:t>
      </w:r>
    </w:p>
    <w:p>
      <w:pPr>
        <w:adjustRightInd w:val="0"/>
        <w:snapToGrid w:val="0"/>
        <w:spacing w:line="360" w:lineRule="auto"/>
        <w:ind w:firstLine="422" w:firstLineChars="200"/>
        <w:outlineLvl w:val="1"/>
        <w:rPr>
          <w:rFonts w:asciiTheme="minorEastAsia" w:hAnsiTheme="minorEastAsia" w:eastAsiaTheme="minorEastAsia" w:cstheme="minorEastAsia"/>
          <w:b/>
          <w:color w:val="auto"/>
          <w:kern w:val="0"/>
          <w:szCs w:val="21"/>
        </w:rPr>
      </w:pPr>
      <w:bookmarkStart w:id="16" w:name="_Toc24578"/>
      <w:r>
        <w:rPr>
          <w:rFonts w:hint="eastAsia" w:asciiTheme="minorEastAsia" w:hAnsiTheme="minorEastAsia" w:eastAsiaTheme="minorEastAsia" w:cstheme="minorEastAsia"/>
          <w:b/>
          <w:color w:val="auto"/>
          <w:kern w:val="0"/>
          <w:szCs w:val="21"/>
        </w:rPr>
        <w:t>四、保证责任的终止</w:t>
      </w:r>
      <w:bookmarkEnd w:id="16"/>
    </w:p>
    <w:p>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1．保证期间届满你方未向我方书面主张保证责任的，自保证期间届满次日起，我方保证责任自动终止。保证期间届满前，主合同约定的货物\工程\服务全部验收合格的，自验收合格日起，我方保证责任自动终止。</w:t>
      </w:r>
    </w:p>
    <w:p>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2．我方按照本保函向你方履行了保证责任后，自我方向你方支付款项（支付款项从我方账户划出）之日起，保证责任即终止。</w:t>
      </w:r>
    </w:p>
    <w:p>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3．按照法律法规的规定或出现应终止我方保证责任的其它情形的，我方在本保函项下的保证责任亦终止。</w:t>
      </w:r>
    </w:p>
    <w:p>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adjustRightInd w:val="0"/>
        <w:snapToGrid w:val="0"/>
        <w:spacing w:line="360" w:lineRule="auto"/>
        <w:ind w:firstLine="422" w:firstLineChars="200"/>
        <w:outlineLvl w:val="1"/>
        <w:rPr>
          <w:rFonts w:asciiTheme="minorEastAsia" w:hAnsiTheme="minorEastAsia" w:eastAsiaTheme="minorEastAsia" w:cstheme="minorEastAsia"/>
          <w:b/>
          <w:color w:val="auto"/>
          <w:kern w:val="0"/>
          <w:szCs w:val="21"/>
        </w:rPr>
      </w:pPr>
      <w:bookmarkStart w:id="17" w:name="_Toc17717"/>
      <w:r>
        <w:rPr>
          <w:rFonts w:hint="eastAsia" w:asciiTheme="minorEastAsia" w:hAnsiTheme="minorEastAsia" w:eastAsiaTheme="minorEastAsia" w:cstheme="minorEastAsia"/>
          <w:b/>
          <w:color w:val="auto"/>
          <w:kern w:val="0"/>
          <w:szCs w:val="21"/>
        </w:rPr>
        <w:t>五、免责条款</w:t>
      </w:r>
      <w:bookmarkEnd w:id="17"/>
    </w:p>
    <w:p>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1．因你方违反主合同约定致使供应商不能履行义务的，我方不承担保证责任。</w:t>
      </w:r>
    </w:p>
    <w:p>
      <w:pPr>
        <w:adjustRightInd w:val="0"/>
        <w:snapToGrid w:val="0"/>
        <w:spacing w:line="360" w:lineRule="auto"/>
        <w:ind w:firstLine="420" w:firstLineChars="200"/>
        <w:rPr>
          <w:rFonts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color w:val="auto"/>
          <w:kern w:val="0"/>
          <w:szCs w:val="21"/>
        </w:rPr>
        <w:t>2．依照法律法规的规定或你方与供应商的另行约定，全部或者部分免除供应商应缴纳的保证金义务的，我方亦免除相应的保证责任。</w:t>
      </w:r>
    </w:p>
    <w:p>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3．因不可抗力造成供应商不能履行供货义务的，我方不承担保证责任。</w:t>
      </w:r>
    </w:p>
    <w:p>
      <w:pPr>
        <w:adjustRightInd w:val="0"/>
        <w:snapToGrid w:val="0"/>
        <w:spacing w:line="360" w:lineRule="auto"/>
        <w:ind w:firstLine="422" w:firstLineChars="200"/>
        <w:outlineLvl w:val="1"/>
        <w:rPr>
          <w:rFonts w:asciiTheme="minorEastAsia" w:hAnsiTheme="minorEastAsia" w:eastAsiaTheme="minorEastAsia" w:cstheme="minorEastAsia"/>
          <w:b/>
          <w:color w:val="auto"/>
          <w:kern w:val="0"/>
          <w:szCs w:val="21"/>
        </w:rPr>
      </w:pPr>
      <w:bookmarkStart w:id="18" w:name="_Toc12600"/>
      <w:r>
        <w:rPr>
          <w:rFonts w:hint="eastAsia" w:asciiTheme="minorEastAsia" w:hAnsiTheme="minorEastAsia" w:eastAsiaTheme="minorEastAsia" w:cstheme="minorEastAsia"/>
          <w:b/>
          <w:color w:val="auto"/>
          <w:kern w:val="0"/>
          <w:szCs w:val="21"/>
        </w:rPr>
        <w:t>六、争议的解决</w:t>
      </w:r>
      <w:bookmarkEnd w:id="18"/>
    </w:p>
    <w:p>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因本保函发生的纠纷，由你我双方协商解决，协商不成的，通过诉讼程序解决，诉讼管辖地法院为法院。</w:t>
      </w:r>
    </w:p>
    <w:p>
      <w:pPr>
        <w:adjustRightInd w:val="0"/>
        <w:snapToGrid w:val="0"/>
        <w:spacing w:line="360" w:lineRule="auto"/>
        <w:ind w:firstLine="422" w:firstLineChars="200"/>
        <w:outlineLvl w:val="1"/>
        <w:rPr>
          <w:rFonts w:asciiTheme="minorEastAsia" w:hAnsiTheme="minorEastAsia" w:eastAsiaTheme="minorEastAsia" w:cstheme="minorEastAsia"/>
          <w:b/>
          <w:color w:val="auto"/>
          <w:kern w:val="0"/>
          <w:szCs w:val="21"/>
        </w:rPr>
      </w:pPr>
      <w:bookmarkStart w:id="19" w:name="_Toc16013"/>
      <w:r>
        <w:rPr>
          <w:rFonts w:hint="eastAsia" w:asciiTheme="minorEastAsia" w:hAnsiTheme="minorEastAsia" w:eastAsiaTheme="minorEastAsia" w:cstheme="minorEastAsia"/>
          <w:b/>
          <w:color w:val="auto"/>
          <w:kern w:val="0"/>
          <w:szCs w:val="21"/>
        </w:rPr>
        <w:t>七、保函的生效</w:t>
      </w:r>
      <w:bookmarkEnd w:id="19"/>
    </w:p>
    <w:p>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本保函自我方加盖公章之日起生效。 </w:t>
      </w:r>
    </w:p>
    <w:p>
      <w:pPr>
        <w:tabs>
          <w:tab w:val="left" w:pos="2850"/>
        </w:tabs>
        <w:adjustRightInd w:val="0"/>
        <w:snapToGrid w:val="0"/>
        <w:spacing w:line="360" w:lineRule="auto"/>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保证人：（公章） </w:t>
      </w:r>
    </w:p>
    <w:p>
      <w:pPr>
        <w:adjustRightInd w:val="0"/>
        <w:snapToGrid w:val="0"/>
        <w:spacing w:line="360" w:lineRule="auto"/>
        <w:ind w:firstLine="6510" w:firstLineChars="3100"/>
        <w:rPr>
          <w:rFonts w:asciiTheme="minorEastAsia" w:hAnsiTheme="minorEastAsia" w:eastAsiaTheme="minorEastAsia" w:cstheme="minorEastAsia"/>
          <w:color w:val="auto"/>
          <w:kern w:val="0"/>
          <w:szCs w:val="21"/>
        </w:rPr>
        <w:sectPr>
          <w:headerReference r:id="rId5" w:type="default"/>
          <w:footerReference r:id="rId6" w:type="default"/>
          <w:footerReference r:id="rId7" w:type="even"/>
          <w:pgSz w:w="11906" w:h="16838"/>
          <w:pgMar w:top="1440" w:right="1531" w:bottom="1440" w:left="1531" w:header="851" w:footer="992" w:gutter="0"/>
          <w:cols w:space="720" w:num="1"/>
          <w:docGrid w:type="lines" w:linePitch="312" w:charSpace="0"/>
        </w:sectPr>
      </w:pPr>
      <w:r>
        <w:rPr>
          <w:rFonts w:hint="eastAsia" w:asciiTheme="minorEastAsia" w:hAnsiTheme="minorEastAsia" w:eastAsiaTheme="minorEastAsia" w:cstheme="minorEastAsia"/>
          <w:color w:val="auto"/>
          <w:kern w:val="0"/>
          <w:szCs w:val="21"/>
        </w:rPr>
        <w:t xml:space="preserve"> 年月 日</w:t>
      </w:r>
    </w:p>
    <w:p>
      <w:pPr>
        <w:rPr>
          <w:rFonts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Cs w:val="21"/>
        </w:rPr>
        <w:t>附页4</w:t>
      </w:r>
      <w:bookmarkStart w:id="20" w:name="_Toc10461"/>
      <w:bookmarkEnd w:id="20"/>
      <w:bookmarkStart w:id="21" w:name="_Toc9064"/>
      <w:bookmarkEnd w:id="21"/>
      <w:bookmarkStart w:id="22" w:name="_Toc500282710"/>
      <w:bookmarkEnd w:id="22"/>
      <w:bookmarkStart w:id="23" w:name="_Toc29624"/>
      <w:bookmarkEnd w:id="23"/>
      <w:bookmarkStart w:id="24" w:name="_Toc30602"/>
      <w:bookmarkEnd w:id="24"/>
    </w:p>
    <w:p>
      <w:pPr>
        <w:spacing w:line="360" w:lineRule="auto"/>
        <w:jc w:val="left"/>
        <w:rPr>
          <w:rFonts w:ascii="宋体" w:hAnsi="宋体"/>
          <w:b/>
          <w:color w:val="auto"/>
          <w:szCs w:val="21"/>
        </w:rPr>
      </w:pPr>
      <w:r>
        <w:rPr>
          <w:rFonts w:hint="eastAsia" w:ascii="宋体" w:hAnsi="宋体"/>
          <w:b/>
          <w:color w:val="auto"/>
          <w:szCs w:val="21"/>
        </w:rPr>
        <w:t>附页4-1</w:t>
      </w:r>
    </w:p>
    <w:p>
      <w:pPr>
        <w:spacing w:line="360" w:lineRule="auto"/>
        <w:jc w:val="center"/>
        <w:rPr>
          <w:rFonts w:ascii="宋体" w:hAnsi="宋体"/>
          <w:b/>
          <w:color w:val="auto"/>
          <w:sz w:val="28"/>
          <w:szCs w:val="28"/>
        </w:rPr>
      </w:pPr>
      <w:r>
        <w:rPr>
          <w:rFonts w:hint="eastAsia" w:ascii="宋体" w:hAnsi="宋体"/>
          <w:b/>
          <w:color w:val="auto"/>
          <w:sz w:val="28"/>
          <w:szCs w:val="28"/>
        </w:rPr>
        <w:t>资格性审查表</w:t>
      </w:r>
    </w:p>
    <w:p>
      <w:pPr>
        <w:adjustRightInd w:val="0"/>
        <w:snapToGrid w:val="0"/>
        <w:spacing w:beforeLines="50" w:line="360" w:lineRule="auto"/>
        <w:ind w:firstLine="420"/>
        <w:rPr>
          <w:rFonts w:ascii="宋体" w:hAnsi="宋体"/>
          <w:color w:val="auto"/>
          <w:szCs w:val="21"/>
        </w:rPr>
      </w:pPr>
      <w:r>
        <w:rPr>
          <w:rFonts w:hint="eastAsia" w:ascii="宋体" w:hAnsi="宋体"/>
          <w:color w:val="auto"/>
          <w:szCs w:val="21"/>
        </w:rPr>
        <w:t>资格性检查。根据法律法规和招标文件的规定，对投标文件中的资格证明、投标保证金等进行审查，以确定投标人是否具备投标资格。</w:t>
      </w:r>
    </w:p>
    <w:tbl>
      <w:tblPr>
        <w:tblStyle w:val="45"/>
        <w:tblW w:w="8991" w:type="dxa"/>
        <w:jc w:val="center"/>
        <w:tblInd w:w="0" w:type="dxa"/>
        <w:tblLayout w:type="fixed"/>
        <w:tblCellMar>
          <w:top w:w="0" w:type="dxa"/>
          <w:left w:w="108" w:type="dxa"/>
          <w:bottom w:w="0" w:type="dxa"/>
          <w:right w:w="108" w:type="dxa"/>
        </w:tblCellMar>
      </w:tblPr>
      <w:tblGrid>
        <w:gridCol w:w="641"/>
        <w:gridCol w:w="4137"/>
        <w:gridCol w:w="2360"/>
        <w:gridCol w:w="651"/>
        <w:gridCol w:w="587"/>
        <w:gridCol w:w="615"/>
      </w:tblGrid>
      <w:tr>
        <w:tblPrEx>
          <w:tblLayout w:type="fixed"/>
          <w:tblCellMar>
            <w:top w:w="0" w:type="dxa"/>
            <w:left w:w="108" w:type="dxa"/>
            <w:bottom w:w="0" w:type="dxa"/>
            <w:right w:w="108" w:type="dxa"/>
          </w:tblCellMar>
        </w:tblPrEx>
        <w:trPr>
          <w:trHeight w:val="249" w:hRule="atLeast"/>
          <w:jc w:val="center"/>
        </w:trPr>
        <w:tc>
          <w:tcPr>
            <w:tcW w:w="641" w:type="dxa"/>
            <w:vMerge w:val="restart"/>
            <w:tcBorders>
              <w:top w:val="double" w:color="auto" w:sz="4" w:space="0"/>
              <w:left w:val="double" w:color="auto" w:sz="4" w:space="0"/>
              <w:right w:val="single" w:color="auto" w:sz="4" w:space="0"/>
            </w:tcBorders>
            <w:noWrap/>
            <w:vAlign w:val="center"/>
          </w:tcPr>
          <w:p>
            <w:pPr>
              <w:jc w:val="center"/>
              <w:rPr>
                <w:b/>
                <w:color w:val="auto"/>
              </w:rPr>
            </w:pPr>
            <w:r>
              <w:rPr>
                <w:rFonts w:hint="eastAsia"/>
                <w:b/>
                <w:color w:val="auto"/>
              </w:rPr>
              <w:t>序号</w:t>
            </w:r>
          </w:p>
        </w:tc>
        <w:tc>
          <w:tcPr>
            <w:tcW w:w="4137" w:type="dxa"/>
            <w:vMerge w:val="restart"/>
            <w:tcBorders>
              <w:top w:val="double" w:color="auto" w:sz="4" w:space="0"/>
              <w:left w:val="nil"/>
              <w:right w:val="single" w:color="auto" w:sz="4" w:space="0"/>
            </w:tcBorders>
            <w:noWrap/>
            <w:vAlign w:val="center"/>
          </w:tcPr>
          <w:p>
            <w:pPr>
              <w:jc w:val="center"/>
              <w:rPr>
                <w:b/>
                <w:color w:val="auto"/>
              </w:rPr>
            </w:pPr>
            <w:r>
              <w:rPr>
                <w:rFonts w:hint="eastAsia"/>
                <w:b/>
                <w:color w:val="auto"/>
              </w:rPr>
              <w:t>资格性审查内容</w:t>
            </w:r>
          </w:p>
        </w:tc>
        <w:tc>
          <w:tcPr>
            <w:tcW w:w="2360" w:type="dxa"/>
            <w:vMerge w:val="restart"/>
            <w:tcBorders>
              <w:top w:val="double" w:color="auto" w:sz="4" w:space="0"/>
              <w:left w:val="nil"/>
              <w:right w:val="single" w:color="auto" w:sz="4" w:space="0"/>
            </w:tcBorders>
            <w:noWrap/>
            <w:vAlign w:val="center"/>
          </w:tcPr>
          <w:p>
            <w:pPr>
              <w:jc w:val="center"/>
              <w:rPr>
                <w:b/>
                <w:color w:val="auto"/>
              </w:rPr>
            </w:pPr>
            <w:r>
              <w:rPr>
                <w:rFonts w:hint="eastAsia"/>
                <w:b/>
                <w:color w:val="auto"/>
              </w:rPr>
              <w:t>合格标准</w:t>
            </w:r>
          </w:p>
        </w:tc>
        <w:tc>
          <w:tcPr>
            <w:tcW w:w="1853" w:type="dxa"/>
            <w:gridSpan w:val="3"/>
            <w:tcBorders>
              <w:top w:val="double" w:color="auto" w:sz="4" w:space="0"/>
              <w:left w:val="nil"/>
              <w:bottom w:val="single" w:color="auto" w:sz="4" w:space="0"/>
              <w:right w:val="double" w:color="auto" w:sz="4" w:space="0"/>
            </w:tcBorders>
            <w:noWrap/>
            <w:vAlign w:val="center"/>
          </w:tcPr>
          <w:p>
            <w:pPr>
              <w:jc w:val="center"/>
              <w:rPr>
                <w:b/>
                <w:color w:val="auto"/>
              </w:rPr>
            </w:pPr>
            <w:r>
              <w:rPr>
                <w:rFonts w:hint="eastAsia"/>
                <w:b/>
                <w:color w:val="auto"/>
              </w:rPr>
              <w:t>投标人</w:t>
            </w:r>
          </w:p>
        </w:tc>
      </w:tr>
      <w:tr>
        <w:tblPrEx>
          <w:tblLayout w:type="fixed"/>
          <w:tblCellMar>
            <w:top w:w="0" w:type="dxa"/>
            <w:left w:w="108" w:type="dxa"/>
            <w:bottom w:w="0" w:type="dxa"/>
            <w:right w:w="108" w:type="dxa"/>
          </w:tblCellMar>
        </w:tblPrEx>
        <w:trPr>
          <w:trHeight w:val="189" w:hRule="atLeast"/>
          <w:jc w:val="center"/>
        </w:trPr>
        <w:tc>
          <w:tcPr>
            <w:tcW w:w="641" w:type="dxa"/>
            <w:vMerge w:val="continue"/>
            <w:tcBorders>
              <w:left w:val="double" w:color="auto" w:sz="4" w:space="0"/>
              <w:bottom w:val="single" w:color="auto" w:sz="4" w:space="0"/>
              <w:right w:val="single" w:color="auto" w:sz="4" w:space="0"/>
            </w:tcBorders>
            <w:noWrap/>
            <w:vAlign w:val="center"/>
          </w:tcPr>
          <w:p>
            <w:pPr>
              <w:jc w:val="center"/>
              <w:rPr>
                <w:b/>
                <w:color w:val="auto"/>
              </w:rPr>
            </w:pPr>
          </w:p>
        </w:tc>
        <w:tc>
          <w:tcPr>
            <w:tcW w:w="4137" w:type="dxa"/>
            <w:vMerge w:val="continue"/>
            <w:tcBorders>
              <w:left w:val="nil"/>
              <w:bottom w:val="single" w:color="auto" w:sz="4" w:space="0"/>
              <w:right w:val="single" w:color="auto" w:sz="4" w:space="0"/>
            </w:tcBorders>
            <w:noWrap/>
            <w:vAlign w:val="center"/>
          </w:tcPr>
          <w:p>
            <w:pPr>
              <w:jc w:val="center"/>
              <w:rPr>
                <w:b/>
                <w:color w:val="auto"/>
              </w:rPr>
            </w:pPr>
          </w:p>
        </w:tc>
        <w:tc>
          <w:tcPr>
            <w:tcW w:w="2360" w:type="dxa"/>
            <w:vMerge w:val="continue"/>
            <w:tcBorders>
              <w:left w:val="nil"/>
              <w:bottom w:val="single" w:color="auto" w:sz="4" w:space="0"/>
              <w:right w:val="single" w:color="auto" w:sz="4" w:space="0"/>
            </w:tcBorders>
            <w:noWrap/>
            <w:vAlign w:val="center"/>
          </w:tcPr>
          <w:p>
            <w:pPr>
              <w:jc w:val="center"/>
              <w:rPr>
                <w:b/>
                <w:color w:val="auto"/>
              </w:rPr>
            </w:pPr>
          </w:p>
        </w:tc>
        <w:tc>
          <w:tcPr>
            <w:tcW w:w="651" w:type="dxa"/>
            <w:tcBorders>
              <w:top w:val="single" w:color="auto" w:sz="4" w:space="0"/>
              <w:left w:val="nil"/>
              <w:bottom w:val="single" w:color="auto" w:sz="4" w:space="0"/>
              <w:right w:val="single" w:color="auto" w:sz="4" w:space="0"/>
            </w:tcBorders>
            <w:noWrap/>
            <w:vAlign w:val="center"/>
          </w:tcPr>
          <w:p>
            <w:pPr>
              <w:jc w:val="center"/>
              <w:rPr>
                <w:b/>
                <w:color w:val="auto"/>
              </w:rPr>
            </w:pPr>
          </w:p>
        </w:tc>
        <w:tc>
          <w:tcPr>
            <w:tcW w:w="587" w:type="dxa"/>
            <w:tcBorders>
              <w:top w:val="single" w:color="auto" w:sz="4" w:space="0"/>
              <w:left w:val="nil"/>
              <w:bottom w:val="single" w:color="auto" w:sz="4" w:space="0"/>
              <w:right w:val="single" w:color="auto" w:sz="4" w:space="0"/>
            </w:tcBorders>
            <w:noWrap/>
            <w:vAlign w:val="center"/>
          </w:tcPr>
          <w:p>
            <w:pPr>
              <w:jc w:val="center"/>
              <w:rPr>
                <w:b/>
                <w:color w:val="auto"/>
              </w:rPr>
            </w:pPr>
          </w:p>
        </w:tc>
        <w:tc>
          <w:tcPr>
            <w:tcW w:w="615" w:type="dxa"/>
            <w:tcBorders>
              <w:top w:val="single" w:color="auto" w:sz="4" w:space="0"/>
              <w:left w:val="nil"/>
              <w:bottom w:val="single" w:color="auto" w:sz="4" w:space="0"/>
              <w:right w:val="double" w:color="auto" w:sz="4" w:space="0"/>
            </w:tcBorders>
            <w:noWrap/>
            <w:vAlign w:val="center"/>
          </w:tcPr>
          <w:p>
            <w:pPr>
              <w:jc w:val="center"/>
              <w:rPr>
                <w:b/>
                <w:color w:val="auto"/>
              </w:rPr>
            </w:pPr>
          </w:p>
        </w:tc>
      </w:tr>
      <w:tr>
        <w:tblPrEx>
          <w:tblLayout w:type="fixed"/>
          <w:tblCellMar>
            <w:top w:w="0" w:type="dxa"/>
            <w:left w:w="108" w:type="dxa"/>
            <w:bottom w:w="0" w:type="dxa"/>
            <w:right w:w="108" w:type="dxa"/>
          </w:tblCellMar>
        </w:tblPrEx>
        <w:trPr>
          <w:trHeight w:val="962" w:hRule="atLeast"/>
          <w:jc w:val="center"/>
        </w:trPr>
        <w:tc>
          <w:tcPr>
            <w:tcW w:w="641" w:type="dxa"/>
            <w:tcBorders>
              <w:left w:val="double" w:color="auto" w:sz="4" w:space="0"/>
              <w:bottom w:val="single" w:color="auto" w:sz="4" w:space="0"/>
              <w:right w:val="single" w:color="auto" w:sz="4" w:space="0"/>
            </w:tcBorders>
            <w:noWrap/>
            <w:vAlign w:val="center"/>
          </w:tcPr>
          <w:p>
            <w:pPr>
              <w:jc w:val="center"/>
              <w:rPr>
                <w:color w:val="auto"/>
              </w:rPr>
            </w:pPr>
            <w:r>
              <w:rPr>
                <w:rFonts w:hint="eastAsia"/>
                <w:color w:val="auto"/>
              </w:rPr>
              <w:t>1</w:t>
            </w:r>
          </w:p>
        </w:tc>
        <w:tc>
          <w:tcPr>
            <w:tcW w:w="4137" w:type="dxa"/>
            <w:tcBorders>
              <w:left w:val="nil"/>
              <w:bottom w:val="single" w:color="auto" w:sz="4" w:space="0"/>
              <w:right w:val="single" w:color="auto" w:sz="4" w:space="0"/>
            </w:tcBorders>
            <w:noWrap/>
            <w:vAlign w:val="center"/>
          </w:tcPr>
          <w:p>
            <w:pPr>
              <w:rPr>
                <w:color w:val="auto"/>
              </w:rPr>
            </w:pPr>
            <w:r>
              <w:rPr>
                <w:rFonts w:hint="eastAsia" w:ascii="宋体" w:hAnsi="宋体"/>
                <w:color w:val="auto"/>
                <w:szCs w:val="21"/>
              </w:rPr>
              <w:t>投标人授权代表应携带法人授权委托书及本人身份证（法定代表人参加可只提供身份证）；</w:t>
            </w:r>
          </w:p>
        </w:tc>
        <w:tc>
          <w:tcPr>
            <w:tcW w:w="2360" w:type="dxa"/>
            <w:tcBorders>
              <w:left w:val="nil"/>
              <w:bottom w:val="single" w:color="auto" w:sz="4" w:space="0"/>
              <w:right w:val="single" w:color="auto" w:sz="4" w:space="0"/>
            </w:tcBorders>
            <w:noWrap/>
            <w:vAlign w:val="center"/>
          </w:tcPr>
          <w:p>
            <w:pPr>
              <w:rPr>
                <w:color w:val="auto"/>
              </w:rPr>
            </w:pPr>
            <w:r>
              <w:rPr>
                <w:rFonts w:hint="eastAsia"/>
                <w:color w:val="auto"/>
              </w:rPr>
              <w:t>查验授权书原件</w:t>
            </w:r>
          </w:p>
        </w:tc>
        <w:tc>
          <w:tcPr>
            <w:tcW w:w="651" w:type="dxa"/>
            <w:tcBorders>
              <w:top w:val="single" w:color="auto" w:sz="4" w:space="0"/>
              <w:left w:val="nil"/>
              <w:bottom w:val="single" w:color="auto" w:sz="4" w:space="0"/>
              <w:right w:val="single" w:color="auto" w:sz="4" w:space="0"/>
            </w:tcBorders>
            <w:noWrap/>
            <w:vAlign w:val="center"/>
          </w:tcPr>
          <w:p>
            <w:pPr>
              <w:rPr>
                <w:color w:val="auto"/>
              </w:rPr>
            </w:pPr>
          </w:p>
        </w:tc>
        <w:tc>
          <w:tcPr>
            <w:tcW w:w="587" w:type="dxa"/>
            <w:tcBorders>
              <w:top w:val="single" w:color="auto" w:sz="4" w:space="0"/>
              <w:left w:val="nil"/>
              <w:bottom w:val="single" w:color="auto" w:sz="4" w:space="0"/>
              <w:right w:val="single" w:color="auto" w:sz="4" w:space="0"/>
            </w:tcBorders>
            <w:noWrap/>
            <w:vAlign w:val="center"/>
          </w:tcPr>
          <w:p>
            <w:pPr>
              <w:rPr>
                <w:color w:val="auto"/>
              </w:rPr>
            </w:pPr>
          </w:p>
        </w:tc>
        <w:tc>
          <w:tcPr>
            <w:tcW w:w="615" w:type="dxa"/>
            <w:tcBorders>
              <w:top w:val="single" w:color="auto" w:sz="4" w:space="0"/>
              <w:left w:val="nil"/>
              <w:bottom w:val="single" w:color="auto" w:sz="4" w:space="0"/>
              <w:right w:val="double" w:color="auto" w:sz="4" w:space="0"/>
            </w:tcBorders>
            <w:noWrap/>
            <w:vAlign w:val="center"/>
          </w:tcPr>
          <w:p>
            <w:pPr>
              <w:rPr>
                <w:color w:val="auto"/>
              </w:rPr>
            </w:pPr>
          </w:p>
        </w:tc>
      </w:tr>
      <w:tr>
        <w:tblPrEx>
          <w:tblLayout w:type="fixed"/>
          <w:tblCellMar>
            <w:top w:w="0" w:type="dxa"/>
            <w:left w:w="108" w:type="dxa"/>
            <w:bottom w:w="0" w:type="dxa"/>
            <w:right w:w="108" w:type="dxa"/>
          </w:tblCellMar>
        </w:tblPrEx>
        <w:trPr>
          <w:trHeight w:val="674" w:hRule="atLeast"/>
          <w:jc w:val="center"/>
        </w:trPr>
        <w:tc>
          <w:tcPr>
            <w:tcW w:w="641" w:type="dxa"/>
            <w:tcBorders>
              <w:left w:val="double" w:color="auto" w:sz="4" w:space="0"/>
              <w:bottom w:val="single" w:color="auto" w:sz="4" w:space="0"/>
              <w:right w:val="single" w:color="auto" w:sz="4" w:space="0"/>
            </w:tcBorders>
            <w:noWrap/>
            <w:vAlign w:val="center"/>
          </w:tcPr>
          <w:p>
            <w:pPr>
              <w:jc w:val="center"/>
              <w:rPr>
                <w:color w:val="auto"/>
              </w:rPr>
            </w:pPr>
            <w:r>
              <w:rPr>
                <w:rFonts w:hint="eastAsia"/>
                <w:color w:val="auto"/>
              </w:rPr>
              <w:t>2</w:t>
            </w:r>
          </w:p>
        </w:tc>
        <w:tc>
          <w:tcPr>
            <w:tcW w:w="4137" w:type="dxa"/>
            <w:tcBorders>
              <w:left w:val="nil"/>
              <w:bottom w:val="single" w:color="auto" w:sz="4" w:space="0"/>
              <w:right w:val="single" w:color="auto" w:sz="4" w:space="0"/>
            </w:tcBorders>
            <w:noWrap/>
            <w:vAlign w:val="center"/>
          </w:tcPr>
          <w:p>
            <w:pPr>
              <w:rPr>
                <w:color w:val="auto"/>
              </w:rPr>
            </w:pPr>
            <w:r>
              <w:rPr>
                <w:rFonts w:hint="eastAsia" w:ascii="宋体" w:hAnsi="宋体"/>
                <w:color w:val="auto"/>
                <w:szCs w:val="21"/>
              </w:rPr>
              <w:t>独立法人资格，具有有效的营业执照、组织机构代码证（五证或三证合一）；</w:t>
            </w:r>
          </w:p>
        </w:tc>
        <w:tc>
          <w:tcPr>
            <w:tcW w:w="2360" w:type="dxa"/>
            <w:tcBorders>
              <w:left w:val="nil"/>
              <w:bottom w:val="single" w:color="auto" w:sz="4" w:space="0"/>
              <w:right w:val="single" w:color="auto" w:sz="4" w:space="0"/>
            </w:tcBorders>
            <w:noWrap/>
            <w:vAlign w:val="center"/>
          </w:tcPr>
          <w:p>
            <w:pPr>
              <w:rPr>
                <w:color w:val="auto"/>
              </w:rPr>
            </w:pPr>
            <w:r>
              <w:rPr>
                <w:rFonts w:hint="eastAsia"/>
                <w:color w:val="auto"/>
              </w:rPr>
              <w:t>查验复印件加盖公章</w:t>
            </w:r>
          </w:p>
        </w:tc>
        <w:tc>
          <w:tcPr>
            <w:tcW w:w="651" w:type="dxa"/>
            <w:tcBorders>
              <w:top w:val="single" w:color="auto" w:sz="4" w:space="0"/>
              <w:left w:val="nil"/>
              <w:bottom w:val="single" w:color="auto" w:sz="4" w:space="0"/>
              <w:right w:val="single" w:color="auto" w:sz="4" w:space="0"/>
            </w:tcBorders>
            <w:noWrap/>
            <w:vAlign w:val="center"/>
          </w:tcPr>
          <w:p>
            <w:pPr>
              <w:rPr>
                <w:color w:val="auto"/>
              </w:rPr>
            </w:pPr>
          </w:p>
        </w:tc>
        <w:tc>
          <w:tcPr>
            <w:tcW w:w="587" w:type="dxa"/>
            <w:tcBorders>
              <w:top w:val="single" w:color="auto" w:sz="4" w:space="0"/>
              <w:left w:val="nil"/>
              <w:bottom w:val="single" w:color="auto" w:sz="4" w:space="0"/>
              <w:right w:val="single" w:color="auto" w:sz="4" w:space="0"/>
            </w:tcBorders>
            <w:noWrap/>
            <w:vAlign w:val="center"/>
          </w:tcPr>
          <w:p>
            <w:pPr>
              <w:rPr>
                <w:color w:val="auto"/>
              </w:rPr>
            </w:pPr>
          </w:p>
        </w:tc>
        <w:tc>
          <w:tcPr>
            <w:tcW w:w="615" w:type="dxa"/>
            <w:tcBorders>
              <w:top w:val="single" w:color="auto" w:sz="4" w:space="0"/>
              <w:left w:val="nil"/>
              <w:bottom w:val="single" w:color="auto" w:sz="4" w:space="0"/>
              <w:right w:val="double" w:color="auto" w:sz="4" w:space="0"/>
            </w:tcBorders>
            <w:noWrap/>
            <w:vAlign w:val="center"/>
          </w:tcPr>
          <w:p>
            <w:pPr>
              <w:rPr>
                <w:color w:val="auto"/>
              </w:rPr>
            </w:pPr>
          </w:p>
        </w:tc>
      </w:tr>
      <w:tr>
        <w:tblPrEx>
          <w:tblLayout w:type="fixed"/>
          <w:tblCellMar>
            <w:top w:w="0" w:type="dxa"/>
            <w:left w:w="108" w:type="dxa"/>
            <w:bottom w:w="0" w:type="dxa"/>
            <w:right w:w="108" w:type="dxa"/>
          </w:tblCellMar>
        </w:tblPrEx>
        <w:trPr>
          <w:trHeight w:val="592" w:hRule="atLeast"/>
          <w:jc w:val="center"/>
        </w:trPr>
        <w:tc>
          <w:tcPr>
            <w:tcW w:w="641" w:type="dxa"/>
            <w:tcBorders>
              <w:left w:val="double" w:color="auto" w:sz="4" w:space="0"/>
              <w:bottom w:val="single" w:color="auto" w:sz="4" w:space="0"/>
              <w:right w:val="single" w:color="auto" w:sz="4" w:space="0"/>
            </w:tcBorders>
            <w:noWrap/>
            <w:vAlign w:val="center"/>
          </w:tcPr>
          <w:p>
            <w:pPr>
              <w:jc w:val="center"/>
              <w:rPr>
                <w:color w:val="auto"/>
              </w:rPr>
            </w:pPr>
            <w:r>
              <w:rPr>
                <w:rFonts w:hint="eastAsia"/>
                <w:color w:val="auto"/>
              </w:rPr>
              <w:t>3</w:t>
            </w:r>
          </w:p>
        </w:tc>
        <w:tc>
          <w:tcPr>
            <w:tcW w:w="4137" w:type="dxa"/>
            <w:tcBorders>
              <w:left w:val="nil"/>
              <w:bottom w:val="single" w:color="auto" w:sz="4" w:space="0"/>
              <w:right w:val="single" w:color="auto" w:sz="4" w:space="0"/>
            </w:tcBorders>
            <w:noWrap/>
            <w:vAlign w:val="center"/>
          </w:tcPr>
          <w:p>
            <w:pPr>
              <w:rPr>
                <w:color w:val="auto"/>
              </w:rPr>
            </w:pPr>
            <w:r>
              <w:rPr>
                <w:rFonts w:hint="eastAsia" w:ascii="宋体" w:hAnsi="宋体"/>
                <w:color w:val="auto"/>
                <w:szCs w:val="21"/>
              </w:rPr>
              <w:t>《湖南省政府采购供应商资格承诺函》；</w:t>
            </w:r>
          </w:p>
        </w:tc>
        <w:tc>
          <w:tcPr>
            <w:tcW w:w="2360" w:type="dxa"/>
            <w:tcBorders>
              <w:left w:val="nil"/>
              <w:bottom w:val="single" w:color="auto" w:sz="4" w:space="0"/>
              <w:right w:val="single" w:color="auto" w:sz="4" w:space="0"/>
            </w:tcBorders>
            <w:noWrap/>
            <w:vAlign w:val="center"/>
          </w:tcPr>
          <w:p>
            <w:pPr>
              <w:rPr>
                <w:color w:val="auto"/>
              </w:rPr>
            </w:pPr>
            <w:r>
              <w:rPr>
                <w:rFonts w:hint="eastAsia"/>
                <w:color w:val="auto"/>
              </w:rPr>
              <w:t>查验原件加盖公章</w:t>
            </w:r>
          </w:p>
        </w:tc>
        <w:tc>
          <w:tcPr>
            <w:tcW w:w="651" w:type="dxa"/>
            <w:tcBorders>
              <w:top w:val="single" w:color="auto" w:sz="4" w:space="0"/>
              <w:left w:val="nil"/>
              <w:bottom w:val="single" w:color="auto" w:sz="4" w:space="0"/>
              <w:right w:val="single" w:color="auto" w:sz="4" w:space="0"/>
            </w:tcBorders>
            <w:noWrap/>
            <w:vAlign w:val="center"/>
          </w:tcPr>
          <w:p>
            <w:pPr>
              <w:rPr>
                <w:color w:val="auto"/>
              </w:rPr>
            </w:pPr>
          </w:p>
        </w:tc>
        <w:tc>
          <w:tcPr>
            <w:tcW w:w="587" w:type="dxa"/>
            <w:tcBorders>
              <w:top w:val="single" w:color="auto" w:sz="4" w:space="0"/>
              <w:left w:val="nil"/>
              <w:bottom w:val="single" w:color="auto" w:sz="4" w:space="0"/>
              <w:right w:val="single" w:color="auto" w:sz="4" w:space="0"/>
            </w:tcBorders>
            <w:noWrap/>
            <w:vAlign w:val="center"/>
          </w:tcPr>
          <w:p>
            <w:pPr>
              <w:rPr>
                <w:color w:val="auto"/>
              </w:rPr>
            </w:pPr>
          </w:p>
        </w:tc>
        <w:tc>
          <w:tcPr>
            <w:tcW w:w="615" w:type="dxa"/>
            <w:tcBorders>
              <w:top w:val="single" w:color="auto" w:sz="4" w:space="0"/>
              <w:left w:val="nil"/>
              <w:bottom w:val="single" w:color="auto" w:sz="4" w:space="0"/>
              <w:right w:val="double" w:color="auto" w:sz="4" w:space="0"/>
            </w:tcBorders>
            <w:noWrap/>
            <w:vAlign w:val="center"/>
          </w:tcPr>
          <w:p>
            <w:pPr>
              <w:rPr>
                <w:color w:val="auto"/>
              </w:rPr>
            </w:pPr>
          </w:p>
        </w:tc>
      </w:tr>
      <w:tr>
        <w:tblPrEx>
          <w:tblLayout w:type="fixed"/>
          <w:tblCellMar>
            <w:top w:w="0" w:type="dxa"/>
            <w:left w:w="108" w:type="dxa"/>
            <w:bottom w:w="0" w:type="dxa"/>
            <w:right w:w="108" w:type="dxa"/>
          </w:tblCellMar>
        </w:tblPrEx>
        <w:trPr>
          <w:trHeight w:val="930" w:hRule="atLeast"/>
          <w:jc w:val="center"/>
        </w:trPr>
        <w:tc>
          <w:tcPr>
            <w:tcW w:w="641" w:type="dxa"/>
            <w:tcBorders>
              <w:left w:val="double" w:color="auto" w:sz="4" w:space="0"/>
              <w:bottom w:val="single" w:color="auto" w:sz="4" w:space="0"/>
              <w:right w:val="single" w:color="auto" w:sz="4" w:space="0"/>
            </w:tcBorders>
            <w:noWrap/>
            <w:vAlign w:val="center"/>
          </w:tcPr>
          <w:p>
            <w:pPr>
              <w:jc w:val="center"/>
              <w:rPr>
                <w:color w:val="auto"/>
              </w:rPr>
            </w:pPr>
            <w:r>
              <w:rPr>
                <w:rFonts w:hint="eastAsia"/>
                <w:color w:val="auto"/>
              </w:rPr>
              <w:t>4</w:t>
            </w:r>
          </w:p>
        </w:tc>
        <w:tc>
          <w:tcPr>
            <w:tcW w:w="4137" w:type="dxa"/>
            <w:tcBorders>
              <w:left w:val="nil"/>
              <w:bottom w:val="single" w:color="auto" w:sz="4" w:space="0"/>
              <w:right w:val="single" w:color="auto" w:sz="4" w:space="0"/>
            </w:tcBorders>
            <w:noWrap/>
            <w:vAlign w:val="center"/>
          </w:tcPr>
          <w:p>
            <w:pPr>
              <w:rPr>
                <w:rFonts w:hint="eastAsia" w:ascii="宋体" w:hAnsi="宋体"/>
                <w:color w:val="auto"/>
                <w:szCs w:val="21"/>
              </w:rPr>
            </w:pPr>
            <w:r>
              <w:rPr>
                <w:rFonts w:hint="eastAsia" w:ascii="宋体" w:hAnsi="宋体" w:cs="Times New Roman"/>
                <w:color w:val="auto"/>
                <w:szCs w:val="21"/>
              </w:rPr>
              <w:t>投标人具备</w:t>
            </w:r>
            <w:r>
              <w:rPr>
                <w:rFonts w:hint="eastAsia" w:ascii="宋体" w:hAnsi="宋体" w:cs="Times New Roman"/>
                <w:color w:val="auto"/>
                <w:szCs w:val="21"/>
                <w:lang w:eastAsia="zh-CN"/>
              </w:rPr>
              <w:t>市政公用工程</w:t>
            </w:r>
            <w:r>
              <w:rPr>
                <w:rFonts w:hint="eastAsia" w:ascii="宋体" w:hAnsi="宋体" w:cs="Times New Roman"/>
                <w:color w:val="auto"/>
                <w:szCs w:val="21"/>
              </w:rPr>
              <w:t>施工总承包叁级及以上资质；具有有效的安全生产许可证</w:t>
            </w:r>
            <w:r>
              <w:rPr>
                <w:rFonts w:hint="eastAsia" w:ascii="宋体" w:hAnsi="宋体" w:cs="Times New Roman"/>
                <w:color w:val="auto"/>
                <w:szCs w:val="21"/>
                <w:lang w:eastAsia="zh-CN"/>
              </w:rPr>
              <w:t>；</w:t>
            </w:r>
          </w:p>
        </w:tc>
        <w:tc>
          <w:tcPr>
            <w:tcW w:w="2360" w:type="dxa"/>
            <w:tcBorders>
              <w:left w:val="nil"/>
              <w:bottom w:val="single" w:color="auto" w:sz="4" w:space="0"/>
              <w:right w:val="single" w:color="auto" w:sz="4" w:space="0"/>
            </w:tcBorders>
            <w:noWrap/>
            <w:vAlign w:val="center"/>
          </w:tcPr>
          <w:p>
            <w:pPr>
              <w:rPr>
                <w:color w:val="auto"/>
              </w:rPr>
            </w:pPr>
            <w:r>
              <w:rPr>
                <w:rFonts w:hint="eastAsia"/>
                <w:color w:val="auto"/>
              </w:rPr>
              <w:t>查验复印件加盖公章</w:t>
            </w:r>
          </w:p>
        </w:tc>
        <w:tc>
          <w:tcPr>
            <w:tcW w:w="651" w:type="dxa"/>
            <w:tcBorders>
              <w:top w:val="single" w:color="auto" w:sz="4" w:space="0"/>
              <w:left w:val="nil"/>
              <w:bottom w:val="single" w:color="auto" w:sz="4" w:space="0"/>
              <w:right w:val="single" w:color="auto" w:sz="4" w:space="0"/>
            </w:tcBorders>
            <w:noWrap/>
            <w:vAlign w:val="center"/>
          </w:tcPr>
          <w:p>
            <w:pPr>
              <w:rPr>
                <w:color w:val="auto"/>
              </w:rPr>
            </w:pPr>
          </w:p>
        </w:tc>
        <w:tc>
          <w:tcPr>
            <w:tcW w:w="587" w:type="dxa"/>
            <w:tcBorders>
              <w:top w:val="single" w:color="auto" w:sz="4" w:space="0"/>
              <w:left w:val="nil"/>
              <w:bottom w:val="single" w:color="auto" w:sz="4" w:space="0"/>
              <w:right w:val="single" w:color="auto" w:sz="4" w:space="0"/>
            </w:tcBorders>
            <w:noWrap/>
            <w:vAlign w:val="center"/>
          </w:tcPr>
          <w:p>
            <w:pPr>
              <w:rPr>
                <w:color w:val="auto"/>
              </w:rPr>
            </w:pPr>
          </w:p>
        </w:tc>
        <w:tc>
          <w:tcPr>
            <w:tcW w:w="615" w:type="dxa"/>
            <w:tcBorders>
              <w:top w:val="single" w:color="auto" w:sz="4" w:space="0"/>
              <w:left w:val="nil"/>
              <w:bottom w:val="single" w:color="auto" w:sz="4" w:space="0"/>
              <w:right w:val="double" w:color="auto" w:sz="4" w:space="0"/>
            </w:tcBorders>
            <w:noWrap/>
            <w:vAlign w:val="center"/>
          </w:tcPr>
          <w:p>
            <w:pPr>
              <w:rPr>
                <w:color w:val="auto"/>
              </w:rPr>
            </w:pPr>
          </w:p>
        </w:tc>
      </w:tr>
      <w:tr>
        <w:tblPrEx>
          <w:tblLayout w:type="fixed"/>
          <w:tblCellMar>
            <w:top w:w="0" w:type="dxa"/>
            <w:left w:w="108" w:type="dxa"/>
            <w:bottom w:w="0" w:type="dxa"/>
            <w:right w:w="108" w:type="dxa"/>
          </w:tblCellMar>
        </w:tblPrEx>
        <w:trPr>
          <w:trHeight w:val="2920" w:hRule="atLeast"/>
          <w:jc w:val="center"/>
        </w:trPr>
        <w:tc>
          <w:tcPr>
            <w:tcW w:w="641" w:type="dxa"/>
            <w:tcBorders>
              <w:left w:val="double" w:color="auto" w:sz="4" w:space="0"/>
              <w:bottom w:val="single" w:color="auto" w:sz="4" w:space="0"/>
              <w:right w:val="single" w:color="auto" w:sz="4" w:space="0"/>
            </w:tcBorders>
            <w:noWrap/>
            <w:vAlign w:val="center"/>
          </w:tcPr>
          <w:p>
            <w:pPr>
              <w:jc w:val="center"/>
              <w:rPr>
                <w:color w:val="auto"/>
              </w:rPr>
            </w:pPr>
            <w:r>
              <w:rPr>
                <w:rFonts w:hint="eastAsia"/>
                <w:color w:val="auto"/>
              </w:rPr>
              <w:t>5</w:t>
            </w:r>
          </w:p>
        </w:tc>
        <w:tc>
          <w:tcPr>
            <w:tcW w:w="4137" w:type="dxa"/>
            <w:tcBorders>
              <w:left w:val="nil"/>
              <w:bottom w:val="single" w:color="auto" w:sz="4" w:space="0"/>
              <w:right w:val="single" w:color="auto" w:sz="4" w:space="0"/>
            </w:tcBorders>
            <w:noWrap/>
            <w:vAlign w:val="center"/>
          </w:tcPr>
          <w:p>
            <w:pPr>
              <w:rPr>
                <w:rFonts w:hint="eastAsia" w:ascii="宋体" w:hAnsi="宋体" w:cs="Times New Roman"/>
                <w:color w:val="auto"/>
                <w:szCs w:val="21"/>
              </w:rPr>
            </w:pPr>
            <w:r>
              <w:rPr>
                <w:rFonts w:hint="eastAsia" w:ascii="宋体" w:hAnsi="宋体" w:cs="Times New Roman"/>
                <w:color w:val="auto"/>
                <w:szCs w:val="21"/>
              </w:rPr>
              <w:t>拟派本项目的项目经理需具有</w:t>
            </w:r>
            <w:r>
              <w:rPr>
                <w:rFonts w:hint="eastAsia" w:ascii="宋体" w:hAnsi="宋体" w:cs="Times New Roman"/>
                <w:color w:val="auto"/>
                <w:szCs w:val="21"/>
                <w:lang w:val="en-US" w:eastAsia="zh-CN"/>
              </w:rPr>
              <w:t>市政公用工程专业</w:t>
            </w:r>
            <w:r>
              <w:rPr>
                <w:rFonts w:hint="eastAsia" w:ascii="宋体" w:hAnsi="宋体" w:cs="Times New Roman"/>
                <w:color w:val="auto"/>
                <w:szCs w:val="21"/>
              </w:rPr>
              <w:t>二级及以上注册建造师</w:t>
            </w:r>
            <w:r>
              <w:rPr>
                <w:rFonts w:hint="eastAsia" w:ascii="宋体" w:hAnsi="宋体" w:cs="Times New Roman"/>
                <w:color w:val="auto"/>
                <w:szCs w:val="21"/>
                <w:lang w:val="en-US" w:eastAsia="zh-CN"/>
              </w:rPr>
              <w:t>执业资格</w:t>
            </w:r>
            <w:r>
              <w:rPr>
                <w:rFonts w:hint="eastAsia" w:ascii="宋体" w:hAnsi="宋体" w:cs="Times New Roman"/>
                <w:color w:val="auto"/>
                <w:szCs w:val="21"/>
              </w:rPr>
              <w:t>证书</w:t>
            </w:r>
            <w:r>
              <w:rPr>
                <w:rFonts w:hint="eastAsia" w:ascii="宋体" w:hAnsi="宋体" w:cs="Times New Roman"/>
                <w:color w:val="auto"/>
                <w:szCs w:val="21"/>
                <w:lang w:eastAsia="zh-CN"/>
              </w:rPr>
              <w:t>，</w:t>
            </w:r>
            <w:r>
              <w:rPr>
                <w:rFonts w:hint="eastAsia" w:ascii="宋体" w:hAnsi="宋体" w:cs="Times New Roman"/>
                <w:color w:val="auto"/>
                <w:szCs w:val="21"/>
                <w:lang w:val="en-US" w:eastAsia="zh-CN"/>
              </w:rPr>
              <w:t>具有</w:t>
            </w:r>
            <w:r>
              <w:rPr>
                <w:rFonts w:hint="eastAsia" w:ascii="宋体" w:hAnsi="宋体" w:cs="Times New Roman"/>
                <w:color w:val="auto"/>
                <w:szCs w:val="21"/>
              </w:rPr>
              <w:t>安全生产考核合格证书（B 证），</w:t>
            </w:r>
            <w:r>
              <w:rPr>
                <w:rFonts w:hint="eastAsia" w:ascii="宋体" w:hAnsi="宋体" w:cs="Times New Roman"/>
                <w:color w:val="auto"/>
                <w:szCs w:val="21"/>
                <w:lang w:val="en-US" w:eastAsia="zh-CN"/>
              </w:rPr>
              <w:t>且</w:t>
            </w:r>
            <w:r>
              <w:rPr>
                <w:rFonts w:hint="eastAsia" w:ascii="宋体" w:hAnsi="宋体" w:cs="Times New Roman"/>
                <w:color w:val="auto"/>
                <w:szCs w:val="21"/>
              </w:rPr>
              <w:t>无在建项目（同一施工项目负责人不能同时在两个及以上的工程项目上担任施工项目负责人；无在建项目指至本项目投标截止期，无在建未完工项目或已中标（以网上发布中标侯选人公示为准）未开工项目，以及符合《注册建造师执业管理办法（试行）》第九条规定的其他情形）；</w:t>
            </w:r>
          </w:p>
        </w:tc>
        <w:tc>
          <w:tcPr>
            <w:tcW w:w="2360" w:type="dxa"/>
            <w:tcBorders>
              <w:left w:val="nil"/>
              <w:bottom w:val="single" w:color="auto" w:sz="4" w:space="0"/>
              <w:right w:val="single" w:color="auto" w:sz="4" w:space="0"/>
            </w:tcBorders>
            <w:noWrap/>
            <w:vAlign w:val="center"/>
          </w:tcPr>
          <w:p>
            <w:pPr>
              <w:rPr>
                <w:color w:val="auto"/>
              </w:rPr>
            </w:pPr>
            <w:r>
              <w:rPr>
                <w:rFonts w:hint="eastAsia"/>
                <w:color w:val="auto"/>
              </w:rPr>
              <w:t>查验复印件加盖公章</w:t>
            </w:r>
          </w:p>
        </w:tc>
        <w:tc>
          <w:tcPr>
            <w:tcW w:w="651" w:type="dxa"/>
            <w:tcBorders>
              <w:top w:val="single" w:color="auto" w:sz="4" w:space="0"/>
              <w:left w:val="nil"/>
              <w:bottom w:val="single" w:color="auto" w:sz="4" w:space="0"/>
              <w:right w:val="single" w:color="auto" w:sz="4" w:space="0"/>
            </w:tcBorders>
            <w:noWrap/>
            <w:vAlign w:val="center"/>
          </w:tcPr>
          <w:p>
            <w:pPr>
              <w:rPr>
                <w:color w:val="auto"/>
              </w:rPr>
            </w:pPr>
          </w:p>
        </w:tc>
        <w:tc>
          <w:tcPr>
            <w:tcW w:w="587" w:type="dxa"/>
            <w:tcBorders>
              <w:top w:val="single" w:color="auto" w:sz="4" w:space="0"/>
              <w:left w:val="nil"/>
              <w:bottom w:val="single" w:color="auto" w:sz="4" w:space="0"/>
              <w:right w:val="single" w:color="auto" w:sz="4" w:space="0"/>
            </w:tcBorders>
            <w:noWrap/>
            <w:vAlign w:val="center"/>
          </w:tcPr>
          <w:p>
            <w:pPr>
              <w:rPr>
                <w:color w:val="auto"/>
              </w:rPr>
            </w:pPr>
          </w:p>
        </w:tc>
        <w:tc>
          <w:tcPr>
            <w:tcW w:w="615" w:type="dxa"/>
            <w:tcBorders>
              <w:top w:val="single" w:color="auto" w:sz="4" w:space="0"/>
              <w:left w:val="nil"/>
              <w:bottom w:val="single" w:color="auto" w:sz="4" w:space="0"/>
              <w:right w:val="double" w:color="auto" w:sz="4" w:space="0"/>
            </w:tcBorders>
            <w:noWrap/>
            <w:vAlign w:val="center"/>
          </w:tcPr>
          <w:p>
            <w:pPr>
              <w:rPr>
                <w:color w:val="auto"/>
              </w:rPr>
            </w:pPr>
          </w:p>
        </w:tc>
      </w:tr>
      <w:tr>
        <w:tblPrEx>
          <w:tblLayout w:type="fixed"/>
          <w:tblCellMar>
            <w:top w:w="0" w:type="dxa"/>
            <w:left w:w="108" w:type="dxa"/>
            <w:bottom w:w="0" w:type="dxa"/>
            <w:right w:w="108" w:type="dxa"/>
          </w:tblCellMar>
        </w:tblPrEx>
        <w:trPr>
          <w:trHeight w:val="675" w:hRule="atLeast"/>
          <w:jc w:val="center"/>
        </w:trPr>
        <w:tc>
          <w:tcPr>
            <w:tcW w:w="641" w:type="dxa"/>
            <w:tcBorders>
              <w:left w:val="double" w:color="auto" w:sz="4" w:space="0"/>
              <w:bottom w:val="single" w:color="auto" w:sz="4" w:space="0"/>
              <w:right w:val="single" w:color="auto" w:sz="4" w:space="0"/>
            </w:tcBorders>
            <w:noWrap/>
            <w:vAlign w:val="center"/>
          </w:tcPr>
          <w:p>
            <w:pPr>
              <w:jc w:val="center"/>
              <w:rPr>
                <w:rFonts w:hint="eastAsia" w:eastAsia="宋体"/>
                <w:color w:val="auto"/>
                <w:lang w:eastAsia="zh-CN"/>
              </w:rPr>
            </w:pPr>
            <w:r>
              <w:rPr>
                <w:rFonts w:hint="eastAsia"/>
                <w:color w:val="auto"/>
                <w:lang w:val="en-US" w:eastAsia="zh-CN"/>
              </w:rPr>
              <w:t>6</w:t>
            </w:r>
          </w:p>
        </w:tc>
        <w:tc>
          <w:tcPr>
            <w:tcW w:w="4137" w:type="dxa"/>
            <w:tcBorders>
              <w:left w:val="nil"/>
              <w:bottom w:val="single" w:color="auto" w:sz="4" w:space="0"/>
              <w:right w:val="single" w:color="auto" w:sz="4" w:space="0"/>
            </w:tcBorders>
            <w:noWrap/>
            <w:vAlign w:val="center"/>
          </w:tcPr>
          <w:p>
            <w:pPr>
              <w:rPr>
                <w:rFonts w:hint="eastAsia" w:ascii="宋体" w:hAnsi="宋体" w:cs="Times New Roman"/>
                <w:color w:val="auto"/>
                <w:szCs w:val="21"/>
              </w:rPr>
            </w:pPr>
            <w:r>
              <w:rPr>
                <w:rFonts w:hint="eastAsia" w:ascii="宋体" w:hAnsi="宋体" w:cs="Times New Roman"/>
                <w:color w:val="auto"/>
                <w:szCs w:val="21"/>
                <w:lang w:val="en-US" w:eastAsia="zh-CN"/>
              </w:rPr>
              <w:t>被“信用中国（www.creditchina.gov.cn）”“湖南信用网（www.hncredit.gov.cn）”网站列入失信被执行人和重大税收违法案件当事人名单的、被“中国政府采购网（www.ccgp.gov.cn）”“湖南省政府采购网（</w:t>
            </w:r>
            <w:r>
              <w:rPr>
                <w:rFonts w:hint="eastAsia" w:ascii="宋体" w:hAnsi="宋体" w:cs="Times New Roman"/>
                <w:color w:val="auto"/>
                <w:szCs w:val="21"/>
                <w:lang w:val="en-US" w:eastAsia="zh-CN"/>
              </w:rPr>
              <w:fldChar w:fldCharType="begin"/>
            </w:r>
            <w:r>
              <w:rPr>
                <w:rFonts w:hint="eastAsia" w:ascii="宋体" w:hAnsi="宋体" w:cs="Times New Roman"/>
                <w:color w:val="auto"/>
                <w:szCs w:val="21"/>
                <w:lang w:val="en-US" w:eastAsia="zh-CN"/>
              </w:rPr>
              <w:instrText xml:space="preserve"> HYPERLINK "http://www.ccgp-hunan.gov.cn/" </w:instrText>
            </w:r>
            <w:r>
              <w:rPr>
                <w:rFonts w:hint="eastAsia" w:ascii="宋体" w:hAnsi="宋体" w:cs="Times New Roman"/>
                <w:color w:val="auto"/>
                <w:szCs w:val="21"/>
                <w:lang w:val="en-US" w:eastAsia="zh-CN"/>
              </w:rPr>
              <w:fldChar w:fldCharType="separate"/>
            </w:r>
            <w:r>
              <w:rPr>
                <w:rFonts w:hint="eastAsia" w:ascii="宋体" w:hAnsi="宋体" w:cs="Times New Roman"/>
                <w:color w:val="auto"/>
                <w:szCs w:val="21"/>
                <w:lang w:val="en-US" w:eastAsia="zh-CN"/>
              </w:rPr>
              <w:t>www.ccgp-hunan.gov.cn</w:t>
            </w:r>
            <w:r>
              <w:rPr>
                <w:rFonts w:hint="eastAsia" w:ascii="宋体" w:hAnsi="宋体" w:cs="Times New Roman"/>
                <w:color w:val="auto"/>
                <w:szCs w:val="21"/>
                <w:lang w:val="en-US" w:eastAsia="zh-CN"/>
              </w:rPr>
              <w:fldChar w:fldCharType="end"/>
            </w:r>
            <w:r>
              <w:rPr>
                <w:rFonts w:hint="eastAsia" w:ascii="宋体" w:hAnsi="宋体" w:cs="Times New Roman"/>
                <w:color w:val="auto"/>
                <w:szCs w:val="21"/>
                <w:lang w:val="en-US" w:eastAsia="zh-CN"/>
              </w:rPr>
              <w:t>）”网站列入政府采购严重违法失信行为记录名单（处罚期限尚未届满的），不得参与本项目的政府采购活动；提供最近一个月的投标人查询记录网上打印件并加盖单位公章</w:t>
            </w:r>
            <w:r>
              <w:rPr>
                <w:rFonts w:hint="eastAsia" w:ascii="宋体" w:hAnsi="宋体" w:cs="Times New Roman"/>
                <w:color w:val="auto"/>
                <w:szCs w:val="21"/>
              </w:rPr>
              <w:t>。</w:t>
            </w:r>
          </w:p>
        </w:tc>
        <w:tc>
          <w:tcPr>
            <w:tcW w:w="2360" w:type="dxa"/>
            <w:tcBorders>
              <w:left w:val="nil"/>
              <w:bottom w:val="single" w:color="auto" w:sz="4" w:space="0"/>
              <w:right w:val="single" w:color="auto" w:sz="4" w:space="0"/>
            </w:tcBorders>
            <w:noWrap/>
            <w:vAlign w:val="center"/>
          </w:tcPr>
          <w:p>
            <w:pPr>
              <w:rPr>
                <w:color w:val="auto"/>
              </w:rPr>
            </w:pPr>
            <w:r>
              <w:rPr>
                <w:rFonts w:hint="eastAsia" w:ascii="宋体" w:hAnsi="宋体"/>
                <w:color w:val="auto"/>
                <w:szCs w:val="21"/>
              </w:rPr>
              <w:t>查询结果截图打印件加盖公章</w:t>
            </w:r>
          </w:p>
        </w:tc>
        <w:tc>
          <w:tcPr>
            <w:tcW w:w="651" w:type="dxa"/>
            <w:tcBorders>
              <w:top w:val="single" w:color="auto" w:sz="4" w:space="0"/>
              <w:left w:val="nil"/>
              <w:bottom w:val="single" w:color="auto" w:sz="4" w:space="0"/>
              <w:right w:val="single" w:color="auto" w:sz="4" w:space="0"/>
            </w:tcBorders>
            <w:noWrap/>
            <w:vAlign w:val="center"/>
          </w:tcPr>
          <w:p>
            <w:pPr>
              <w:rPr>
                <w:color w:val="auto"/>
              </w:rPr>
            </w:pPr>
          </w:p>
        </w:tc>
        <w:tc>
          <w:tcPr>
            <w:tcW w:w="587" w:type="dxa"/>
            <w:tcBorders>
              <w:top w:val="single" w:color="auto" w:sz="4" w:space="0"/>
              <w:left w:val="nil"/>
              <w:bottom w:val="single" w:color="auto" w:sz="4" w:space="0"/>
              <w:right w:val="single" w:color="auto" w:sz="4" w:space="0"/>
            </w:tcBorders>
            <w:noWrap/>
            <w:vAlign w:val="center"/>
          </w:tcPr>
          <w:p>
            <w:pPr>
              <w:rPr>
                <w:color w:val="auto"/>
              </w:rPr>
            </w:pPr>
          </w:p>
        </w:tc>
        <w:tc>
          <w:tcPr>
            <w:tcW w:w="615" w:type="dxa"/>
            <w:tcBorders>
              <w:top w:val="single" w:color="auto" w:sz="4" w:space="0"/>
              <w:left w:val="nil"/>
              <w:bottom w:val="single" w:color="auto" w:sz="4" w:space="0"/>
              <w:right w:val="double" w:color="auto" w:sz="4" w:space="0"/>
            </w:tcBorders>
            <w:noWrap/>
            <w:vAlign w:val="center"/>
          </w:tcPr>
          <w:p>
            <w:pPr>
              <w:rPr>
                <w:color w:val="auto"/>
              </w:rPr>
            </w:pPr>
          </w:p>
        </w:tc>
      </w:tr>
      <w:tr>
        <w:tblPrEx>
          <w:tblLayout w:type="fixed"/>
          <w:tblCellMar>
            <w:top w:w="0" w:type="dxa"/>
            <w:left w:w="108" w:type="dxa"/>
            <w:bottom w:w="0" w:type="dxa"/>
            <w:right w:w="108" w:type="dxa"/>
          </w:tblCellMar>
        </w:tblPrEx>
        <w:trPr>
          <w:trHeight w:val="502" w:hRule="atLeast"/>
          <w:jc w:val="center"/>
        </w:trPr>
        <w:tc>
          <w:tcPr>
            <w:tcW w:w="641" w:type="dxa"/>
            <w:tcBorders>
              <w:top w:val="nil"/>
              <w:left w:val="double" w:color="auto" w:sz="4" w:space="0"/>
              <w:bottom w:val="double" w:color="auto" w:sz="4" w:space="0"/>
              <w:right w:val="single" w:color="auto" w:sz="4" w:space="0"/>
            </w:tcBorders>
            <w:noWrap/>
            <w:vAlign w:val="center"/>
          </w:tcPr>
          <w:p>
            <w:pPr>
              <w:jc w:val="center"/>
              <w:rPr>
                <w:color w:val="auto"/>
              </w:rPr>
            </w:pPr>
          </w:p>
        </w:tc>
        <w:tc>
          <w:tcPr>
            <w:tcW w:w="6497" w:type="dxa"/>
            <w:gridSpan w:val="2"/>
            <w:tcBorders>
              <w:top w:val="nil"/>
              <w:left w:val="nil"/>
              <w:bottom w:val="double" w:color="auto" w:sz="4" w:space="0"/>
              <w:right w:val="single" w:color="auto" w:sz="4" w:space="0"/>
            </w:tcBorders>
            <w:noWrap/>
            <w:vAlign w:val="center"/>
          </w:tcPr>
          <w:p>
            <w:pPr>
              <w:jc w:val="center"/>
              <w:rPr>
                <w:color w:val="auto"/>
              </w:rPr>
            </w:pPr>
            <w:r>
              <w:rPr>
                <w:rFonts w:hint="eastAsia"/>
                <w:color w:val="auto"/>
              </w:rPr>
              <w:t>结论</w:t>
            </w:r>
          </w:p>
        </w:tc>
        <w:tc>
          <w:tcPr>
            <w:tcW w:w="651" w:type="dxa"/>
            <w:tcBorders>
              <w:top w:val="nil"/>
              <w:left w:val="nil"/>
              <w:bottom w:val="double" w:color="auto" w:sz="4" w:space="0"/>
              <w:right w:val="single" w:color="auto" w:sz="4" w:space="0"/>
            </w:tcBorders>
            <w:noWrap/>
            <w:vAlign w:val="center"/>
          </w:tcPr>
          <w:p>
            <w:pPr>
              <w:rPr>
                <w:color w:val="auto"/>
              </w:rPr>
            </w:pPr>
          </w:p>
        </w:tc>
        <w:tc>
          <w:tcPr>
            <w:tcW w:w="587" w:type="dxa"/>
            <w:tcBorders>
              <w:top w:val="nil"/>
              <w:left w:val="nil"/>
              <w:bottom w:val="double" w:color="auto" w:sz="4" w:space="0"/>
              <w:right w:val="single" w:color="auto" w:sz="4" w:space="0"/>
            </w:tcBorders>
            <w:noWrap/>
            <w:vAlign w:val="center"/>
          </w:tcPr>
          <w:p>
            <w:pPr>
              <w:rPr>
                <w:color w:val="auto"/>
              </w:rPr>
            </w:pPr>
          </w:p>
        </w:tc>
        <w:tc>
          <w:tcPr>
            <w:tcW w:w="615" w:type="dxa"/>
            <w:tcBorders>
              <w:top w:val="nil"/>
              <w:left w:val="nil"/>
              <w:bottom w:val="double" w:color="auto" w:sz="4" w:space="0"/>
              <w:right w:val="double" w:color="auto" w:sz="4" w:space="0"/>
            </w:tcBorders>
            <w:noWrap/>
            <w:vAlign w:val="center"/>
          </w:tcPr>
          <w:p>
            <w:pPr>
              <w:rPr>
                <w:color w:val="auto"/>
              </w:rPr>
            </w:pPr>
          </w:p>
        </w:tc>
      </w:tr>
    </w:tbl>
    <w:p>
      <w:pPr>
        <w:adjustRightInd w:val="0"/>
        <w:snapToGrid w:val="0"/>
        <w:spacing w:beforeLines="50" w:line="360" w:lineRule="auto"/>
        <w:ind w:firstLine="420"/>
        <w:rPr>
          <w:rFonts w:ascii="宋体" w:hAnsi="宋体"/>
          <w:b/>
          <w:color w:val="auto"/>
          <w:szCs w:val="21"/>
        </w:rPr>
      </w:pPr>
      <w:r>
        <w:rPr>
          <w:rFonts w:hint="eastAsia" w:ascii="宋体" w:hAnsi="宋体"/>
          <w:b/>
          <w:color w:val="auto"/>
          <w:szCs w:val="21"/>
        </w:rPr>
        <w:t>投标人有一项资格证明未提交，或资格证明有重大瑕疵,或提供虚假资格证明的，视为无效投标。</w:t>
      </w:r>
    </w:p>
    <w:p>
      <w:pPr>
        <w:adjustRightInd w:val="0"/>
        <w:snapToGrid w:val="0"/>
        <w:spacing w:beforeLines="50" w:line="360" w:lineRule="auto"/>
        <w:ind w:firstLine="420"/>
        <w:jc w:val="left"/>
        <w:rPr>
          <w:rFonts w:ascii="宋体" w:hAnsi="宋体"/>
          <w:b/>
          <w:bCs/>
          <w:color w:val="auto"/>
          <w:sz w:val="18"/>
          <w:szCs w:val="18"/>
        </w:rPr>
      </w:pPr>
    </w:p>
    <w:p>
      <w:pPr>
        <w:pStyle w:val="2"/>
        <w:rPr>
          <w:rFonts w:ascii="宋体" w:hAnsi="宋体"/>
          <w:b/>
          <w:bCs/>
          <w:color w:val="auto"/>
          <w:sz w:val="18"/>
          <w:szCs w:val="18"/>
        </w:rPr>
      </w:pPr>
    </w:p>
    <w:p>
      <w:pPr>
        <w:rPr>
          <w:rFonts w:hint="eastAsia" w:ascii="宋体" w:hAnsi="宋体"/>
          <w:b/>
          <w:bCs/>
          <w:color w:val="auto"/>
          <w:sz w:val="18"/>
          <w:szCs w:val="18"/>
        </w:rPr>
      </w:pPr>
      <w:r>
        <w:rPr>
          <w:rFonts w:hint="eastAsia" w:ascii="宋体" w:hAnsi="宋体"/>
          <w:b/>
          <w:bCs/>
          <w:color w:val="auto"/>
          <w:sz w:val="18"/>
          <w:szCs w:val="18"/>
        </w:rPr>
        <w:br w:type="page"/>
      </w:r>
    </w:p>
    <w:p>
      <w:pPr>
        <w:adjustRightInd w:val="0"/>
        <w:snapToGrid w:val="0"/>
        <w:spacing w:beforeLines="50" w:line="360" w:lineRule="auto"/>
        <w:ind w:firstLine="420"/>
        <w:jc w:val="left"/>
        <w:rPr>
          <w:rFonts w:ascii="宋体" w:hAnsi="宋体"/>
          <w:b/>
          <w:color w:val="auto"/>
          <w:sz w:val="18"/>
          <w:szCs w:val="18"/>
        </w:rPr>
      </w:pPr>
      <w:r>
        <w:rPr>
          <w:rFonts w:hint="eastAsia" w:ascii="宋体" w:hAnsi="宋体"/>
          <w:b/>
          <w:bCs/>
          <w:color w:val="auto"/>
          <w:sz w:val="18"/>
          <w:szCs w:val="18"/>
        </w:rPr>
        <w:t>附页4-2</w:t>
      </w:r>
    </w:p>
    <w:p>
      <w:pPr>
        <w:adjustRightInd w:val="0"/>
        <w:snapToGrid w:val="0"/>
        <w:spacing w:beforeLines="50" w:line="360" w:lineRule="auto"/>
        <w:jc w:val="center"/>
        <w:rPr>
          <w:rFonts w:ascii="宋体" w:hAnsi="宋体"/>
          <w:b/>
          <w:color w:val="auto"/>
          <w:sz w:val="28"/>
          <w:szCs w:val="28"/>
        </w:rPr>
      </w:pPr>
      <w:r>
        <w:rPr>
          <w:rFonts w:hint="eastAsia" w:ascii="宋体" w:hAnsi="宋体"/>
          <w:b/>
          <w:color w:val="auto"/>
          <w:sz w:val="28"/>
          <w:szCs w:val="28"/>
        </w:rPr>
        <w:t>符合性审查表</w:t>
      </w:r>
    </w:p>
    <w:p>
      <w:pPr>
        <w:adjustRightInd w:val="0"/>
        <w:snapToGrid w:val="0"/>
        <w:spacing w:beforeLines="50" w:line="360" w:lineRule="auto"/>
        <w:ind w:firstLine="420"/>
        <w:rPr>
          <w:rFonts w:ascii="宋体" w:hAnsi="宋体"/>
          <w:color w:val="auto"/>
          <w:szCs w:val="21"/>
        </w:rPr>
      </w:pPr>
      <w:r>
        <w:rPr>
          <w:rFonts w:hint="eastAsia" w:ascii="宋体" w:hAnsi="宋体"/>
          <w:color w:val="auto"/>
          <w:szCs w:val="21"/>
        </w:rPr>
        <w:t>符合性检查。依据招标文件的规定，从投标文件的有效性、完整性和对招标文件的响应程度进行审查，以确定是否对招标文件的实质性要求作出响应。</w:t>
      </w:r>
    </w:p>
    <w:tbl>
      <w:tblPr>
        <w:tblStyle w:val="45"/>
        <w:tblW w:w="8738" w:type="dxa"/>
        <w:tblInd w:w="93" w:type="dxa"/>
        <w:tblLayout w:type="fixed"/>
        <w:tblCellMar>
          <w:top w:w="0" w:type="dxa"/>
          <w:left w:w="108" w:type="dxa"/>
          <w:bottom w:w="0" w:type="dxa"/>
          <w:right w:w="108" w:type="dxa"/>
        </w:tblCellMar>
      </w:tblPr>
      <w:tblGrid>
        <w:gridCol w:w="509"/>
        <w:gridCol w:w="1824"/>
        <w:gridCol w:w="2580"/>
        <w:gridCol w:w="975"/>
        <w:gridCol w:w="975"/>
        <w:gridCol w:w="960"/>
        <w:gridCol w:w="915"/>
      </w:tblGrid>
      <w:tr>
        <w:tblPrEx>
          <w:tblLayout w:type="fixed"/>
          <w:tblCellMar>
            <w:top w:w="0" w:type="dxa"/>
            <w:left w:w="108" w:type="dxa"/>
            <w:bottom w:w="0" w:type="dxa"/>
            <w:right w:w="108" w:type="dxa"/>
          </w:tblCellMar>
        </w:tblPrEx>
        <w:trPr>
          <w:trHeight w:val="390" w:hRule="atLeast"/>
        </w:trPr>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序号</w:t>
            </w:r>
          </w:p>
        </w:tc>
        <w:tc>
          <w:tcPr>
            <w:tcW w:w="44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评审因素</w:t>
            </w:r>
          </w:p>
        </w:tc>
        <w:tc>
          <w:tcPr>
            <w:tcW w:w="3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投标人名称及评审意见</w:t>
            </w:r>
          </w:p>
        </w:tc>
      </w:tr>
      <w:tr>
        <w:tblPrEx>
          <w:tblLayout w:type="fixed"/>
          <w:tblCellMar>
            <w:top w:w="0" w:type="dxa"/>
            <w:left w:w="108" w:type="dxa"/>
            <w:bottom w:w="0" w:type="dxa"/>
            <w:right w:w="108" w:type="dxa"/>
          </w:tblCellMar>
        </w:tblPrEx>
        <w:trPr>
          <w:trHeight w:val="652"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c>
          <w:tcPr>
            <w:tcW w:w="44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r>
      <w:tr>
        <w:tblPrEx>
          <w:tblLayout w:type="fixed"/>
          <w:tblCellMar>
            <w:top w:w="0" w:type="dxa"/>
            <w:left w:w="108" w:type="dxa"/>
            <w:bottom w:w="0" w:type="dxa"/>
            <w:right w:w="108" w:type="dxa"/>
          </w:tblCellMar>
        </w:tblPrEx>
        <w:trPr>
          <w:trHeight w:val="975"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投标人名称</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与投标报名、营业执照、资质证书、安全生产许可证上的名称是否一致</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r>
      <w:tr>
        <w:tblPrEx>
          <w:tblLayout w:type="fixed"/>
          <w:tblCellMar>
            <w:top w:w="0" w:type="dxa"/>
            <w:left w:w="108" w:type="dxa"/>
            <w:bottom w:w="0" w:type="dxa"/>
            <w:right w:w="108" w:type="dxa"/>
          </w:tblCellMar>
        </w:tblPrEx>
        <w:trPr>
          <w:trHeight w:val="74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投标文件签字盖章</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是否符合磋商文件签字盖章要求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r>
      <w:tr>
        <w:tblPrEx>
          <w:tblLayout w:type="fixed"/>
          <w:tblCellMar>
            <w:top w:w="0" w:type="dxa"/>
            <w:left w:w="108" w:type="dxa"/>
            <w:bottom w:w="0" w:type="dxa"/>
            <w:right w:w="108" w:type="dxa"/>
          </w:tblCellMar>
        </w:tblPrEx>
        <w:trPr>
          <w:trHeight w:val="1671"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投标文件格式</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是否符合磋商文件要求。投标文件未按规定的格式填写的，内容不全或关键字迹模糊、无法辨认的，为不合格的投标人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r>
      <w:tr>
        <w:tblPrEx>
          <w:tblLayout w:type="fixed"/>
          <w:tblCellMar>
            <w:top w:w="0" w:type="dxa"/>
            <w:left w:w="108" w:type="dxa"/>
            <w:bottom w:w="0" w:type="dxa"/>
            <w:right w:w="108" w:type="dxa"/>
          </w:tblCellMar>
        </w:tblPrEx>
        <w:trPr>
          <w:trHeight w:val="103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投标报价</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报价是否超过招标文件中规定的预算金额或者最高限价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r>
      <w:tr>
        <w:tblPrEx>
          <w:tblLayout w:type="fixed"/>
          <w:tblCellMar>
            <w:top w:w="0" w:type="dxa"/>
            <w:left w:w="108" w:type="dxa"/>
            <w:bottom w:w="0" w:type="dxa"/>
            <w:right w:w="108" w:type="dxa"/>
          </w:tblCellMar>
        </w:tblPrEx>
        <w:trPr>
          <w:trHeight w:val="78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投标有效期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投标有效期是否满足招标文件要求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r>
      <w:tr>
        <w:tblPrEx>
          <w:tblLayout w:type="fixed"/>
          <w:tblCellMar>
            <w:top w:w="0" w:type="dxa"/>
            <w:left w:w="108" w:type="dxa"/>
            <w:bottom w:w="0" w:type="dxa"/>
            <w:right w:w="108" w:type="dxa"/>
          </w:tblCellMar>
        </w:tblPrEx>
        <w:trPr>
          <w:trHeight w:val="965"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投标文件的附加条件的</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投标文件是否含有采购人不能接受的附加条件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r>
      <w:tr>
        <w:tblPrEx>
          <w:tblLayout w:type="fixed"/>
          <w:tblCellMar>
            <w:top w:w="0" w:type="dxa"/>
            <w:left w:w="108" w:type="dxa"/>
            <w:bottom w:w="0" w:type="dxa"/>
            <w:right w:w="108" w:type="dxa"/>
          </w:tblCellMar>
        </w:tblPrEx>
        <w:trPr>
          <w:trHeight w:val="1225"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法律、法规和招标文件规定的其他投标无效情形</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是否存在法律、法规和招标文件规定的其他投标无效情形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r>
      <w:tr>
        <w:tblPrEx>
          <w:tblLayout w:type="fixed"/>
          <w:tblCellMar>
            <w:top w:w="0" w:type="dxa"/>
            <w:left w:w="108" w:type="dxa"/>
            <w:bottom w:w="0" w:type="dxa"/>
            <w:right w:w="108" w:type="dxa"/>
          </w:tblCellMar>
        </w:tblPrEx>
        <w:trPr>
          <w:trHeight w:val="1010" w:hRule="atLeast"/>
        </w:trPr>
        <w:tc>
          <w:tcPr>
            <w:tcW w:w="49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结论（合格或不合格）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r>
    </w:tbl>
    <w:p>
      <w:pPr>
        <w:pStyle w:val="20"/>
        <w:ind w:left="0" w:leftChars="0" w:firstLine="0" w:firstLineChars="0"/>
        <w:rPr>
          <w:rFonts w:ascii="宋体" w:hAnsi="宋体"/>
          <w:color w:val="auto"/>
          <w:szCs w:val="21"/>
        </w:rPr>
      </w:pPr>
    </w:p>
    <w:p>
      <w:pPr>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br w:type="page"/>
      </w:r>
    </w:p>
    <w:p>
      <w:pPr>
        <w:jc w:val="left"/>
        <w:outlineLvl w:val="1"/>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附页4-3</w:t>
      </w:r>
    </w:p>
    <w:p>
      <w:pPr>
        <w:pStyle w:val="20"/>
        <w:rPr>
          <w:color w:val="auto"/>
        </w:rPr>
      </w:pPr>
    </w:p>
    <w:p>
      <w:pPr>
        <w:adjustRightInd w:val="0"/>
        <w:snapToGrid w:val="0"/>
        <w:spacing w:beforeLines="50" w:line="360" w:lineRule="auto"/>
        <w:jc w:val="center"/>
        <w:rPr>
          <w:rFonts w:ascii="黑体" w:hAnsi="黑体" w:eastAsia="黑体"/>
          <w:b/>
          <w:color w:val="auto"/>
          <w:sz w:val="28"/>
          <w:szCs w:val="28"/>
        </w:rPr>
      </w:pPr>
      <w:r>
        <w:rPr>
          <w:rFonts w:hint="eastAsia" w:ascii="黑体" w:hAnsi="黑体" w:eastAsia="黑体"/>
          <w:b/>
          <w:color w:val="auto"/>
          <w:sz w:val="28"/>
          <w:szCs w:val="28"/>
        </w:rPr>
        <w:t>评审方法及标准表</w:t>
      </w:r>
    </w:p>
    <w:p>
      <w:pPr>
        <w:pStyle w:val="20"/>
        <w:rPr>
          <w:color w:val="auto"/>
        </w:rPr>
      </w:pPr>
    </w:p>
    <w:tbl>
      <w:tblPr>
        <w:tblStyle w:val="45"/>
        <w:tblW w:w="8829"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80"/>
        <w:gridCol w:w="926"/>
        <w:gridCol w:w="915"/>
        <w:gridCol w:w="600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2" w:hRule="atLeast"/>
          <w:jc w:val="center"/>
        </w:trPr>
        <w:tc>
          <w:tcPr>
            <w:tcW w:w="1906" w:type="dxa"/>
            <w:gridSpan w:val="2"/>
            <w:tcBorders>
              <w:left w:val="single" w:color="auto" w:sz="4" w:space="0"/>
              <w:right w:val="single" w:color="auto" w:sz="4" w:space="0"/>
            </w:tcBorders>
            <w:vAlign w:val="center"/>
          </w:tcPr>
          <w:p>
            <w:pPr>
              <w:adjustRightInd w:val="0"/>
              <w:snapToGrid w:val="0"/>
              <w:jc w:val="center"/>
              <w:rPr>
                <w:rFonts w:hint="eastAsia" w:ascii="宋体" w:hAnsi="宋体" w:eastAsia="宋体" w:cs="宋体"/>
                <w:b/>
                <w:color w:val="auto"/>
                <w:szCs w:val="21"/>
                <w:lang w:val="en-US" w:eastAsia="zh-CN"/>
              </w:rPr>
            </w:pPr>
            <w:r>
              <w:rPr>
                <w:rFonts w:hint="eastAsia" w:ascii="宋体" w:hAnsi="宋体" w:cs="宋体"/>
                <w:b/>
                <w:color w:val="auto"/>
                <w:szCs w:val="21"/>
                <w:lang w:val="en-US" w:eastAsia="zh-CN"/>
              </w:rPr>
              <w:t>权值</w:t>
            </w:r>
          </w:p>
        </w:tc>
        <w:tc>
          <w:tcPr>
            <w:tcW w:w="6923" w:type="dxa"/>
            <w:gridSpan w:val="2"/>
            <w:tcBorders>
              <w:left w:val="single" w:color="auto" w:sz="4" w:space="0"/>
              <w:bottom w:val="single" w:color="auto" w:sz="4" w:space="0"/>
            </w:tcBorders>
            <w:vAlign w:val="center"/>
          </w:tcPr>
          <w:p>
            <w:pPr>
              <w:adjustRightInd w:val="0"/>
              <w:snapToGrid w:val="0"/>
              <w:jc w:val="center"/>
              <w:rPr>
                <w:rFonts w:hint="default" w:ascii="宋体" w:hAnsi="宋体" w:eastAsia="宋体" w:cs="宋体"/>
                <w:b/>
                <w:color w:val="auto"/>
                <w:szCs w:val="21"/>
                <w:lang w:val="en-US" w:eastAsia="zh-CN"/>
              </w:rPr>
            </w:pPr>
            <w:r>
              <w:rPr>
                <w:rFonts w:hint="eastAsia" w:ascii="宋体" w:hAnsi="宋体" w:cs="宋体"/>
                <w:b/>
                <w:color w:val="auto"/>
                <w:szCs w:val="21"/>
                <w:lang w:eastAsia="zh-CN"/>
              </w:rPr>
              <w:t>价格</w:t>
            </w:r>
            <w:r>
              <w:rPr>
                <w:rFonts w:hint="eastAsia" w:ascii="宋体" w:hAnsi="宋体" w:cs="宋体"/>
                <w:b/>
                <w:color w:val="auto"/>
                <w:szCs w:val="21"/>
                <w:lang w:val="en-US" w:eastAsia="zh-CN"/>
              </w:rPr>
              <w:t>10%、商务30%、技术60%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2" w:hRule="atLeast"/>
          <w:jc w:val="center"/>
        </w:trPr>
        <w:tc>
          <w:tcPr>
            <w:tcW w:w="1906" w:type="dxa"/>
            <w:gridSpan w:val="2"/>
            <w:tcBorders>
              <w:left w:val="single" w:color="auto" w:sz="4" w:space="0"/>
              <w:right w:val="single" w:color="auto" w:sz="4" w:space="0"/>
            </w:tcBorders>
            <w:vAlign w:val="center"/>
          </w:tcPr>
          <w:p>
            <w:pPr>
              <w:adjustRightInd w:val="0"/>
              <w:snapToGrid w:val="0"/>
              <w:jc w:val="center"/>
              <w:rPr>
                <w:rFonts w:ascii="宋体" w:hAnsi="宋体" w:cs="宋体"/>
                <w:b/>
                <w:color w:val="auto"/>
                <w:szCs w:val="21"/>
              </w:rPr>
            </w:pPr>
          </w:p>
          <w:p>
            <w:pPr>
              <w:adjustRightInd w:val="0"/>
              <w:snapToGrid w:val="0"/>
              <w:jc w:val="center"/>
              <w:rPr>
                <w:rFonts w:ascii="宋体" w:hAnsi="宋体" w:cs="宋体"/>
                <w:b/>
                <w:color w:val="auto"/>
                <w:szCs w:val="21"/>
              </w:rPr>
            </w:pPr>
            <w:r>
              <w:rPr>
                <w:rFonts w:hint="eastAsia" w:ascii="宋体" w:hAnsi="宋体" w:cs="宋体"/>
                <w:b/>
                <w:color w:val="auto"/>
                <w:szCs w:val="21"/>
              </w:rPr>
              <w:t>评审因素</w:t>
            </w:r>
          </w:p>
          <w:p>
            <w:pPr>
              <w:adjustRightInd w:val="0"/>
              <w:snapToGrid w:val="0"/>
              <w:jc w:val="center"/>
              <w:rPr>
                <w:rFonts w:ascii="宋体" w:hAnsi="宋体" w:cs="宋体"/>
                <w:b/>
                <w:color w:val="auto"/>
                <w:szCs w:val="21"/>
              </w:rPr>
            </w:pPr>
          </w:p>
        </w:tc>
        <w:tc>
          <w:tcPr>
            <w:tcW w:w="915" w:type="dxa"/>
            <w:tcBorders>
              <w:left w:val="single" w:color="auto" w:sz="4" w:space="0"/>
              <w:bottom w:val="single" w:color="auto" w:sz="4" w:space="0"/>
              <w:right w:val="single" w:color="auto" w:sz="4" w:space="0"/>
            </w:tcBorders>
            <w:vAlign w:val="center"/>
          </w:tcPr>
          <w:p>
            <w:pPr>
              <w:adjustRightInd w:val="0"/>
              <w:snapToGrid w:val="0"/>
              <w:jc w:val="center"/>
              <w:rPr>
                <w:rFonts w:ascii="宋体" w:hAnsi="宋体" w:cs="宋体"/>
                <w:b/>
                <w:color w:val="auto"/>
                <w:szCs w:val="21"/>
              </w:rPr>
            </w:pPr>
            <w:r>
              <w:rPr>
                <w:rFonts w:hint="eastAsia" w:ascii="宋体" w:hAnsi="宋体" w:cs="宋体"/>
                <w:b/>
                <w:color w:val="auto"/>
                <w:szCs w:val="21"/>
              </w:rPr>
              <w:t>权值</w:t>
            </w:r>
          </w:p>
        </w:tc>
        <w:tc>
          <w:tcPr>
            <w:tcW w:w="6008" w:type="dxa"/>
            <w:tcBorders>
              <w:left w:val="single" w:color="auto" w:sz="4" w:space="0"/>
              <w:bottom w:val="single" w:color="auto" w:sz="4" w:space="0"/>
            </w:tcBorders>
            <w:vAlign w:val="center"/>
          </w:tcPr>
          <w:p>
            <w:pPr>
              <w:adjustRightInd w:val="0"/>
              <w:snapToGrid w:val="0"/>
              <w:jc w:val="center"/>
              <w:rPr>
                <w:rFonts w:ascii="宋体" w:hAnsi="宋体" w:cs="宋体"/>
                <w:b/>
                <w:color w:val="auto"/>
                <w:szCs w:val="21"/>
              </w:rPr>
            </w:pPr>
            <w:r>
              <w:rPr>
                <w:rFonts w:hint="eastAsia" w:ascii="宋体" w:hAnsi="宋体" w:cs="宋体"/>
                <w:b/>
                <w:color w:val="auto"/>
                <w:szCs w:val="21"/>
              </w:rPr>
              <w:t>评分标准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037" w:hRule="atLeast"/>
          <w:jc w:val="center"/>
        </w:trPr>
        <w:tc>
          <w:tcPr>
            <w:tcW w:w="190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价格（</w:t>
            </w:r>
            <w:r>
              <w:rPr>
                <w:rFonts w:hint="eastAsia" w:ascii="宋体" w:hAnsi="宋体" w:cs="宋体"/>
                <w:color w:val="auto"/>
                <w:szCs w:val="21"/>
                <w:lang w:val="en-US" w:eastAsia="zh-CN"/>
              </w:rPr>
              <w:t>100</w:t>
            </w:r>
            <w:r>
              <w:rPr>
                <w:rFonts w:hint="eastAsia" w:ascii="宋体" w:hAnsi="宋体" w:cs="宋体"/>
                <w:color w:val="auto"/>
                <w:szCs w:val="21"/>
              </w:rPr>
              <w:t>分）</w:t>
            </w:r>
          </w:p>
        </w:tc>
        <w:tc>
          <w:tcPr>
            <w:tcW w:w="9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lang w:val="en-US" w:eastAsia="zh-CN"/>
              </w:rPr>
              <w:t>100</w:t>
            </w:r>
            <w:r>
              <w:rPr>
                <w:rFonts w:hint="eastAsia" w:ascii="宋体" w:hAnsi="宋体" w:cs="宋体"/>
                <w:color w:val="auto"/>
                <w:szCs w:val="21"/>
              </w:rPr>
              <w:t>分</w:t>
            </w:r>
          </w:p>
        </w:tc>
        <w:tc>
          <w:tcPr>
            <w:tcW w:w="6008" w:type="dxa"/>
            <w:tcBorders>
              <w:top w:val="single" w:color="auto" w:sz="4" w:space="0"/>
              <w:left w:val="single" w:color="auto" w:sz="4" w:space="0"/>
              <w:bottom w:val="single" w:color="auto" w:sz="4" w:space="0"/>
            </w:tcBorders>
            <w:vAlign w:val="center"/>
          </w:tcPr>
          <w:p>
            <w:pPr>
              <w:rPr>
                <w:rFonts w:ascii="宋体" w:hAnsi="宋体" w:cs="宋体"/>
                <w:color w:val="auto"/>
                <w:szCs w:val="21"/>
              </w:rPr>
            </w:pPr>
            <w:r>
              <w:rPr>
                <w:rFonts w:hint="eastAsia" w:ascii="宋体" w:hAnsi="宋体" w:cs="宋体"/>
                <w:color w:val="auto"/>
                <w:szCs w:val="21"/>
              </w:rPr>
              <w:t>满足磋商文件要求且最后报价最低的供应商的价格为磋商基准价，其价格分为满分。其他供应商的价格分统一按照下列公式计算：磋商报价得分=（磋商基准价/最后磋商报价）×价格权值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373" w:hRule="atLeast"/>
          <w:jc w:val="center"/>
        </w:trPr>
        <w:tc>
          <w:tcPr>
            <w:tcW w:w="980" w:type="dxa"/>
            <w:vMerge w:val="restart"/>
            <w:tcBorders>
              <w:left w:val="single" w:color="auto" w:sz="4" w:space="0"/>
              <w:right w:val="single" w:color="auto" w:sz="4" w:space="0"/>
            </w:tcBorders>
            <w:vAlign w:val="center"/>
          </w:tcPr>
          <w:p>
            <w:pPr>
              <w:ind w:firstLine="210" w:firstLineChars="100"/>
              <w:rPr>
                <w:rFonts w:ascii="宋体" w:hAnsi="宋体" w:cs="宋体"/>
                <w:color w:val="auto"/>
                <w:szCs w:val="21"/>
              </w:rPr>
            </w:pPr>
            <w:r>
              <w:rPr>
                <w:rFonts w:hint="eastAsia" w:ascii="宋体" w:hAnsi="宋体" w:cs="宋体"/>
                <w:color w:val="auto"/>
                <w:szCs w:val="21"/>
              </w:rPr>
              <w:t>商务</w:t>
            </w:r>
          </w:p>
          <w:p>
            <w:pPr>
              <w:rPr>
                <w:rFonts w:ascii="宋体" w:hAnsi="宋体" w:cs="宋体"/>
                <w:color w:val="auto"/>
                <w:szCs w:val="21"/>
              </w:rPr>
            </w:pPr>
            <w:r>
              <w:rPr>
                <w:rFonts w:hint="eastAsia" w:ascii="宋体" w:hAnsi="宋体" w:cs="宋体"/>
                <w:color w:val="auto"/>
                <w:szCs w:val="21"/>
                <w:lang w:val="en-US" w:eastAsia="zh-CN"/>
              </w:rPr>
              <w:t>（100</w:t>
            </w:r>
            <w:r>
              <w:rPr>
                <w:rFonts w:hint="eastAsia" w:ascii="宋体" w:hAnsi="宋体" w:cs="宋体"/>
                <w:color w:val="auto"/>
                <w:szCs w:val="21"/>
              </w:rPr>
              <w:t>分）</w:t>
            </w:r>
          </w:p>
        </w:tc>
        <w:tc>
          <w:tcPr>
            <w:tcW w:w="926" w:type="dxa"/>
            <w:tcBorders>
              <w:top w:val="single" w:color="auto" w:sz="4" w:space="0"/>
              <w:left w:val="single" w:color="auto" w:sz="4" w:space="0"/>
              <w:right w:val="single" w:color="auto" w:sz="4" w:space="0"/>
            </w:tcBorders>
            <w:vAlign w:val="center"/>
          </w:tcPr>
          <w:p>
            <w:pPr>
              <w:jc w:val="center"/>
              <w:rPr>
                <w:rFonts w:hint="eastAsia" w:ascii="宋体" w:hAnsi="宋体" w:cs="宋体"/>
                <w:color w:val="auto"/>
                <w:szCs w:val="21"/>
              </w:rPr>
            </w:pPr>
            <w:r>
              <w:rPr>
                <w:rFonts w:hint="eastAsia" w:ascii="宋体" w:hAnsi="宋体" w:cs="宋体"/>
                <w:color w:val="auto"/>
                <w:szCs w:val="21"/>
              </w:rPr>
              <w:t>施工</w:t>
            </w:r>
          </w:p>
          <w:p>
            <w:pPr>
              <w:jc w:val="center"/>
              <w:rPr>
                <w:rFonts w:ascii="宋体" w:hAnsi="宋体" w:cs="宋体"/>
                <w:color w:val="auto"/>
                <w:szCs w:val="21"/>
              </w:rPr>
            </w:pPr>
            <w:r>
              <w:rPr>
                <w:rFonts w:hint="eastAsia" w:ascii="宋体" w:hAnsi="宋体" w:cs="宋体"/>
                <w:color w:val="auto"/>
                <w:szCs w:val="21"/>
              </w:rPr>
              <w:t>业绩</w:t>
            </w:r>
          </w:p>
        </w:tc>
        <w:tc>
          <w:tcPr>
            <w:tcW w:w="915" w:type="dxa"/>
            <w:tcBorders>
              <w:top w:val="single" w:color="auto" w:sz="4" w:space="0"/>
              <w:left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lang w:val="en-US" w:eastAsia="zh-CN"/>
              </w:rPr>
              <w:t>60</w:t>
            </w:r>
            <w:r>
              <w:rPr>
                <w:rFonts w:hint="eastAsia" w:ascii="宋体" w:hAnsi="宋体" w:cs="宋体"/>
                <w:color w:val="auto"/>
                <w:szCs w:val="21"/>
              </w:rPr>
              <w:t>分</w:t>
            </w:r>
          </w:p>
        </w:tc>
        <w:tc>
          <w:tcPr>
            <w:tcW w:w="6008" w:type="dxa"/>
            <w:tcBorders>
              <w:top w:val="single" w:color="auto" w:sz="4" w:space="0"/>
              <w:left w:val="single" w:color="auto" w:sz="4" w:space="0"/>
            </w:tcBorders>
            <w:vAlign w:val="center"/>
          </w:tcPr>
          <w:p>
            <w:pPr>
              <w:jc w:val="left"/>
              <w:rPr>
                <w:rFonts w:hint="eastAsia"/>
                <w:color w:val="auto"/>
                <w:lang w:val="en-US" w:eastAsia="zh-CN"/>
              </w:rPr>
            </w:pPr>
            <w:r>
              <w:rPr>
                <w:rFonts w:hint="eastAsia"/>
                <w:color w:val="auto"/>
                <w:lang w:val="en-US" w:eastAsia="zh-CN"/>
              </w:rPr>
              <w:t>投标人2023年5月至今（以提交首次响应文件截止时间前36个月）具有类似项目业绩，每提供一个计20分，最多计60分。</w:t>
            </w:r>
          </w:p>
          <w:p>
            <w:pPr>
              <w:jc w:val="left"/>
              <w:rPr>
                <w:color w:val="auto"/>
              </w:rPr>
            </w:pPr>
            <w:r>
              <w:rPr>
                <w:rFonts w:hint="eastAsia"/>
                <w:color w:val="auto"/>
                <w:lang w:val="en-US" w:eastAsia="zh-CN"/>
              </w:rPr>
              <w:t>注：业绩日期以合同签订日期为准。供应商须提供类似项目业绩合同复印件并加盖公章，否则不计分。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171" w:hRule="atLeast"/>
          <w:jc w:val="center"/>
        </w:trPr>
        <w:tc>
          <w:tcPr>
            <w:tcW w:w="980" w:type="dxa"/>
            <w:vMerge w:val="continue"/>
            <w:tcBorders>
              <w:left w:val="single" w:color="auto" w:sz="4" w:space="0"/>
              <w:right w:val="single" w:color="auto" w:sz="4" w:space="0"/>
            </w:tcBorders>
            <w:vAlign w:val="center"/>
          </w:tcPr>
          <w:p>
            <w:pPr>
              <w:rPr>
                <w:rFonts w:ascii="宋体" w:hAnsi="宋体" w:cs="宋体"/>
                <w:color w:val="auto"/>
                <w:szCs w:val="21"/>
              </w:rPr>
            </w:pPr>
          </w:p>
        </w:tc>
        <w:tc>
          <w:tcPr>
            <w:tcW w:w="926" w:type="dxa"/>
            <w:tcBorders>
              <w:top w:val="single" w:color="auto" w:sz="4" w:space="0"/>
              <w:left w:val="single" w:color="auto" w:sz="4" w:space="0"/>
              <w:right w:val="single" w:color="auto" w:sz="4" w:space="0"/>
            </w:tcBorders>
            <w:vAlign w:val="center"/>
          </w:tcPr>
          <w:p>
            <w:pPr>
              <w:jc w:val="center"/>
              <w:rPr>
                <w:rFonts w:hint="eastAsia" w:ascii="宋体" w:hAnsi="宋体"/>
                <w:color w:val="auto"/>
                <w:szCs w:val="21"/>
              </w:rPr>
            </w:pPr>
            <w:r>
              <w:rPr>
                <w:rFonts w:hint="eastAsia" w:ascii="宋体" w:hAnsi="宋体"/>
                <w:color w:val="auto"/>
                <w:szCs w:val="21"/>
              </w:rPr>
              <w:t>无不良行为</w:t>
            </w:r>
          </w:p>
          <w:p>
            <w:pPr>
              <w:jc w:val="center"/>
              <w:rPr>
                <w:rFonts w:ascii="宋体" w:hAnsi="宋体" w:cs="宋体"/>
                <w:color w:val="auto"/>
                <w:szCs w:val="21"/>
              </w:rPr>
            </w:pPr>
            <w:r>
              <w:rPr>
                <w:rFonts w:hint="eastAsia" w:ascii="宋体" w:hAnsi="宋体"/>
                <w:color w:val="auto"/>
                <w:szCs w:val="21"/>
              </w:rPr>
              <w:t>记录</w:t>
            </w:r>
          </w:p>
        </w:tc>
        <w:tc>
          <w:tcPr>
            <w:tcW w:w="915" w:type="dxa"/>
            <w:tcBorders>
              <w:top w:val="single" w:color="auto" w:sz="4" w:space="0"/>
              <w:left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lang w:val="en-US" w:eastAsia="zh-CN"/>
              </w:rPr>
              <w:t>40</w:t>
            </w:r>
            <w:r>
              <w:rPr>
                <w:rFonts w:hint="eastAsia" w:ascii="宋体" w:hAnsi="宋体" w:cs="宋体"/>
                <w:color w:val="auto"/>
                <w:szCs w:val="21"/>
              </w:rPr>
              <w:t>分</w:t>
            </w:r>
          </w:p>
        </w:tc>
        <w:tc>
          <w:tcPr>
            <w:tcW w:w="6008" w:type="dxa"/>
            <w:tcBorders>
              <w:top w:val="single" w:color="auto" w:sz="4" w:space="0"/>
              <w:left w:val="single" w:color="auto" w:sz="4" w:space="0"/>
              <w:bottom w:val="single" w:color="auto" w:sz="4" w:space="0"/>
            </w:tcBorders>
            <w:vAlign w:val="center"/>
          </w:tcPr>
          <w:p>
            <w:pPr>
              <w:rPr>
                <w:rFonts w:hint="eastAsia" w:ascii="宋体" w:hAnsi="宋体" w:cs="宋体"/>
                <w:color w:val="auto"/>
                <w:szCs w:val="21"/>
                <w:lang w:val="en-US" w:eastAsia="zh-CN"/>
              </w:rPr>
            </w:pPr>
            <w:r>
              <w:rPr>
                <w:rFonts w:hint="eastAsia" w:ascii="宋体" w:hAnsi="宋体" w:cs="宋体"/>
                <w:color w:val="auto"/>
                <w:szCs w:val="21"/>
                <w:lang w:val="en-US" w:eastAsia="zh-CN"/>
              </w:rPr>
              <w:t>投标人及拟任项目负责人2025年以来的不良行为记录情况，投标人应在响应文件中如实反映其单位及拟任项目负责人2025年以来的不良行为记录，无不良行为记录计40分，发生一次不良行为记录该项不计分。（需提交无不良行为记录承诺函）未提供的不计分。</w:t>
            </w:r>
          </w:p>
          <w:p>
            <w:pPr>
              <w:rPr>
                <w:rFonts w:ascii="宋体" w:hAnsi="宋体" w:cs="宋体"/>
                <w:color w:val="auto"/>
                <w:szCs w:val="21"/>
              </w:rPr>
            </w:pPr>
            <w:r>
              <w:rPr>
                <w:rFonts w:hint="eastAsia" w:ascii="宋体" w:hAnsi="宋体" w:cs="宋体"/>
                <w:color w:val="auto"/>
                <w:szCs w:val="21"/>
                <w:lang w:val="en-US" w:eastAsia="zh-CN"/>
              </w:rPr>
              <w:t>注：以省级及以上建设行政主管部门公布的不良行为记录为准，一旦发现有弄虚作假，取消投标资格或成交资格。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812" w:hRule="atLeast"/>
          <w:jc w:val="center"/>
        </w:trPr>
        <w:tc>
          <w:tcPr>
            <w:tcW w:w="980" w:type="dxa"/>
            <w:vMerge w:val="restart"/>
            <w:tcBorders>
              <w:top w:val="single" w:color="auto" w:sz="4" w:space="0"/>
              <w:left w:val="single" w:color="auto" w:sz="4" w:space="0"/>
              <w:right w:val="single" w:color="auto" w:sz="4" w:space="0"/>
            </w:tcBorders>
            <w:vAlign w:val="center"/>
          </w:tcPr>
          <w:p>
            <w:pPr>
              <w:rPr>
                <w:rFonts w:ascii="宋体" w:hAnsi="宋体" w:cs="宋体"/>
                <w:color w:val="auto"/>
                <w:szCs w:val="21"/>
              </w:rPr>
            </w:pPr>
          </w:p>
          <w:p>
            <w:pPr>
              <w:rPr>
                <w:rFonts w:ascii="宋体" w:hAnsi="宋体" w:cs="宋体"/>
                <w:color w:val="auto"/>
                <w:szCs w:val="21"/>
              </w:rPr>
            </w:pPr>
          </w:p>
          <w:p>
            <w:pPr>
              <w:rPr>
                <w:rFonts w:ascii="宋体" w:hAnsi="宋体" w:cs="宋体"/>
                <w:color w:val="auto"/>
                <w:szCs w:val="21"/>
              </w:rPr>
            </w:pPr>
          </w:p>
          <w:p>
            <w:pPr>
              <w:rPr>
                <w:rFonts w:ascii="宋体" w:hAnsi="宋体" w:cs="宋体"/>
                <w:color w:val="auto"/>
                <w:szCs w:val="21"/>
              </w:rPr>
            </w:pPr>
          </w:p>
          <w:p>
            <w:pPr>
              <w:rPr>
                <w:rFonts w:ascii="宋体" w:hAnsi="宋体" w:cs="宋体"/>
                <w:color w:val="auto"/>
                <w:szCs w:val="21"/>
              </w:rPr>
            </w:pPr>
          </w:p>
          <w:p>
            <w:pPr>
              <w:rPr>
                <w:rFonts w:ascii="宋体" w:hAnsi="宋体" w:cs="宋体"/>
                <w:color w:val="auto"/>
                <w:szCs w:val="21"/>
              </w:rPr>
            </w:pPr>
          </w:p>
          <w:p>
            <w:pPr>
              <w:rPr>
                <w:rFonts w:ascii="宋体" w:hAnsi="宋体" w:cs="宋体"/>
                <w:color w:val="auto"/>
                <w:szCs w:val="21"/>
              </w:rPr>
            </w:pPr>
          </w:p>
          <w:p>
            <w:pPr>
              <w:ind w:firstLine="210" w:firstLineChars="100"/>
              <w:rPr>
                <w:rFonts w:ascii="宋体" w:hAnsi="宋体" w:cs="宋体"/>
                <w:color w:val="auto"/>
                <w:szCs w:val="21"/>
              </w:rPr>
            </w:pPr>
            <w:r>
              <w:rPr>
                <w:rFonts w:hint="eastAsia" w:ascii="宋体" w:hAnsi="宋体" w:cs="宋体"/>
                <w:color w:val="auto"/>
                <w:szCs w:val="21"/>
              </w:rPr>
              <w:t>技术</w:t>
            </w:r>
          </w:p>
          <w:p>
            <w:pP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100</w:t>
            </w:r>
            <w:r>
              <w:rPr>
                <w:rFonts w:hint="eastAsia" w:ascii="宋体" w:hAnsi="宋体" w:cs="宋体"/>
                <w:color w:val="auto"/>
                <w:szCs w:val="21"/>
              </w:rPr>
              <w:t>分）</w:t>
            </w:r>
          </w:p>
        </w:tc>
        <w:tc>
          <w:tcPr>
            <w:tcW w:w="926" w:type="dxa"/>
            <w:tcBorders>
              <w:top w:val="single" w:color="auto" w:sz="4" w:space="0"/>
              <w:left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施工方案与技术措施</w:t>
            </w:r>
          </w:p>
        </w:tc>
        <w:tc>
          <w:tcPr>
            <w:tcW w:w="915" w:type="dxa"/>
            <w:tcBorders>
              <w:top w:val="single" w:color="auto" w:sz="4" w:space="0"/>
              <w:left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lang w:val="en-US" w:eastAsia="zh-CN"/>
              </w:rPr>
              <w:t>30</w:t>
            </w:r>
            <w:r>
              <w:rPr>
                <w:rFonts w:hint="eastAsia" w:ascii="宋体" w:hAnsi="宋体" w:cs="宋体"/>
                <w:color w:val="auto"/>
                <w:szCs w:val="21"/>
              </w:rPr>
              <w:t>分</w:t>
            </w:r>
          </w:p>
        </w:tc>
        <w:tc>
          <w:tcPr>
            <w:tcW w:w="6008" w:type="dxa"/>
            <w:tcBorders>
              <w:top w:val="single" w:color="auto" w:sz="4" w:space="0"/>
              <w:left w:val="single" w:color="auto" w:sz="4" w:space="0"/>
            </w:tcBorders>
            <w:vAlign w:val="center"/>
          </w:tcPr>
          <w:p>
            <w:pPr>
              <w:pStyle w:val="281"/>
              <w:spacing w:line="36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供应商须提供从①方案对项目总体概况是否表述清晰、完整，满足设计及采购文件技术要求；②部署及措施是否先进、可靠；③对项目主要及关键方案是否有深入的表述；④对重点、难点分析是否透彻，解决方案是否切实可行；⑤施工平面布置是否有针对性、合理，是否较好满足施工需要，是否符合安全、文明生产要求等方面，进行综合对比评审：</w:t>
            </w:r>
          </w:p>
          <w:p>
            <w:pPr>
              <w:pStyle w:val="281"/>
              <w:spacing w:line="36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本项评审总分为30分。缺少第①-⑤项中任意一项内容扣6分，每存在一处缺陷扣3分，扣分累计计算，扣完30分为止；没有方案得0分。</w:t>
            </w:r>
          </w:p>
          <w:p>
            <w:pPr>
              <w:pStyle w:val="281"/>
              <w:spacing w:line="36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缺陷是指：</w:t>
            </w:r>
          </w:p>
          <w:p>
            <w:pPr>
              <w:pStyle w:val="62"/>
              <w:adjustRightInd/>
              <w:snapToGrid/>
              <w:spacing w:line="360" w:lineRule="exact"/>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简单复制采购需求、存在不适用项目实际情况的情形、凭空编造、内容前后不一致、前后逻辑错误、涉及的规范及标准错误、不符合采购需求、不利于项目实施、不可能实现的情形等任意一种情形。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211" w:hRule="atLeast"/>
          <w:jc w:val="center"/>
        </w:trPr>
        <w:tc>
          <w:tcPr>
            <w:tcW w:w="980" w:type="dxa"/>
            <w:vMerge w:val="continue"/>
            <w:tcBorders>
              <w:left w:val="single" w:color="auto" w:sz="4" w:space="0"/>
              <w:right w:val="single" w:color="auto" w:sz="4" w:space="0"/>
            </w:tcBorders>
            <w:vAlign w:val="center"/>
          </w:tcPr>
          <w:p>
            <w:pPr>
              <w:rPr>
                <w:rFonts w:ascii="宋体" w:hAnsi="宋体" w:cs="宋体"/>
                <w:color w:val="auto"/>
                <w:szCs w:val="21"/>
              </w:rPr>
            </w:pPr>
          </w:p>
        </w:tc>
        <w:tc>
          <w:tcPr>
            <w:tcW w:w="926"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rPr>
              <w:t>工程进度计划与保证措施</w:t>
            </w:r>
          </w:p>
        </w:tc>
        <w:tc>
          <w:tcPr>
            <w:tcW w:w="915" w:type="dxa"/>
            <w:tcBorders>
              <w:top w:val="single" w:color="auto" w:sz="4" w:space="0"/>
              <w:left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0分</w:t>
            </w:r>
          </w:p>
        </w:tc>
        <w:tc>
          <w:tcPr>
            <w:tcW w:w="6008" w:type="dxa"/>
            <w:tcBorders>
              <w:top w:val="single" w:color="auto" w:sz="4" w:space="0"/>
              <w:left w:val="single" w:color="auto" w:sz="4" w:space="0"/>
            </w:tcBorders>
            <w:vAlign w:val="center"/>
          </w:tcPr>
          <w:p>
            <w:pPr>
              <w:pStyle w:val="281"/>
              <w:spacing w:line="360" w:lineRule="atLeas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供应商须提供针对本项目的详细的施工总进度计划及工期保证措施，包括但不限于①施工进度计划方案(含工期计划图)、②项目特点分析、③关键线路分析、④控制性工程以及重难点工程的分析、⑤工期保证措施。</w:t>
            </w:r>
          </w:p>
          <w:p>
            <w:pPr>
              <w:pStyle w:val="281"/>
              <w:spacing w:line="360" w:lineRule="atLeas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本项评审总分为30分。缺少第①-⑤项中任意一项内容扣6分，每存在一处缺陷扣3分，扣分累计计算，扣完30分为止；没有方案得0分。</w:t>
            </w:r>
          </w:p>
          <w:p>
            <w:pPr>
              <w:pStyle w:val="281"/>
              <w:spacing w:line="360" w:lineRule="atLeas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缺陷是指：</w:t>
            </w:r>
          </w:p>
          <w:p>
            <w:pPr>
              <w:pStyle w:val="281"/>
              <w:spacing w:line="360" w:lineRule="atLeas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简单复制采购需求、存在不适用项目实际情况的情形、凭空编造、内容前后不一致、前后逻辑错误、涉及的规范及标准错误、不符合采购需求、不利于项目实施、不可能实现的情形等任意一种情形。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896" w:hRule="atLeast"/>
          <w:jc w:val="center"/>
        </w:trPr>
        <w:tc>
          <w:tcPr>
            <w:tcW w:w="980" w:type="dxa"/>
            <w:vMerge w:val="continue"/>
            <w:tcBorders>
              <w:left w:val="single" w:color="auto" w:sz="4" w:space="0"/>
              <w:right w:val="single" w:color="auto" w:sz="4" w:space="0"/>
            </w:tcBorders>
            <w:vAlign w:val="center"/>
          </w:tcPr>
          <w:p>
            <w:pPr>
              <w:adjustRightInd w:val="0"/>
              <w:snapToGrid w:val="0"/>
              <w:spacing w:line="360" w:lineRule="auto"/>
              <w:jc w:val="center"/>
              <w:rPr>
                <w:rFonts w:ascii="宋体" w:hAnsi="宋体" w:cs="宋体"/>
                <w:color w:val="auto"/>
                <w:szCs w:val="21"/>
              </w:rPr>
            </w:pPr>
          </w:p>
        </w:tc>
        <w:tc>
          <w:tcPr>
            <w:tcW w:w="926" w:type="dxa"/>
            <w:tcBorders>
              <w:top w:val="single" w:color="auto" w:sz="4" w:space="0"/>
              <w:left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质量管理体系与措施</w:t>
            </w:r>
          </w:p>
        </w:tc>
        <w:tc>
          <w:tcPr>
            <w:tcW w:w="915" w:type="dxa"/>
            <w:tcBorders>
              <w:top w:val="single" w:color="auto" w:sz="4" w:space="0"/>
              <w:left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lang w:val="en-US" w:eastAsia="zh-CN"/>
              </w:rPr>
              <w:t>10</w:t>
            </w:r>
            <w:r>
              <w:rPr>
                <w:rFonts w:hint="eastAsia" w:ascii="宋体" w:hAnsi="宋体" w:cs="宋体"/>
                <w:color w:val="auto"/>
                <w:szCs w:val="21"/>
              </w:rPr>
              <w:t>分</w:t>
            </w:r>
          </w:p>
        </w:tc>
        <w:tc>
          <w:tcPr>
            <w:tcW w:w="6008" w:type="dxa"/>
            <w:tcBorders>
              <w:top w:val="single" w:color="auto" w:sz="4" w:space="0"/>
              <w:left w:val="single" w:color="auto" w:sz="4" w:space="0"/>
            </w:tcBorders>
            <w:vAlign w:val="center"/>
          </w:tcPr>
          <w:p>
            <w:pPr>
              <w:pStyle w:val="281"/>
              <w:spacing w:line="360" w:lineRule="atLeas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供应商须提供针对本项目的详细的质量保证体系与措施，包括但不限于①项目质量管理目标、②质量保证体系（含质量管理体系和质量控制体系）、③质量保障措施（包括但不限于材料品牌的选用、工艺的选择以及成品保护措施）、④质量检测（试验）方法。</w:t>
            </w:r>
          </w:p>
          <w:p>
            <w:pPr>
              <w:pStyle w:val="281"/>
              <w:spacing w:line="36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本项评审总分为10分。缺少第①-④项中任意一项内容扣2.5分，每存在一处缺陷扣1分，扣分累计计算，扣完10分为止；没有方案得0分。</w:t>
            </w:r>
          </w:p>
          <w:p>
            <w:pPr>
              <w:pStyle w:val="281"/>
              <w:spacing w:line="360" w:lineRule="atLeas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缺陷是指：</w:t>
            </w:r>
          </w:p>
          <w:p>
            <w:pPr>
              <w:pStyle w:val="281"/>
              <w:spacing w:line="360" w:lineRule="atLeas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简单复制采购需求、存在不适用项目实际情况的情形、凭空编造、内容前后不一致、前后逻辑错误、涉及的规范及标准错误、不符合采购需求、不利于项目实施、不可能实现的情形等任意一种情形。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205" w:hRule="atLeast"/>
          <w:jc w:val="center"/>
        </w:trPr>
        <w:tc>
          <w:tcPr>
            <w:tcW w:w="980" w:type="dxa"/>
            <w:vMerge w:val="continue"/>
            <w:tcBorders>
              <w:left w:val="single" w:color="auto" w:sz="4" w:space="0"/>
              <w:right w:val="single" w:color="auto" w:sz="4" w:space="0"/>
            </w:tcBorders>
            <w:vAlign w:val="center"/>
          </w:tcPr>
          <w:p>
            <w:pPr>
              <w:adjustRightInd w:val="0"/>
              <w:snapToGrid w:val="0"/>
              <w:spacing w:line="360" w:lineRule="auto"/>
              <w:jc w:val="center"/>
              <w:rPr>
                <w:rFonts w:ascii="宋体" w:hAnsi="宋体" w:cs="宋体"/>
                <w:color w:val="auto"/>
                <w:szCs w:val="21"/>
              </w:rPr>
            </w:pPr>
          </w:p>
        </w:tc>
        <w:tc>
          <w:tcPr>
            <w:tcW w:w="926"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rPr>
              <w:t>安全管理体系与措施</w:t>
            </w:r>
          </w:p>
        </w:tc>
        <w:tc>
          <w:tcPr>
            <w:tcW w:w="915" w:type="dxa"/>
            <w:tcBorders>
              <w:top w:val="single" w:color="auto" w:sz="4" w:space="0"/>
              <w:left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lang w:val="en-US" w:eastAsia="zh-CN"/>
              </w:rPr>
              <w:t>10</w:t>
            </w:r>
            <w:r>
              <w:rPr>
                <w:rFonts w:hint="eastAsia" w:ascii="宋体" w:hAnsi="宋体" w:cs="宋体"/>
                <w:color w:val="auto"/>
                <w:szCs w:val="21"/>
              </w:rPr>
              <w:t>分</w:t>
            </w:r>
          </w:p>
        </w:tc>
        <w:tc>
          <w:tcPr>
            <w:tcW w:w="6008" w:type="dxa"/>
            <w:tcBorders>
              <w:top w:val="single" w:color="auto" w:sz="4" w:space="0"/>
              <w:left w:val="single" w:color="auto" w:sz="4" w:space="0"/>
            </w:tcBorders>
            <w:vAlign w:val="center"/>
          </w:tcPr>
          <w:p>
            <w:pPr>
              <w:pStyle w:val="281"/>
              <w:spacing w:line="360" w:lineRule="atLeast"/>
              <w:jc w:val="left"/>
              <w:rPr>
                <w:rFonts w:hint="eastAsia" w:ascii="宋体" w:hAnsi="宋体" w:eastAsia="宋体" w:cs="宋体"/>
                <w:b w:val="0"/>
                <w:bCs w:val="0"/>
                <w:color w:val="auto"/>
                <w:kern w:val="0"/>
                <w:sz w:val="21"/>
                <w:szCs w:val="21"/>
                <w:highlight w:val="none"/>
                <w:lang w:val="en-US" w:eastAsia="zh-CN" w:bidi="zh-CN"/>
              </w:rPr>
            </w:pPr>
            <w:r>
              <w:rPr>
                <w:rFonts w:hint="eastAsia" w:ascii="宋体" w:hAnsi="宋体" w:eastAsia="宋体" w:cs="宋体"/>
                <w:b w:val="0"/>
                <w:bCs w:val="0"/>
                <w:color w:val="auto"/>
                <w:kern w:val="0"/>
                <w:sz w:val="21"/>
                <w:szCs w:val="21"/>
                <w:highlight w:val="none"/>
                <w:lang w:val="en-US" w:eastAsia="zh-CN" w:bidi="zh-CN"/>
              </w:rPr>
              <w:t>供应商须提供针对本项目的详细的安全管理体系与措施，包括但不限于①安全管理目标和制度、②现场施工安全防范措施及应急预案</w:t>
            </w:r>
          </w:p>
          <w:p>
            <w:pPr>
              <w:pStyle w:val="281"/>
              <w:spacing w:line="360" w:lineRule="exact"/>
              <w:jc w:val="left"/>
              <w:rPr>
                <w:rFonts w:hint="eastAsia" w:ascii="宋体" w:hAnsi="宋体" w:eastAsia="宋体" w:cs="宋体"/>
                <w:b w:val="0"/>
                <w:bCs w:val="0"/>
                <w:color w:val="auto"/>
                <w:kern w:val="0"/>
                <w:sz w:val="21"/>
                <w:szCs w:val="21"/>
                <w:highlight w:val="none"/>
                <w:lang w:val="en-US" w:eastAsia="zh-CN" w:bidi="zh-CN"/>
              </w:rPr>
            </w:pPr>
            <w:r>
              <w:rPr>
                <w:rFonts w:hint="eastAsia" w:ascii="宋体" w:hAnsi="宋体" w:eastAsia="宋体" w:cs="宋体"/>
                <w:b w:val="0"/>
                <w:bCs w:val="0"/>
                <w:color w:val="auto"/>
                <w:kern w:val="0"/>
                <w:sz w:val="21"/>
                <w:szCs w:val="21"/>
                <w:highlight w:val="none"/>
                <w:lang w:val="en-US" w:eastAsia="zh-CN" w:bidi="zh-CN"/>
              </w:rPr>
              <w:t>本项评审总分为10分。缺少第①-②项中任意一项内容扣5分，每存在一处缺陷扣2.5分，扣分累计计算，扣完10分为止；没有方案得0分。</w:t>
            </w:r>
          </w:p>
          <w:p>
            <w:pPr>
              <w:pStyle w:val="281"/>
              <w:spacing w:line="360" w:lineRule="atLeast"/>
              <w:jc w:val="left"/>
              <w:rPr>
                <w:rFonts w:hint="eastAsia" w:ascii="宋体" w:hAnsi="宋体" w:eastAsia="宋体" w:cs="宋体"/>
                <w:b w:val="0"/>
                <w:bCs w:val="0"/>
                <w:color w:val="auto"/>
                <w:kern w:val="0"/>
                <w:sz w:val="21"/>
                <w:szCs w:val="21"/>
                <w:highlight w:val="none"/>
                <w:lang w:val="en-US" w:eastAsia="zh-CN" w:bidi="zh-CN"/>
              </w:rPr>
            </w:pPr>
            <w:r>
              <w:rPr>
                <w:rFonts w:hint="eastAsia" w:ascii="宋体" w:hAnsi="宋体" w:eastAsia="宋体" w:cs="宋体"/>
                <w:b w:val="0"/>
                <w:bCs w:val="0"/>
                <w:color w:val="auto"/>
                <w:kern w:val="0"/>
                <w:sz w:val="21"/>
                <w:szCs w:val="21"/>
                <w:highlight w:val="none"/>
                <w:lang w:val="en-US" w:eastAsia="zh-CN" w:bidi="zh-CN"/>
              </w:rPr>
              <w:t>缺陷是指：</w:t>
            </w:r>
          </w:p>
          <w:p>
            <w:pPr>
              <w:keepNext w:val="0"/>
              <w:keepLines w:val="0"/>
              <w:pageBreakBefore w:val="0"/>
              <w:widowControl/>
              <w:kinsoku/>
              <w:wordWrap/>
              <w:overflowPunct/>
              <w:topLinePunct w:val="0"/>
              <w:autoSpaceDE/>
              <w:autoSpaceDN/>
              <w:bidi w:val="0"/>
              <w:adjustRightInd/>
              <w:snapToGrid/>
              <w:spacing w:line="360" w:lineRule="atLeast"/>
              <w:textAlignment w:val="auto"/>
              <w:rPr>
                <w:rFonts w:hint="eastAsia" w:ascii="宋体" w:hAnsi="宋体" w:eastAsia="宋体" w:cs="宋体"/>
                <w:b w:val="0"/>
                <w:bCs w:val="0"/>
                <w:color w:val="auto"/>
                <w:kern w:val="0"/>
                <w:sz w:val="21"/>
                <w:szCs w:val="21"/>
                <w:highlight w:val="none"/>
                <w:lang w:val="en-US" w:eastAsia="zh-CN" w:bidi="zh-CN"/>
              </w:rPr>
            </w:pPr>
            <w:r>
              <w:rPr>
                <w:rFonts w:hint="eastAsia" w:ascii="宋体" w:hAnsi="宋体" w:eastAsia="宋体" w:cs="宋体"/>
                <w:b w:val="0"/>
                <w:bCs w:val="0"/>
                <w:color w:val="auto"/>
                <w:kern w:val="0"/>
                <w:sz w:val="21"/>
                <w:szCs w:val="21"/>
                <w:highlight w:val="none"/>
                <w:lang w:val="en-US" w:eastAsia="zh-CN" w:bidi="zh-CN"/>
              </w:rPr>
              <w:t>简单复制采购需求、存在不适用项目实际情况的情形、凭空编造、内容前后不一致、前后逻辑错误、涉及的规范及标准错误、不符合采购需求、不利于项目实施、不可能实现的情形等任意一种情形。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200" w:hRule="atLeast"/>
          <w:jc w:val="center"/>
        </w:trPr>
        <w:tc>
          <w:tcPr>
            <w:tcW w:w="980" w:type="dxa"/>
            <w:vMerge w:val="continue"/>
            <w:tcBorders>
              <w:left w:val="single" w:color="auto" w:sz="4" w:space="0"/>
              <w:right w:val="single" w:color="auto" w:sz="4" w:space="0"/>
            </w:tcBorders>
            <w:vAlign w:val="center"/>
          </w:tcPr>
          <w:p>
            <w:pPr>
              <w:adjustRightInd w:val="0"/>
              <w:snapToGrid w:val="0"/>
              <w:spacing w:line="360" w:lineRule="auto"/>
              <w:jc w:val="center"/>
              <w:rPr>
                <w:rFonts w:ascii="宋体" w:hAnsi="宋体" w:cs="宋体"/>
                <w:color w:val="auto"/>
                <w:szCs w:val="21"/>
              </w:rPr>
            </w:pPr>
          </w:p>
        </w:tc>
        <w:tc>
          <w:tcPr>
            <w:tcW w:w="926" w:type="dxa"/>
            <w:tcBorders>
              <w:top w:val="single" w:color="auto" w:sz="4" w:space="0"/>
              <w:left w:val="single" w:color="auto" w:sz="4" w:space="0"/>
              <w:right w:val="single" w:color="auto" w:sz="4" w:space="0"/>
            </w:tcBorders>
            <w:vAlign w:val="center"/>
          </w:tcPr>
          <w:p>
            <w:pPr>
              <w:jc w:val="center"/>
              <w:rPr>
                <w:rFonts w:hint="eastAsia" w:ascii="宋体" w:hAnsi="宋体" w:cs="宋体"/>
                <w:color w:val="auto"/>
                <w:szCs w:val="21"/>
                <w:lang w:eastAsia="zh-CN"/>
              </w:rPr>
            </w:pPr>
            <w:r>
              <w:rPr>
                <w:rFonts w:hint="eastAsia" w:ascii="宋体" w:hAnsi="宋体" w:cs="宋体"/>
                <w:color w:val="auto"/>
                <w:szCs w:val="21"/>
              </w:rPr>
              <w:t>环境保护管理体系与措施</w:t>
            </w:r>
          </w:p>
        </w:tc>
        <w:tc>
          <w:tcPr>
            <w:tcW w:w="915" w:type="dxa"/>
            <w:tcBorders>
              <w:top w:val="single" w:color="auto" w:sz="4" w:space="0"/>
              <w:left w:val="single" w:color="auto" w:sz="4" w:space="0"/>
              <w:right w:val="single" w:color="auto" w:sz="4" w:space="0"/>
            </w:tcBorders>
            <w:vAlign w:val="center"/>
          </w:tcPr>
          <w:p>
            <w:pPr>
              <w:jc w:val="center"/>
              <w:rPr>
                <w:rFonts w:hint="eastAsia" w:ascii="宋体" w:hAnsi="宋体" w:cs="宋体"/>
                <w:color w:val="auto"/>
                <w:szCs w:val="21"/>
                <w:lang w:val="en-US" w:eastAsia="zh-CN"/>
              </w:rPr>
            </w:pPr>
            <w:r>
              <w:rPr>
                <w:rFonts w:hint="eastAsia" w:ascii="宋体" w:hAnsi="宋体" w:cs="宋体"/>
                <w:color w:val="auto"/>
                <w:szCs w:val="21"/>
                <w:lang w:val="en-US" w:eastAsia="zh-CN"/>
              </w:rPr>
              <w:t>10</w:t>
            </w:r>
            <w:r>
              <w:rPr>
                <w:rFonts w:hint="eastAsia" w:ascii="宋体" w:hAnsi="宋体" w:cs="宋体"/>
                <w:color w:val="auto"/>
                <w:szCs w:val="21"/>
              </w:rPr>
              <w:t>分</w:t>
            </w:r>
          </w:p>
        </w:tc>
        <w:tc>
          <w:tcPr>
            <w:tcW w:w="6008" w:type="dxa"/>
            <w:tcBorders>
              <w:top w:val="single" w:color="auto" w:sz="4" w:space="0"/>
              <w:left w:val="single" w:color="auto" w:sz="4" w:space="0"/>
            </w:tcBorders>
            <w:vAlign w:val="center"/>
          </w:tcPr>
          <w:p>
            <w:pPr>
              <w:pStyle w:val="281"/>
              <w:spacing w:line="360" w:lineRule="exact"/>
              <w:jc w:val="left"/>
              <w:rPr>
                <w:rFonts w:hint="eastAsia" w:ascii="宋体" w:hAnsi="宋体" w:eastAsia="宋体" w:cs="宋体"/>
                <w:b w:val="0"/>
                <w:bCs w:val="0"/>
                <w:color w:val="auto"/>
                <w:kern w:val="0"/>
                <w:sz w:val="21"/>
                <w:szCs w:val="21"/>
                <w:highlight w:val="none"/>
                <w:lang w:val="en-US" w:eastAsia="zh-CN" w:bidi="zh-CN"/>
              </w:rPr>
            </w:pPr>
            <w:r>
              <w:rPr>
                <w:rFonts w:hint="eastAsia" w:ascii="宋体" w:hAnsi="宋体" w:eastAsia="宋体" w:cs="宋体"/>
                <w:b w:val="0"/>
                <w:bCs w:val="0"/>
                <w:color w:val="auto"/>
                <w:kern w:val="0"/>
                <w:sz w:val="21"/>
                <w:szCs w:val="21"/>
                <w:highlight w:val="none"/>
                <w:lang w:val="en-US" w:eastAsia="zh-CN" w:bidi="zh-CN"/>
              </w:rPr>
              <w:t>供应商须提供针对本项目的详细的环境保护管理体系与措施，包括但不限于①项目环境保护管理目标和制度、②环境保障措施。</w:t>
            </w:r>
          </w:p>
          <w:p>
            <w:pPr>
              <w:pStyle w:val="281"/>
              <w:spacing w:line="360" w:lineRule="exact"/>
              <w:jc w:val="left"/>
              <w:rPr>
                <w:rFonts w:hint="eastAsia" w:ascii="宋体" w:hAnsi="宋体" w:eastAsia="宋体" w:cs="宋体"/>
                <w:b w:val="0"/>
                <w:bCs w:val="0"/>
                <w:color w:val="auto"/>
                <w:kern w:val="0"/>
                <w:sz w:val="21"/>
                <w:szCs w:val="21"/>
                <w:highlight w:val="none"/>
                <w:lang w:val="en-US" w:eastAsia="zh-CN" w:bidi="zh-CN"/>
              </w:rPr>
            </w:pPr>
            <w:r>
              <w:rPr>
                <w:rFonts w:hint="eastAsia" w:ascii="宋体" w:hAnsi="宋体" w:eastAsia="宋体" w:cs="宋体"/>
                <w:b w:val="0"/>
                <w:bCs w:val="0"/>
                <w:color w:val="auto"/>
                <w:kern w:val="0"/>
                <w:sz w:val="21"/>
                <w:szCs w:val="21"/>
                <w:highlight w:val="none"/>
                <w:lang w:val="en-US" w:eastAsia="zh-CN" w:bidi="zh-CN"/>
              </w:rPr>
              <w:t>本项评审总分为10分。缺少第①-②项中任意一项内容扣5分，每存在一处缺陷扣2.5分，扣分累计计算，扣完10分为止；没有方案得0分。</w:t>
            </w:r>
          </w:p>
          <w:p>
            <w:pPr>
              <w:pStyle w:val="281"/>
              <w:spacing w:line="360" w:lineRule="exact"/>
              <w:jc w:val="left"/>
              <w:rPr>
                <w:rFonts w:hint="eastAsia" w:ascii="宋体" w:hAnsi="宋体" w:eastAsia="宋体" w:cs="宋体"/>
                <w:b w:val="0"/>
                <w:bCs w:val="0"/>
                <w:color w:val="auto"/>
                <w:kern w:val="0"/>
                <w:sz w:val="21"/>
                <w:szCs w:val="21"/>
                <w:highlight w:val="none"/>
                <w:lang w:val="en-US" w:eastAsia="zh-CN" w:bidi="zh-CN"/>
              </w:rPr>
            </w:pPr>
            <w:r>
              <w:rPr>
                <w:rFonts w:hint="eastAsia" w:ascii="宋体" w:hAnsi="宋体" w:eastAsia="宋体" w:cs="宋体"/>
                <w:b w:val="0"/>
                <w:bCs w:val="0"/>
                <w:color w:val="auto"/>
                <w:kern w:val="0"/>
                <w:sz w:val="21"/>
                <w:szCs w:val="21"/>
                <w:highlight w:val="none"/>
                <w:lang w:val="en-US" w:eastAsia="zh-CN" w:bidi="zh-CN"/>
              </w:rPr>
              <w:t>缺陷是指：</w:t>
            </w:r>
          </w:p>
          <w:p>
            <w:pPr>
              <w:pStyle w:val="281"/>
              <w:spacing w:line="360" w:lineRule="exact"/>
              <w:jc w:val="left"/>
              <w:rPr>
                <w:rFonts w:hint="eastAsia" w:ascii="宋体" w:hAnsi="宋体" w:eastAsia="宋体" w:cs="宋体"/>
                <w:b w:val="0"/>
                <w:bCs w:val="0"/>
                <w:color w:val="auto"/>
                <w:kern w:val="0"/>
                <w:sz w:val="21"/>
                <w:szCs w:val="21"/>
                <w:highlight w:val="none"/>
                <w:lang w:val="en-US" w:eastAsia="zh-CN" w:bidi="zh-CN"/>
              </w:rPr>
            </w:pPr>
            <w:r>
              <w:rPr>
                <w:rFonts w:hint="eastAsia" w:ascii="宋体" w:hAnsi="宋体" w:eastAsia="宋体" w:cs="宋体"/>
                <w:b w:val="0"/>
                <w:bCs w:val="0"/>
                <w:color w:val="auto"/>
                <w:kern w:val="0"/>
                <w:sz w:val="21"/>
                <w:szCs w:val="21"/>
                <w:highlight w:val="none"/>
                <w:lang w:val="en-US" w:eastAsia="zh-CN" w:bidi="zh-CN"/>
              </w:rPr>
              <w:t>简单复制采购需求、存在不适用项目实际情况的情形、凭空编造、内容前后不一致、前后逻辑错误、涉及的规范及标准错误、不符合采购需求、不利于项目实施、不可能实现的情形等任意一种情形。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960" w:hRule="atLeast"/>
          <w:jc w:val="center"/>
        </w:trPr>
        <w:tc>
          <w:tcPr>
            <w:tcW w:w="980" w:type="dxa"/>
            <w:vMerge w:val="continue"/>
            <w:tcBorders>
              <w:left w:val="single" w:color="auto" w:sz="4" w:space="0"/>
              <w:right w:val="single" w:color="auto" w:sz="4" w:space="0"/>
            </w:tcBorders>
            <w:vAlign w:val="center"/>
          </w:tcPr>
          <w:p>
            <w:pPr>
              <w:adjustRightInd w:val="0"/>
              <w:snapToGrid w:val="0"/>
              <w:spacing w:line="360" w:lineRule="auto"/>
              <w:jc w:val="center"/>
              <w:rPr>
                <w:rFonts w:ascii="宋体" w:hAnsi="宋体" w:cs="宋体"/>
                <w:color w:val="auto"/>
                <w:szCs w:val="21"/>
              </w:rPr>
            </w:pPr>
          </w:p>
        </w:tc>
        <w:tc>
          <w:tcPr>
            <w:tcW w:w="926"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val="0"/>
                <w:color w:val="auto"/>
                <w:kern w:val="0"/>
                <w:sz w:val="21"/>
                <w:szCs w:val="21"/>
                <w:highlight w:val="none"/>
                <w:lang w:val="en-US" w:eastAsia="zh-CN" w:bidi="zh-CN"/>
              </w:rPr>
            </w:pPr>
            <w:r>
              <w:rPr>
                <w:rFonts w:hint="eastAsia" w:ascii="宋体" w:hAnsi="宋体" w:eastAsia="宋体" w:cs="宋体"/>
                <w:b w:val="0"/>
                <w:bCs w:val="0"/>
                <w:color w:val="auto"/>
                <w:kern w:val="0"/>
                <w:sz w:val="21"/>
                <w:szCs w:val="21"/>
                <w:highlight w:val="none"/>
                <w:lang w:val="en-US" w:eastAsia="zh-CN" w:bidi="zh-CN"/>
              </w:rPr>
              <w:t>资源配备计划</w:t>
            </w:r>
          </w:p>
        </w:tc>
        <w:tc>
          <w:tcPr>
            <w:tcW w:w="915"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val="0"/>
                <w:color w:val="auto"/>
                <w:kern w:val="0"/>
                <w:sz w:val="21"/>
                <w:szCs w:val="21"/>
                <w:highlight w:val="none"/>
                <w:lang w:val="en-US" w:eastAsia="zh-CN" w:bidi="zh-CN"/>
              </w:rPr>
            </w:pPr>
            <w:r>
              <w:rPr>
                <w:rFonts w:hint="eastAsia" w:ascii="宋体" w:hAnsi="宋体" w:cs="宋体"/>
                <w:b w:val="0"/>
                <w:bCs w:val="0"/>
                <w:color w:val="auto"/>
                <w:kern w:val="0"/>
                <w:sz w:val="21"/>
                <w:szCs w:val="21"/>
                <w:highlight w:val="none"/>
                <w:lang w:val="en-US" w:eastAsia="zh-CN" w:bidi="zh-CN"/>
              </w:rPr>
              <w:t>10</w:t>
            </w:r>
            <w:r>
              <w:rPr>
                <w:rFonts w:hint="eastAsia" w:ascii="宋体" w:hAnsi="宋体" w:eastAsia="宋体" w:cs="宋体"/>
                <w:b w:val="0"/>
                <w:bCs w:val="0"/>
                <w:color w:val="auto"/>
                <w:kern w:val="0"/>
                <w:sz w:val="21"/>
                <w:szCs w:val="21"/>
                <w:highlight w:val="none"/>
                <w:lang w:val="en-US" w:eastAsia="zh-CN" w:bidi="zh-CN"/>
              </w:rPr>
              <w:t>分</w:t>
            </w:r>
          </w:p>
        </w:tc>
        <w:tc>
          <w:tcPr>
            <w:tcW w:w="6008" w:type="dxa"/>
            <w:tcBorders>
              <w:top w:val="single" w:color="auto" w:sz="4" w:space="0"/>
              <w:left w:val="single" w:color="auto" w:sz="4" w:space="0"/>
            </w:tcBorders>
            <w:vAlign w:val="center"/>
          </w:tcPr>
          <w:p>
            <w:pPr>
              <w:pStyle w:val="281"/>
              <w:spacing w:line="360" w:lineRule="exact"/>
              <w:jc w:val="left"/>
              <w:rPr>
                <w:rFonts w:hint="eastAsia" w:ascii="宋体" w:hAnsi="宋体" w:eastAsia="宋体" w:cs="宋体"/>
                <w:b w:val="0"/>
                <w:bCs w:val="0"/>
                <w:color w:val="auto"/>
                <w:kern w:val="0"/>
                <w:sz w:val="21"/>
                <w:szCs w:val="21"/>
                <w:highlight w:val="none"/>
                <w:lang w:val="en-US" w:eastAsia="zh-CN" w:bidi="zh-CN"/>
              </w:rPr>
            </w:pPr>
            <w:r>
              <w:rPr>
                <w:rFonts w:hint="eastAsia" w:ascii="宋体" w:hAnsi="宋体" w:eastAsia="宋体" w:cs="宋体"/>
                <w:b w:val="0"/>
                <w:bCs w:val="0"/>
                <w:color w:val="auto"/>
                <w:kern w:val="0"/>
                <w:sz w:val="21"/>
                <w:szCs w:val="21"/>
                <w:highlight w:val="none"/>
                <w:lang w:val="en-US" w:eastAsia="zh-CN" w:bidi="zh-CN"/>
              </w:rPr>
              <w:t>供应商须提供针对本项目的详细的资源配置计划，包括但不限于①机械设备配置、②资金安排及保障措施。</w:t>
            </w:r>
          </w:p>
          <w:p>
            <w:pPr>
              <w:pStyle w:val="281"/>
              <w:spacing w:line="360" w:lineRule="exact"/>
              <w:jc w:val="left"/>
              <w:rPr>
                <w:rFonts w:hint="eastAsia" w:ascii="宋体" w:hAnsi="宋体" w:eastAsia="宋体" w:cs="宋体"/>
                <w:b w:val="0"/>
                <w:bCs w:val="0"/>
                <w:color w:val="auto"/>
                <w:kern w:val="0"/>
                <w:sz w:val="21"/>
                <w:szCs w:val="21"/>
                <w:highlight w:val="none"/>
                <w:lang w:val="en-US" w:eastAsia="zh-CN" w:bidi="zh-CN"/>
              </w:rPr>
            </w:pPr>
            <w:r>
              <w:rPr>
                <w:rFonts w:hint="eastAsia" w:ascii="宋体" w:hAnsi="宋体" w:eastAsia="宋体" w:cs="宋体"/>
                <w:b w:val="0"/>
                <w:bCs w:val="0"/>
                <w:color w:val="auto"/>
                <w:kern w:val="0"/>
                <w:sz w:val="21"/>
                <w:szCs w:val="21"/>
                <w:highlight w:val="none"/>
                <w:lang w:val="en-US" w:eastAsia="zh-CN" w:bidi="zh-CN"/>
              </w:rPr>
              <w:t>本项评审总分为10分。缺少第①-②项中任意一项内容扣5分，每存在一处缺陷扣2.5分，扣分累计计算，扣完10分为止；没有方案得0分。</w:t>
            </w:r>
          </w:p>
          <w:p>
            <w:pPr>
              <w:pStyle w:val="281"/>
              <w:spacing w:line="360" w:lineRule="exact"/>
              <w:jc w:val="left"/>
              <w:rPr>
                <w:rFonts w:hint="eastAsia" w:ascii="宋体" w:hAnsi="宋体" w:eastAsia="宋体" w:cs="宋体"/>
                <w:b w:val="0"/>
                <w:bCs w:val="0"/>
                <w:color w:val="auto"/>
                <w:kern w:val="0"/>
                <w:sz w:val="21"/>
                <w:szCs w:val="21"/>
                <w:highlight w:val="none"/>
                <w:lang w:val="en-US" w:eastAsia="zh-CN" w:bidi="zh-CN"/>
              </w:rPr>
            </w:pPr>
            <w:r>
              <w:rPr>
                <w:rFonts w:hint="eastAsia" w:ascii="宋体" w:hAnsi="宋体" w:eastAsia="宋体" w:cs="宋体"/>
                <w:b w:val="0"/>
                <w:bCs w:val="0"/>
                <w:color w:val="auto"/>
                <w:kern w:val="0"/>
                <w:sz w:val="21"/>
                <w:szCs w:val="21"/>
                <w:highlight w:val="none"/>
                <w:lang w:val="en-US" w:eastAsia="zh-CN" w:bidi="zh-CN"/>
              </w:rPr>
              <w:t>缺陷是指：</w:t>
            </w:r>
          </w:p>
          <w:p>
            <w:pPr>
              <w:rPr>
                <w:rFonts w:hint="eastAsia" w:ascii="宋体" w:hAnsi="宋体" w:eastAsia="宋体" w:cs="宋体"/>
                <w:b w:val="0"/>
                <w:bCs w:val="0"/>
                <w:color w:val="auto"/>
                <w:kern w:val="0"/>
                <w:sz w:val="21"/>
                <w:szCs w:val="21"/>
                <w:highlight w:val="none"/>
                <w:lang w:val="en-US" w:eastAsia="zh-CN" w:bidi="zh-CN"/>
              </w:rPr>
            </w:pPr>
            <w:r>
              <w:rPr>
                <w:rFonts w:hint="eastAsia" w:ascii="宋体" w:hAnsi="宋体" w:eastAsia="宋体" w:cs="宋体"/>
                <w:b w:val="0"/>
                <w:bCs w:val="0"/>
                <w:color w:val="auto"/>
                <w:kern w:val="0"/>
                <w:sz w:val="21"/>
                <w:szCs w:val="21"/>
                <w:highlight w:val="none"/>
                <w:lang w:val="en-US" w:eastAsia="zh-CN" w:bidi="zh-CN"/>
              </w:rPr>
              <w:t>简单复制采购需求、存在不适用项目实际情况的情形、凭空编造、内容前后不一致、前后逻辑错误、涉及的规范及标准错误、不符合采购需求、不利于项目实施、不可能实现的情形等任意一种情形。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84" w:hRule="atLeast"/>
          <w:jc w:val="center"/>
        </w:trPr>
        <w:tc>
          <w:tcPr>
            <w:tcW w:w="8829" w:type="dxa"/>
            <w:gridSpan w:val="4"/>
            <w:tcBorders>
              <w:top w:val="single" w:color="auto" w:sz="4" w:space="0"/>
              <w:left w:val="single" w:color="auto" w:sz="4" w:space="0"/>
            </w:tcBorders>
            <w:vAlign w:val="center"/>
          </w:tcPr>
          <w:p>
            <w:pPr>
              <w:rPr>
                <w:rFonts w:ascii="宋体" w:hAnsi="宋体" w:cs="宋体"/>
                <w:b/>
                <w:bCs/>
                <w:color w:val="auto"/>
                <w:szCs w:val="21"/>
              </w:rPr>
            </w:pPr>
            <w:r>
              <w:rPr>
                <w:rFonts w:hint="eastAsia" w:ascii="宋体" w:hAnsi="宋体" w:cs="宋体"/>
                <w:b/>
                <w:bCs/>
                <w:color w:val="auto"/>
                <w:szCs w:val="21"/>
              </w:rPr>
              <w:t>说明：1、供应商参与政府采购应提供真实有效的证明材料，应当诚信守法、公平竞争。如有以提供虚假材料（包括但不限于虚假技术参数响应、虚假制造商产品彩页、虚假业绩、虚假证书等）、隐瞒失信信息等谋取中标的行为，一经发现，将报行政监管部门严肃查处。</w:t>
            </w:r>
          </w:p>
          <w:p>
            <w:pPr>
              <w:adjustRightInd w:val="0"/>
              <w:snapToGrid w:val="0"/>
              <w:rPr>
                <w:rFonts w:ascii="宋体" w:hAnsi="宋体" w:cs="宋体"/>
                <w:bCs/>
                <w:color w:val="auto"/>
                <w:szCs w:val="21"/>
              </w:rPr>
            </w:pPr>
            <w:r>
              <w:rPr>
                <w:rFonts w:hint="eastAsia" w:ascii="宋体" w:hAnsi="宋体" w:cs="宋体"/>
                <w:b/>
                <w:bCs/>
                <w:color w:val="auto"/>
                <w:szCs w:val="21"/>
              </w:rPr>
              <w:t>2、如评标委员会认为供应商报价明显低于其他通过符合性审查供应商的报价，有可能影响工程质量或者不能诚信履约的，需提交相关证明材料；供应商不能证明其报价合理性的，评标委员会应当将其作为无效投标处理。</w:t>
            </w:r>
          </w:p>
        </w:tc>
      </w:tr>
    </w:tbl>
    <w:p>
      <w:pPr>
        <w:adjustRightInd w:val="0"/>
        <w:snapToGrid w:val="0"/>
        <w:spacing w:line="360" w:lineRule="auto"/>
        <w:rPr>
          <w:rFonts w:eastAsia="黑体"/>
          <w:b/>
          <w:color w:val="auto"/>
          <w:sz w:val="28"/>
          <w:szCs w:val="28"/>
        </w:rPr>
      </w:pPr>
    </w:p>
    <w:p>
      <w:pPr>
        <w:widowControl/>
        <w:jc w:val="left"/>
        <w:rPr>
          <w:rFonts w:ascii="黑体" w:hAnsi="黑体" w:eastAsia="黑体"/>
          <w:b/>
          <w:bCs/>
          <w:color w:val="auto"/>
          <w:sz w:val="32"/>
          <w:szCs w:val="32"/>
        </w:rPr>
      </w:pPr>
    </w:p>
    <w:p>
      <w:pPr>
        <w:pStyle w:val="20"/>
        <w:ind w:firstLine="643"/>
        <w:rPr>
          <w:rFonts w:ascii="黑体" w:hAnsi="黑体" w:eastAsia="黑体"/>
          <w:b/>
          <w:bCs/>
          <w:color w:val="auto"/>
          <w:sz w:val="32"/>
          <w:szCs w:val="32"/>
        </w:rPr>
      </w:pPr>
    </w:p>
    <w:p>
      <w:pPr>
        <w:pStyle w:val="20"/>
        <w:ind w:firstLine="643"/>
        <w:rPr>
          <w:rFonts w:ascii="黑体" w:hAnsi="黑体" w:eastAsia="黑体"/>
          <w:b/>
          <w:bCs/>
          <w:color w:val="auto"/>
          <w:sz w:val="32"/>
          <w:szCs w:val="32"/>
        </w:rPr>
      </w:pPr>
    </w:p>
    <w:p>
      <w:pPr>
        <w:pStyle w:val="20"/>
        <w:ind w:firstLine="643"/>
        <w:rPr>
          <w:rFonts w:ascii="黑体" w:hAnsi="黑体" w:eastAsia="黑体"/>
          <w:b/>
          <w:bCs/>
          <w:color w:val="auto"/>
          <w:sz w:val="32"/>
          <w:szCs w:val="32"/>
        </w:rPr>
      </w:pPr>
    </w:p>
    <w:p>
      <w:pPr>
        <w:pStyle w:val="20"/>
        <w:ind w:firstLine="643"/>
        <w:rPr>
          <w:rFonts w:ascii="黑体" w:hAnsi="黑体" w:eastAsia="黑体"/>
          <w:b/>
          <w:bCs/>
          <w:color w:val="auto"/>
          <w:sz w:val="32"/>
          <w:szCs w:val="32"/>
        </w:rPr>
      </w:pPr>
    </w:p>
    <w:p>
      <w:pPr>
        <w:pStyle w:val="20"/>
        <w:ind w:firstLine="643"/>
        <w:rPr>
          <w:rFonts w:ascii="黑体" w:hAnsi="黑体" w:eastAsia="黑体"/>
          <w:b/>
          <w:bCs/>
          <w:color w:val="auto"/>
          <w:sz w:val="32"/>
          <w:szCs w:val="32"/>
        </w:rPr>
      </w:pPr>
    </w:p>
    <w:p>
      <w:pPr>
        <w:pStyle w:val="21"/>
        <w:rPr>
          <w:rFonts w:ascii="黑体" w:hAnsi="黑体" w:eastAsia="黑体"/>
          <w:b/>
          <w:bCs/>
          <w:color w:val="auto"/>
          <w:sz w:val="32"/>
          <w:szCs w:val="32"/>
        </w:rPr>
      </w:pPr>
    </w:p>
    <w:p>
      <w:pPr>
        <w:pStyle w:val="21"/>
        <w:rPr>
          <w:rFonts w:ascii="黑体" w:hAnsi="黑体" w:eastAsia="黑体"/>
          <w:b/>
          <w:bCs/>
          <w:color w:val="auto"/>
          <w:sz w:val="32"/>
          <w:szCs w:val="32"/>
        </w:rPr>
      </w:pPr>
    </w:p>
    <w:p>
      <w:pP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br w:type="page"/>
      </w:r>
    </w:p>
    <w:p>
      <w:pPr>
        <w:adjustRightInd w:val="0"/>
        <w:snapToGrid w:val="0"/>
        <w:spacing w:line="360" w:lineRule="auto"/>
        <w:jc w:val="center"/>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磋商须知正文</w:t>
      </w:r>
    </w:p>
    <w:p>
      <w:pPr>
        <w:adjustRightInd w:val="0"/>
        <w:snapToGrid w:val="0"/>
        <w:spacing w:line="360" w:lineRule="auto"/>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一、说明</w:t>
      </w:r>
    </w:p>
    <w:p>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1.适用范围</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1.1 本磋商文件仅适用于磋商须知前附表(以下简称</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中所叙述的采购项目。</w:t>
      </w:r>
    </w:p>
    <w:p>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2.定义</w:t>
      </w:r>
    </w:p>
    <w:p>
      <w:pPr>
        <w:adjustRightInd w:val="0"/>
        <w:snapToGrid w:val="0"/>
        <w:spacing w:line="360" w:lineRule="auto"/>
        <w:ind w:firstLine="420" w:firstLineChars="200"/>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2.1 “采购人”是指依法进行政府采购的国家机关、事业单位、团体组织。本次政府采购的采购人名称、地址、电话、联系人见</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w:t>
      </w:r>
    </w:p>
    <w:p>
      <w:pPr>
        <w:adjustRightInd w:val="0"/>
        <w:snapToGrid w:val="0"/>
        <w:spacing w:line="360" w:lineRule="auto"/>
        <w:ind w:firstLine="420" w:firstLineChars="200"/>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2.2 “采购代理机构”是指接受采购人委托，代理采购项目的集中采购机构和其他采购代理机构。本次政府采购的采购代理机构名称、地址、电话、联系人见</w:t>
      </w:r>
      <w:r>
        <w:rPr>
          <w:rFonts w:hint="eastAsia" w:asciiTheme="minorEastAsia" w:hAnsiTheme="minorEastAsia" w:eastAsiaTheme="minorEastAsia" w:cstheme="minorEastAsia"/>
          <w:b/>
          <w:color w:val="auto"/>
          <w:szCs w:val="21"/>
        </w:rPr>
        <w:t>磋商须知前附表。</w:t>
      </w:r>
    </w:p>
    <w:p>
      <w:pPr>
        <w:adjustRightInd w:val="0"/>
        <w:snapToGrid w:val="0"/>
        <w:spacing w:line="360" w:lineRule="auto"/>
        <w:ind w:firstLine="420" w:firstLineChars="200"/>
        <w:rPr>
          <w:rFonts w:asciiTheme="minorEastAsia" w:hAnsiTheme="minorEastAsia" w:eastAsiaTheme="minorEastAsia" w:cstheme="minorEastAsia"/>
          <w:bCs/>
          <w:color w:val="auto"/>
          <w:kern w:val="36"/>
          <w:szCs w:val="21"/>
        </w:rPr>
      </w:pPr>
      <w:r>
        <w:rPr>
          <w:rFonts w:hint="eastAsia" w:asciiTheme="minorEastAsia" w:hAnsiTheme="minorEastAsia" w:eastAsiaTheme="minorEastAsia" w:cstheme="minorEastAsia"/>
          <w:color w:val="auto"/>
          <w:szCs w:val="21"/>
        </w:rPr>
        <w:t>2.3 “供应商”是指响应磋商文件要求、参加竞争性磋商采购的法人、其他组织或者自然人。本次政府采购项目</w:t>
      </w:r>
      <w:r>
        <w:rPr>
          <w:rFonts w:hint="eastAsia" w:asciiTheme="minorEastAsia" w:hAnsiTheme="minorEastAsia" w:eastAsiaTheme="minorEastAsia" w:cstheme="minorEastAsia"/>
          <w:color w:val="auto"/>
          <w:kern w:val="0"/>
          <w:szCs w:val="21"/>
        </w:rPr>
        <w:t>邀请</w:t>
      </w:r>
      <w:r>
        <w:rPr>
          <w:rFonts w:hint="eastAsia" w:asciiTheme="minorEastAsia" w:hAnsiTheme="minorEastAsia" w:eastAsiaTheme="minorEastAsia" w:cstheme="minorEastAsia"/>
          <w:color w:val="auto"/>
          <w:szCs w:val="21"/>
        </w:rPr>
        <w:t>的</w:t>
      </w:r>
      <w:r>
        <w:rPr>
          <w:rFonts w:hint="eastAsia" w:asciiTheme="minorEastAsia" w:hAnsiTheme="minorEastAsia" w:eastAsiaTheme="minorEastAsia" w:cstheme="minorEastAsia"/>
          <w:color w:val="auto"/>
          <w:kern w:val="0"/>
          <w:szCs w:val="21"/>
        </w:rPr>
        <w:t>供应商通过</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所述方式</w:t>
      </w:r>
      <w:r>
        <w:rPr>
          <w:rFonts w:hint="eastAsia" w:asciiTheme="minorEastAsia" w:hAnsiTheme="minorEastAsia" w:eastAsiaTheme="minorEastAsia" w:cstheme="minorEastAsia"/>
          <w:color w:val="auto"/>
          <w:kern w:val="0"/>
          <w:szCs w:val="21"/>
        </w:rPr>
        <w:t>，邀请符合资格条件的供应商提交响应文件（含资格证明资料），参与竞争性磋商采购活动。</w:t>
      </w:r>
    </w:p>
    <w:p>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2.4 “磋商小组”是指</w:t>
      </w:r>
      <w:r>
        <w:rPr>
          <w:rFonts w:hint="eastAsia" w:asciiTheme="minorEastAsia" w:hAnsiTheme="minorEastAsia" w:eastAsiaTheme="minorEastAsia" w:cstheme="minorEastAsia"/>
          <w:color w:val="auto"/>
          <w:kern w:val="0"/>
          <w:szCs w:val="21"/>
        </w:rPr>
        <w:t>依据财政部</w:t>
      </w:r>
      <w:r>
        <w:rPr>
          <w:rFonts w:hint="eastAsia" w:asciiTheme="minorEastAsia" w:hAnsiTheme="minorEastAsia" w:eastAsiaTheme="minorEastAsia" w:cstheme="minorEastAsia"/>
          <w:bCs/>
          <w:color w:val="auto"/>
          <w:kern w:val="36"/>
          <w:szCs w:val="21"/>
        </w:rPr>
        <w:t>《政府采购竞争性磋商采购方式管理暂行办法》有关规定组建，依法依规</w:t>
      </w:r>
      <w:r>
        <w:rPr>
          <w:rFonts w:hint="eastAsia" w:asciiTheme="minorEastAsia" w:hAnsiTheme="minorEastAsia" w:eastAsiaTheme="minorEastAsia" w:cstheme="minorEastAsia"/>
          <w:color w:val="auto"/>
          <w:kern w:val="0"/>
          <w:szCs w:val="21"/>
        </w:rPr>
        <w:t>履行其职责和义务的机构。</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2.5 “货物”是指各种形态和种类的物品，包括原资料、燃料、设备、产品等，详见《政府采购品目分类目录》(</w:t>
      </w:r>
      <w:r>
        <w:rPr>
          <w:rStyle w:val="48"/>
          <w:rFonts w:hint="eastAsia" w:asciiTheme="minorEastAsia" w:hAnsiTheme="minorEastAsia" w:eastAsiaTheme="minorEastAsia" w:cstheme="minorEastAsia"/>
          <w:b w:val="0"/>
          <w:color w:val="auto"/>
        </w:rPr>
        <w:t>财库[2013]189号</w:t>
      </w:r>
      <w:r>
        <w:rPr>
          <w:rFonts w:hint="eastAsia" w:asciiTheme="minorEastAsia" w:hAnsiTheme="minorEastAsia" w:eastAsiaTheme="minorEastAsia" w:cstheme="minorEastAsia"/>
          <w:color w:val="auto"/>
          <w:szCs w:val="21"/>
        </w:rPr>
        <w:t>)。</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2.6 “工程”是指建设工程，包括建筑物和构筑物的新建、改建、扩建、装修、拆除、修缮等，详见《政府采购品目分类目录》(</w:t>
      </w:r>
      <w:r>
        <w:rPr>
          <w:rStyle w:val="48"/>
          <w:rFonts w:hint="eastAsia" w:asciiTheme="minorEastAsia" w:hAnsiTheme="minorEastAsia" w:eastAsiaTheme="minorEastAsia" w:cstheme="minorEastAsia"/>
          <w:b w:val="0"/>
          <w:color w:val="auto"/>
        </w:rPr>
        <w:t>财库[2013]189号</w:t>
      </w:r>
      <w:r>
        <w:rPr>
          <w:rFonts w:hint="eastAsia" w:asciiTheme="minorEastAsia" w:hAnsiTheme="minorEastAsia" w:eastAsiaTheme="minorEastAsia" w:cstheme="minorEastAsia"/>
          <w:color w:val="auto"/>
          <w:szCs w:val="21"/>
        </w:rPr>
        <w:t>)。</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2.7 “服务”是指除货物和工程以外的其他政府采购对象，详见《政府采购品目分类目录》(</w:t>
      </w:r>
      <w:r>
        <w:rPr>
          <w:rStyle w:val="48"/>
          <w:rFonts w:hint="eastAsia" w:asciiTheme="minorEastAsia" w:hAnsiTheme="minorEastAsia" w:eastAsiaTheme="minorEastAsia" w:cstheme="minorEastAsia"/>
          <w:b w:val="0"/>
          <w:color w:val="auto"/>
        </w:rPr>
        <w:t>财库[2013]189号</w:t>
      </w:r>
      <w:r>
        <w:rPr>
          <w:rFonts w:hint="eastAsia" w:asciiTheme="minorEastAsia" w:hAnsiTheme="minorEastAsia" w:eastAsiaTheme="minorEastAsia" w:cstheme="minorEastAsia"/>
          <w:color w:val="auto"/>
          <w:szCs w:val="21"/>
        </w:rPr>
        <w:t>)。</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2.8</w:t>
      </w:r>
      <w:r>
        <w:rPr>
          <w:rFonts w:hint="eastAsia" w:asciiTheme="minorEastAsia" w:hAnsiTheme="minorEastAsia" w:eastAsiaTheme="minorEastAsia" w:cstheme="minorEastAsia"/>
          <w:color w:val="auto"/>
          <w:szCs w:val="21"/>
        </w:rPr>
        <w:t xml:space="preserve"> “节能产品”或者“环保产品”是指财政部发布的《节能产品政府采购清单》或者《环境标志产品政府采购清单》的产品，“两型产品”是指湖南省财政厅发布的《湖南省两型产品政府采购目录》或《长沙市两型产品目录》的产品。</w:t>
      </w:r>
    </w:p>
    <w:p>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2.9</w:t>
      </w:r>
      <w:r>
        <w:rPr>
          <w:rFonts w:hint="eastAsia" w:asciiTheme="minorEastAsia" w:hAnsiTheme="minorEastAsia" w:eastAsiaTheme="minorEastAsia" w:cstheme="minorEastAsia"/>
          <w:color w:val="auto"/>
          <w:kern w:val="0"/>
          <w:szCs w:val="21"/>
        </w:rPr>
        <w:t xml:space="preserve"> “进口产品”是指通过中国海关报关验放进入中国境内且产自关境外的产品，详见《关于政府采购进口产品管理有关问题的通知》(财库[2007]119号)。</w:t>
      </w:r>
    </w:p>
    <w:p>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3.供应商的资格要求</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3.1 供应商应当符合</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中规定的资格条件要求。</w:t>
      </w:r>
    </w:p>
    <w:p>
      <w:pPr>
        <w:adjustRightInd w:val="0"/>
        <w:snapToGrid w:val="0"/>
        <w:spacing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3.2供应商</w:t>
      </w:r>
      <w:r>
        <w:rPr>
          <w:rFonts w:hint="eastAsia" w:asciiTheme="minorEastAsia" w:hAnsiTheme="minorEastAsia" w:eastAsiaTheme="minorEastAsia" w:cstheme="minorEastAsia"/>
          <w:color w:val="auto"/>
        </w:rPr>
        <w:t>为联合体形式的</w:t>
      </w:r>
      <w:r>
        <w:rPr>
          <w:rFonts w:hint="eastAsia" w:asciiTheme="minorEastAsia" w:hAnsiTheme="minorEastAsia" w:eastAsiaTheme="minorEastAsia" w:cstheme="minorEastAsia"/>
          <w:color w:val="auto"/>
          <w:szCs w:val="21"/>
        </w:rPr>
        <w:t xml:space="preserve">，除应满足本章第3.1款资格条件要求及第3.3款规定外，还应遵守以下规定： </w:t>
      </w:r>
    </w:p>
    <w:p>
      <w:pPr>
        <w:adjustRightInd w:val="0"/>
        <w:snapToGrid w:val="0"/>
        <w:spacing w:line="360" w:lineRule="auto"/>
        <w:ind w:firstLine="420" w:firstLineChars="200"/>
        <w:jc w:val="left"/>
        <w:rPr>
          <w:rFonts w:asciiTheme="minorEastAsia" w:hAnsiTheme="minorEastAsia" w:eastAsiaTheme="minorEastAsia" w:cstheme="minorEastAsia"/>
          <w:color w:val="auto"/>
          <w:kern w:val="0"/>
          <w:szCs w:val="21"/>
          <w:lang w:val="zh-CN"/>
        </w:rPr>
      </w:pPr>
      <w:r>
        <w:rPr>
          <w:rFonts w:hint="eastAsia" w:asciiTheme="minorEastAsia" w:hAnsiTheme="minorEastAsia" w:eastAsiaTheme="minorEastAsia" w:cstheme="minorEastAsia"/>
          <w:color w:val="auto"/>
          <w:kern w:val="0"/>
          <w:szCs w:val="21"/>
          <w:lang w:val="zh-CN"/>
        </w:rPr>
        <w:t>（1）联合体各方应按磋商文件提供的格式签订联合体协议书，明确联合体牵头人和各方权利义务(含承担工作及工作量比例)；</w:t>
      </w:r>
    </w:p>
    <w:p>
      <w:pPr>
        <w:adjustRightInd w:val="0"/>
        <w:snapToGrid w:val="0"/>
        <w:spacing w:line="360" w:lineRule="auto"/>
        <w:ind w:firstLine="420" w:firstLineChars="200"/>
        <w:jc w:val="left"/>
        <w:rPr>
          <w:rFonts w:asciiTheme="minorEastAsia" w:hAnsiTheme="minorEastAsia" w:eastAsiaTheme="minorEastAsia" w:cstheme="minorEastAsia"/>
          <w:color w:val="auto"/>
          <w:kern w:val="0"/>
          <w:szCs w:val="21"/>
          <w:lang w:val="zh-CN"/>
        </w:rPr>
      </w:pPr>
      <w:r>
        <w:rPr>
          <w:rFonts w:hint="eastAsia" w:asciiTheme="minorEastAsia" w:hAnsiTheme="minorEastAsia" w:eastAsiaTheme="minorEastAsia" w:cstheme="minorEastAsia"/>
          <w:color w:val="auto"/>
          <w:kern w:val="0"/>
          <w:szCs w:val="21"/>
          <w:lang w:val="zh-CN"/>
        </w:rPr>
        <w:t>（2）联合体中有同类资质的供应商按照联合体分工承担相同工作的，应当按照资质等级较低的供应商确定资质等级；</w:t>
      </w:r>
    </w:p>
    <w:p>
      <w:pPr>
        <w:adjustRightInd w:val="0"/>
        <w:snapToGrid w:val="0"/>
        <w:spacing w:line="360" w:lineRule="auto"/>
        <w:ind w:firstLine="420" w:firstLineChars="200"/>
        <w:jc w:val="left"/>
        <w:rPr>
          <w:rFonts w:asciiTheme="minorEastAsia" w:hAnsiTheme="minorEastAsia" w:eastAsiaTheme="minorEastAsia" w:cstheme="minorEastAsia"/>
          <w:color w:val="auto"/>
          <w:kern w:val="0"/>
          <w:szCs w:val="21"/>
          <w:lang w:val="zh-CN"/>
        </w:rPr>
      </w:pPr>
      <w:r>
        <w:rPr>
          <w:rFonts w:hint="eastAsia" w:asciiTheme="minorEastAsia" w:hAnsiTheme="minorEastAsia" w:eastAsiaTheme="minorEastAsia" w:cstheme="minorEastAsia"/>
          <w:color w:val="auto"/>
          <w:kern w:val="0"/>
          <w:szCs w:val="21"/>
          <w:lang w:val="zh-CN"/>
        </w:rPr>
        <w:t>（3）以联合体形式参加政府采购活动的，联合体各方不得再单独参加或者与其他供应商另外组成联合体参加同一合同项下的政府采购活动。</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3.3 供应商不得存在下列情形之一：</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（l）与采购人、采购代理机构存在</w:t>
      </w:r>
      <w:r>
        <w:rPr>
          <w:rFonts w:hint="eastAsia" w:asciiTheme="minorEastAsia" w:hAnsiTheme="minorEastAsia" w:eastAsiaTheme="minorEastAsia" w:cstheme="minorEastAsia"/>
          <w:bCs/>
          <w:color w:val="auto"/>
          <w:szCs w:val="21"/>
        </w:rPr>
        <w:t>隶属关系或者其他利害关系</w:t>
      </w:r>
      <w:r>
        <w:rPr>
          <w:rFonts w:hint="eastAsia" w:asciiTheme="minorEastAsia" w:hAnsiTheme="minorEastAsia" w:eastAsiaTheme="minorEastAsia" w:cstheme="minorEastAsia"/>
          <w:color w:val="auto"/>
          <w:szCs w:val="21"/>
        </w:rPr>
        <w:t>。</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（2）与其他供应商的法定代表人（或者负责人）为同一人，或者与其他供应商存在直接控股、管理关系。</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w:t>
      </w:r>
      <w:r>
        <w:rPr>
          <w:rFonts w:hint="eastAsia" w:asciiTheme="minorEastAsia" w:hAnsiTheme="minorEastAsia" w:eastAsiaTheme="minorEastAsia" w:cstheme="minorEastAsia"/>
          <w:bCs/>
          <w:color w:val="auto"/>
          <w:szCs w:val="21"/>
        </w:rPr>
        <w:t>受到刑事处罚，或者受到三万元以上的罚款、责令停产停业、在一至三年内禁止参加政府采购活动、暂扣或者吊销许可证、暂扣或者吊销执照等情形之一的行政处罚，或者存在</w:t>
      </w:r>
      <w:r>
        <w:rPr>
          <w:rFonts w:hint="eastAsia" w:asciiTheme="minorEastAsia" w:hAnsiTheme="minorEastAsia" w:eastAsiaTheme="minorEastAsia" w:cstheme="minorEastAsia"/>
          <w:color w:val="auto"/>
          <w:szCs w:val="21"/>
        </w:rPr>
        <w:t>财政部门认定的其他重大违法记录。</w:t>
      </w:r>
    </w:p>
    <w:p>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 xml:space="preserve">4.参与磋商的费用 </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4.1 无论磋商的结果如何，供应商应自行承担所有与竞争性磋商采购活动有关的全部费用。</w:t>
      </w:r>
    </w:p>
    <w:p>
      <w:pPr>
        <w:pStyle w:val="25"/>
        <w:adjustRightInd w:val="0"/>
        <w:snapToGrid w:val="0"/>
        <w:spacing w:line="360" w:lineRule="auto"/>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color w:val="auto"/>
        </w:rPr>
        <w:t>5．</w:t>
      </w:r>
      <w:r>
        <w:rPr>
          <w:rFonts w:hint="eastAsia" w:asciiTheme="minorEastAsia" w:hAnsiTheme="minorEastAsia" w:eastAsiaTheme="minorEastAsia" w:cstheme="minorEastAsia"/>
          <w:b/>
          <w:bCs/>
          <w:color w:val="auto"/>
        </w:rPr>
        <w:t>授权委托</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5.1供应商代表为供应商法定代表人的，应具备法定代表人身份证明。供应商代表不是供应商法定代表人的，应具备法定代表人授权书，并附法定代表人身份证明。</w:t>
      </w:r>
    </w:p>
    <w:p>
      <w:pPr>
        <w:pStyle w:val="25"/>
        <w:adjustRightInd w:val="0"/>
        <w:snapToGrid w:val="0"/>
        <w:spacing w:line="360" w:lineRule="auto"/>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6．联合体形式</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6.1除</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rPr>
        <w:t>中另有规定，本次谈判采购不接受为联合体形式的供应商。</w:t>
      </w:r>
    </w:p>
    <w:p>
      <w:pPr>
        <w:adjustRightInd w:val="0"/>
        <w:snapToGrid w:val="0"/>
        <w:spacing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6.2供应商</w:t>
      </w:r>
      <w:r>
        <w:rPr>
          <w:rFonts w:hint="eastAsia" w:asciiTheme="minorEastAsia" w:hAnsiTheme="minorEastAsia" w:eastAsiaTheme="minorEastAsia" w:cstheme="minorEastAsia"/>
          <w:color w:val="auto"/>
        </w:rPr>
        <w:t>为联合体形式的</w:t>
      </w:r>
      <w:r>
        <w:rPr>
          <w:rFonts w:hint="eastAsia" w:asciiTheme="minorEastAsia" w:hAnsiTheme="minorEastAsia" w:eastAsiaTheme="minorEastAsia" w:cstheme="minorEastAsia"/>
          <w:color w:val="auto"/>
          <w:szCs w:val="21"/>
        </w:rPr>
        <w:t>，除应符合本章第3条规定外，还应遵守以下规定：</w:t>
      </w:r>
    </w:p>
    <w:p>
      <w:pPr>
        <w:adjustRightInd w:val="0"/>
        <w:snapToGrid w:val="0"/>
        <w:spacing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（l）联合体各方必须签订联合体协议书，明确联合体牵头人和各方的义务、工作、合同工作量比例；</w:t>
      </w:r>
    </w:p>
    <w:p>
      <w:pPr>
        <w:adjustRightInd w:val="0"/>
        <w:snapToGrid w:val="0"/>
        <w:spacing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（2）联合体各方均应当符合本章第3.1</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szCs w:val="21"/>
        </w:rPr>
        <w:t>规定的供应商基本资格条件；</w:t>
      </w:r>
    </w:p>
    <w:p>
      <w:pPr>
        <w:adjustRightInd w:val="0"/>
        <w:snapToGrid w:val="0"/>
        <w:spacing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w:t>
      </w:r>
      <w:r>
        <w:rPr>
          <w:rFonts w:hint="eastAsia" w:asciiTheme="minorEastAsia" w:hAnsiTheme="minorEastAsia" w:eastAsiaTheme="minorEastAsia" w:cstheme="minorEastAsia"/>
          <w:color w:val="auto"/>
        </w:rPr>
        <w:t>除</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rPr>
        <w:t>中另有规定，</w:t>
      </w:r>
      <w:r>
        <w:rPr>
          <w:rFonts w:hint="eastAsia" w:asciiTheme="minorEastAsia" w:hAnsiTheme="minorEastAsia" w:eastAsiaTheme="minorEastAsia" w:cstheme="minorEastAsia"/>
          <w:color w:val="auto"/>
          <w:szCs w:val="21"/>
        </w:rPr>
        <w:t>联合体各方中至少有一方应当符合本章第3.1</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szCs w:val="21"/>
        </w:rPr>
        <w:t>规定的供应商特定资格条件；</w:t>
      </w:r>
    </w:p>
    <w:p>
      <w:pPr>
        <w:adjustRightInd w:val="0"/>
        <w:snapToGrid w:val="0"/>
        <w:spacing w:line="360" w:lineRule="auto"/>
        <w:ind w:firstLine="420" w:firstLineChars="200"/>
        <w:jc w:val="left"/>
        <w:rPr>
          <w:rFonts w:asciiTheme="minorEastAsia" w:hAnsiTheme="minorEastAsia" w:eastAsiaTheme="minorEastAsia" w:cstheme="minorEastAsia"/>
          <w:color w:val="auto"/>
          <w:kern w:val="0"/>
          <w:szCs w:val="21"/>
          <w:lang w:val="zh-CN"/>
        </w:rPr>
      </w:pPr>
      <w:r>
        <w:rPr>
          <w:rFonts w:hint="eastAsia" w:asciiTheme="minorEastAsia" w:hAnsiTheme="minorEastAsia" w:eastAsiaTheme="minorEastAsia" w:cstheme="minorEastAsia"/>
          <w:color w:val="auto"/>
          <w:szCs w:val="21"/>
        </w:rPr>
        <w:t>（4）</w:t>
      </w:r>
      <w:r>
        <w:rPr>
          <w:rFonts w:hint="eastAsia" w:asciiTheme="minorEastAsia" w:hAnsiTheme="minorEastAsia" w:eastAsiaTheme="minorEastAsia" w:cstheme="minorEastAsia"/>
          <w:color w:val="auto"/>
          <w:kern w:val="0"/>
          <w:szCs w:val="21"/>
          <w:lang w:val="zh-CN"/>
        </w:rPr>
        <w:t>联合体各方不得再单独或与其他供应商组成新的联合体参加同一项目的采购活动。</w:t>
      </w:r>
    </w:p>
    <w:p>
      <w:pPr>
        <w:adjustRightInd w:val="0"/>
        <w:snapToGrid w:val="0"/>
        <w:spacing w:line="360" w:lineRule="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7.现场勘察</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7.1供应商应按</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rPr>
        <w:t>中规定</w:t>
      </w:r>
      <w:r>
        <w:rPr>
          <w:rFonts w:hint="eastAsia" w:asciiTheme="minorEastAsia" w:hAnsiTheme="minorEastAsia" w:eastAsiaTheme="minorEastAsia" w:cstheme="minorEastAsia"/>
          <w:color w:val="auto"/>
          <w:szCs w:val="21"/>
        </w:rPr>
        <w:t>对采购项目现场和周围环境的现场考察。</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7.2勘察现场的费用由供应商自己承担，勘察期间所发生的人身伤害及财产损失由供应商自己负责。</w:t>
      </w:r>
    </w:p>
    <w:p>
      <w:pPr>
        <w:adjustRightInd w:val="0"/>
        <w:snapToGrid w:val="0"/>
        <w:spacing w:line="360" w:lineRule="auto"/>
        <w:ind w:firstLine="420" w:firstLineChars="200"/>
        <w:jc w:val="lef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7.3采购人不对供应商据此而做出的推论、理解和结论负责。一旦成交，供应商不得以任何借口，提出额外补偿，或延长合同期限的要求。</w:t>
      </w:r>
    </w:p>
    <w:p>
      <w:pPr>
        <w:adjustRightInd w:val="0"/>
        <w:snapToGrid w:val="0"/>
        <w:spacing w:line="360" w:lineRule="auto"/>
        <w:jc w:val="lef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8.采购进口产品</w:t>
      </w:r>
    </w:p>
    <w:p>
      <w:pPr>
        <w:adjustRightInd w:val="0"/>
        <w:snapToGrid w:val="0"/>
        <w:spacing w:line="360" w:lineRule="auto"/>
        <w:ind w:firstLine="420" w:firstLineChars="20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8.1除</w:t>
      </w:r>
      <w:r>
        <w:rPr>
          <w:rFonts w:hint="eastAsia" w:asciiTheme="minorEastAsia" w:hAnsiTheme="minorEastAsia" w:eastAsiaTheme="minorEastAsia" w:cstheme="minorEastAsia"/>
          <w:b/>
          <w:color w:val="auto"/>
          <w:szCs w:val="21"/>
        </w:rPr>
        <w:t>磋商文件前附表</w:t>
      </w:r>
      <w:r>
        <w:rPr>
          <w:rFonts w:hint="eastAsia" w:asciiTheme="minorEastAsia" w:hAnsiTheme="minorEastAsia" w:eastAsiaTheme="minorEastAsia" w:cstheme="minorEastAsia"/>
          <w:color w:val="auto"/>
          <w:szCs w:val="21"/>
        </w:rPr>
        <w:t>另有规定外，本项目</w:t>
      </w:r>
      <w:r>
        <w:rPr>
          <w:rFonts w:hint="eastAsia" w:asciiTheme="minorEastAsia" w:hAnsiTheme="minorEastAsia" w:eastAsiaTheme="minorEastAsia" w:cstheme="minorEastAsia"/>
          <w:color w:val="auto"/>
          <w:kern w:val="0"/>
          <w:szCs w:val="21"/>
        </w:rPr>
        <w:t>拒绝进口产品参加</w:t>
      </w:r>
      <w:r>
        <w:rPr>
          <w:rFonts w:hint="eastAsia" w:asciiTheme="minorEastAsia" w:hAnsiTheme="minorEastAsia" w:eastAsiaTheme="minorEastAsia" w:cstheme="minorEastAsia"/>
          <w:color w:val="auto"/>
          <w:szCs w:val="21"/>
        </w:rPr>
        <w:t>竞争性磋商采购活动</w:t>
      </w:r>
      <w:r>
        <w:rPr>
          <w:rFonts w:hint="eastAsia" w:asciiTheme="minorEastAsia" w:hAnsiTheme="minorEastAsia" w:eastAsiaTheme="minorEastAsia" w:cstheme="minorEastAsia"/>
          <w:color w:val="auto"/>
          <w:kern w:val="0"/>
          <w:szCs w:val="21"/>
        </w:rPr>
        <w:t>。</w:t>
      </w:r>
    </w:p>
    <w:p>
      <w:pPr>
        <w:adjustRightInd w:val="0"/>
        <w:snapToGrid w:val="0"/>
        <w:spacing w:line="360" w:lineRule="auto"/>
        <w:ind w:firstLine="420" w:firstLineChars="20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8.2</w:t>
      </w:r>
      <w:r>
        <w:rPr>
          <w:rFonts w:hint="eastAsia" w:asciiTheme="minorEastAsia" w:hAnsiTheme="minorEastAsia" w:eastAsiaTheme="minorEastAsia" w:cstheme="minorEastAsia"/>
          <w:color w:val="auto"/>
          <w:szCs w:val="21"/>
        </w:rPr>
        <w:t>本章第7.1</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szCs w:val="21"/>
        </w:rPr>
        <w:t>规定</w:t>
      </w:r>
      <w:r>
        <w:rPr>
          <w:rFonts w:hint="eastAsia" w:asciiTheme="minorEastAsia" w:hAnsiTheme="minorEastAsia" w:eastAsiaTheme="minorEastAsia" w:cstheme="minorEastAsia"/>
          <w:color w:val="auto"/>
          <w:kern w:val="0"/>
          <w:szCs w:val="21"/>
        </w:rPr>
        <w:t>同意购买进口产品的，</w:t>
      </w:r>
      <w:r>
        <w:rPr>
          <w:rFonts w:hint="eastAsia" w:asciiTheme="minorEastAsia" w:hAnsiTheme="minorEastAsia" w:eastAsiaTheme="minorEastAsia" w:cstheme="minorEastAsia"/>
          <w:color w:val="auto"/>
          <w:szCs w:val="21"/>
        </w:rPr>
        <w:t>本项目</w:t>
      </w:r>
      <w:r>
        <w:rPr>
          <w:rFonts w:hint="eastAsia" w:asciiTheme="minorEastAsia" w:hAnsiTheme="minorEastAsia" w:eastAsiaTheme="minorEastAsia" w:cstheme="minorEastAsia"/>
          <w:color w:val="auto"/>
          <w:kern w:val="0"/>
          <w:szCs w:val="21"/>
          <w:lang w:val="zh-CN"/>
        </w:rPr>
        <w:t>采购活动</w:t>
      </w:r>
      <w:r>
        <w:rPr>
          <w:rFonts w:hint="eastAsia" w:asciiTheme="minorEastAsia" w:hAnsiTheme="minorEastAsia" w:eastAsiaTheme="minorEastAsia" w:cstheme="minorEastAsia"/>
          <w:color w:val="auto"/>
          <w:kern w:val="0"/>
          <w:szCs w:val="21"/>
        </w:rPr>
        <w:t>不限制满足</w:t>
      </w:r>
      <w:r>
        <w:rPr>
          <w:rFonts w:hint="eastAsia" w:asciiTheme="minorEastAsia" w:hAnsiTheme="minorEastAsia" w:eastAsiaTheme="minorEastAsia" w:cstheme="minorEastAsia"/>
          <w:color w:val="auto"/>
          <w:szCs w:val="21"/>
        </w:rPr>
        <w:t>磋商文件要求</w:t>
      </w:r>
      <w:r>
        <w:rPr>
          <w:rFonts w:hint="eastAsia" w:asciiTheme="minorEastAsia" w:hAnsiTheme="minorEastAsia" w:eastAsiaTheme="minorEastAsia" w:cstheme="minorEastAsia"/>
          <w:color w:val="auto"/>
          <w:kern w:val="0"/>
          <w:szCs w:val="21"/>
        </w:rPr>
        <w:t>的国内产品参与</w:t>
      </w:r>
      <w:r>
        <w:rPr>
          <w:rFonts w:hint="eastAsia" w:asciiTheme="minorEastAsia" w:hAnsiTheme="minorEastAsia" w:eastAsiaTheme="minorEastAsia" w:cstheme="minorEastAsia"/>
          <w:color w:val="auto"/>
          <w:szCs w:val="21"/>
        </w:rPr>
        <w:t>竞争性磋商</w:t>
      </w:r>
      <w:r>
        <w:rPr>
          <w:rFonts w:hint="eastAsia" w:asciiTheme="minorEastAsia" w:hAnsiTheme="minorEastAsia" w:eastAsiaTheme="minorEastAsia" w:cstheme="minorEastAsia"/>
          <w:color w:val="auto"/>
          <w:kern w:val="0"/>
          <w:szCs w:val="21"/>
        </w:rPr>
        <w:t>。</w:t>
      </w:r>
    </w:p>
    <w:p>
      <w:pPr>
        <w:adjustRightInd w:val="0"/>
        <w:snapToGrid w:val="0"/>
        <w:spacing w:line="360" w:lineRule="auto"/>
        <w:jc w:val="lef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bCs/>
          <w:color w:val="auto"/>
          <w:szCs w:val="21"/>
        </w:rPr>
        <w:t>9.</w:t>
      </w:r>
      <w:r>
        <w:rPr>
          <w:rFonts w:hint="eastAsia" w:asciiTheme="minorEastAsia" w:hAnsiTheme="minorEastAsia" w:eastAsiaTheme="minorEastAsia" w:cstheme="minorEastAsia"/>
          <w:b/>
          <w:color w:val="auto"/>
          <w:szCs w:val="21"/>
        </w:rPr>
        <w:t xml:space="preserve"> 政府采购政策支持</w:t>
      </w:r>
    </w:p>
    <w:p>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9.1对列入财政部、国家发展改革委发布的《节能产品政府采购清单》且属于应当“强制采购的节能产品”，按照规定实行强制采购。实行政府采购强制采购的节能产品见</w:t>
      </w:r>
      <w:r>
        <w:rPr>
          <w:rFonts w:hint="eastAsia" w:asciiTheme="minorEastAsia" w:hAnsiTheme="minorEastAsia" w:eastAsiaTheme="minorEastAsia" w:cstheme="minorEastAsia"/>
          <w:b/>
          <w:color w:val="auto"/>
          <w:kern w:val="0"/>
          <w:szCs w:val="21"/>
        </w:rPr>
        <w:t>磋商文件前附表。</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rPr>
        <w:t>9.2对列入财政部、国家发展改革委发布的《节能产品政府采购清单》的“非强制采购节能产品”，财政部、环境保护部发布的《环境标志产品政府采购清单》的“环境标志产品”，湖南省财政厅、湖南省科学技术厅、湖南省长株潭“两型社会”试验区建设管理委员会发布的《湖南省两型产品政府采购目录》</w:t>
      </w:r>
      <w:r>
        <w:rPr>
          <w:rFonts w:hint="eastAsia" w:asciiTheme="minorEastAsia" w:hAnsiTheme="minorEastAsia" w:eastAsiaTheme="minorEastAsia" w:cstheme="minorEastAsia"/>
          <w:color w:val="auto"/>
        </w:rPr>
        <w:t>或《长沙市两型产品目录》</w:t>
      </w:r>
      <w:r>
        <w:rPr>
          <w:rFonts w:hint="eastAsia" w:asciiTheme="minorEastAsia" w:hAnsiTheme="minorEastAsia" w:eastAsiaTheme="minorEastAsia" w:cstheme="minorEastAsia"/>
          <w:color w:val="auto"/>
          <w:kern w:val="0"/>
        </w:rPr>
        <w:t>的“两型产品”以及中小企业，实行优先采购，按照省级以上财政部门有关政策规定，评审时进行价格扣除或加分。实行政府采购优先采购的优惠率见</w:t>
      </w:r>
      <w:r>
        <w:rPr>
          <w:rFonts w:hint="eastAsia" w:asciiTheme="minorEastAsia" w:hAnsiTheme="minorEastAsia" w:eastAsiaTheme="minorEastAsia" w:cstheme="minorEastAsia"/>
          <w:b/>
          <w:color w:val="auto"/>
          <w:kern w:val="0"/>
        </w:rPr>
        <w:t>磋商文件前附表。</w:t>
      </w:r>
    </w:p>
    <w:p>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9.3产品同时属于“非强制采购节能产品”、“环境标志产品”及“两型产品”的，评审时只有其中一项能享受优先待遇(供应商自行选择，并在报价文件中并填报相关信息及数据)；中小企业可以与同时属于“非强制采购节能产品”、“环境标志产品”及“两型产品”中的一项重复计算。</w:t>
      </w:r>
    </w:p>
    <w:p>
      <w:pPr>
        <w:adjustRightInd w:val="0"/>
        <w:snapToGrid w:val="0"/>
        <w:spacing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9.4同一项目中部分产品属于优先采购政策的，评审时只对该部分产品的报价实行价格扣除及加分。</w:t>
      </w:r>
    </w:p>
    <w:p>
      <w:pPr>
        <w:adjustRightInd w:val="0"/>
        <w:snapToGrid w:val="0"/>
        <w:spacing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9.5符合本章第9.1</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szCs w:val="21"/>
        </w:rPr>
        <w:t>第9.2</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szCs w:val="21"/>
        </w:rPr>
        <w:t>规定的，应提供相关证明资料。</w:t>
      </w:r>
    </w:p>
    <w:p>
      <w:pPr>
        <w:adjustRightInd w:val="0"/>
        <w:snapToGrid w:val="0"/>
        <w:spacing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9.6供应商有融资、担保需求的，具体办理流程可向</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所列金融机构和担保机构询问。</w:t>
      </w:r>
    </w:p>
    <w:p>
      <w:pPr>
        <w:adjustRightInd w:val="0"/>
        <w:snapToGrid w:val="0"/>
        <w:spacing w:line="360" w:lineRule="auto"/>
        <w:ind w:left="902" w:hanging="902" w:hangingChars="376"/>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二、磋商文件</w:t>
      </w:r>
    </w:p>
    <w:p>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10．磋商文件的组成</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10.1 磋商文件由下列文件组成：</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第一章 磋商邀请</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第二章 磋商须知</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第三章 政府采购合同格式条款</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第四章 采购需求</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第五章 响应文件组成</w:t>
      </w:r>
    </w:p>
    <w:p>
      <w:pPr>
        <w:pStyle w:val="25"/>
        <w:adjustRightInd w:val="0"/>
        <w:snapToGrid w:val="0"/>
        <w:spacing w:line="360" w:lineRule="auto"/>
        <w:ind w:firstLine="420" w:firstLineChars="200"/>
        <w:rPr>
          <w:rFonts w:asciiTheme="minorEastAsia" w:hAnsiTheme="minorEastAsia" w:eastAsiaTheme="minorEastAsia" w:cstheme="minorEastAsia"/>
          <w:color w:val="auto"/>
          <w:kern w:val="0"/>
        </w:rPr>
      </w:pPr>
      <w:r>
        <w:rPr>
          <w:rFonts w:hint="eastAsia" w:asciiTheme="minorEastAsia" w:hAnsiTheme="minorEastAsia" w:eastAsiaTheme="minorEastAsia" w:cstheme="minorEastAsia"/>
          <w:color w:val="auto"/>
        </w:rPr>
        <w:t>10.2</w:t>
      </w:r>
      <w:r>
        <w:rPr>
          <w:rFonts w:hint="eastAsia" w:asciiTheme="minorEastAsia" w:hAnsiTheme="minorEastAsia" w:eastAsiaTheme="minorEastAsia" w:cstheme="minorEastAsia"/>
          <w:color w:val="auto"/>
          <w:kern w:val="0"/>
        </w:rPr>
        <w:t>磋商小组根据与供应商磋商情况可能实质性变动的内容，包括采购需求中的技术、服务要求以及合同条款，</w:t>
      </w:r>
      <w:r>
        <w:rPr>
          <w:rFonts w:hint="eastAsia" w:asciiTheme="minorEastAsia" w:hAnsiTheme="minorEastAsia" w:eastAsiaTheme="minorEastAsia" w:cstheme="minorEastAsia"/>
          <w:color w:val="auto"/>
        </w:rPr>
        <w:t>在</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rPr>
        <w:t>中明确。</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10.3</w:t>
      </w:r>
      <w:r>
        <w:rPr>
          <w:rFonts w:hint="eastAsia" w:asciiTheme="minorEastAsia" w:hAnsiTheme="minorEastAsia" w:eastAsiaTheme="minorEastAsia" w:cstheme="minorEastAsia"/>
          <w:color w:val="auto"/>
          <w:szCs w:val="21"/>
        </w:rPr>
        <w:t>供应商应仔细阅读</w:t>
      </w:r>
      <w:r>
        <w:rPr>
          <w:rFonts w:hint="eastAsia" w:asciiTheme="minorEastAsia" w:hAnsiTheme="minorEastAsia" w:eastAsiaTheme="minorEastAsia" w:cstheme="minorEastAsia"/>
          <w:bCs/>
          <w:color w:val="auto"/>
          <w:szCs w:val="21"/>
        </w:rPr>
        <w:t>磋商</w:t>
      </w:r>
      <w:r>
        <w:rPr>
          <w:rFonts w:hint="eastAsia" w:asciiTheme="minorEastAsia" w:hAnsiTheme="minorEastAsia" w:eastAsiaTheme="minorEastAsia" w:cstheme="minorEastAsia"/>
          <w:color w:val="auto"/>
          <w:szCs w:val="21"/>
        </w:rPr>
        <w:t>文件的全部内容，按照</w:t>
      </w:r>
      <w:r>
        <w:rPr>
          <w:rFonts w:hint="eastAsia" w:asciiTheme="minorEastAsia" w:hAnsiTheme="minorEastAsia" w:eastAsiaTheme="minorEastAsia" w:cstheme="minorEastAsia"/>
          <w:bCs/>
          <w:color w:val="auto"/>
          <w:szCs w:val="21"/>
        </w:rPr>
        <w:t>磋商</w:t>
      </w:r>
      <w:r>
        <w:rPr>
          <w:rFonts w:hint="eastAsia" w:asciiTheme="minorEastAsia" w:hAnsiTheme="minorEastAsia" w:eastAsiaTheme="minorEastAsia" w:cstheme="minorEastAsia"/>
          <w:color w:val="auto"/>
          <w:szCs w:val="21"/>
        </w:rPr>
        <w:t>文件要求编制响应文件。任何对</w:t>
      </w:r>
      <w:r>
        <w:rPr>
          <w:rFonts w:hint="eastAsia" w:asciiTheme="minorEastAsia" w:hAnsiTheme="minorEastAsia" w:eastAsiaTheme="minorEastAsia" w:cstheme="minorEastAsia"/>
          <w:bCs/>
          <w:color w:val="auto"/>
          <w:szCs w:val="21"/>
        </w:rPr>
        <w:t>磋商</w:t>
      </w:r>
      <w:r>
        <w:rPr>
          <w:rFonts w:hint="eastAsia" w:asciiTheme="minorEastAsia" w:hAnsiTheme="minorEastAsia" w:eastAsiaTheme="minorEastAsia" w:cstheme="minorEastAsia"/>
          <w:color w:val="auto"/>
          <w:szCs w:val="21"/>
        </w:rPr>
        <w:t>文件的忽略或误解不能作为响应文件存在缺陷或瑕疵的理由，其风险由供应商承担。</w:t>
      </w:r>
    </w:p>
    <w:p>
      <w:pPr>
        <w:adjustRightInd w:val="0"/>
        <w:snapToGrid w:val="0"/>
        <w:spacing w:line="360" w:lineRule="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11.磋商文件的提供期限</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11.1磋商文件的提供期限自开始发出之日起不得少于五个工作日。具体提供期限见</w:t>
      </w:r>
      <w:r>
        <w:rPr>
          <w:rFonts w:hint="eastAsia" w:asciiTheme="minorEastAsia" w:hAnsiTheme="minorEastAsia" w:eastAsiaTheme="minorEastAsia" w:cstheme="minorEastAsia"/>
          <w:b/>
          <w:color w:val="auto"/>
          <w:szCs w:val="21"/>
        </w:rPr>
        <w:t>磋商文件前附表</w:t>
      </w:r>
      <w:r>
        <w:rPr>
          <w:rFonts w:hint="eastAsia" w:asciiTheme="minorEastAsia" w:hAnsiTheme="minorEastAsia" w:eastAsiaTheme="minorEastAsia" w:cstheme="minorEastAsia"/>
          <w:color w:val="auto"/>
          <w:szCs w:val="21"/>
        </w:rPr>
        <w:t>。</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11.2供应商应持</w:t>
      </w:r>
      <w:r>
        <w:rPr>
          <w:rFonts w:hint="eastAsia" w:asciiTheme="minorEastAsia" w:hAnsiTheme="minorEastAsia" w:eastAsiaTheme="minorEastAsia" w:cstheme="minorEastAsia"/>
          <w:b/>
          <w:color w:val="auto"/>
          <w:szCs w:val="21"/>
        </w:rPr>
        <w:t>磋商文件前附表</w:t>
      </w:r>
      <w:r>
        <w:rPr>
          <w:rFonts w:hint="eastAsia" w:asciiTheme="minorEastAsia" w:hAnsiTheme="minorEastAsia" w:eastAsiaTheme="minorEastAsia" w:cstheme="minorEastAsia"/>
          <w:color w:val="auto"/>
          <w:szCs w:val="21"/>
        </w:rPr>
        <w:t>规定的资料领取或购买磋商文件。</w:t>
      </w:r>
    </w:p>
    <w:p>
      <w:pPr>
        <w:pStyle w:val="25"/>
        <w:adjustRightInd w:val="0"/>
        <w:snapToGrid w:val="0"/>
        <w:spacing w:line="360" w:lineRule="auto"/>
        <w:rPr>
          <w:rFonts w:asciiTheme="minorEastAsia" w:hAnsiTheme="minorEastAsia" w:eastAsiaTheme="minorEastAsia" w:cstheme="minorEastAsia"/>
          <w:color w:val="auto"/>
        </w:rPr>
      </w:pPr>
      <w:r>
        <w:rPr>
          <w:rFonts w:hint="eastAsia" w:asciiTheme="minorEastAsia" w:hAnsiTheme="minorEastAsia" w:eastAsiaTheme="minorEastAsia" w:cstheme="minorEastAsia"/>
          <w:b/>
          <w:color w:val="auto"/>
        </w:rPr>
        <w:t>12.</w:t>
      </w:r>
      <w:r>
        <w:rPr>
          <w:rFonts w:hint="eastAsia" w:asciiTheme="minorEastAsia" w:hAnsiTheme="minorEastAsia" w:eastAsiaTheme="minorEastAsia" w:cstheme="minorEastAsia"/>
          <w:b/>
          <w:color w:val="auto"/>
          <w:kern w:val="0"/>
        </w:rPr>
        <w:t>提交首次响应文件</w:t>
      </w:r>
      <w:r>
        <w:rPr>
          <w:rFonts w:hint="eastAsia" w:asciiTheme="minorEastAsia" w:hAnsiTheme="minorEastAsia" w:eastAsiaTheme="minorEastAsia" w:cstheme="minorEastAsia"/>
          <w:b/>
          <w:color w:val="auto"/>
        </w:rPr>
        <w:t>的</w:t>
      </w:r>
      <w:r>
        <w:rPr>
          <w:rFonts w:hint="eastAsia" w:asciiTheme="minorEastAsia" w:hAnsiTheme="minorEastAsia" w:eastAsiaTheme="minorEastAsia" w:cstheme="minorEastAsia"/>
          <w:b/>
          <w:color w:val="auto"/>
          <w:kern w:val="0"/>
        </w:rPr>
        <w:t>截止</w:t>
      </w:r>
      <w:r>
        <w:rPr>
          <w:rFonts w:hint="eastAsia" w:asciiTheme="minorEastAsia" w:hAnsiTheme="minorEastAsia" w:eastAsiaTheme="minorEastAsia" w:cstheme="minorEastAsia"/>
          <w:b/>
          <w:color w:val="auto"/>
        </w:rPr>
        <w:t>时间</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12.1</w:t>
      </w:r>
      <w:r>
        <w:rPr>
          <w:rFonts w:hint="eastAsia" w:asciiTheme="minorEastAsia" w:hAnsiTheme="minorEastAsia" w:eastAsiaTheme="minorEastAsia" w:cstheme="minorEastAsia"/>
          <w:color w:val="auto"/>
          <w:kern w:val="0"/>
        </w:rPr>
        <w:t>供应商提交首次响应文件截止</w:t>
      </w:r>
      <w:r>
        <w:rPr>
          <w:rFonts w:hint="eastAsia" w:asciiTheme="minorEastAsia" w:hAnsiTheme="minorEastAsia" w:eastAsiaTheme="minorEastAsia" w:cstheme="minorEastAsia"/>
          <w:color w:val="auto"/>
        </w:rPr>
        <w:t>时间见</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rPr>
        <w:t>。</w:t>
      </w:r>
    </w:p>
    <w:p>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13.磋商文件的澄清</w:t>
      </w:r>
      <w:r>
        <w:rPr>
          <w:rFonts w:hint="eastAsia" w:asciiTheme="minorEastAsia" w:hAnsiTheme="minorEastAsia" w:eastAsiaTheme="minorEastAsia" w:cstheme="minorEastAsia"/>
          <w:b/>
          <w:color w:val="auto"/>
          <w:kern w:val="0"/>
          <w:szCs w:val="21"/>
          <w:lang w:val="zh-CN"/>
        </w:rPr>
        <w:t>或者</w:t>
      </w:r>
      <w:r>
        <w:rPr>
          <w:rFonts w:hint="eastAsia" w:asciiTheme="minorEastAsia" w:hAnsiTheme="minorEastAsia" w:eastAsiaTheme="minorEastAsia" w:cstheme="minorEastAsia"/>
          <w:b/>
          <w:bCs/>
          <w:color w:val="auto"/>
          <w:szCs w:val="21"/>
        </w:rPr>
        <w:t>修改</w:t>
      </w:r>
    </w:p>
    <w:p>
      <w:pPr>
        <w:adjustRightInd w:val="0"/>
        <w:snapToGrid w:val="0"/>
        <w:spacing w:line="360" w:lineRule="auto"/>
        <w:ind w:right="-105" w:rightChars="-50"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13.1在</w:t>
      </w:r>
      <w:r>
        <w:rPr>
          <w:rFonts w:hint="eastAsia" w:asciiTheme="minorEastAsia" w:hAnsiTheme="minorEastAsia" w:eastAsiaTheme="minorEastAsia" w:cstheme="minorEastAsia"/>
          <w:color w:val="auto"/>
          <w:kern w:val="0"/>
          <w:szCs w:val="21"/>
        </w:rPr>
        <w:t xml:space="preserve">提交首次响应文件截止之日前，采购人、采购代理机构可以对已发出的磋商文件进行必要的澄清或者修改。 </w:t>
      </w:r>
    </w:p>
    <w:p>
      <w:pPr>
        <w:adjustRightInd w:val="0"/>
        <w:snapToGrid w:val="0"/>
        <w:spacing w:line="360" w:lineRule="auto"/>
        <w:ind w:right="-105" w:rightChars="-50"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13.2</w:t>
      </w:r>
      <w:r>
        <w:rPr>
          <w:rFonts w:hint="eastAsia" w:asciiTheme="minorEastAsia" w:hAnsiTheme="minorEastAsia" w:eastAsiaTheme="minorEastAsia" w:cstheme="minorEastAsia"/>
          <w:color w:val="auto"/>
          <w:kern w:val="0"/>
          <w:szCs w:val="21"/>
        </w:rPr>
        <w:t>澄清或者修改的内容可能影响响应文件编制的，采购人、采购代理机构应当在提交首次响应文件截止之日3个工作日前，以书面形式通知所有接收磋商文件的供应商，不足3个工作日的，顺延供应商提交首次响应文件截止时间。</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13.2</w:t>
      </w:r>
      <w:r>
        <w:rPr>
          <w:rFonts w:hint="eastAsia" w:asciiTheme="minorEastAsia" w:hAnsiTheme="minorEastAsia" w:eastAsiaTheme="minorEastAsia" w:cstheme="minorEastAsia"/>
          <w:color w:val="auto"/>
          <w:kern w:val="0"/>
        </w:rPr>
        <w:t>提交首次响应文件截止时间前对磋商文件澄清或者修改内容，为磋商文件的组成部分。</w:t>
      </w:r>
    </w:p>
    <w:p>
      <w:pPr>
        <w:adjustRightInd w:val="0"/>
        <w:snapToGrid w:val="0"/>
        <w:spacing w:line="360" w:lineRule="auto"/>
        <w:ind w:left="902" w:hanging="902" w:hangingChars="376"/>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三、响应文件</w:t>
      </w:r>
    </w:p>
    <w:p>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14.一般要求</w:t>
      </w:r>
    </w:p>
    <w:p>
      <w:pPr>
        <w:adjustRightInd w:val="0"/>
        <w:snapToGrid w:val="0"/>
        <w:spacing w:line="360" w:lineRule="auto"/>
        <w:ind w:firstLine="420" w:firstLineChars="200"/>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14.1 供应商应仔细阅读磋商文件的所有内容，按磋商文件的要求编制响应文件，并保证所提供的全部资料的真实性，以使其响应文件对磋商文件做出实质性的响应。</w:t>
      </w:r>
    </w:p>
    <w:p>
      <w:pPr>
        <w:adjustRightInd w:val="0"/>
        <w:snapToGrid w:val="0"/>
        <w:spacing w:line="360" w:lineRule="auto"/>
        <w:ind w:firstLine="420" w:firstLineChars="200"/>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 xml:space="preserve">14.2 </w:t>
      </w:r>
      <w:r>
        <w:rPr>
          <w:rFonts w:hint="eastAsia" w:asciiTheme="minorEastAsia" w:hAnsiTheme="minorEastAsia" w:eastAsiaTheme="minorEastAsia" w:cstheme="minorEastAsia"/>
          <w:color w:val="auto"/>
          <w:szCs w:val="21"/>
        </w:rPr>
        <w:t>供应商提交的响应文件及供应商与采购人或采购代理机构、磋商小组就有关磋商的所有来往函电均使用中文。供应商可以提交其它语言的资料，但应附中文注释，在有差异时以中文为准。</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bCs/>
          <w:color w:val="auto"/>
        </w:rPr>
        <w:t xml:space="preserve">14.3 </w:t>
      </w:r>
      <w:r>
        <w:rPr>
          <w:rFonts w:hint="eastAsia" w:asciiTheme="minorEastAsia" w:hAnsiTheme="minorEastAsia" w:eastAsiaTheme="minorEastAsia" w:cstheme="minorEastAsia"/>
          <w:color w:val="auto"/>
        </w:rPr>
        <w:t>计量单位应使用我国法定计量单位，未列明时应默认为我国法定计量单位。</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14.4 响应文件应采用书面形式，电报、传真、电子邮件形式的响应文件概不接受。</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14.5 供应商应按磋商文件中提供的响应文件格式填写。</w:t>
      </w:r>
    </w:p>
    <w:p>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15.</w:t>
      </w:r>
      <w:r>
        <w:rPr>
          <w:rFonts w:hint="eastAsia" w:asciiTheme="minorEastAsia" w:hAnsiTheme="minorEastAsia" w:eastAsiaTheme="minorEastAsia" w:cstheme="minorEastAsia"/>
          <w:b/>
          <w:color w:val="auto"/>
          <w:szCs w:val="21"/>
        </w:rPr>
        <w:t>响应文件</w:t>
      </w:r>
      <w:r>
        <w:rPr>
          <w:rFonts w:hint="eastAsia" w:asciiTheme="minorEastAsia" w:hAnsiTheme="minorEastAsia" w:eastAsiaTheme="minorEastAsia" w:cstheme="minorEastAsia"/>
          <w:b/>
          <w:bCs/>
          <w:color w:val="auto"/>
          <w:szCs w:val="21"/>
        </w:rPr>
        <w:t>的组成</w:t>
      </w:r>
    </w:p>
    <w:p>
      <w:pPr>
        <w:adjustRightInd w:val="0"/>
        <w:snapToGrid w:val="0"/>
        <w:spacing w:line="360" w:lineRule="auto"/>
        <w:ind w:firstLine="420" w:firstLineChars="200"/>
        <w:jc w:val="left"/>
        <w:outlineLvl w:val="0"/>
        <w:rPr>
          <w:rFonts w:asciiTheme="minorEastAsia" w:hAnsiTheme="minorEastAsia" w:eastAsiaTheme="minorEastAsia" w:cstheme="minorEastAsia"/>
          <w:color w:val="auto"/>
          <w:szCs w:val="21"/>
        </w:rPr>
      </w:pPr>
      <w:bookmarkStart w:id="25" w:name="_Toc30604"/>
      <w:r>
        <w:rPr>
          <w:rFonts w:hint="eastAsia" w:asciiTheme="minorEastAsia" w:hAnsiTheme="minorEastAsia" w:eastAsiaTheme="minorEastAsia" w:cstheme="minorEastAsia"/>
          <w:color w:val="auto"/>
        </w:rPr>
        <w:t>15.1响应文件包括下列内容：</w:t>
      </w:r>
      <w:bookmarkEnd w:id="25"/>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（1）磋商响应声明</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（2）保证金</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（3）供应商的资格证明文件</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（4）货物或服务方案说明</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（5）技术/商务响应与偏离表</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（6）提供享受政府采购政策的证明材料和清单表</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（7）经销或代理或为货物提供售后服务的证明材料</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（8）报价一览表及报价文件</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（9）供应商认为需提供的其他资料</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（10）最后报价</w:t>
      </w:r>
    </w:p>
    <w:p>
      <w:pPr>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15.2在磋商过程中，</w:t>
      </w:r>
      <w:r>
        <w:rPr>
          <w:rFonts w:hint="eastAsia" w:asciiTheme="minorEastAsia" w:hAnsiTheme="minorEastAsia" w:eastAsiaTheme="minorEastAsia" w:cstheme="minorEastAsia"/>
          <w:color w:val="auto"/>
          <w:szCs w:val="21"/>
        </w:rPr>
        <w:t>供应商</w:t>
      </w:r>
      <w:r>
        <w:rPr>
          <w:rFonts w:hint="eastAsia" w:asciiTheme="minorEastAsia" w:hAnsiTheme="minorEastAsia" w:eastAsiaTheme="minorEastAsia" w:cstheme="minorEastAsia"/>
          <w:color w:val="auto"/>
        </w:rPr>
        <w:t>根据</w:t>
      </w:r>
      <w:r>
        <w:rPr>
          <w:rFonts w:hint="eastAsia" w:asciiTheme="minorEastAsia" w:hAnsiTheme="minorEastAsia" w:eastAsiaTheme="minorEastAsia" w:cstheme="minorEastAsia"/>
          <w:color w:val="auto"/>
          <w:kern w:val="0"/>
          <w:szCs w:val="21"/>
        </w:rPr>
        <w:t>磋商小组</w:t>
      </w:r>
      <w:r>
        <w:rPr>
          <w:rFonts w:hint="eastAsia" w:asciiTheme="minorEastAsia" w:hAnsiTheme="minorEastAsia" w:eastAsiaTheme="minorEastAsia" w:cstheme="minorEastAsia"/>
          <w:bCs/>
          <w:color w:val="auto"/>
          <w:szCs w:val="21"/>
        </w:rPr>
        <w:t>书面形式要求</w:t>
      </w:r>
      <w:r>
        <w:rPr>
          <w:rFonts w:hint="eastAsia" w:asciiTheme="minorEastAsia" w:hAnsiTheme="minorEastAsia" w:eastAsiaTheme="minorEastAsia" w:cstheme="minorEastAsia"/>
          <w:color w:val="auto"/>
          <w:kern w:val="0"/>
          <w:szCs w:val="21"/>
        </w:rPr>
        <w:t>提交的</w:t>
      </w:r>
      <w:r>
        <w:rPr>
          <w:rFonts w:hint="eastAsia" w:asciiTheme="minorEastAsia" w:hAnsiTheme="minorEastAsia" w:eastAsiaTheme="minorEastAsia" w:cstheme="minorEastAsia"/>
          <w:color w:val="auto"/>
        </w:rPr>
        <w:t>最后报价(或者</w:t>
      </w:r>
      <w:r>
        <w:rPr>
          <w:rFonts w:hint="eastAsia" w:asciiTheme="minorEastAsia" w:hAnsiTheme="minorEastAsia" w:eastAsiaTheme="minorEastAsia" w:cstheme="minorEastAsia"/>
          <w:bCs/>
          <w:color w:val="auto"/>
          <w:szCs w:val="21"/>
        </w:rPr>
        <w:t>重</w:t>
      </w:r>
      <w:r>
        <w:rPr>
          <w:rFonts w:hint="eastAsia" w:asciiTheme="minorEastAsia" w:hAnsiTheme="minorEastAsia" w:eastAsiaTheme="minorEastAsia" w:cstheme="minorEastAsia"/>
          <w:color w:val="auto"/>
          <w:kern w:val="0"/>
          <w:szCs w:val="21"/>
        </w:rPr>
        <w:t>新提交的响应文件和</w:t>
      </w:r>
      <w:r>
        <w:rPr>
          <w:rFonts w:hint="eastAsia" w:asciiTheme="minorEastAsia" w:hAnsiTheme="minorEastAsia" w:eastAsiaTheme="minorEastAsia" w:cstheme="minorEastAsia"/>
          <w:color w:val="auto"/>
        </w:rPr>
        <w:t>最后报价)是</w:t>
      </w:r>
      <w:r>
        <w:rPr>
          <w:rFonts w:hint="eastAsia" w:asciiTheme="minorEastAsia" w:hAnsiTheme="minorEastAsia" w:eastAsiaTheme="minorEastAsia" w:cstheme="minorEastAsia"/>
          <w:color w:val="auto"/>
          <w:szCs w:val="21"/>
        </w:rPr>
        <w:t>响应文件</w:t>
      </w:r>
      <w:r>
        <w:rPr>
          <w:rFonts w:hint="eastAsia" w:asciiTheme="minorEastAsia" w:hAnsiTheme="minorEastAsia" w:eastAsiaTheme="minorEastAsia" w:cstheme="minorEastAsia"/>
          <w:color w:val="auto"/>
        </w:rPr>
        <w:t>的有效组成部分。</w:t>
      </w:r>
    </w:p>
    <w:p>
      <w:pPr>
        <w:adjustRightInd w:val="0"/>
        <w:snapToGrid w:val="0"/>
        <w:spacing w:line="360" w:lineRule="auto"/>
        <w:ind w:firstLine="420" w:firstLineChars="200"/>
        <w:rPr>
          <w:rFonts w:asciiTheme="minorEastAsia" w:hAnsiTheme="minorEastAsia" w:eastAsiaTheme="minorEastAsia" w:cstheme="minorEastAsia"/>
          <w:b/>
          <w:color w:val="auto"/>
        </w:rPr>
      </w:pPr>
      <w:r>
        <w:rPr>
          <w:rFonts w:hint="eastAsia" w:asciiTheme="minorEastAsia" w:hAnsiTheme="minorEastAsia" w:eastAsiaTheme="minorEastAsia" w:cstheme="minorEastAsia"/>
          <w:color w:val="auto"/>
        </w:rPr>
        <w:t>15.3</w:t>
      </w:r>
      <w:r>
        <w:rPr>
          <w:rFonts w:hint="eastAsia" w:asciiTheme="minorEastAsia" w:hAnsiTheme="minorEastAsia" w:eastAsiaTheme="minorEastAsia" w:cstheme="minorEastAsia"/>
          <w:color w:val="auto"/>
          <w:kern w:val="0"/>
          <w:szCs w:val="21"/>
        </w:rPr>
        <w:t>磋商文件规定可能发生实质性变动的，供应商应当在</w:t>
      </w:r>
      <w:r>
        <w:rPr>
          <w:rFonts w:hint="eastAsia" w:asciiTheme="minorEastAsia" w:hAnsiTheme="minorEastAsia" w:eastAsiaTheme="minorEastAsia" w:cstheme="minorEastAsia"/>
          <w:color w:val="auto"/>
        </w:rPr>
        <w:t>《技术/商务响应与偏离表》中对应内容注明。</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15.4</w:t>
      </w:r>
      <w:r>
        <w:rPr>
          <w:rFonts w:hint="eastAsia" w:asciiTheme="minorEastAsia" w:hAnsiTheme="minorEastAsia" w:eastAsiaTheme="minorEastAsia" w:cstheme="minorEastAsia"/>
          <w:color w:val="auto"/>
          <w:szCs w:val="21"/>
        </w:rPr>
        <w:t>根据《政府采购法》第四十二条的规定，供应商无论成交与否，其响应文件不予退还。</w:t>
      </w:r>
    </w:p>
    <w:p>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16.报价</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16.1供应商应当根据磋商文件要求和范围，以</w:t>
      </w:r>
      <w:r>
        <w:rPr>
          <w:rFonts w:hint="eastAsia" w:asciiTheme="minorEastAsia" w:hAnsiTheme="minorEastAsia" w:eastAsiaTheme="minorEastAsia" w:cstheme="minorEastAsia"/>
          <w:bCs/>
          <w:color w:val="auto"/>
          <w:szCs w:val="21"/>
        </w:rPr>
        <w:t>人民币</w:t>
      </w:r>
      <w:r>
        <w:rPr>
          <w:rFonts w:hint="eastAsia" w:asciiTheme="minorEastAsia" w:hAnsiTheme="minorEastAsia" w:eastAsiaTheme="minorEastAsia" w:cstheme="minorEastAsia"/>
          <w:color w:val="auto"/>
          <w:szCs w:val="21"/>
        </w:rPr>
        <w:t>报价，以元为单位，保留小数点后两位。</w:t>
      </w:r>
    </w:p>
    <w:p>
      <w:pPr>
        <w:pStyle w:val="133"/>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16.2供应商应按第五章 响应文件组成格式填写。</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16.3响应文件中标明的价格在合同执行过程中是固定不变的，不得以任何理由予以变更。以可变动价格提交的报价将被认为是非实质响应而被拒绝。</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16.4</w:t>
      </w:r>
      <w:r>
        <w:rPr>
          <w:rFonts w:hint="eastAsia" w:asciiTheme="minorEastAsia" w:hAnsiTheme="minorEastAsia" w:eastAsiaTheme="minorEastAsia" w:cstheme="minorEastAsia"/>
          <w:color w:val="auto"/>
          <w:kern w:val="0"/>
          <w:lang w:val="zh-CN"/>
        </w:rPr>
        <w:t>供应商</w:t>
      </w:r>
      <w:r>
        <w:rPr>
          <w:rFonts w:hint="eastAsia" w:asciiTheme="minorEastAsia" w:hAnsiTheme="minorEastAsia" w:eastAsiaTheme="minorEastAsia" w:cstheme="minorEastAsia"/>
          <w:color w:val="auto"/>
        </w:rPr>
        <w:t>的报价不得超过采购项目预算，采购项目预算或其计算方法见</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rPr>
        <w:t>。</w:t>
      </w:r>
    </w:p>
    <w:p>
      <w:pPr>
        <w:pStyle w:val="25"/>
        <w:adjustRightInd w:val="0"/>
        <w:snapToGrid w:val="0"/>
        <w:spacing w:line="360" w:lineRule="auto"/>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17.供应商符合磋商文件规定的证明文件</w:t>
      </w:r>
    </w:p>
    <w:p>
      <w:pPr>
        <w:adjustRightInd w:val="0"/>
        <w:snapToGrid w:val="0"/>
        <w:spacing w:line="360" w:lineRule="auto"/>
        <w:ind w:firstLine="420" w:firstLineChars="200"/>
        <w:jc w:val="lef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17.1供应商应提交满足本章第3.1款规定的资格条件要求的证明文件,该证明文件作为响应文件的一部分。</w:t>
      </w:r>
    </w:p>
    <w:p>
      <w:pPr>
        <w:adjustRightInd w:val="0"/>
        <w:snapToGrid w:val="0"/>
        <w:spacing w:line="360" w:lineRule="auto"/>
        <w:ind w:firstLine="420" w:firstLineChars="200"/>
        <w:jc w:val="lef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17.2如果供应商为联合体，则应提交联合体各方资格证明文件、联合体协议。否则，在评审时将其视为无效响应。</w:t>
      </w:r>
    </w:p>
    <w:p>
      <w:pPr>
        <w:adjustRightInd w:val="0"/>
        <w:snapToGrid w:val="0"/>
        <w:spacing w:beforeLines="50"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17.3 除</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另有规定外，供应商提供的货物及服务不是供应商制造或拥有的，则必须提供经销、或代理采购货物、或采购货物提供售后服务的证明文件。</w:t>
      </w:r>
    </w:p>
    <w:p>
      <w:pPr>
        <w:adjustRightInd w:val="0"/>
        <w:snapToGrid w:val="0"/>
        <w:spacing w:beforeLines="50" w:line="360" w:lineRule="auto"/>
        <w:jc w:val="lef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18．样品提供</w:t>
      </w:r>
    </w:p>
    <w:p>
      <w:pPr>
        <w:adjustRightInd w:val="0"/>
        <w:snapToGrid w:val="0"/>
        <w:spacing w:beforeLines="50"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18.1 </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szCs w:val="21"/>
        </w:rPr>
        <w:t>规定</w:t>
      </w:r>
      <w:r>
        <w:rPr>
          <w:rFonts w:hint="eastAsia" w:asciiTheme="minorEastAsia" w:hAnsiTheme="minorEastAsia" w:eastAsiaTheme="minorEastAsia" w:cstheme="minorEastAsia"/>
          <w:bCs/>
          <w:color w:val="auto"/>
        </w:rPr>
        <w:t>供应商</w:t>
      </w:r>
      <w:r>
        <w:rPr>
          <w:rFonts w:hint="eastAsia" w:asciiTheme="minorEastAsia" w:hAnsiTheme="minorEastAsia" w:eastAsiaTheme="minorEastAsia" w:cstheme="minorEastAsia"/>
          <w:color w:val="auto"/>
          <w:szCs w:val="21"/>
        </w:rPr>
        <w:t>在</w:t>
      </w:r>
      <w:r>
        <w:rPr>
          <w:rFonts w:hint="eastAsia" w:asciiTheme="minorEastAsia" w:hAnsiTheme="minorEastAsia" w:eastAsiaTheme="minorEastAsia" w:cstheme="minorEastAsia"/>
          <w:color w:val="auto"/>
        </w:rPr>
        <w:t>磋商</w:t>
      </w:r>
      <w:r>
        <w:rPr>
          <w:rFonts w:hint="eastAsia" w:asciiTheme="minorEastAsia" w:hAnsiTheme="minorEastAsia" w:eastAsiaTheme="minorEastAsia" w:cstheme="minorEastAsia"/>
          <w:color w:val="auto"/>
          <w:szCs w:val="21"/>
        </w:rPr>
        <w:t>时提供样品的，</w:t>
      </w:r>
      <w:r>
        <w:rPr>
          <w:rFonts w:hint="eastAsia" w:asciiTheme="minorEastAsia" w:hAnsiTheme="minorEastAsia" w:eastAsiaTheme="minorEastAsia" w:cstheme="minorEastAsia"/>
          <w:bCs/>
          <w:color w:val="auto"/>
        </w:rPr>
        <w:t>供应商</w:t>
      </w:r>
      <w:r>
        <w:rPr>
          <w:rFonts w:hint="eastAsia" w:asciiTheme="minorEastAsia" w:hAnsiTheme="minorEastAsia" w:eastAsiaTheme="minorEastAsia" w:cstheme="minorEastAsia"/>
          <w:color w:val="auto"/>
          <w:szCs w:val="21"/>
        </w:rPr>
        <w:t>有以下情形之一的，在评审时将其视为无效响应。</w:t>
      </w:r>
    </w:p>
    <w:p>
      <w:pPr>
        <w:adjustRightInd w:val="0"/>
        <w:snapToGrid w:val="0"/>
        <w:spacing w:beforeLines="50"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（1）未在</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szCs w:val="21"/>
        </w:rPr>
        <w:t>规定的提交时间、地点提交的；</w:t>
      </w:r>
    </w:p>
    <w:p>
      <w:pPr>
        <w:adjustRightInd w:val="0"/>
        <w:snapToGrid w:val="0"/>
        <w:spacing w:beforeLines="50"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r>
        <w:rPr>
          <w:rFonts w:hint="eastAsia" w:asciiTheme="minorEastAsia" w:hAnsiTheme="minorEastAsia" w:eastAsiaTheme="minorEastAsia" w:cstheme="minorEastAsia"/>
          <w:bCs/>
          <w:color w:val="auto"/>
        </w:rPr>
        <w:t>供应商</w:t>
      </w:r>
      <w:r>
        <w:rPr>
          <w:rFonts w:hint="eastAsia" w:asciiTheme="minorEastAsia" w:hAnsiTheme="minorEastAsia" w:eastAsiaTheme="minorEastAsia" w:cstheme="minorEastAsia"/>
          <w:color w:val="auto"/>
          <w:szCs w:val="21"/>
        </w:rPr>
        <w:t>提供的样品与响应文件中提供样品的型号、规格不一致的。</w:t>
      </w:r>
    </w:p>
    <w:p>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19.磋商保证金</w:t>
      </w:r>
    </w:p>
    <w:p>
      <w:pPr>
        <w:pStyle w:val="25"/>
        <w:adjustRightInd w:val="0"/>
        <w:snapToGrid w:val="0"/>
        <w:spacing w:line="360" w:lineRule="auto"/>
        <w:ind w:firstLine="420" w:firstLineChars="200"/>
        <w:rPr>
          <w:rFonts w:asciiTheme="minorEastAsia" w:hAnsiTheme="minorEastAsia" w:eastAsiaTheme="minorEastAsia" w:cstheme="minorEastAsia"/>
          <w:bCs/>
          <w:color w:val="auto"/>
        </w:rPr>
      </w:pPr>
      <w:r>
        <w:rPr>
          <w:rFonts w:hint="eastAsia" w:asciiTheme="minorEastAsia" w:hAnsiTheme="minorEastAsia" w:eastAsiaTheme="minorEastAsia" w:cstheme="minorEastAsia"/>
          <w:color w:val="auto"/>
        </w:rPr>
        <w:t>19.1</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rPr>
        <w:t>规定交纳磋商</w:t>
      </w:r>
      <w:r>
        <w:rPr>
          <w:rFonts w:hint="eastAsia" w:asciiTheme="minorEastAsia" w:hAnsiTheme="minorEastAsia" w:eastAsiaTheme="minorEastAsia" w:cstheme="minorEastAsia"/>
          <w:bCs/>
          <w:color w:val="auto"/>
        </w:rPr>
        <w:t>保证金的</w:t>
      </w:r>
      <w:r>
        <w:rPr>
          <w:rFonts w:hint="eastAsia" w:asciiTheme="minorEastAsia" w:hAnsiTheme="minorEastAsia" w:eastAsiaTheme="minorEastAsia" w:cstheme="minorEastAsia"/>
          <w:color w:val="auto"/>
        </w:rPr>
        <w:t>，应按</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rPr>
        <w:t>规定的磋商</w:t>
      </w:r>
      <w:r>
        <w:rPr>
          <w:rFonts w:hint="eastAsia" w:asciiTheme="minorEastAsia" w:hAnsiTheme="minorEastAsia" w:eastAsiaTheme="minorEastAsia" w:cstheme="minorEastAsia"/>
          <w:bCs/>
          <w:color w:val="auto"/>
        </w:rPr>
        <w:t>保证金形式交纳，不得以现金方式交纳</w:t>
      </w:r>
      <w:r>
        <w:rPr>
          <w:rFonts w:hint="eastAsia" w:asciiTheme="minorEastAsia" w:hAnsiTheme="minorEastAsia" w:eastAsiaTheme="minorEastAsia" w:cstheme="minorEastAsia"/>
          <w:color w:val="auto"/>
        </w:rPr>
        <w:t>，在</w:t>
      </w:r>
      <w:r>
        <w:rPr>
          <w:rFonts w:hint="eastAsia" w:asciiTheme="minorEastAsia" w:hAnsiTheme="minorEastAsia" w:eastAsiaTheme="minorEastAsia" w:cstheme="minorEastAsia"/>
          <w:color w:val="auto"/>
          <w:kern w:val="0"/>
        </w:rPr>
        <w:t>提交首次响应文件截止时间</w:t>
      </w:r>
      <w:r>
        <w:rPr>
          <w:rFonts w:hint="eastAsia" w:asciiTheme="minorEastAsia" w:hAnsiTheme="minorEastAsia" w:eastAsiaTheme="minorEastAsia" w:cstheme="minorEastAsia"/>
          <w:color w:val="auto"/>
        </w:rPr>
        <w:t>前，</w:t>
      </w:r>
      <w:r>
        <w:rPr>
          <w:rFonts w:hint="eastAsia" w:asciiTheme="minorEastAsia" w:hAnsiTheme="minorEastAsia" w:eastAsiaTheme="minorEastAsia" w:cstheme="minorEastAsia"/>
          <w:bCs/>
          <w:color w:val="auto"/>
        </w:rPr>
        <w:t>向采购代理机构交纳不超过</w:t>
      </w:r>
      <w:r>
        <w:rPr>
          <w:rFonts w:hint="eastAsia" w:asciiTheme="minorEastAsia" w:hAnsiTheme="minorEastAsia" w:eastAsiaTheme="minorEastAsia" w:cstheme="minorEastAsia"/>
          <w:color w:val="auto"/>
          <w:kern w:val="0"/>
          <w:lang w:val="zh-CN"/>
        </w:rPr>
        <w:t>采购项目预算2﹪</w:t>
      </w:r>
      <w:r>
        <w:rPr>
          <w:rFonts w:hint="eastAsia" w:asciiTheme="minorEastAsia" w:hAnsiTheme="minorEastAsia" w:eastAsiaTheme="minorEastAsia" w:cstheme="minorEastAsia"/>
          <w:bCs/>
          <w:color w:val="auto"/>
        </w:rPr>
        <w:t>的磋商保证金(数额采用四舍五入，计算至元)</w:t>
      </w:r>
      <w:r>
        <w:rPr>
          <w:rFonts w:hint="eastAsia" w:asciiTheme="minorEastAsia" w:hAnsiTheme="minorEastAsia" w:eastAsiaTheme="minorEastAsia" w:cstheme="minorEastAsia"/>
          <w:color w:val="auto"/>
        </w:rPr>
        <w:t>。磋商</w:t>
      </w:r>
      <w:r>
        <w:rPr>
          <w:rFonts w:hint="eastAsia" w:asciiTheme="minorEastAsia" w:hAnsiTheme="minorEastAsia" w:eastAsiaTheme="minorEastAsia" w:cstheme="minorEastAsia"/>
          <w:bCs/>
          <w:color w:val="auto"/>
        </w:rPr>
        <w:t>保证金有效期应当与</w:t>
      </w:r>
      <w:r>
        <w:rPr>
          <w:rFonts w:hint="eastAsia" w:asciiTheme="minorEastAsia" w:hAnsiTheme="minorEastAsia" w:eastAsiaTheme="minorEastAsia" w:cstheme="minorEastAsia"/>
          <w:color w:val="auto"/>
        </w:rPr>
        <w:t>本章第20.1</w:t>
      </w:r>
      <w:r>
        <w:rPr>
          <w:rFonts w:hint="eastAsia" w:asciiTheme="minorEastAsia" w:hAnsiTheme="minorEastAsia" w:eastAsiaTheme="minorEastAsia" w:cstheme="minorEastAsia"/>
          <w:color w:val="auto"/>
          <w:kern w:val="0"/>
          <w:lang w:val="zh-CN"/>
        </w:rPr>
        <w:t>款</w:t>
      </w:r>
      <w:r>
        <w:rPr>
          <w:rFonts w:hint="eastAsia" w:asciiTheme="minorEastAsia" w:hAnsiTheme="minorEastAsia" w:eastAsiaTheme="minorEastAsia" w:cstheme="minorEastAsia"/>
          <w:color w:val="auto"/>
        </w:rPr>
        <w:t>规定的</w:t>
      </w:r>
      <w:r>
        <w:rPr>
          <w:rFonts w:hint="eastAsia" w:asciiTheme="minorEastAsia" w:hAnsiTheme="minorEastAsia" w:eastAsiaTheme="minorEastAsia" w:cstheme="minorEastAsia"/>
          <w:bCs/>
          <w:color w:val="auto"/>
        </w:rPr>
        <w:t>响应文件有效期一致。</w:t>
      </w:r>
    </w:p>
    <w:p>
      <w:pPr>
        <w:adjustRightInd w:val="0"/>
        <w:snapToGrid w:val="0"/>
        <w:spacing w:line="360" w:lineRule="auto"/>
        <w:ind w:firstLine="420" w:firstLineChars="200"/>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19.2</w:t>
      </w:r>
      <w:r>
        <w:rPr>
          <w:rFonts w:hint="eastAsia" w:asciiTheme="minorEastAsia" w:hAnsiTheme="minorEastAsia" w:eastAsiaTheme="minorEastAsia" w:cstheme="minorEastAsia"/>
          <w:color w:val="auto"/>
          <w:kern w:val="0"/>
          <w:szCs w:val="21"/>
          <w:lang w:val="zh-CN"/>
        </w:rPr>
        <w:t>供应商为联合体的，可以由联合体中的一方或者共同交纳磋商保证金，其交纳的磋商保证金，对联合体各方均具有约束力。</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19.3供应商未按照磋商文件要求提交磋商保证金的，响应无效。</w:t>
      </w:r>
    </w:p>
    <w:p>
      <w:pPr>
        <w:pStyle w:val="25"/>
        <w:tabs>
          <w:tab w:val="left" w:pos="6300"/>
        </w:tabs>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19.4采购代理机构在成交通知书发出后5个工作日内退还未成交供应商的磋商保证金；在采购合同签定后5个工作日内退还成交供应商的磋商保证金，但因供应商自身原因导致无法及时退还的除外。</w:t>
      </w:r>
    </w:p>
    <w:p>
      <w:pPr>
        <w:pStyle w:val="25"/>
        <w:adjustRightInd w:val="0"/>
        <w:snapToGrid w:val="0"/>
        <w:spacing w:line="360" w:lineRule="auto"/>
        <w:ind w:firstLine="420" w:firstLineChars="200"/>
        <w:rPr>
          <w:rFonts w:asciiTheme="minorEastAsia" w:hAnsiTheme="minorEastAsia" w:eastAsiaTheme="minorEastAsia" w:cstheme="minorEastAsia"/>
          <w:color w:val="auto"/>
          <w:kern w:val="0"/>
        </w:rPr>
      </w:pPr>
      <w:r>
        <w:rPr>
          <w:rFonts w:hint="eastAsia" w:asciiTheme="minorEastAsia" w:hAnsiTheme="minorEastAsia" w:eastAsiaTheme="minorEastAsia" w:cstheme="minorEastAsia"/>
          <w:color w:val="auto"/>
        </w:rPr>
        <w:t xml:space="preserve">19.5 </w:t>
      </w:r>
      <w:r>
        <w:rPr>
          <w:rFonts w:hint="eastAsia" w:asciiTheme="minorEastAsia" w:hAnsiTheme="minorEastAsia" w:eastAsiaTheme="minorEastAsia" w:cstheme="minorEastAsia"/>
          <w:color w:val="auto"/>
          <w:kern w:val="0"/>
        </w:rPr>
        <w:t>有下列情形之一的，磋商保证金不予退还，并上缴本级财政国库：</w:t>
      </w:r>
    </w:p>
    <w:p>
      <w:pPr>
        <w:widowControl/>
        <w:adjustRightInd w:val="0"/>
        <w:snapToGrid w:val="0"/>
        <w:spacing w:line="360" w:lineRule="auto"/>
        <w:ind w:firstLine="420" w:firstLineChars="20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（1）供应商在提交首次响应文件截止时间后撤回响应文件的；</w:t>
      </w:r>
    </w:p>
    <w:p>
      <w:pPr>
        <w:widowControl/>
        <w:adjustRightInd w:val="0"/>
        <w:snapToGrid w:val="0"/>
        <w:spacing w:line="360" w:lineRule="auto"/>
        <w:ind w:firstLine="420" w:firstLineChars="200"/>
        <w:jc w:val="left"/>
        <w:rPr>
          <w:rFonts w:asciiTheme="minorEastAsia" w:hAnsiTheme="minorEastAsia" w:eastAsiaTheme="minorEastAsia" w:cstheme="minorEastAsia"/>
          <w:color w:val="auto"/>
          <w:kern w:val="0"/>
        </w:rPr>
      </w:pPr>
      <w:r>
        <w:rPr>
          <w:rFonts w:hint="eastAsia" w:asciiTheme="minorEastAsia" w:hAnsiTheme="minorEastAsia" w:eastAsiaTheme="minorEastAsia" w:cstheme="minorEastAsia"/>
          <w:color w:val="auto"/>
          <w:kern w:val="0"/>
        </w:rPr>
        <w:t>（2）供应商在响应文件中提供虚假资料的；</w:t>
      </w:r>
    </w:p>
    <w:p>
      <w:pPr>
        <w:widowControl/>
        <w:adjustRightInd w:val="0"/>
        <w:snapToGrid w:val="0"/>
        <w:spacing w:line="360" w:lineRule="auto"/>
        <w:ind w:firstLine="420" w:firstLineChars="20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rPr>
        <w:t>（3）</w:t>
      </w:r>
      <w:r>
        <w:rPr>
          <w:rFonts w:hint="eastAsia" w:asciiTheme="minorEastAsia" w:hAnsiTheme="minorEastAsia" w:eastAsiaTheme="minorEastAsia" w:cstheme="minorEastAsia"/>
          <w:color w:val="auto"/>
        </w:rPr>
        <w:t>确定成交结果后，无正当理由放弃成交资格的；</w:t>
      </w:r>
    </w:p>
    <w:p>
      <w:pPr>
        <w:widowControl/>
        <w:adjustRightInd w:val="0"/>
        <w:snapToGrid w:val="0"/>
        <w:spacing w:line="360" w:lineRule="auto"/>
        <w:ind w:firstLine="525" w:firstLineChars="25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 除因不可抗力或磋商文件认可的情形以外，成交供应商不与采购人签订合同的；</w:t>
      </w:r>
    </w:p>
    <w:p>
      <w:pPr>
        <w:widowControl/>
        <w:adjustRightInd w:val="0"/>
        <w:snapToGrid w:val="0"/>
        <w:spacing w:line="360" w:lineRule="auto"/>
        <w:ind w:firstLine="420" w:firstLineChars="20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（5）供应商与采购人、其他供应商或者采购代理机构恶意串通的；</w:t>
      </w:r>
    </w:p>
    <w:p>
      <w:pPr>
        <w:widowControl/>
        <w:adjustRightInd w:val="0"/>
        <w:snapToGrid w:val="0"/>
        <w:spacing w:line="360" w:lineRule="auto"/>
        <w:ind w:firstLine="420" w:firstLineChars="20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（6）磋商文件规定的其他情形。</w:t>
      </w:r>
    </w:p>
    <w:p>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20.</w:t>
      </w:r>
      <w:r>
        <w:rPr>
          <w:rFonts w:hint="eastAsia" w:asciiTheme="minorEastAsia" w:hAnsiTheme="minorEastAsia" w:eastAsiaTheme="minorEastAsia" w:cstheme="minorEastAsia"/>
          <w:b/>
          <w:color w:val="auto"/>
        </w:rPr>
        <w:t>响应文件</w:t>
      </w:r>
      <w:r>
        <w:rPr>
          <w:rFonts w:hint="eastAsia" w:asciiTheme="minorEastAsia" w:hAnsiTheme="minorEastAsia" w:eastAsiaTheme="minorEastAsia" w:cstheme="minorEastAsia"/>
          <w:b/>
          <w:color w:val="auto"/>
          <w:szCs w:val="21"/>
        </w:rPr>
        <w:t>有效期</w:t>
      </w:r>
    </w:p>
    <w:p>
      <w:pPr>
        <w:adjustRightInd w:val="0"/>
        <w:snapToGrid w:val="0"/>
        <w:spacing w:line="360" w:lineRule="auto"/>
        <w:ind w:firstLine="420" w:firstLineChars="200"/>
        <w:jc w:val="lef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20.1响应文件</w:t>
      </w:r>
      <w:r>
        <w:rPr>
          <w:rFonts w:hint="eastAsia" w:asciiTheme="minorEastAsia" w:hAnsiTheme="minorEastAsia" w:eastAsiaTheme="minorEastAsia" w:cstheme="minorEastAsia"/>
          <w:color w:val="auto"/>
          <w:szCs w:val="21"/>
        </w:rPr>
        <w:t>有效期见</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szCs w:val="21"/>
        </w:rPr>
        <w:t>，在此期间</w:t>
      </w:r>
      <w:r>
        <w:rPr>
          <w:rFonts w:hint="eastAsia" w:asciiTheme="minorEastAsia" w:hAnsiTheme="minorEastAsia" w:eastAsiaTheme="minorEastAsia" w:cstheme="minorEastAsia"/>
          <w:color w:val="auto"/>
        </w:rPr>
        <w:t>响应</w:t>
      </w:r>
      <w:r>
        <w:rPr>
          <w:rFonts w:hint="eastAsia" w:asciiTheme="minorEastAsia" w:hAnsiTheme="minorEastAsia" w:eastAsiaTheme="minorEastAsia" w:cstheme="minorEastAsia"/>
          <w:color w:val="auto"/>
          <w:szCs w:val="21"/>
        </w:rPr>
        <w:t>文件对供应商具有法律约束力，</w:t>
      </w:r>
      <w:r>
        <w:rPr>
          <w:rFonts w:hint="eastAsia" w:asciiTheme="minorEastAsia" w:hAnsiTheme="minorEastAsia" w:eastAsiaTheme="minorEastAsia" w:cstheme="minorEastAsia"/>
          <w:color w:val="auto"/>
        </w:rPr>
        <w:t>从</w:t>
      </w:r>
      <w:r>
        <w:rPr>
          <w:rFonts w:hint="eastAsia" w:asciiTheme="minorEastAsia" w:hAnsiTheme="minorEastAsia" w:eastAsiaTheme="minorEastAsia" w:cstheme="minorEastAsia"/>
          <w:color w:val="auto"/>
          <w:kern w:val="0"/>
          <w:szCs w:val="21"/>
        </w:rPr>
        <w:t>提交首次响应文件截止时间</w:t>
      </w:r>
      <w:r>
        <w:rPr>
          <w:rFonts w:hint="eastAsia" w:asciiTheme="minorEastAsia" w:hAnsiTheme="minorEastAsia" w:eastAsiaTheme="minorEastAsia" w:cstheme="minorEastAsia"/>
          <w:color w:val="auto"/>
        </w:rPr>
        <w:t>之日起计算。响应文件有效期不足的将被视为无效响应。</w:t>
      </w:r>
    </w:p>
    <w:p>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21.响应文件的签署及规定</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21.1响应文件的正本和副本应胶装成册，正本一份，副本份数见</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rPr>
        <w:t>。正本和副本的封面上应标记“正本”或“副本”的字样，当正本和副本有差异时，以正本为准。</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21.2 响应文件正本和副本应按磋商文件要求签章处盖单位章和由法定代表人或其委托代理人签字；任何加行、涂改、增删，应有法定代表人或其委托代理人在旁边签字。否则，将导致响应文件无效。</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21.3 在磋商过程中，供应商按磋商文件规定和磋商小组要求</w:t>
      </w:r>
      <w:r>
        <w:rPr>
          <w:rFonts w:hint="eastAsia" w:asciiTheme="minorEastAsia" w:hAnsiTheme="minorEastAsia" w:eastAsiaTheme="minorEastAsia" w:cstheme="minorEastAsia"/>
          <w:color w:val="auto"/>
          <w:kern w:val="0"/>
        </w:rPr>
        <w:t>提交的</w:t>
      </w:r>
      <w:r>
        <w:rPr>
          <w:rFonts w:hint="eastAsia" w:asciiTheme="minorEastAsia" w:hAnsiTheme="minorEastAsia" w:eastAsiaTheme="minorEastAsia" w:cstheme="minorEastAsia"/>
          <w:color w:val="auto"/>
        </w:rPr>
        <w:t>最后报价(或者</w:t>
      </w:r>
      <w:r>
        <w:rPr>
          <w:rFonts w:hint="eastAsia" w:asciiTheme="minorEastAsia" w:hAnsiTheme="minorEastAsia" w:eastAsiaTheme="minorEastAsia" w:cstheme="minorEastAsia"/>
          <w:bCs/>
          <w:color w:val="auto"/>
        </w:rPr>
        <w:t>重</w:t>
      </w:r>
      <w:r>
        <w:rPr>
          <w:rFonts w:hint="eastAsia" w:asciiTheme="minorEastAsia" w:hAnsiTheme="minorEastAsia" w:eastAsiaTheme="minorEastAsia" w:cstheme="minorEastAsia"/>
          <w:color w:val="auto"/>
          <w:kern w:val="0"/>
        </w:rPr>
        <w:t>新提交的响应文件和</w:t>
      </w:r>
      <w:r>
        <w:rPr>
          <w:rFonts w:hint="eastAsia" w:asciiTheme="minorEastAsia" w:hAnsiTheme="minorEastAsia" w:eastAsiaTheme="minorEastAsia" w:cstheme="minorEastAsia"/>
          <w:color w:val="auto"/>
        </w:rPr>
        <w:t>最后报价)，一式两份，可打印或用不退色墨水书写，但需经法定代表人或其委托代理人签字，</w:t>
      </w:r>
      <w:r>
        <w:rPr>
          <w:rFonts w:hint="eastAsia" w:asciiTheme="minorEastAsia" w:hAnsiTheme="minorEastAsia" w:eastAsiaTheme="minorEastAsia" w:cstheme="minorEastAsia"/>
          <w:color w:val="auto"/>
          <w:kern w:val="0"/>
        </w:rPr>
        <w:t>或者加盖供应商单位章</w:t>
      </w:r>
      <w:r>
        <w:rPr>
          <w:rFonts w:hint="eastAsia" w:asciiTheme="minorEastAsia" w:hAnsiTheme="minorEastAsia" w:eastAsiaTheme="minorEastAsia" w:cstheme="minorEastAsia"/>
          <w:color w:val="auto"/>
        </w:rPr>
        <w:t>。否则，将导致响应文件无效。</w:t>
      </w:r>
    </w:p>
    <w:p>
      <w:pPr>
        <w:adjustRightInd w:val="0"/>
        <w:snapToGrid w:val="0"/>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四、响应文件的递交</w:t>
      </w:r>
    </w:p>
    <w:p>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22.</w:t>
      </w:r>
      <w:r>
        <w:rPr>
          <w:rFonts w:hint="eastAsia" w:asciiTheme="minorEastAsia" w:hAnsiTheme="minorEastAsia" w:eastAsiaTheme="minorEastAsia" w:cstheme="minorEastAsia"/>
          <w:b/>
          <w:color w:val="auto"/>
          <w:szCs w:val="21"/>
        </w:rPr>
        <w:t>响应文件</w:t>
      </w:r>
      <w:r>
        <w:rPr>
          <w:rFonts w:hint="eastAsia" w:asciiTheme="minorEastAsia" w:hAnsiTheme="minorEastAsia" w:eastAsiaTheme="minorEastAsia" w:cstheme="minorEastAsia"/>
          <w:b/>
          <w:bCs/>
          <w:color w:val="auto"/>
          <w:szCs w:val="21"/>
        </w:rPr>
        <w:t>的密封和标记</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22.1响应文件应密封包装，加贴封条，并在封套的封口处盖供应商单位章或者由法定代表人或其委托代理人签字。</w:t>
      </w:r>
    </w:p>
    <w:p>
      <w:pPr>
        <w:adjustRightInd w:val="0"/>
        <w:snapToGrid w:val="0"/>
        <w:spacing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22.2响应文件封套上应写明的内容见</w:t>
      </w:r>
      <w:r>
        <w:rPr>
          <w:rFonts w:hint="eastAsia" w:asciiTheme="minorEastAsia" w:hAnsiTheme="minorEastAsia" w:eastAsiaTheme="minorEastAsia" w:cstheme="minorEastAsia"/>
          <w:b/>
          <w:color w:val="auto"/>
          <w:szCs w:val="21"/>
        </w:rPr>
        <w:t>磋商须知前附表。</w:t>
      </w:r>
    </w:p>
    <w:p>
      <w:pPr>
        <w:adjustRightInd w:val="0"/>
        <w:snapToGrid w:val="0"/>
        <w:spacing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22.3响应文件如果未按上述规定密封和加写标记，采购人或采购代理机构将拒绝接收。</w:t>
      </w:r>
    </w:p>
    <w:p>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23.响应文件的</w:t>
      </w:r>
      <w:r>
        <w:rPr>
          <w:rFonts w:hint="eastAsia" w:asciiTheme="minorEastAsia" w:hAnsiTheme="minorEastAsia" w:eastAsiaTheme="minorEastAsia" w:cstheme="minorEastAsia"/>
          <w:b/>
          <w:color w:val="auto"/>
          <w:kern w:val="0"/>
          <w:szCs w:val="21"/>
          <w:lang w:val="zh-CN"/>
        </w:rPr>
        <w:t>补充、修改或者撤回</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23.1</w:t>
      </w:r>
      <w:r>
        <w:rPr>
          <w:rFonts w:hint="eastAsia" w:asciiTheme="minorEastAsia" w:hAnsiTheme="minorEastAsia" w:eastAsiaTheme="minorEastAsia" w:cstheme="minorEastAsia"/>
          <w:color w:val="auto"/>
          <w:kern w:val="0"/>
        </w:rPr>
        <w:t>供应商在提交首次响应文件截止时间前，可以对所提交的首次响应文件进行补充、修改或者撤回，并书面通知采购人、采购代理机构。</w:t>
      </w:r>
      <w:r>
        <w:rPr>
          <w:rFonts w:hint="eastAsia" w:asciiTheme="minorEastAsia" w:hAnsiTheme="minorEastAsia" w:eastAsiaTheme="minorEastAsia" w:cstheme="minorEastAsia"/>
          <w:color w:val="auto"/>
        </w:rPr>
        <w:t>该通知应有供应商法定代表人或其委托代理人签字。</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23.2</w:t>
      </w:r>
      <w:r>
        <w:rPr>
          <w:rFonts w:hint="eastAsia" w:asciiTheme="minorEastAsia" w:hAnsiTheme="minorEastAsia" w:eastAsiaTheme="minorEastAsia" w:cstheme="minorEastAsia"/>
          <w:color w:val="auto"/>
          <w:kern w:val="0"/>
          <w:lang w:val="zh-CN"/>
        </w:rPr>
        <w:t>补充、修改的内容与响应文件不一致时，以补充、修改的内容为准。</w:t>
      </w:r>
    </w:p>
    <w:p>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24.响应文件的递交与接收</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24.1 供应商应在</w:t>
      </w:r>
      <w:r>
        <w:rPr>
          <w:rFonts w:hint="eastAsia" w:asciiTheme="minorEastAsia" w:hAnsiTheme="minorEastAsia" w:eastAsiaTheme="minorEastAsia" w:cstheme="minorEastAsia"/>
          <w:color w:val="auto"/>
          <w:kern w:val="0"/>
          <w:szCs w:val="21"/>
        </w:rPr>
        <w:t>提交首次响应文件截止时间</w:t>
      </w:r>
      <w:r>
        <w:rPr>
          <w:rFonts w:hint="eastAsia" w:asciiTheme="minorEastAsia" w:hAnsiTheme="minorEastAsia" w:eastAsiaTheme="minorEastAsia" w:cstheme="minorEastAsia"/>
          <w:color w:val="auto"/>
          <w:szCs w:val="21"/>
        </w:rPr>
        <w:t>前，将响应文件送达</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中指定的地点。</w:t>
      </w:r>
      <w:r>
        <w:rPr>
          <w:rFonts w:hint="eastAsia" w:asciiTheme="minorEastAsia" w:hAnsiTheme="minorEastAsia" w:eastAsiaTheme="minorEastAsia" w:cstheme="minorEastAsia"/>
          <w:color w:val="auto"/>
          <w:kern w:val="0"/>
        </w:rPr>
        <w:t>在截止时间后送达的响应文件，采购人、采购代理机构或者磋商小组应当拒收。</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24.2</w:t>
      </w:r>
      <w:r>
        <w:rPr>
          <w:rFonts w:hint="eastAsia" w:asciiTheme="minorEastAsia" w:hAnsiTheme="minorEastAsia" w:eastAsiaTheme="minorEastAsia" w:cstheme="minorEastAsia"/>
          <w:color w:val="auto"/>
          <w:kern w:val="0"/>
        </w:rPr>
        <w:t>在提交首次响应文件截止时间后，</w:t>
      </w:r>
      <w:r>
        <w:rPr>
          <w:rFonts w:hint="eastAsia" w:asciiTheme="minorEastAsia" w:hAnsiTheme="minorEastAsia" w:eastAsiaTheme="minorEastAsia" w:cstheme="minorEastAsia"/>
          <w:color w:val="auto"/>
        </w:rPr>
        <w:t>由</w:t>
      </w:r>
      <w:r>
        <w:rPr>
          <w:rFonts w:hint="eastAsia" w:asciiTheme="minorEastAsia" w:hAnsiTheme="minorEastAsia" w:eastAsiaTheme="minorEastAsia" w:cstheme="minorEastAsia"/>
          <w:bCs/>
          <w:color w:val="auto"/>
        </w:rPr>
        <w:t>供应商代表</w:t>
      </w:r>
      <w:r>
        <w:rPr>
          <w:rFonts w:hint="eastAsia" w:asciiTheme="minorEastAsia" w:hAnsiTheme="minorEastAsia" w:eastAsiaTheme="minorEastAsia" w:cstheme="minorEastAsia"/>
          <w:color w:val="auto"/>
        </w:rPr>
        <w:t>当场查验</w:t>
      </w:r>
      <w:r>
        <w:rPr>
          <w:rFonts w:hint="eastAsia" w:asciiTheme="minorEastAsia" w:hAnsiTheme="minorEastAsia" w:eastAsiaTheme="minorEastAsia" w:cstheme="minorEastAsia"/>
          <w:bCs/>
          <w:color w:val="auto"/>
        </w:rPr>
        <w:t>响应文件</w:t>
      </w:r>
      <w:r>
        <w:rPr>
          <w:rFonts w:hint="eastAsia" w:asciiTheme="minorEastAsia" w:hAnsiTheme="minorEastAsia" w:eastAsiaTheme="minorEastAsia" w:cstheme="minorEastAsia"/>
          <w:color w:val="auto"/>
        </w:rPr>
        <w:t>的密封状况，采购人或</w:t>
      </w:r>
      <w:r>
        <w:rPr>
          <w:rFonts w:hint="eastAsia" w:asciiTheme="minorEastAsia" w:hAnsiTheme="minorEastAsia" w:eastAsiaTheme="minorEastAsia" w:cstheme="minorEastAsia"/>
          <w:bCs/>
          <w:color w:val="auto"/>
        </w:rPr>
        <w:t>采购代理机构</w:t>
      </w:r>
      <w:r>
        <w:rPr>
          <w:rFonts w:hint="eastAsia" w:asciiTheme="minorEastAsia" w:hAnsiTheme="minorEastAsia" w:eastAsiaTheme="minorEastAsia" w:cstheme="minorEastAsia"/>
          <w:color w:val="auto"/>
        </w:rPr>
        <w:t>不当场拆封</w:t>
      </w:r>
      <w:r>
        <w:rPr>
          <w:rFonts w:hint="eastAsia" w:asciiTheme="minorEastAsia" w:hAnsiTheme="minorEastAsia" w:eastAsiaTheme="minorEastAsia" w:cstheme="minorEastAsia"/>
          <w:bCs/>
          <w:color w:val="auto"/>
        </w:rPr>
        <w:t>响应文件</w:t>
      </w:r>
      <w:r>
        <w:rPr>
          <w:rFonts w:hint="eastAsia" w:asciiTheme="minorEastAsia" w:hAnsiTheme="minorEastAsia" w:eastAsiaTheme="minorEastAsia" w:cstheme="minorEastAsia"/>
          <w:color w:val="auto"/>
        </w:rPr>
        <w:t>。</w:t>
      </w:r>
    </w:p>
    <w:p>
      <w:pPr>
        <w:adjustRightInd w:val="0"/>
        <w:snapToGrid w:val="0"/>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五、响应文件的磋商与评审</w:t>
      </w:r>
    </w:p>
    <w:p>
      <w:pPr>
        <w:tabs>
          <w:tab w:val="left" w:pos="0"/>
        </w:tabs>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25.磋商程序</w:t>
      </w:r>
    </w:p>
    <w:p>
      <w:pPr>
        <w:widowControl/>
        <w:adjustRightInd w:val="0"/>
        <w:snapToGrid w:val="0"/>
        <w:spacing w:line="360" w:lineRule="auto"/>
        <w:ind w:firstLine="420"/>
        <w:jc w:val="left"/>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color w:val="auto"/>
          <w:kern w:val="0"/>
          <w:szCs w:val="21"/>
        </w:rPr>
        <w:t>25.1磋商程序：响应文件审查、磋商（包括澄清）、响应文件评审、</w:t>
      </w:r>
      <w:r>
        <w:rPr>
          <w:rFonts w:hint="eastAsia" w:asciiTheme="minorEastAsia" w:hAnsiTheme="minorEastAsia" w:eastAsiaTheme="minorEastAsia" w:cstheme="minorEastAsia"/>
          <w:bCs/>
          <w:color w:val="auto"/>
          <w:szCs w:val="21"/>
        </w:rPr>
        <w:t>提出成交供应商。其中，</w:t>
      </w:r>
      <w:r>
        <w:rPr>
          <w:rFonts w:hint="eastAsia" w:asciiTheme="minorEastAsia" w:hAnsiTheme="minorEastAsia" w:eastAsiaTheme="minorEastAsia" w:cstheme="minorEastAsia"/>
          <w:color w:val="auto"/>
          <w:kern w:val="0"/>
          <w:szCs w:val="21"/>
        </w:rPr>
        <w:t>磋商按</w:t>
      </w:r>
      <w:r>
        <w:rPr>
          <w:rFonts w:hint="eastAsia" w:asciiTheme="minorEastAsia" w:hAnsiTheme="minorEastAsia" w:eastAsiaTheme="minorEastAsia" w:cstheme="minorEastAsia"/>
          <w:color w:val="auto"/>
          <w:szCs w:val="21"/>
        </w:rPr>
        <w:t>本章</w:t>
      </w:r>
      <w:r>
        <w:rPr>
          <w:rFonts w:hint="eastAsia" w:asciiTheme="minorEastAsia" w:hAnsiTheme="minorEastAsia" w:eastAsiaTheme="minorEastAsia" w:cstheme="minorEastAsia"/>
          <w:color w:val="auto"/>
        </w:rPr>
        <w:t>第30.1</w:t>
      </w:r>
      <w:r>
        <w:rPr>
          <w:rFonts w:hint="eastAsia" w:asciiTheme="minorEastAsia" w:hAnsiTheme="minorEastAsia" w:eastAsiaTheme="minorEastAsia" w:cstheme="minorEastAsia"/>
          <w:color w:val="auto"/>
          <w:kern w:val="0"/>
          <w:szCs w:val="21"/>
          <w:lang w:val="zh-CN"/>
        </w:rPr>
        <w:t>款或者</w:t>
      </w:r>
      <w:r>
        <w:rPr>
          <w:rFonts w:hint="eastAsia" w:asciiTheme="minorEastAsia" w:hAnsiTheme="minorEastAsia" w:eastAsiaTheme="minorEastAsia" w:cstheme="minorEastAsia"/>
          <w:color w:val="auto"/>
        </w:rPr>
        <w:t>第30.2</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rPr>
        <w:t>情形</w:t>
      </w:r>
      <w:r>
        <w:rPr>
          <w:rFonts w:hint="eastAsia" w:asciiTheme="minorEastAsia" w:hAnsiTheme="minorEastAsia" w:eastAsiaTheme="minorEastAsia" w:cstheme="minorEastAsia"/>
          <w:bCs/>
          <w:color w:val="auto"/>
          <w:szCs w:val="21"/>
        </w:rPr>
        <w:t>进行。</w:t>
      </w:r>
    </w:p>
    <w:p>
      <w:pPr>
        <w:widowControl/>
        <w:adjustRightInd w:val="0"/>
        <w:snapToGrid w:val="0"/>
        <w:spacing w:line="360" w:lineRule="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kern w:val="0"/>
          <w:szCs w:val="21"/>
        </w:rPr>
        <w:t>26.响应文件审查</w:t>
      </w:r>
    </w:p>
    <w:p>
      <w:pPr>
        <w:adjustRightInd w:val="0"/>
        <w:snapToGrid w:val="0"/>
        <w:spacing w:beforeLines="50"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26.1 资格性审查：根据本章第3.1项规定的供应商资格条件要求，对</w:t>
      </w:r>
      <w:r>
        <w:rPr>
          <w:rFonts w:hint="eastAsia" w:asciiTheme="minorEastAsia" w:hAnsiTheme="minorEastAsia" w:eastAsiaTheme="minorEastAsia" w:cstheme="minorEastAsia"/>
          <w:color w:val="auto"/>
        </w:rPr>
        <w:t>响应</w:t>
      </w:r>
      <w:r>
        <w:rPr>
          <w:rFonts w:hint="eastAsia" w:asciiTheme="minorEastAsia" w:hAnsiTheme="minorEastAsia" w:eastAsiaTheme="minorEastAsia" w:cstheme="minorEastAsia"/>
          <w:color w:val="auto"/>
          <w:szCs w:val="21"/>
        </w:rPr>
        <w:t>文件的资格证明等进行审查，以确定供应商是否具备磋商资格条件。</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26.2符合性审查: 对响应文件(包括首次提交的响应文件、重新提交的响应文件)的有效性、完整性和响应程度进行审查，以确定是否对磋商文件的实质性要求作出响应。</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26.3响应文件审查结束后，磋商小组所有成员集中与单一供应商分别进行磋商，并给予所有参加磋商的供应商平等的磋商机会。供应商应派其法定代表人或委托代理人参加磋商。</w:t>
      </w:r>
    </w:p>
    <w:p>
      <w:pPr>
        <w:pStyle w:val="25"/>
        <w:adjustRightInd w:val="0"/>
        <w:snapToGrid w:val="0"/>
        <w:spacing w:line="360" w:lineRule="auto"/>
        <w:rPr>
          <w:rFonts w:asciiTheme="minorEastAsia" w:hAnsiTheme="minorEastAsia" w:eastAsiaTheme="minorEastAsia" w:cstheme="minorEastAsia"/>
          <w:b/>
          <w:color w:val="auto"/>
          <w:kern w:val="0"/>
        </w:rPr>
      </w:pPr>
      <w:r>
        <w:rPr>
          <w:rFonts w:hint="eastAsia" w:asciiTheme="minorEastAsia" w:hAnsiTheme="minorEastAsia" w:eastAsiaTheme="minorEastAsia" w:cstheme="minorEastAsia"/>
          <w:b/>
          <w:color w:val="auto"/>
          <w:kern w:val="0"/>
        </w:rPr>
        <w:t>27.实质性响应</w:t>
      </w:r>
    </w:p>
    <w:p>
      <w:pPr>
        <w:pStyle w:val="25"/>
        <w:adjustRightInd w:val="0"/>
        <w:snapToGrid w:val="0"/>
        <w:spacing w:line="360" w:lineRule="auto"/>
        <w:ind w:firstLine="420" w:firstLineChars="200"/>
        <w:rPr>
          <w:rFonts w:asciiTheme="minorEastAsia" w:hAnsiTheme="minorEastAsia" w:eastAsiaTheme="minorEastAsia" w:cstheme="minorEastAsia"/>
          <w:color w:val="auto"/>
          <w:kern w:val="0"/>
          <w:u w:val="single"/>
        </w:rPr>
      </w:pPr>
      <w:r>
        <w:rPr>
          <w:rFonts w:hint="eastAsia" w:asciiTheme="minorEastAsia" w:hAnsiTheme="minorEastAsia" w:eastAsiaTheme="minorEastAsia" w:cstheme="minorEastAsia"/>
          <w:color w:val="auto"/>
          <w:kern w:val="0"/>
        </w:rPr>
        <w:t>27.1</w:t>
      </w:r>
      <w:r>
        <w:rPr>
          <w:rFonts w:hint="eastAsia" w:asciiTheme="minorEastAsia" w:hAnsiTheme="minorEastAsia" w:eastAsiaTheme="minorEastAsia" w:cstheme="minorEastAsia"/>
          <w:color w:val="auto"/>
        </w:rPr>
        <w:t>实质性响应是指响应文件(包括首次响应文件、重新提交的响应文件)与磋商文件要求的所有条款、条件和规格相符，没有偏离。偏离指不满足、或不响应磋商文件的要求。</w:t>
      </w:r>
    </w:p>
    <w:p>
      <w:pPr>
        <w:tabs>
          <w:tab w:val="left" w:pos="0"/>
          <w:tab w:val="left" w:pos="7560"/>
          <w:tab w:val="left" w:pos="7740"/>
          <w:tab w:val="left" w:pos="7920"/>
        </w:tabs>
        <w:adjustRightInd w:val="0"/>
        <w:snapToGrid w:val="0"/>
        <w:spacing w:line="360" w:lineRule="auto"/>
        <w:ind w:right="23" w:rightChars="11"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27.2</w:t>
      </w:r>
      <w:r>
        <w:rPr>
          <w:rFonts w:hint="eastAsia" w:asciiTheme="minorEastAsia" w:hAnsiTheme="minorEastAsia" w:eastAsiaTheme="minorEastAsia" w:cstheme="minorEastAsia"/>
          <w:color w:val="auto"/>
        </w:rPr>
        <w:t>响应文件是否实质性响应磋商文件要求由磋商小组依据磋商文件规定认定。</w:t>
      </w:r>
      <w:r>
        <w:rPr>
          <w:rFonts w:hint="eastAsia" w:asciiTheme="minorEastAsia" w:hAnsiTheme="minorEastAsia" w:eastAsiaTheme="minorEastAsia" w:cstheme="minorEastAsia"/>
          <w:color w:val="auto"/>
          <w:kern w:val="0"/>
          <w:szCs w:val="21"/>
        </w:rPr>
        <w:t>磋商小组</w:t>
      </w:r>
      <w:r>
        <w:rPr>
          <w:rFonts w:hint="eastAsia" w:asciiTheme="minorEastAsia" w:hAnsiTheme="minorEastAsia" w:eastAsiaTheme="minorEastAsia" w:cstheme="minorEastAsia"/>
          <w:color w:val="auto"/>
          <w:szCs w:val="21"/>
        </w:rPr>
        <w:t>决定</w:t>
      </w:r>
      <w:r>
        <w:rPr>
          <w:rFonts w:hint="eastAsia" w:asciiTheme="minorEastAsia" w:hAnsiTheme="minorEastAsia" w:eastAsiaTheme="minorEastAsia" w:cstheme="minorEastAsia"/>
          <w:color w:val="auto"/>
        </w:rPr>
        <w:t>响应文件</w:t>
      </w:r>
      <w:r>
        <w:rPr>
          <w:rFonts w:hint="eastAsia" w:asciiTheme="minorEastAsia" w:hAnsiTheme="minorEastAsia" w:eastAsiaTheme="minorEastAsia" w:cstheme="minorEastAsia"/>
          <w:color w:val="auto"/>
          <w:szCs w:val="21"/>
        </w:rPr>
        <w:t>的响应性只根据</w:t>
      </w:r>
      <w:r>
        <w:rPr>
          <w:rFonts w:hint="eastAsia" w:asciiTheme="minorEastAsia" w:hAnsiTheme="minorEastAsia" w:eastAsiaTheme="minorEastAsia" w:cstheme="minorEastAsia"/>
          <w:color w:val="auto"/>
        </w:rPr>
        <w:t>响应文件</w:t>
      </w:r>
      <w:r>
        <w:rPr>
          <w:rFonts w:hint="eastAsia" w:asciiTheme="minorEastAsia" w:hAnsiTheme="minorEastAsia" w:eastAsiaTheme="minorEastAsia" w:cstheme="minorEastAsia"/>
          <w:color w:val="auto"/>
          <w:szCs w:val="21"/>
        </w:rPr>
        <w:t>本身的真实无误的内容，而不依据外部的证据。</w:t>
      </w:r>
    </w:p>
    <w:p>
      <w:pPr>
        <w:pStyle w:val="25"/>
        <w:adjustRightInd w:val="0"/>
        <w:snapToGrid w:val="0"/>
        <w:spacing w:line="360" w:lineRule="auto"/>
        <w:rPr>
          <w:rFonts w:asciiTheme="minorEastAsia" w:hAnsiTheme="minorEastAsia" w:eastAsiaTheme="minorEastAsia" w:cstheme="minorEastAsia"/>
          <w:b/>
          <w:color w:val="auto"/>
          <w:kern w:val="0"/>
        </w:rPr>
      </w:pPr>
      <w:r>
        <w:rPr>
          <w:rFonts w:hint="eastAsia" w:asciiTheme="minorEastAsia" w:hAnsiTheme="minorEastAsia" w:eastAsiaTheme="minorEastAsia" w:cstheme="minorEastAsia"/>
          <w:b/>
          <w:color w:val="auto"/>
          <w:kern w:val="0"/>
        </w:rPr>
        <w:t xml:space="preserve">28.无效响应 </w:t>
      </w:r>
    </w:p>
    <w:p>
      <w:pPr>
        <w:pStyle w:val="25"/>
        <w:adjustRightInd w:val="0"/>
        <w:snapToGrid w:val="0"/>
        <w:spacing w:line="360" w:lineRule="auto"/>
        <w:ind w:firstLine="411" w:firstLineChars="196"/>
        <w:rPr>
          <w:rFonts w:asciiTheme="minorEastAsia" w:hAnsiTheme="minorEastAsia" w:eastAsiaTheme="minorEastAsia" w:cstheme="minorEastAsia"/>
          <w:b/>
          <w:color w:val="auto"/>
          <w:kern w:val="0"/>
        </w:rPr>
      </w:pPr>
      <w:r>
        <w:rPr>
          <w:rFonts w:hint="eastAsia" w:asciiTheme="minorEastAsia" w:hAnsiTheme="minorEastAsia" w:eastAsiaTheme="minorEastAsia" w:cstheme="minorEastAsia"/>
          <w:color w:val="auto"/>
          <w:kern w:val="0"/>
        </w:rPr>
        <w:t>28.1</w:t>
      </w:r>
      <w:r>
        <w:rPr>
          <w:rFonts w:hint="eastAsia" w:asciiTheme="minorEastAsia" w:hAnsiTheme="minorEastAsia" w:eastAsiaTheme="minorEastAsia" w:cstheme="minorEastAsia"/>
          <w:color w:val="auto"/>
        </w:rPr>
        <w:t>磋商小组在对资格性和符合性进行审查时，有下列情况之一的，属无效响应，</w:t>
      </w:r>
      <w:r>
        <w:rPr>
          <w:rFonts w:hint="eastAsia" w:asciiTheme="minorEastAsia" w:hAnsiTheme="minorEastAsia" w:eastAsiaTheme="minorEastAsia" w:cstheme="minorEastAsia"/>
          <w:color w:val="auto"/>
          <w:kern w:val="0"/>
        </w:rPr>
        <w:t>磋商小组应当告知有关供应商</w:t>
      </w:r>
      <w:r>
        <w:rPr>
          <w:rFonts w:hint="eastAsia" w:asciiTheme="minorEastAsia" w:hAnsiTheme="minorEastAsia" w:eastAsiaTheme="minorEastAsia" w:cstheme="minorEastAsia"/>
          <w:color w:val="auto"/>
        </w:rPr>
        <w:t>：</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（1）供应商不具备本章第3.1款规定的供应商资格条件要求，或存在本章第3.3款情形的；</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（2）联合体不符合本章第3.2款规定的；</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（3）应交未交磋商保证金或金额不足、磋商保证金缴纳形式不符合磋商文件要求的；</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（4）响应文件未按照磋商文件要求签署、盖章的；</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（4）响应文件不满足本章第27.1款规定的实质性要求的；</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（5）报价超过采购项目预算的；</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（6）响应文件有效期不足的；</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（7）响应文件不符合法律、规章、规范性文件和磋商文件规定及要求的。</w:t>
      </w:r>
    </w:p>
    <w:p>
      <w:pPr>
        <w:widowControl/>
        <w:adjustRightInd w:val="0"/>
        <w:snapToGrid w:val="0"/>
        <w:spacing w:line="360" w:lineRule="auto"/>
        <w:jc w:val="left"/>
        <w:rPr>
          <w:rFonts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29.澄清</w:t>
      </w:r>
    </w:p>
    <w:p>
      <w:pPr>
        <w:widowControl/>
        <w:adjustRightInd w:val="0"/>
        <w:snapToGrid w:val="0"/>
        <w:spacing w:line="360" w:lineRule="auto"/>
        <w:ind w:firstLine="42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29.1 磋商小组在对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或者加盖公章。供应商的澄清、说明或者更正不得超出响应文件的范围或者改变响应文件的实质性内容。</w:t>
      </w:r>
    </w:p>
    <w:p>
      <w:pPr>
        <w:widowControl/>
        <w:adjustRightInd w:val="0"/>
        <w:snapToGrid w:val="0"/>
        <w:spacing w:line="360" w:lineRule="auto"/>
        <w:ind w:firstLine="42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29.2 最后报价计算错误修正的原则：最后报价的大写金额和小写金额不一致的，以大写金额为准；总价金额与按分项报价汇总金额不一致的，以分项报价金额计算结果为准；分项报价金额小数点有明显错位的，应以总价为准，并修改分项报价。</w:t>
      </w:r>
    </w:p>
    <w:p>
      <w:pPr>
        <w:widowControl/>
        <w:adjustRightInd w:val="0"/>
        <w:snapToGrid w:val="0"/>
        <w:spacing w:line="360" w:lineRule="auto"/>
        <w:jc w:val="left"/>
        <w:rPr>
          <w:rFonts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30.磋商</w:t>
      </w:r>
    </w:p>
    <w:p>
      <w:pPr>
        <w:widowControl/>
        <w:adjustRightInd w:val="0"/>
        <w:snapToGrid w:val="0"/>
        <w:spacing w:line="360" w:lineRule="auto"/>
        <w:ind w:firstLine="420"/>
        <w:jc w:val="left"/>
        <w:rPr>
          <w:rFonts w:asciiTheme="minorEastAsia" w:hAnsiTheme="minorEastAsia" w:eastAsiaTheme="minorEastAsia" w:cstheme="minorEastAsia"/>
          <w:color w:val="auto"/>
          <w:kern w:val="0"/>
          <w:szCs w:val="21"/>
          <w:lang w:val="zh-CN"/>
        </w:rPr>
      </w:pPr>
      <w:r>
        <w:rPr>
          <w:rFonts w:hint="eastAsia" w:asciiTheme="minorEastAsia" w:hAnsiTheme="minorEastAsia" w:eastAsiaTheme="minorEastAsia" w:cstheme="minorEastAsia"/>
          <w:color w:val="auto"/>
          <w:kern w:val="0"/>
          <w:szCs w:val="21"/>
        </w:rPr>
        <w:t>30.1</w:t>
      </w:r>
      <w:r>
        <w:rPr>
          <w:rFonts w:hint="eastAsia" w:asciiTheme="minorEastAsia" w:hAnsiTheme="minorEastAsia" w:eastAsiaTheme="minorEastAsia" w:cstheme="minorEastAsia"/>
          <w:color w:val="auto"/>
        </w:rPr>
        <w:t>本章第10.2项</w:t>
      </w:r>
      <w:r>
        <w:rPr>
          <w:rFonts w:hint="eastAsia" w:asciiTheme="minorEastAsia" w:hAnsiTheme="minorEastAsia" w:eastAsiaTheme="minorEastAsia" w:cstheme="minorEastAsia"/>
          <w:color w:val="auto"/>
          <w:kern w:val="0"/>
          <w:szCs w:val="21"/>
        </w:rPr>
        <w:t>未明确磋商文件实质性变动内容的，或者磋商文件明确了可能发生实质性变动内容，但在磋商过程中，</w:t>
      </w:r>
      <w:r>
        <w:rPr>
          <w:rFonts w:hint="eastAsia" w:asciiTheme="minorEastAsia" w:hAnsiTheme="minorEastAsia" w:eastAsiaTheme="minorEastAsia" w:cstheme="minorEastAsia"/>
          <w:bCs/>
          <w:color w:val="auto"/>
          <w:szCs w:val="21"/>
        </w:rPr>
        <w:t>磋商小组</w:t>
      </w:r>
      <w:r>
        <w:rPr>
          <w:rFonts w:hint="eastAsia" w:asciiTheme="minorEastAsia" w:hAnsiTheme="minorEastAsia" w:eastAsiaTheme="minorEastAsia" w:cstheme="minorEastAsia"/>
          <w:color w:val="auto"/>
          <w:kern w:val="0"/>
          <w:szCs w:val="21"/>
        </w:rPr>
        <w:t>根据磋商情况</w:t>
      </w:r>
      <w:r>
        <w:rPr>
          <w:rFonts w:hint="eastAsia" w:asciiTheme="minorEastAsia" w:hAnsiTheme="minorEastAsia" w:eastAsiaTheme="minorEastAsia" w:cstheme="minorEastAsia"/>
          <w:bCs/>
          <w:color w:val="auto"/>
          <w:szCs w:val="21"/>
        </w:rPr>
        <w:t>认为</w:t>
      </w:r>
      <w:r>
        <w:rPr>
          <w:rFonts w:hint="eastAsia" w:asciiTheme="minorEastAsia" w:hAnsiTheme="minorEastAsia" w:eastAsiaTheme="minorEastAsia" w:cstheme="minorEastAsia"/>
          <w:color w:val="auto"/>
          <w:kern w:val="0"/>
          <w:szCs w:val="21"/>
        </w:rPr>
        <w:t>磋商文件无需发生实质性变动的，磋商小组应当直接与响应文件审查合格的供应商就价格组织多轮磋商。</w:t>
      </w:r>
    </w:p>
    <w:p>
      <w:pPr>
        <w:widowControl/>
        <w:tabs>
          <w:tab w:val="left" w:pos="1080"/>
          <w:tab w:val="left" w:pos="1260"/>
        </w:tabs>
        <w:adjustRightInd w:val="0"/>
        <w:snapToGrid w:val="0"/>
        <w:spacing w:line="360" w:lineRule="auto"/>
        <w:ind w:firstLine="42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（1）磋商结束后，磋商小组应当要求所有继续参加磋商的供应商在磋商小组规定时间内提交最后报价。</w:t>
      </w:r>
    </w:p>
    <w:p>
      <w:pPr>
        <w:widowControl/>
        <w:tabs>
          <w:tab w:val="left" w:pos="1080"/>
          <w:tab w:val="left" w:pos="1260"/>
        </w:tabs>
        <w:adjustRightInd w:val="0"/>
        <w:snapToGrid w:val="0"/>
        <w:spacing w:line="360" w:lineRule="auto"/>
        <w:ind w:firstLine="42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（2）磋商文件明确可能发生实质性变动，但在磋商过程中</w:t>
      </w:r>
      <w:r>
        <w:rPr>
          <w:rFonts w:hint="eastAsia" w:asciiTheme="minorEastAsia" w:hAnsiTheme="minorEastAsia" w:eastAsiaTheme="minorEastAsia" w:cstheme="minorEastAsia"/>
          <w:bCs/>
          <w:color w:val="auto"/>
          <w:szCs w:val="21"/>
        </w:rPr>
        <w:t>磋商小组</w:t>
      </w:r>
      <w:r>
        <w:rPr>
          <w:rFonts w:hint="eastAsia" w:asciiTheme="minorEastAsia" w:hAnsiTheme="minorEastAsia" w:eastAsiaTheme="minorEastAsia" w:cstheme="minorEastAsia"/>
          <w:color w:val="auto"/>
          <w:kern w:val="0"/>
          <w:szCs w:val="21"/>
        </w:rPr>
        <w:t>根据磋商情况</w:t>
      </w:r>
      <w:r>
        <w:rPr>
          <w:rFonts w:hint="eastAsia" w:asciiTheme="minorEastAsia" w:hAnsiTheme="minorEastAsia" w:eastAsiaTheme="minorEastAsia" w:cstheme="minorEastAsia"/>
          <w:bCs/>
          <w:color w:val="auto"/>
          <w:szCs w:val="21"/>
        </w:rPr>
        <w:t>认为</w:t>
      </w:r>
      <w:r>
        <w:rPr>
          <w:rFonts w:hint="eastAsia" w:asciiTheme="minorEastAsia" w:hAnsiTheme="minorEastAsia" w:eastAsiaTheme="minorEastAsia" w:cstheme="minorEastAsia"/>
          <w:color w:val="auto"/>
          <w:kern w:val="0"/>
          <w:szCs w:val="21"/>
        </w:rPr>
        <w:t>磋商文件无需发生实质性变动的，磋商小组不另行通知。</w:t>
      </w:r>
    </w:p>
    <w:p>
      <w:pPr>
        <w:widowControl/>
        <w:adjustRightInd w:val="0"/>
        <w:snapToGrid w:val="0"/>
        <w:spacing w:line="360" w:lineRule="auto"/>
        <w:ind w:firstLine="42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30.2</w:t>
      </w:r>
      <w:r>
        <w:rPr>
          <w:rFonts w:hint="eastAsia" w:asciiTheme="minorEastAsia" w:hAnsiTheme="minorEastAsia" w:eastAsiaTheme="minorEastAsia" w:cstheme="minorEastAsia"/>
          <w:color w:val="auto"/>
        </w:rPr>
        <w:t>本章第10.2</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kern w:val="0"/>
          <w:szCs w:val="21"/>
        </w:rPr>
        <w:t>明确磋商文件实质性变动内容的，</w:t>
      </w:r>
      <w:r>
        <w:rPr>
          <w:rFonts w:hint="eastAsia" w:asciiTheme="minorEastAsia" w:hAnsiTheme="minorEastAsia" w:eastAsiaTheme="minorEastAsia" w:cstheme="minorEastAsia"/>
          <w:bCs/>
          <w:color w:val="auto"/>
          <w:szCs w:val="21"/>
        </w:rPr>
        <w:t>磋商小组</w:t>
      </w:r>
      <w:r>
        <w:rPr>
          <w:rFonts w:hint="eastAsia" w:asciiTheme="minorEastAsia" w:hAnsiTheme="minorEastAsia" w:eastAsiaTheme="minorEastAsia" w:cstheme="minorEastAsia"/>
          <w:color w:val="auto"/>
          <w:kern w:val="0"/>
          <w:szCs w:val="21"/>
        </w:rPr>
        <w:t>可以组织多轮磋商。</w:t>
      </w:r>
      <w:r>
        <w:rPr>
          <w:rFonts w:hint="eastAsia" w:asciiTheme="minorEastAsia" w:hAnsiTheme="minorEastAsia" w:eastAsiaTheme="minorEastAsia" w:cstheme="minorEastAsia"/>
          <w:bCs/>
          <w:color w:val="auto"/>
          <w:szCs w:val="21"/>
        </w:rPr>
        <w:t>在每一轮磋商中，磋商小组</w:t>
      </w:r>
      <w:r>
        <w:rPr>
          <w:rFonts w:hint="eastAsia" w:asciiTheme="minorEastAsia" w:hAnsiTheme="minorEastAsia" w:eastAsiaTheme="minorEastAsia" w:cstheme="minorEastAsia"/>
          <w:color w:val="auto"/>
          <w:kern w:val="0"/>
          <w:szCs w:val="21"/>
        </w:rPr>
        <w:t>可以根据磋商文件规定和磋商情况，</w:t>
      </w:r>
      <w:r>
        <w:rPr>
          <w:rFonts w:hint="eastAsia" w:asciiTheme="minorEastAsia" w:hAnsiTheme="minorEastAsia" w:eastAsiaTheme="minorEastAsia" w:cstheme="minorEastAsia"/>
          <w:bCs/>
          <w:color w:val="auto"/>
          <w:szCs w:val="21"/>
        </w:rPr>
        <w:t>对磋商文件的</w:t>
      </w:r>
      <w:r>
        <w:rPr>
          <w:rFonts w:hint="eastAsia" w:asciiTheme="minorEastAsia" w:hAnsiTheme="minorEastAsia" w:eastAsiaTheme="minorEastAsia" w:cstheme="minorEastAsia"/>
          <w:color w:val="auto"/>
          <w:kern w:val="0"/>
          <w:szCs w:val="21"/>
        </w:rPr>
        <w:t>采购需求中的技术、服务要求以及合同草案条款</w:t>
      </w:r>
      <w:r>
        <w:rPr>
          <w:rFonts w:hint="eastAsia" w:asciiTheme="minorEastAsia" w:hAnsiTheme="minorEastAsia" w:eastAsiaTheme="minorEastAsia" w:cstheme="minorEastAsia"/>
          <w:bCs/>
          <w:color w:val="auto"/>
          <w:szCs w:val="21"/>
        </w:rPr>
        <w:t>作实质性变动(磋商文件的实质性变动内容为磋商文件的组成部分)，并以书面形式要求</w:t>
      </w:r>
      <w:r>
        <w:rPr>
          <w:rFonts w:hint="eastAsia" w:asciiTheme="minorEastAsia" w:hAnsiTheme="minorEastAsia" w:eastAsiaTheme="minorEastAsia" w:cstheme="minorEastAsia"/>
          <w:color w:val="auto"/>
          <w:kern w:val="0"/>
          <w:szCs w:val="21"/>
        </w:rPr>
        <w:t>响应文件审查合格</w:t>
      </w:r>
      <w:r>
        <w:rPr>
          <w:rFonts w:hint="eastAsia" w:asciiTheme="minorEastAsia" w:hAnsiTheme="minorEastAsia" w:eastAsiaTheme="minorEastAsia" w:cstheme="minorEastAsia"/>
          <w:bCs/>
          <w:color w:val="auto"/>
          <w:szCs w:val="21"/>
        </w:rPr>
        <w:t>的供应商，在规定的</w:t>
      </w:r>
      <w:r>
        <w:rPr>
          <w:rFonts w:hint="eastAsia" w:asciiTheme="minorEastAsia" w:hAnsiTheme="minorEastAsia" w:eastAsiaTheme="minorEastAsia" w:cstheme="minorEastAsia"/>
          <w:color w:val="auto"/>
          <w:kern w:val="0"/>
          <w:szCs w:val="21"/>
        </w:rPr>
        <w:t>截止时间前</w:t>
      </w:r>
      <w:r>
        <w:rPr>
          <w:rFonts w:hint="eastAsia" w:asciiTheme="minorEastAsia" w:hAnsiTheme="minorEastAsia" w:eastAsiaTheme="minorEastAsia" w:cstheme="minorEastAsia"/>
          <w:bCs/>
          <w:color w:val="auto"/>
          <w:szCs w:val="21"/>
        </w:rPr>
        <w:t>重</w:t>
      </w:r>
      <w:r>
        <w:rPr>
          <w:rFonts w:hint="eastAsia" w:asciiTheme="minorEastAsia" w:hAnsiTheme="minorEastAsia" w:eastAsiaTheme="minorEastAsia" w:cstheme="minorEastAsia"/>
          <w:color w:val="auto"/>
          <w:kern w:val="0"/>
          <w:szCs w:val="21"/>
        </w:rPr>
        <w:t>新提交响应文件</w:t>
      </w:r>
      <w:r>
        <w:rPr>
          <w:rFonts w:hint="eastAsia" w:asciiTheme="minorEastAsia" w:hAnsiTheme="minorEastAsia" w:eastAsiaTheme="minorEastAsia" w:cstheme="minorEastAsia"/>
          <w:bCs/>
          <w:color w:val="auto"/>
          <w:szCs w:val="21"/>
        </w:rPr>
        <w:t>。</w:t>
      </w:r>
      <w:r>
        <w:rPr>
          <w:rFonts w:hint="eastAsia" w:asciiTheme="minorEastAsia" w:hAnsiTheme="minorEastAsia" w:eastAsiaTheme="minorEastAsia" w:cstheme="minorEastAsia"/>
          <w:color w:val="auto"/>
          <w:kern w:val="0"/>
          <w:szCs w:val="21"/>
        </w:rPr>
        <w:t>磋商小组应当</w:t>
      </w:r>
      <w:r>
        <w:rPr>
          <w:rFonts w:hint="eastAsia" w:asciiTheme="minorEastAsia" w:hAnsiTheme="minorEastAsia" w:eastAsiaTheme="minorEastAsia" w:cstheme="minorEastAsia"/>
          <w:color w:val="auto"/>
          <w:szCs w:val="21"/>
        </w:rPr>
        <w:t>根据本章第26.2</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szCs w:val="21"/>
        </w:rPr>
        <w:t>规定</w:t>
      </w:r>
      <w:r>
        <w:rPr>
          <w:rFonts w:hint="eastAsia" w:asciiTheme="minorEastAsia" w:hAnsiTheme="minorEastAsia" w:eastAsiaTheme="minorEastAsia" w:cstheme="minorEastAsia"/>
          <w:color w:val="auto"/>
          <w:kern w:val="0"/>
          <w:szCs w:val="21"/>
        </w:rPr>
        <w:t>对供应商重新提交的响应文件进行审查。供应商重新提交的响应文件审查不合格的，不得进入下一轮磋商，也不得要求提交最后报价。</w:t>
      </w:r>
    </w:p>
    <w:p>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（1）磋商文件能够详细列明采购需求的技术、服务要求的，磋商结束后，磋商小组应当要求所有继续参加磋商的供应商在规定时间内提交最后报价。</w:t>
      </w:r>
    </w:p>
    <w:p>
      <w:pPr>
        <w:widowControl/>
        <w:adjustRightInd w:val="0"/>
        <w:snapToGrid w:val="0"/>
        <w:spacing w:line="360" w:lineRule="auto"/>
        <w:ind w:firstLine="42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磋商文件不能详细列明采购需求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widowControl/>
        <w:adjustRightInd w:val="0"/>
        <w:snapToGrid w:val="0"/>
        <w:spacing w:line="360" w:lineRule="auto"/>
        <w:ind w:firstLine="420"/>
        <w:jc w:val="left"/>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30.3</w:t>
      </w:r>
      <w:r>
        <w:rPr>
          <w:rFonts w:hint="eastAsia" w:asciiTheme="minorEastAsia" w:hAnsiTheme="minorEastAsia" w:eastAsiaTheme="minorEastAsia" w:cstheme="minorEastAsia"/>
          <w:bCs/>
          <w:color w:val="auto"/>
        </w:rPr>
        <w:t>重</w:t>
      </w:r>
      <w:r>
        <w:rPr>
          <w:rFonts w:hint="eastAsia" w:asciiTheme="minorEastAsia" w:hAnsiTheme="minorEastAsia" w:eastAsiaTheme="minorEastAsia" w:cstheme="minorEastAsia"/>
          <w:color w:val="auto"/>
          <w:kern w:val="0"/>
        </w:rPr>
        <w:t>新提交的响应文件</w:t>
      </w:r>
      <w:r>
        <w:rPr>
          <w:rFonts w:hint="eastAsia" w:asciiTheme="minorEastAsia" w:hAnsiTheme="minorEastAsia" w:eastAsiaTheme="minorEastAsia" w:cstheme="minorEastAsia"/>
          <w:color w:val="auto"/>
        </w:rPr>
        <w:t>或者最后报价应按</w:t>
      </w:r>
      <w:r>
        <w:rPr>
          <w:rFonts w:hint="eastAsia" w:asciiTheme="minorEastAsia" w:hAnsiTheme="minorEastAsia" w:eastAsiaTheme="minorEastAsia" w:cstheme="minorEastAsia"/>
          <w:color w:val="auto"/>
          <w:kern w:val="0"/>
          <w:szCs w:val="21"/>
        </w:rPr>
        <w:t>本章第</w:t>
      </w:r>
      <w:r>
        <w:rPr>
          <w:rFonts w:hint="eastAsia" w:asciiTheme="minorEastAsia" w:hAnsiTheme="minorEastAsia" w:eastAsiaTheme="minorEastAsia" w:cstheme="minorEastAsia"/>
          <w:color w:val="auto"/>
        </w:rPr>
        <w:t>21.3</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rPr>
        <w:t>规定，</w:t>
      </w:r>
      <w:r>
        <w:rPr>
          <w:rFonts w:hint="eastAsia" w:asciiTheme="minorEastAsia" w:hAnsiTheme="minorEastAsia" w:eastAsiaTheme="minorEastAsia" w:cstheme="minorEastAsia"/>
          <w:color w:val="auto"/>
          <w:kern w:val="0"/>
          <w:szCs w:val="21"/>
        </w:rPr>
        <w:t>由其法定代表人或其委托代理人签字或者加盖</w:t>
      </w:r>
      <w:r>
        <w:rPr>
          <w:rFonts w:hint="eastAsia" w:asciiTheme="minorEastAsia" w:hAnsiTheme="minorEastAsia" w:eastAsiaTheme="minorEastAsia" w:cstheme="minorEastAsia"/>
          <w:color w:val="auto"/>
          <w:kern w:val="0"/>
        </w:rPr>
        <w:t>供应商单位</w:t>
      </w:r>
      <w:r>
        <w:rPr>
          <w:rFonts w:hint="eastAsia" w:asciiTheme="minorEastAsia" w:hAnsiTheme="minorEastAsia" w:eastAsiaTheme="minorEastAsia" w:cstheme="minorEastAsia"/>
          <w:color w:val="auto"/>
          <w:kern w:val="0"/>
          <w:szCs w:val="21"/>
        </w:rPr>
        <w:t>章，在规定时间内密封递交给磋商小组</w:t>
      </w:r>
      <w:r>
        <w:rPr>
          <w:rFonts w:hint="eastAsia" w:asciiTheme="minorEastAsia" w:hAnsiTheme="minorEastAsia" w:eastAsiaTheme="minorEastAsia" w:cstheme="minorEastAsia"/>
          <w:bCs/>
          <w:color w:val="auto"/>
          <w:szCs w:val="21"/>
        </w:rPr>
        <w:t>。</w:t>
      </w:r>
    </w:p>
    <w:p>
      <w:pPr>
        <w:widowControl/>
        <w:adjustRightInd w:val="0"/>
        <w:snapToGrid w:val="0"/>
        <w:spacing w:line="360" w:lineRule="auto"/>
        <w:ind w:firstLine="42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30.4</w:t>
      </w:r>
      <w:r>
        <w:rPr>
          <w:rFonts w:hint="eastAsia" w:asciiTheme="minorEastAsia" w:hAnsiTheme="minorEastAsia" w:eastAsiaTheme="minorEastAsia" w:cstheme="minorEastAsia"/>
          <w:color w:val="auto"/>
          <w:kern w:val="0"/>
          <w:szCs w:val="21"/>
          <w:lang w:val="zh-CN"/>
        </w:rPr>
        <w:t>供应商的</w:t>
      </w:r>
      <w:r>
        <w:rPr>
          <w:rFonts w:hint="eastAsia" w:asciiTheme="minorEastAsia" w:hAnsiTheme="minorEastAsia" w:eastAsiaTheme="minorEastAsia" w:cstheme="minorEastAsia"/>
          <w:bCs/>
          <w:color w:val="auto"/>
          <w:szCs w:val="21"/>
        </w:rPr>
        <w:t>最</w:t>
      </w:r>
      <w:r>
        <w:rPr>
          <w:rFonts w:hint="eastAsia" w:asciiTheme="minorEastAsia" w:hAnsiTheme="minorEastAsia" w:eastAsiaTheme="minorEastAsia" w:cstheme="minorEastAsia"/>
          <w:color w:val="auto"/>
          <w:kern w:val="0"/>
          <w:szCs w:val="21"/>
          <w:lang w:val="zh-CN"/>
        </w:rPr>
        <w:t>后</w:t>
      </w:r>
      <w:r>
        <w:rPr>
          <w:rFonts w:hint="eastAsia" w:asciiTheme="minorEastAsia" w:hAnsiTheme="minorEastAsia" w:eastAsiaTheme="minorEastAsia" w:cstheme="minorEastAsia"/>
          <w:bCs/>
          <w:color w:val="auto"/>
          <w:szCs w:val="21"/>
        </w:rPr>
        <w:t>报价及</w:t>
      </w:r>
      <w:r>
        <w:rPr>
          <w:rFonts w:hint="eastAsia" w:asciiTheme="minorEastAsia" w:hAnsiTheme="minorEastAsia" w:eastAsiaTheme="minorEastAsia" w:cstheme="minorEastAsia"/>
          <w:color w:val="auto"/>
          <w:kern w:val="0"/>
          <w:szCs w:val="21"/>
        </w:rPr>
        <w:t>政府采购政策规定的价格扣除情况，磋商小组应召集所有参加最后报价的供应商当场开封</w:t>
      </w:r>
      <w:r>
        <w:rPr>
          <w:rFonts w:hint="eastAsia" w:asciiTheme="minorEastAsia" w:hAnsiTheme="minorEastAsia" w:eastAsiaTheme="minorEastAsia" w:cstheme="minorEastAsia"/>
          <w:bCs/>
          <w:color w:val="auto"/>
          <w:szCs w:val="21"/>
        </w:rPr>
        <w:t>公布，并由供应商代表签字确认。</w:t>
      </w:r>
    </w:p>
    <w:p>
      <w:pPr>
        <w:widowControl/>
        <w:adjustRightInd w:val="0"/>
        <w:snapToGrid w:val="0"/>
        <w:spacing w:line="360" w:lineRule="auto"/>
        <w:ind w:firstLine="42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30.5提交首次响应文件的供应商，在提交最后报价之前，可以根据磋商情况退出磋商，</w:t>
      </w:r>
      <w:r>
        <w:rPr>
          <w:rFonts w:hint="eastAsia" w:asciiTheme="minorEastAsia" w:hAnsiTheme="minorEastAsia" w:eastAsiaTheme="minorEastAsia" w:cstheme="minorEastAsia"/>
          <w:color w:val="auto"/>
          <w:kern w:val="0"/>
        </w:rPr>
        <w:t>并书面通知采购代理机构或者磋商小组。</w:t>
      </w:r>
      <w:r>
        <w:rPr>
          <w:rFonts w:hint="eastAsia" w:asciiTheme="minorEastAsia" w:hAnsiTheme="minorEastAsia" w:eastAsiaTheme="minorEastAsia" w:cstheme="minorEastAsia"/>
          <w:color w:val="auto"/>
        </w:rPr>
        <w:t>该通知由供应商法定代表人或其委托代理人签字。</w:t>
      </w:r>
      <w:r>
        <w:rPr>
          <w:rFonts w:hint="eastAsia" w:asciiTheme="minorEastAsia" w:hAnsiTheme="minorEastAsia" w:eastAsiaTheme="minorEastAsia" w:cstheme="minorEastAsia"/>
          <w:color w:val="auto"/>
          <w:kern w:val="0"/>
          <w:szCs w:val="21"/>
        </w:rPr>
        <w:t>采购代理机构</w:t>
      </w:r>
      <w:r>
        <w:rPr>
          <w:rFonts w:hint="eastAsia" w:asciiTheme="minorEastAsia" w:hAnsiTheme="minorEastAsia" w:eastAsiaTheme="minorEastAsia" w:cstheme="minorEastAsia"/>
          <w:color w:val="auto"/>
          <w:kern w:val="0"/>
        </w:rPr>
        <w:t>按</w:t>
      </w:r>
      <w:r>
        <w:rPr>
          <w:rFonts w:hint="eastAsia" w:asciiTheme="minorEastAsia" w:hAnsiTheme="minorEastAsia" w:eastAsiaTheme="minorEastAsia" w:cstheme="minorEastAsia"/>
          <w:color w:val="auto"/>
          <w:kern w:val="0"/>
          <w:szCs w:val="21"/>
        </w:rPr>
        <w:t>本章第</w:t>
      </w:r>
      <w:r>
        <w:rPr>
          <w:rFonts w:hint="eastAsia" w:asciiTheme="minorEastAsia" w:hAnsiTheme="minorEastAsia" w:eastAsiaTheme="minorEastAsia" w:cstheme="minorEastAsia"/>
          <w:color w:val="auto"/>
        </w:rPr>
        <w:t>19.4</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rPr>
        <w:t>规定</w:t>
      </w:r>
      <w:r>
        <w:rPr>
          <w:rFonts w:hint="eastAsia" w:asciiTheme="minorEastAsia" w:hAnsiTheme="minorEastAsia" w:eastAsiaTheme="minorEastAsia" w:cstheme="minorEastAsia"/>
          <w:color w:val="auto"/>
          <w:kern w:val="0"/>
          <w:szCs w:val="21"/>
        </w:rPr>
        <w:t>退还退出磋商的供应商的磋商保证金。</w:t>
      </w:r>
    </w:p>
    <w:p>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Cs/>
          <w:color w:val="auto"/>
          <w:szCs w:val="21"/>
        </w:rPr>
        <w:t>30.6</w:t>
      </w:r>
      <w:r>
        <w:rPr>
          <w:rFonts w:hint="eastAsia" w:asciiTheme="minorEastAsia" w:hAnsiTheme="minorEastAsia" w:eastAsiaTheme="minorEastAsia" w:cstheme="minorEastAsia"/>
          <w:color w:val="auto"/>
          <w:kern w:val="0"/>
          <w:szCs w:val="21"/>
        </w:rPr>
        <w:t>提交首次响应文件的供应商，未按磋商文件规定及磋商小组要求提交最后报价(或者</w:t>
      </w:r>
      <w:r>
        <w:rPr>
          <w:rFonts w:hint="eastAsia" w:asciiTheme="minorEastAsia" w:hAnsiTheme="minorEastAsia" w:eastAsiaTheme="minorEastAsia" w:cstheme="minorEastAsia"/>
          <w:bCs/>
          <w:color w:val="auto"/>
          <w:szCs w:val="21"/>
        </w:rPr>
        <w:t>重</w:t>
      </w:r>
      <w:r>
        <w:rPr>
          <w:rFonts w:hint="eastAsia" w:asciiTheme="minorEastAsia" w:hAnsiTheme="minorEastAsia" w:eastAsiaTheme="minorEastAsia" w:cstheme="minorEastAsia"/>
          <w:color w:val="auto"/>
          <w:kern w:val="0"/>
          <w:szCs w:val="21"/>
        </w:rPr>
        <w:t>新提交的响应文件和最后报价)，且又</w:t>
      </w:r>
      <w:r>
        <w:rPr>
          <w:rFonts w:hint="eastAsia" w:asciiTheme="minorEastAsia" w:hAnsiTheme="minorEastAsia" w:eastAsiaTheme="minorEastAsia" w:cstheme="minorEastAsia"/>
          <w:color w:val="auto"/>
          <w:kern w:val="0"/>
        </w:rPr>
        <w:t>未按</w:t>
      </w:r>
      <w:r>
        <w:rPr>
          <w:rFonts w:hint="eastAsia" w:asciiTheme="minorEastAsia" w:hAnsiTheme="minorEastAsia" w:eastAsiaTheme="minorEastAsia" w:cstheme="minorEastAsia"/>
          <w:color w:val="auto"/>
          <w:kern w:val="0"/>
          <w:szCs w:val="21"/>
        </w:rPr>
        <w:t>本章第</w:t>
      </w:r>
      <w:r>
        <w:rPr>
          <w:rFonts w:hint="eastAsia" w:asciiTheme="minorEastAsia" w:hAnsiTheme="minorEastAsia" w:eastAsiaTheme="minorEastAsia" w:cstheme="minorEastAsia"/>
          <w:color w:val="auto"/>
        </w:rPr>
        <w:t>30.5</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rPr>
        <w:t>规定</w:t>
      </w:r>
      <w:r>
        <w:rPr>
          <w:rFonts w:hint="eastAsia" w:asciiTheme="minorEastAsia" w:hAnsiTheme="minorEastAsia" w:eastAsiaTheme="minorEastAsia" w:cstheme="minorEastAsia"/>
          <w:color w:val="auto"/>
          <w:kern w:val="0"/>
          <w:szCs w:val="21"/>
        </w:rPr>
        <w:t>退出磋商的，供应商的磋商保证金不予退还。</w:t>
      </w:r>
    </w:p>
    <w:p>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30.7磋商文件在磋商过程中未发生实质性变动的，参加磋商供应商的次轮报价不得高于上轮报价，否则视为无效响应。</w:t>
      </w:r>
    </w:p>
    <w:p>
      <w:pPr>
        <w:widowControl/>
        <w:adjustRightInd w:val="0"/>
        <w:snapToGrid w:val="0"/>
        <w:spacing w:line="360" w:lineRule="auto"/>
        <w:jc w:val="left"/>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color w:val="auto"/>
          <w:kern w:val="0"/>
          <w:szCs w:val="21"/>
        </w:rPr>
        <w:t>31.响应文件评审</w:t>
      </w:r>
    </w:p>
    <w:p>
      <w:pPr>
        <w:widowControl/>
        <w:adjustRightInd w:val="0"/>
        <w:snapToGrid w:val="0"/>
        <w:spacing w:line="360" w:lineRule="auto"/>
        <w:ind w:firstLine="420" w:firstLineChars="200"/>
        <w:jc w:val="left"/>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31.1经磋商确定最终采购需求和提交最后报价的供应商后，由磋商小组采用综合评分法对提交最后报价的供应商的响应文件和最后报价进行综合评价。</w:t>
      </w:r>
    </w:p>
    <w:p>
      <w:pPr>
        <w:widowControl/>
        <w:adjustRightInd w:val="0"/>
        <w:snapToGrid w:val="0"/>
        <w:spacing w:line="360" w:lineRule="auto"/>
        <w:ind w:firstLine="420" w:firstLineChars="200"/>
        <w:jc w:val="left"/>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31.2综合评分法，是指响应文件满足磋商文件全部实质性要求且按评审因素的量化指标评审得分最高的供应商为成交候选供应商的评审方法。本采购项目的评审因素和标准见</w:t>
      </w:r>
      <w:r>
        <w:rPr>
          <w:rFonts w:hint="eastAsia" w:asciiTheme="minorEastAsia" w:hAnsiTheme="minorEastAsia" w:eastAsiaTheme="minorEastAsia" w:cstheme="minorEastAsia"/>
          <w:b/>
          <w:bCs/>
          <w:color w:val="auto"/>
          <w:szCs w:val="21"/>
        </w:rPr>
        <w:t>磋商须知前附表。</w:t>
      </w:r>
    </w:p>
    <w:p>
      <w:pPr>
        <w:widowControl/>
        <w:adjustRightInd w:val="0"/>
        <w:snapToGrid w:val="0"/>
        <w:spacing w:beforeLines="50" w:line="360" w:lineRule="auto"/>
        <w:ind w:firstLine="420" w:firstLineChars="200"/>
        <w:jc w:val="left"/>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color w:val="auto"/>
          <w:kern w:val="0"/>
          <w:szCs w:val="21"/>
        </w:rPr>
        <w:t>31.3</w:t>
      </w:r>
      <w:r>
        <w:rPr>
          <w:rFonts w:hint="eastAsia" w:asciiTheme="minorEastAsia" w:hAnsiTheme="minorEastAsia" w:eastAsiaTheme="minorEastAsia" w:cstheme="minorEastAsia"/>
          <w:color w:val="auto"/>
          <w:szCs w:val="21"/>
        </w:rPr>
        <w:t>最后报价调整。磋商小组以各供应商最后报价为基础，按照符合政府采购支持中小企业发展的相应条件，对供应商的最后报价进行价格扣除，用扣除后的最后报价计算价格得分，具体价格扣除比例见</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w:t>
      </w:r>
    </w:p>
    <w:p>
      <w:pPr>
        <w:widowControl/>
        <w:adjustRightInd w:val="0"/>
        <w:snapToGrid w:val="0"/>
        <w:spacing w:line="360" w:lineRule="auto"/>
        <w:ind w:firstLine="420" w:firstLineChars="20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31.4综合评分法中的价格分采用低价优先法计算，即满足磋商文件要求且经调整后的最后报价最低的供应商的价格为磋商基准价，其价格分为满分。其他供应商的价格分按照下列公式计算：</w:t>
      </w:r>
    </w:p>
    <w:p>
      <w:pPr>
        <w:widowControl/>
        <w:adjustRightInd w:val="0"/>
        <w:snapToGrid w:val="0"/>
        <w:spacing w:line="360" w:lineRule="auto"/>
        <w:ind w:firstLine="420" w:firstLineChars="20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磋商报价得分=（磋商基准价/最后磋商报价）×价格权值×100</w:t>
      </w:r>
    </w:p>
    <w:p>
      <w:pPr>
        <w:widowControl/>
        <w:adjustRightInd w:val="0"/>
        <w:snapToGrid w:val="0"/>
        <w:spacing w:line="360" w:lineRule="auto"/>
        <w:ind w:firstLine="420" w:firstLineChars="20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项目评审过程中，不得去掉最后报价中的最高报价和最低报价。</w:t>
      </w:r>
    </w:p>
    <w:p>
      <w:pPr>
        <w:widowControl/>
        <w:adjustRightInd w:val="0"/>
        <w:snapToGrid w:val="0"/>
        <w:spacing w:beforeLines="50"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Cs/>
          <w:color w:val="auto"/>
          <w:szCs w:val="21"/>
        </w:rPr>
        <w:t>31.5</w:t>
      </w:r>
      <w:r>
        <w:rPr>
          <w:rFonts w:hint="eastAsia" w:asciiTheme="minorEastAsia" w:hAnsiTheme="minorEastAsia" w:eastAsiaTheme="minorEastAsia" w:cstheme="minorEastAsia"/>
          <w:color w:val="auto"/>
          <w:szCs w:val="21"/>
        </w:rPr>
        <w:t>涉及政府采购政策优惠对供应商分值进行调整的，</w:t>
      </w:r>
      <w:r>
        <w:rPr>
          <w:rFonts w:hint="eastAsia" w:asciiTheme="minorEastAsia" w:hAnsiTheme="minorEastAsia" w:eastAsiaTheme="minorEastAsia" w:cstheme="minorEastAsia"/>
          <w:bCs/>
          <w:color w:val="auto"/>
          <w:szCs w:val="21"/>
        </w:rPr>
        <w:t>按</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bCs/>
          <w:color w:val="auto"/>
          <w:szCs w:val="21"/>
        </w:rPr>
        <w:t>规定</w:t>
      </w:r>
      <w:r>
        <w:rPr>
          <w:rFonts w:hint="eastAsia" w:asciiTheme="minorEastAsia" w:hAnsiTheme="minorEastAsia" w:eastAsiaTheme="minorEastAsia" w:cstheme="minorEastAsia"/>
          <w:color w:val="auto"/>
          <w:szCs w:val="21"/>
        </w:rPr>
        <w:t>调整供应商的技术、商务、价格</w:t>
      </w:r>
      <w:r>
        <w:rPr>
          <w:rFonts w:hint="eastAsia" w:asciiTheme="minorEastAsia" w:hAnsiTheme="minorEastAsia" w:eastAsiaTheme="minorEastAsia" w:cstheme="minorEastAsia"/>
          <w:color w:val="auto"/>
          <w:kern w:val="0"/>
          <w:szCs w:val="21"/>
        </w:rPr>
        <w:t>得分或总得分</w:t>
      </w:r>
      <w:r>
        <w:rPr>
          <w:rFonts w:hint="eastAsia" w:asciiTheme="minorEastAsia" w:hAnsiTheme="minorEastAsia" w:eastAsiaTheme="minorEastAsia" w:cstheme="minorEastAsia"/>
          <w:color w:val="auto"/>
          <w:szCs w:val="21"/>
        </w:rPr>
        <w:t>。</w:t>
      </w:r>
    </w:p>
    <w:p>
      <w:pPr>
        <w:adjustRightInd w:val="0"/>
        <w:snapToGrid w:val="0"/>
        <w:spacing w:beforeLines="50"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31.6涉及多处或部分获得政府采购政策优惠的，其多处或部分享受政府采购优惠政策的计算方法见</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相关规定。</w:t>
      </w:r>
    </w:p>
    <w:p>
      <w:pPr>
        <w:widowControl/>
        <w:adjustRightInd w:val="0"/>
        <w:snapToGrid w:val="0"/>
        <w:spacing w:beforeLines="50"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31.7</w:t>
      </w:r>
      <w:r>
        <w:rPr>
          <w:rFonts w:hint="eastAsia" w:asciiTheme="minorEastAsia" w:hAnsiTheme="minorEastAsia" w:eastAsiaTheme="minorEastAsia" w:cstheme="minorEastAsia"/>
          <w:color w:val="auto"/>
          <w:szCs w:val="21"/>
        </w:rPr>
        <w:t>评审时，磋商小组各成员应当独立对每个供应商的</w:t>
      </w:r>
      <w:r>
        <w:rPr>
          <w:rFonts w:hint="eastAsia" w:asciiTheme="minorEastAsia" w:hAnsiTheme="minorEastAsia" w:eastAsiaTheme="minorEastAsia" w:cstheme="minorEastAsia"/>
          <w:bCs/>
          <w:color w:val="auto"/>
          <w:szCs w:val="21"/>
        </w:rPr>
        <w:t>响应文件</w:t>
      </w:r>
      <w:r>
        <w:rPr>
          <w:rFonts w:hint="eastAsia" w:asciiTheme="minorEastAsia" w:hAnsiTheme="minorEastAsia" w:eastAsiaTheme="minorEastAsia" w:cstheme="minorEastAsia"/>
          <w:color w:val="auto"/>
          <w:szCs w:val="21"/>
        </w:rPr>
        <w:t>进行评价、评分，并按照政府采购优惠政策对最后报价进行价格扣除和技术、商务、价格加分后，汇总各供应商的总得分。</w:t>
      </w:r>
    </w:p>
    <w:p>
      <w:pPr>
        <w:widowControl/>
        <w:adjustRightInd w:val="0"/>
        <w:snapToGrid w:val="0"/>
        <w:spacing w:line="360" w:lineRule="auto"/>
        <w:jc w:val="left"/>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32</w:t>
      </w:r>
      <w:r>
        <w:rPr>
          <w:rFonts w:hint="eastAsia" w:asciiTheme="minorEastAsia" w:hAnsiTheme="minorEastAsia" w:eastAsiaTheme="minorEastAsia" w:cstheme="minorEastAsia"/>
          <w:b/>
          <w:color w:val="auto"/>
          <w:kern w:val="0"/>
          <w:szCs w:val="21"/>
        </w:rPr>
        <w:t>.</w:t>
      </w:r>
      <w:r>
        <w:rPr>
          <w:rFonts w:hint="eastAsia" w:asciiTheme="minorEastAsia" w:hAnsiTheme="minorEastAsia" w:eastAsiaTheme="minorEastAsia" w:cstheme="minorEastAsia"/>
          <w:b/>
          <w:bCs/>
          <w:color w:val="auto"/>
          <w:szCs w:val="21"/>
        </w:rPr>
        <w:t>提出成交供应商</w:t>
      </w:r>
    </w:p>
    <w:p>
      <w:pPr>
        <w:widowControl/>
        <w:spacing w:line="420" w:lineRule="atLeast"/>
        <w:jc w:val="cente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color w:val="auto"/>
          <w:kern w:val="0"/>
          <w:szCs w:val="21"/>
        </w:rPr>
        <w:t xml:space="preserve">    32.1</w:t>
      </w:r>
      <w:r>
        <w:rPr>
          <w:rFonts w:hint="eastAsia" w:asciiTheme="minorEastAsia" w:hAnsiTheme="minorEastAsia" w:eastAsiaTheme="minorEastAsia" w:cstheme="minorEastAsia"/>
          <w:bCs/>
          <w:color w:val="auto"/>
          <w:szCs w:val="21"/>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符合《政府采购竞争性磋商采购方式管理暂行办法》(财</w:t>
      </w:r>
    </w:p>
    <w:p>
      <w:pPr>
        <w:widowControl/>
        <w:spacing w:line="420" w:lineRule="atLeast"/>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库〔2014〕214号)</w:t>
      </w:r>
      <w:r>
        <w:rPr>
          <w:rFonts w:hint="eastAsia" w:asciiTheme="minorEastAsia" w:hAnsiTheme="minorEastAsia" w:eastAsiaTheme="minorEastAsia" w:cstheme="minorEastAsia"/>
          <w:color w:val="auto"/>
          <w:kern w:val="0"/>
          <w:szCs w:val="21"/>
        </w:rPr>
        <w:t>和《财政部关于政府采购竞争性磋商采购方式管理暂行办法有关问题的补充通知》（财库〔2015〕124号）所列“政府购买服务项目（含政府和社会资本合作项目）、市场竞争不充分的科研项目以及需要扶持的科技成果转化项目”情形的，</w:t>
      </w:r>
      <w:r>
        <w:rPr>
          <w:rFonts w:hint="eastAsia" w:asciiTheme="minorEastAsia" w:hAnsiTheme="minorEastAsia" w:eastAsiaTheme="minorEastAsia" w:cstheme="minorEastAsia"/>
          <w:bCs/>
          <w:color w:val="auto"/>
          <w:szCs w:val="21"/>
        </w:rPr>
        <w:t>可以推荐2家成交候选供应商。</w:t>
      </w:r>
    </w:p>
    <w:p>
      <w:pPr>
        <w:widowControl/>
        <w:spacing w:line="420" w:lineRule="atLeast"/>
        <w:rPr>
          <w:rFonts w:asciiTheme="minorEastAsia" w:hAnsiTheme="minorEastAsia" w:eastAsiaTheme="minorEastAsia" w:cstheme="minorEastAsia"/>
          <w:color w:val="auto"/>
          <w:kern w:val="0"/>
          <w:szCs w:val="21"/>
        </w:rPr>
      </w:pPr>
    </w:p>
    <w:p>
      <w:pPr>
        <w:tabs>
          <w:tab w:val="left" w:pos="0"/>
        </w:tabs>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33.确定成交供应商</w:t>
      </w:r>
    </w:p>
    <w:p>
      <w:pPr>
        <w:widowControl/>
        <w:adjustRightInd w:val="0"/>
        <w:snapToGrid w:val="0"/>
        <w:spacing w:line="360" w:lineRule="auto"/>
        <w:ind w:firstLine="420" w:firstLineChars="20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33.1采购代理机构应当在评审结束后2个工作日内将评审报告送采购人确认。</w:t>
      </w:r>
    </w:p>
    <w:p>
      <w:pPr>
        <w:widowControl/>
        <w:adjustRightInd w:val="0"/>
        <w:snapToGrid w:val="0"/>
        <w:spacing w:line="360" w:lineRule="auto"/>
        <w:ind w:firstLine="42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33.2采购人应当在收到评审报告后5个工作日内，从评审报告提出的成交候选供应商中，按照排序由高到低的原则确定成交供应商，也可以书面授权磋商小组直接确定成交供应商。</w:t>
      </w:r>
    </w:p>
    <w:p>
      <w:pPr>
        <w:pStyle w:val="25"/>
        <w:adjustRightInd w:val="0"/>
        <w:snapToGrid w:val="0"/>
        <w:spacing w:line="360" w:lineRule="auto"/>
        <w:ind w:left="632" w:hanging="632" w:hangingChars="300"/>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34.磋商终止</w:t>
      </w:r>
    </w:p>
    <w:p>
      <w:pPr>
        <w:widowControl/>
        <w:adjustRightInd w:val="0"/>
        <w:snapToGrid w:val="0"/>
        <w:spacing w:line="360" w:lineRule="auto"/>
        <w:ind w:firstLine="420" w:firstLineChars="20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Cs/>
          <w:color w:val="auto"/>
          <w:szCs w:val="21"/>
        </w:rPr>
        <w:t>34.1</w:t>
      </w:r>
      <w:r>
        <w:rPr>
          <w:rFonts w:hint="eastAsia" w:asciiTheme="minorEastAsia" w:hAnsiTheme="minorEastAsia" w:eastAsiaTheme="minorEastAsia" w:cstheme="minorEastAsia"/>
          <w:color w:val="auto"/>
          <w:kern w:val="0"/>
          <w:szCs w:val="21"/>
        </w:rPr>
        <w:t>出现下列情形之一的，采购人或者采购代理机构应当终止竞争性磋商采购活动，</w:t>
      </w:r>
      <w:r>
        <w:rPr>
          <w:rFonts w:hint="eastAsia" w:asciiTheme="minorEastAsia" w:hAnsiTheme="minorEastAsia" w:eastAsiaTheme="minorEastAsia" w:cstheme="minorEastAsia"/>
          <w:color w:val="auto"/>
        </w:rPr>
        <w:t>在本章第37.1款指定的媒体上</w:t>
      </w:r>
      <w:r>
        <w:rPr>
          <w:rFonts w:hint="eastAsia" w:asciiTheme="minorEastAsia" w:hAnsiTheme="minorEastAsia" w:eastAsiaTheme="minorEastAsia" w:cstheme="minorEastAsia"/>
          <w:color w:val="auto"/>
          <w:kern w:val="0"/>
          <w:szCs w:val="21"/>
        </w:rPr>
        <w:t xml:space="preserve">发布项目终止公告并说明原因，重新开展采购活动： </w:t>
      </w:r>
    </w:p>
    <w:p>
      <w:pPr>
        <w:widowControl/>
        <w:adjustRightInd w:val="0"/>
        <w:snapToGrid w:val="0"/>
        <w:spacing w:line="360" w:lineRule="auto"/>
        <w:ind w:firstLine="420" w:firstLineChars="20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（1）因情况变化，不再符合规定的竞争性磋商采购方式适用情形的；</w:t>
      </w:r>
    </w:p>
    <w:p>
      <w:pPr>
        <w:widowControl/>
        <w:adjustRightInd w:val="0"/>
        <w:snapToGrid w:val="0"/>
        <w:spacing w:line="360" w:lineRule="auto"/>
        <w:ind w:firstLine="42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（2）出现影响采购公正的违法、违规行为的；</w:t>
      </w:r>
    </w:p>
    <w:p>
      <w:pPr>
        <w:widowControl/>
        <w:adjustRightInd w:val="0"/>
        <w:snapToGrid w:val="0"/>
        <w:spacing w:line="360" w:lineRule="auto"/>
        <w:ind w:firstLine="420"/>
        <w:jc w:val="left"/>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color w:val="auto"/>
          <w:kern w:val="0"/>
          <w:szCs w:val="21"/>
        </w:rPr>
        <w:t>（3）</w:t>
      </w:r>
      <w:r>
        <w:rPr>
          <w:rFonts w:hint="eastAsia" w:asciiTheme="minorEastAsia" w:hAnsiTheme="minorEastAsia" w:eastAsiaTheme="minorEastAsia" w:cstheme="minorEastAsia"/>
          <w:bCs/>
          <w:color w:val="auto"/>
          <w:szCs w:val="21"/>
        </w:rPr>
        <w:t>除《政府采购竞争性磋商采购方式管理暂行办法》(财库〔2014〕214号)</w:t>
      </w:r>
      <w:r>
        <w:rPr>
          <w:rFonts w:hint="eastAsia" w:asciiTheme="minorEastAsia" w:hAnsiTheme="minorEastAsia" w:eastAsiaTheme="minorEastAsia" w:cstheme="minorEastAsia"/>
          <w:color w:val="auto"/>
          <w:kern w:val="0"/>
          <w:szCs w:val="21"/>
        </w:rPr>
        <w:t xml:space="preserve"> 和《财政部关于政府采购竞争性磋商采购方式管理暂行办法有关问题的补充通知》（财库〔2015〕124号）所列“政府购买服务项目（含政府和社会资本合作项目）、市场竞争不充分的科研项目以及需要扶持的科技成果转化项目”</w:t>
      </w:r>
      <w:r>
        <w:rPr>
          <w:rFonts w:hint="eastAsia" w:asciiTheme="minorEastAsia" w:hAnsiTheme="minorEastAsia" w:eastAsiaTheme="minorEastAsia" w:cstheme="minorEastAsia"/>
          <w:bCs/>
          <w:color w:val="auto"/>
          <w:szCs w:val="21"/>
        </w:rPr>
        <w:t>情形外，在采购过程中符合要求的供应商或者报价未超过采购预算的供应商不足3家的；</w:t>
      </w:r>
    </w:p>
    <w:p>
      <w:pPr>
        <w:widowControl/>
        <w:adjustRightInd w:val="0"/>
        <w:snapToGrid w:val="0"/>
        <w:spacing w:line="360" w:lineRule="auto"/>
        <w:ind w:firstLine="420"/>
        <w:jc w:val="left"/>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color w:val="auto"/>
          <w:kern w:val="0"/>
          <w:szCs w:val="21"/>
        </w:rPr>
        <w:t>（4）因重大变故，采购任务取消的。</w:t>
      </w:r>
    </w:p>
    <w:p>
      <w:pPr>
        <w:widowControl/>
        <w:adjustRightInd w:val="0"/>
        <w:snapToGrid w:val="0"/>
        <w:spacing w:line="360" w:lineRule="auto"/>
        <w:jc w:val="left"/>
        <w:rPr>
          <w:rFonts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35．重新评审</w:t>
      </w:r>
    </w:p>
    <w:p>
      <w:pPr>
        <w:widowControl/>
        <w:adjustRightInd w:val="0"/>
        <w:snapToGrid w:val="0"/>
        <w:spacing w:line="360" w:lineRule="auto"/>
        <w:ind w:firstLine="420" w:firstLineChars="20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35.1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w:t>
      </w:r>
    </w:p>
    <w:p>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36.保密及串通行为</w:t>
      </w:r>
    </w:p>
    <w:p>
      <w:pPr>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36.1磋商小组成员以及与评审工作有关的人员不得泄露评审情况以及评审过程中获悉的国家秘密、商业秘密。</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36.2</w:t>
      </w:r>
      <w:r>
        <w:rPr>
          <w:rFonts w:hint="eastAsia" w:asciiTheme="minorEastAsia" w:hAnsiTheme="minorEastAsia" w:eastAsiaTheme="minorEastAsia" w:cstheme="minorEastAsia"/>
          <w:color w:val="auto"/>
          <w:kern w:val="0"/>
          <w:szCs w:val="21"/>
        </w:rPr>
        <w:t>供应商</w:t>
      </w:r>
      <w:r>
        <w:rPr>
          <w:rFonts w:hint="eastAsia" w:asciiTheme="minorEastAsia" w:hAnsiTheme="minorEastAsia" w:eastAsiaTheme="minorEastAsia" w:cstheme="minorEastAsia"/>
          <w:color w:val="auto"/>
          <w:szCs w:val="21"/>
        </w:rPr>
        <w:t>不得与</w:t>
      </w:r>
      <w:r>
        <w:rPr>
          <w:rFonts w:hint="eastAsia" w:asciiTheme="minorEastAsia" w:hAnsiTheme="minorEastAsia" w:eastAsiaTheme="minorEastAsia" w:cstheme="minorEastAsia"/>
          <w:color w:val="auto"/>
          <w:kern w:val="0"/>
          <w:szCs w:val="21"/>
        </w:rPr>
        <w:t>采购人、采购代理机构、其他供应商恶意</w:t>
      </w:r>
      <w:r>
        <w:rPr>
          <w:rFonts w:hint="eastAsia" w:asciiTheme="minorEastAsia" w:hAnsiTheme="minorEastAsia" w:eastAsiaTheme="minorEastAsia" w:cstheme="minorEastAsia"/>
          <w:color w:val="auto"/>
          <w:szCs w:val="21"/>
        </w:rPr>
        <w:t>串通；不得向</w:t>
      </w:r>
      <w:r>
        <w:rPr>
          <w:rFonts w:hint="eastAsia" w:asciiTheme="minorEastAsia" w:hAnsiTheme="minorEastAsia" w:eastAsiaTheme="minorEastAsia" w:cstheme="minorEastAsia"/>
          <w:color w:val="auto"/>
          <w:kern w:val="0"/>
          <w:szCs w:val="21"/>
        </w:rPr>
        <w:t>采购人、采购代理机构</w:t>
      </w:r>
      <w:r>
        <w:rPr>
          <w:rFonts w:hint="eastAsia" w:asciiTheme="minorEastAsia" w:hAnsiTheme="minorEastAsia" w:eastAsiaTheme="minorEastAsia" w:cstheme="minorEastAsia"/>
          <w:color w:val="auto"/>
          <w:szCs w:val="21"/>
        </w:rPr>
        <w:t>或者磋商小组成员行贿或者提供其他不正当利益；不得提供虚假资料谋取成交；不得以任何方式干扰、影响采购工作。</w:t>
      </w:r>
    </w:p>
    <w:p>
      <w:pPr>
        <w:pStyle w:val="41"/>
        <w:adjustRightInd w:val="0"/>
        <w:snapToGrid w:val="0"/>
        <w:spacing w:before="0" w:beforeAutospacing="0" w:after="0" w:afterAutospacing="0" w:line="360" w:lineRule="auto"/>
        <w:ind w:firstLine="420" w:firstLineChars="200"/>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rPr>
        <w:t>36.3</w:t>
      </w:r>
      <w:r>
        <w:rPr>
          <w:rFonts w:hint="eastAsia" w:asciiTheme="minorEastAsia" w:hAnsiTheme="minorEastAsia" w:eastAsiaTheme="minorEastAsia" w:cstheme="minorEastAsia"/>
          <w:color w:val="auto"/>
          <w:sz w:val="21"/>
          <w:szCs w:val="21"/>
          <w:lang w:val="zh-CN"/>
        </w:rPr>
        <w:t>有下列情形之一的，属于恶意串通，对供应商依照政府采购法第七十七条第一款的规定追究法律责任：</w:t>
      </w:r>
    </w:p>
    <w:p>
      <w:pPr>
        <w:pStyle w:val="41"/>
        <w:adjustRightInd w:val="0"/>
        <w:snapToGrid w:val="0"/>
        <w:spacing w:before="0" w:beforeAutospacing="0" w:after="0" w:afterAutospacing="0" w:line="360" w:lineRule="auto"/>
        <w:ind w:firstLine="420" w:firstLineChars="200"/>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（一）供应商直接或者间接从采购人或者采购代理机构处获得其他供应商的相关情况并修改其投标文件或者响应文件；</w:t>
      </w:r>
    </w:p>
    <w:p>
      <w:pPr>
        <w:pStyle w:val="41"/>
        <w:adjustRightInd w:val="0"/>
        <w:snapToGrid w:val="0"/>
        <w:spacing w:before="0" w:beforeAutospacing="0" w:after="0" w:afterAutospacing="0" w:line="360" w:lineRule="auto"/>
        <w:ind w:firstLine="420" w:firstLineChars="200"/>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（二）供应商按照采购人或者采购代理机构的授意撤换、修改投标文件或者响应文件；</w:t>
      </w:r>
    </w:p>
    <w:p>
      <w:pPr>
        <w:pStyle w:val="41"/>
        <w:adjustRightInd w:val="0"/>
        <w:snapToGrid w:val="0"/>
        <w:spacing w:before="0" w:beforeAutospacing="0" w:after="0" w:afterAutospacing="0" w:line="360" w:lineRule="auto"/>
        <w:ind w:firstLine="420" w:firstLineChars="200"/>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（三）供应商之间协商报价、技术方案等投标文件或者响应文件的实质性内容；</w:t>
      </w:r>
    </w:p>
    <w:p>
      <w:pPr>
        <w:pStyle w:val="41"/>
        <w:adjustRightInd w:val="0"/>
        <w:snapToGrid w:val="0"/>
        <w:spacing w:before="0" w:beforeAutospacing="0" w:after="0" w:afterAutospacing="0" w:line="360" w:lineRule="auto"/>
        <w:ind w:firstLine="420" w:firstLineChars="200"/>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（四）属于同一集团、协会、商会等组织成员的供应商按照该组织要求协同参加政府采购活动；</w:t>
      </w:r>
    </w:p>
    <w:p>
      <w:pPr>
        <w:pStyle w:val="41"/>
        <w:adjustRightInd w:val="0"/>
        <w:snapToGrid w:val="0"/>
        <w:spacing w:before="0" w:beforeAutospacing="0" w:after="0" w:afterAutospacing="0" w:line="360" w:lineRule="auto"/>
        <w:ind w:firstLine="420" w:firstLineChars="200"/>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（五）供应商之间事先约定由某一特定供应商中标、成交；</w:t>
      </w:r>
    </w:p>
    <w:p>
      <w:pPr>
        <w:pStyle w:val="41"/>
        <w:adjustRightInd w:val="0"/>
        <w:snapToGrid w:val="0"/>
        <w:spacing w:before="0" w:beforeAutospacing="0" w:after="0" w:afterAutospacing="0" w:line="360" w:lineRule="auto"/>
        <w:ind w:firstLine="420" w:firstLineChars="200"/>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（六）供应商之间商定部分供应商放弃参加政府采购活动或者放弃中标、成交；</w:t>
      </w:r>
    </w:p>
    <w:p>
      <w:pPr>
        <w:pStyle w:val="41"/>
        <w:adjustRightInd w:val="0"/>
        <w:snapToGrid w:val="0"/>
        <w:spacing w:before="0" w:beforeAutospacing="0" w:after="0" w:afterAutospacing="0" w:line="360" w:lineRule="auto"/>
        <w:ind w:firstLine="420" w:firstLineChars="200"/>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（七）供应商与采购人或者采购代理机构之间、供应商相互之间，为谋求特定供应商中标、成交或者排斥其他供应商的其他串通行为。</w:t>
      </w:r>
    </w:p>
    <w:p>
      <w:pPr>
        <w:adjustRightInd w:val="0"/>
        <w:snapToGrid w:val="0"/>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六、成交结果信息公布与授予合同</w:t>
      </w:r>
    </w:p>
    <w:p>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37.成交信息的公布</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37.1成交供应商确定后2个工作日内，成交结果信息将在</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rPr>
        <w:t>指定的媒体上公布。</w:t>
      </w:r>
    </w:p>
    <w:p>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38.询问及质疑</w:t>
      </w:r>
    </w:p>
    <w:p>
      <w:pPr>
        <w:adjustRightInd w:val="0"/>
        <w:snapToGrid w:val="0"/>
        <w:spacing w:line="360" w:lineRule="auto"/>
        <w:ind w:firstLine="420" w:firstLineChars="200"/>
        <w:jc w:val="lef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zCs w:val="21"/>
        </w:rPr>
        <w:t>38.1供应商对政府采购活动事项有疑问的，可以向采购人或采购代理机构提出询问。</w:t>
      </w:r>
    </w:p>
    <w:p>
      <w:pPr>
        <w:adjustRightInd w:val="0"/>
        <w:snapToGrid w:val="0"/>
        <w:spacing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38.2供应商若认为磋商文件、采购过程和成交结果使自己的权益受到损害，可以按法律、行政法规及湖南省财政厅规范性文件规定向采购人或采购代理机构提出质疑。</w:t>
      </w:r>
    </w:p>
    <w:p>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39.成交通知</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39.1成交供应商确定后，采购人或采购代理机构将以书面形式向成交供应商发出成交通知书。成交通知书对采购人和成交供应商具有同等法律效力。</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39.2 成交通知书是合同文件的组成部分。</w:t>
      </w:r>
    </w:p>
    <w:p>
      <w:pPr>
        <w:tabs>
          <w:tab w:val="left" w:pos="7560"/>
          <w:tab w:val="left" w:pos="7740"/>
          <w:tab w:val="left" w:pos="7920"/>
        </w:tabs>
        <w:autoSpaceDN w:val="0"/>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 xml:space="preserve">39.3 </w:t>
      </w:r>
      <w:r>
        <w:rPr>
          <w:rFonts w:hint="eastAsia" w:asciiTheme="minorEastAsia" w:hAnsiTheme="minorEastAsia" w:eastAsiaTheme="minorEastAsia" w:cstheme="minorEastAsia"/>
          <w:color w:val="auto"/>
          <w:szCs w:val="21"/>
        </w:rPr>
        <w:t>成交供应商在收到采购代理机构的成交通知书后10日内，应按照</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的规定，向采购人提交履约担保。联合体成交的，履约担保由联合体各方或联合体中牵头人的名义提交。</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39.4 成交供应商</w:t>
      </w:r>
      <w:r>
        <w:rPr>
          <w:rFonts w:hint="eastAsia" w:asciiTheme="minorEastAsia" w:hAnsiTheme="minorEastAsia" w:eastAsiaTheme="minorEastAsia" w:cstheme="minorEastAsia"/>
          <w:color w:val="auto"/>
          <w:spacing w:val="4"/>
        </w:rPr>
        <w:t>没有按照本章第39.3</w:t>
      </w:r>
      <w:r>
        <w:rPr>
          <w:rFonts w:hint="eastAsia" w:asciiTheme="minorEastAsia" w:hAnsiTheme="minorEastAsia" w:eastAsiaTheme="minorEastAsia" w:cstheme="minorEastAsia"/>
          <w:color w:val="auto"/>
          <w:kern w:val="0"/>
          <w:lang w:val="zh-CN"/>
        </w:rPr>
        <w:t>款</w:t>
      </w:r>
      <w:r>
        <w:rPr>
          <w:rFonts w:hint="eastAsia" w:asciiTheme="minorEastAsia" w:hAnsiTheme="minorEastAsia" w:eastAsiaTheme="minorEastAsia" w:cstheme="minorEastAsia"/>
          <w:color w:val="auto"/>
          <w:spacing w:val="4"/>
        </w:rPr>
        <w:t>规定</w:t>
      </w:r>
      <w:r>
        <w:rPr>
          <w:rFonts w:hint="eastAsia" w:asciiTheme="minorEastAsia" w:hAnsiTheme="minorEastAsia" w:eastAsiaTheme="minorEastAsia" w:cstheme="minorEastAsia"/>
          <w:color w:val="auto"/>
        </w:rPr>
        <w:t>提交履约担保的</w:t>
      </w:r>
      <w:r>
        <w:rPr>
          <w:rFonts w:hint="eastAsia" w:asciiTheme="minorEastAsia" w:hAnsiTheme="minorEastAsia" w:eastAsiaTheme="minorEastAsia" w:cstheme="minorEastAsia"/>
          <w:color w:val="auto"/>
          <w:spacing w:val="4"/>
        </w:rPr>
        <w:t>，视为放弃</w:t>
      </w:r>
      <w:r>
        <w:rPr>
          <w:rFonts w:hint="eastAsia" w:asciiTheme="minorEastAsia" w:hAnsiTheme="minorEastAsia" w:eastAsiaTheme="minorEastAsia" w:cstheme="minorEastAsia"/>
          <w:color w:val="auto"/>
        </w:rPr>
        <w:t>成交资格</w:t>
      </w:r>
      <w:r>
        <w:rPr>
          <w:rFonts w:hint="eastAsia" w:asciiTheme="minorEastAsia" w:hAnsiTheme="minorEastAsia" w:eastAsiaTheme="minorEastAsia" w:cstheme="minorEastAsia"/>
          <w:color w:val="auto"/>
          <w:spacing w:val="4"/>
        </w:rPr>
        <w:t>，</w:t>
      </w:r>
      <w:r>
        <w:rPr>
          <w:rFonts w:hint="eastAsia" w:asciiTheme="minorEastAsia" w:hAnsiTheme="minorEastAsia" w:eastAsiaTheme="minorEastAsia" w:cstheme="minorEastAsia"/>
          <w:color w:val="auto"/>
          <w:spacing w:val="2"/>
        </w:rPr>
        <w:t>其保证金不予退还。</w:t>
      </w:r>
    </w:p>
    <w:p>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40.签订合同</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40.1成交供应商应当在成交通知书发出之日起30日内与采购人签订政府采购合同。</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40.2磋商文件、成交供应商的响应文件等均为签订政府采购合同的依据。</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40.3 成交供应商应当按照合同约定履行义务。成交供应商不得向他人转让成交项目，也不得将成交项目分包后分别向他人转让。</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40.4 成交供应商有下列情形之一的，责令限期改正，情节严重的，列入不良行为记录名单，在1至3年内禁止参加政府采购活动，并予以通报：</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（一）成交后无正当理由不与采购人签订合同的；</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（二）未按照磋商文件确定的事项签订政府采购合同，或者与采购人另行订立背离合同实质性内容的协议的；</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（三）拒绝履行合同义务的；</w:t>
      </w:r>
    </w:p>
    <w:p>
      <w:pPr>
        <w:pStyle w:val="25"/>
        <w:adjustRightInd w:val="0"/>
        <w:snapToGrid w:val="0"/>
        <w:spacing w:line="360" w:lineRule="auto"/>
        <w:ind w:firstLine="420" w:firstLineChars="200"/>
        <w:rPr>
          <w:rFonts w:asciiTheme="minorEastAsia" w:hAnsiTheme="minorEastAsia" w:eastAsiaTheme="minorEastAsia" w:cstheme="minorEastAsia"/>
          <w:color w:val="auto"/>
          <w:kern w:val="0"/>
        </w:rPr>
      </w:pPr>
      <w:r>
        <w:rPr>
          <w:rFonts w:hint="eastAsia" w:asciiTheme="minorEastAsia" w:hAnsiTheme="minorEastAsia" w:eastAsiaTheme="minorEastAsia" w:cstheme="minorEastAsia"/>
          <w:color w:val="auto"/>
        </w:rPr>
        <w:t>（四）</w:t>
      </w:r>
      <w:r>
        <w:rPr>
          <w:rFonts w:hint="eastAsia" w:asciiTheme="minorEastAsia" w:hAnsiTheme="minorEastAsia" w:eastAsiaTheme="minorEastAsia" w:cstheme="minorEastAsia"/>
          <w:color w:val="auto"/>
          <w:kern w:val="0"/>
        </w:rPr>
        <w:t>违反法律、规章、规范性文件规定的。</w:t>
      </w:r>
    </w:p>
    <w:p>
      <w:pPr>
        <w:adjustRightInd w:val="0"/>
        <w:snapToGrid w:val="0"/>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七、其他规定</w:t>
      </w:r>
    </w:p>
    <w:p>
      <w:pPr>
        <w:adjustRightInd w:val="0"/>
        <w:snapToGrid w:val="0"/>
        <w:spacing w:line="360" w:lineRule="auto"/>
        <w:jc w:val="lef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41.1采购代理服务费</w:t>
      </w:r>
    </w:p>
    <w:p>
      <w:pPr>
        <w:tabs>
          <w:tab w:val="left" w:pos="420"/>
          <w:tab w:val="left" w:pos="7560"/>
          <w:tab w:val="left" w:pos="7740"/>
          <w:tab w:val="left" w:pos="7920"/>
        </w:tabs>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41.1采购代理机构应按</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规定收取采购代理服务费。</w:t>
      </w:r>
    </w:p>
    <w:p>
      <w:pPr>
        <w:tabs>
          <w:tab w:val="left" w:pos="420"/>
          <w:tab w:val="left" w:pos="7560"/>
          <w:tab w:val="left" w:pos="7740"/>
          <w:tab w:val="left" w:pos="7920"/>
        </w:tabs>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41.2集中采购机构不得收取采购代理服务费。</w:t>
      </w:r>
    </w:p>
    <w:p>
      <w:pPr>
        <w:tabs>
          <w:tab w:val="left" w:pos="420"/>
          <w:tab w:val="left" w:pos="7560"/>
          <w:tab w:val="left" w:pos="7740"/>
          <w:tab w:val="left" w:pos="7920"/>
        </w:tabs>
        <w:adjustRightInd w:val="0"/>
        <w:snapToGrid w:val="0"/>
        <w:spacing w:line="360" w:lineRule="auto"/>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szCs w:val="21"/>
        </w:rPr>
        <w:t>42.</w:t>
      </w:r>
      <w:r>
        <w:rPr>
          <w:rFonts w:hint="eastAsia" w:asciiTheme="minorEastAsia" w:hAnsiTheme="minorEastAsia" w:eastAsiaTheme="minorEastAsia" w:cstheme="minorEastAsia"/>
          <w:b/>
          <w:color w:val="auto"/>
        </w:rPr>
        <w:t>其他规定</w:t>
      </w:r>
    </w:p>
    <w:p>
      <w:pPr>
        <w:tabs>
          <w:tab w:val="left" w:pos="420"/>
          <w:tab w:val="left" w:pos="7560"/>
          <w:tab w:val="left" w:pos="7740"/>
          <w:tab w:val="left" w:pos="7920"/>
        </w:tabs>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42.1</w:t>
      </w:r>
      <w:r>
        <w:rPr>
          <w:rFonts w:hint="eastAsia" w:asciiTheme="minorEastAsia" w:hAnsiTheme="minorEastAsia" w:eastAsiaTheme="minorEastAsia" w:cstheme="minorEastAsia"/>
          <w:color w:val="auto"/>
          <w:szCs w:val="21"/>
        </w:rPr>
        <w:t>磋商文件</w:t>
      </w:r>
      <w:r>
        <w:rPr>
          <w:rFonts w:hint="eastAsia" w:asciiTheme="minorEastAsia" w:hAnsiTheme="minorEastAsia" w:eastAsiaTheme="minorEastAsia" w:cstheme="minorEastAsia"/>
          <w:color w:val="auto"/>
        </w:rPr>
        <w:t>的其他规定</w:t>
      </w:r>
      <w:r>
        <w:rPr>
          <w:rFonts w:hint="eastAsia" w:asciiTheme="minorEastAsia" w:hAnsiTheme="minorEastAsia" w:eastAsiaTheme="minorEastAsia" w:cstheme="minorEastAsia"/>
          <w:color w:val="auto"/>
          <w:szCs w:val="21"/>
        </w:rPr>
        <w:t>见</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w:t>
      </w:r>
    </w:p>
    <w:p>
      <w:pPr>
        <w:adjustRightInd w:val="0"/>
        <w:snapToGrid w:val="0"/>
        <w:spacing w:beforeLines="50" w:line="360" w:lineRule="auto"/>
        <w:jc w:val="center"/>
        <w:rPr>
          <w:rFonts w:asciiTheme="minorEastAsia" w:hAnsiTheme="minorEastAsia" w:eastAsiaTheme="minorEastAsia" w:cstheme="minorEastAsia"/>
          <w:b/>
          <w:color w:val="auto"/>
          <w:sz w:val="32"/>
          <w:szCs w:val="32"/>
        </w:rPr>
      </w:pPr>
    </w:p>
    <w:p>
      <w:pPr>
        <w:adjustRightInd w:val="0"/>
        <w:snapToGrid w:val="0"/>
        <w:spacing w:beforeLines="50" w:line="360" w:lineRule="auto"/>
        <w:jc w:val="center"/>
        <w:rPr>
          <w:rFonts w:asciiTheme="minorEastAsia" w:hAnsiTheme="minorEastAsia" w:eastAsiaTheme="minorEastAsia" w:cstheme="minorEastAsia"/>
          <w:b/>
          <w:color w:val="auto"/>
          <w:sz w:val="32"/>
          <w:szCs w:val="32"/>
        </w:rPr>
      </w:pPr>
    </w:p>
    <w:p>
      <w:pPr>
        <w:adjustRightInd w:val="0"/>
        <w:snapToGrid w:val="0"/>
        <w:spacing w:beforeLines="50" w:line="360" w:lineRule="auto"/>
        <w:jc w:val="center"/>
        <w:rPr>
          <w:rFonts w:asciiTheme="minorEastAsia" w:hAnsiTheme="minorEastAsia" w:eastAsiaTheme="minorEastAsia" w:cstheme="minorEastAsia"/>
          <w:b/>
          <w:color w:val="auto"/>
          <w:sz w:val="32"/>
          <w:szCs w:val="32"/>
        </w:rPr>
      </w:pPr>
    </w:p>
    <w:p>
      <w:pPr>
        <w:adjustRightInd w:val="0"/>
        <w:snapToGrid w:val="0"/>
        <w:spacing w:beforeLines="50" w:line="360" w:lineRule="auto"/>
        <w:jc w:val="center"/>
        <w:outlineLvl w:val="0"/>
        <w:rPr>
          <w:rFonts w:asciiTheme="minorEastAsia" w:hAnsiTheme="minorEastAsia" w:eastAsiaTheme="minorEastAsia" w:cstheme="minorEastAsia"/>
          <w:b/>
          <w:color w:val="auto"/>
          <w:sz w:val="32"/>
          <w:szCs w:val="32"/>
        </w:rPr>
      </w:pPr>
      <w:bookmarkStart w:id="26" w:name="_Toc24216"/>
      <w:bookmarkStart w:id="27" w:name="_Toc7146"/>
      <w:bookmarkStart w:id="28" w:name="_Toc27256"/>
      <w:bookmarkStart w:id="29" w:name="_Toc12052"/>
      <w:bookmarkStart w:id="30" w:name="_Toc2041_WPSOffice_Level1"/>
      <w:bookmarkStart w:id="31" w:name="_Toc21930"/>
      <w:bookmarkStart w:id="32" w:name="_Toc21050"/>
      <w:bookmarkStart w:id="33" w:name="_Toc5797"/>
      <w:bookmarkStart w:id="34" w:name="_Toc431364758"/>
      <w:r>
        <w:rPr>
          <w:rFonts w:hint="eastAsia" w:asciiTheme="minorEastAsia" w:hAnsiTheme="minorEastAsia" w:eastAsiaTheme="minorEastAsia" w:cstheme="minorEastAsia"/>
          <w:b/>
          <w:color w:val="auto"/>
          <w:sz w:val="32"/>
          <w:szCs w:val="32"/>
        </w:rPr>
        <w:t>第三章 政府采购合同格式</w:t>
      </w:r>
      <w:bookmarkEnd w:id="26"/>
      <w:bookmarkEnd w:id="27"/>
      <w:bookmarkEnd w:id="28"/>
      <w:bookmarkEnd w:id="29"/>
      <w:bookmarkEnd w:id="30"/>
      <w:bookmarkEnd w:id="31"/>
      <w:bookmarkEnd w:id="32"/>
      <w:bookmarkEnd w:id="33"/>
      <w:bookmarkEnd w:id="34"/>
    </w:p>
    <w:p>
      <w:pPr>
        <w:pStyle w:val="5"/>
        <w:jc w:val="center"/>
        <w:rPr>
          <w:rFonts w:asciiTheme="minorEastAsia" w:hAnsiTheme="minorEastAsia" w:eastAsiaTheme="minorEastAsia" w:cstheme="minorEastAsia"/>
          <w:color w:val="auto"/>
        </w:rPr>
      </w:pPr>
      <w:bookmarkStart w:id="35" w:name="_Toc431364759"/>
      <w:bookmarkStart w:id="36" w:name="_Toc29690"/>
      <w:bookmarkStart w:id="37" w:name="_Toc17413"/>
      <w:bookmarkStart w:id="38" w:name="_Toc23624"/>
      <w:bookmarkStart w:id="39" w:name="_Toc17316"/>
      <w:bookmarkStart w:id="40" w:name="_Toc7483"/>
      <w:bookmarkStart w:id="41" w:name="_Toc20161"/>
      <w:bookmarkStart w:id="42" w:name="_Toc6405"/>
      <w:r>
        <w:rPr>
          <w:rFonts w:hint="eastAsia" w:asciiTheme="minorEastAsia" w:hAnsiTheme="minorEastAsia" w:eastAsiaTheme="minorEastAsia" w:cstheme="minorEastAsia"/>
          <w:color w:val="auto"/>
        </w:rPr>
        <w:t>一、政府采购合同协议书</w:t>
      </w:r>
      <w:bookmarkEnd w:id="35"/>
      <w:bookmarkEnd w:id="36"/>
      <w:bookmarkEnd w:id="37"/>
      <w:bookmarkEnd w:id="38"/>
      <w:bookmarkEnd w:id="39"/>
      <w:bookmarkEnd w:id="40"/>
      <w:bookmarkEnd w:id="41"/>
      <w:bookmarkEnd w:id="42"/>
    </w:p>
    <w:p>
      <w:pPr>
        <w:pStyle w:val="19"/>
        <w:adjustRightInd w:val="0"/>
        <w:snapToGrid w:val="0"/>
        <w:spacing w:after="0" w:line="360" w:lineRule="auto"/>
        <w:ind w:left="0" w:leftChars="0"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采购合同编号：</w:t>
      </w:r>
    </w:p>
    <w:p>
      <w:pPr>
        <w:pStyle w:val="19"/>
        <w:adjustRightInd w:val="0"/>
        <w:snapToGrid w:val="0"/>
        <w:spacing w:after="0" w:line="360" w:lineRule="auto"/>
        <w:ind w:left="0" w:leftChars="0"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采购人（全称）：（甲方）</w:t>
      </w:r>
    </w:p>
    <w:p>
      <w:pPr>
        <w:pStyle w:val="19"/>
        <w:adjustRightInd w:val="0"/>
        <w:snapToGrid w:val="0"/>
        <w:spacing w:after="0" w:line="360" w:lineRule="auto"/>
        <w:ind w:left="0" w:leftChars="0"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供应商（全称）：（乙方）</w:t>
      </w:r>
    </w:p>
    <w:p>
      <w:pPr>
        <w:pStyle w:val="19"/>
        <w:adjustRightInd w:val="0"/>
        <w:snapToGrid w:val="0"/>
        <w:spacing w:after="0" w:line="360" w:lineRule="auto"/>
        <w:ind w:left="0" w:leftChars="0"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为了保护甲、乙双方合法权益，根据《中华人民共和国合同法》、《中华人民共和国政府采购法》及其他有关法律、法规、规章，双方签订本合同协议书。</w:t>
      </w:r>
    </w:p>
    <w:p>
      <w:pPr>
        <w:adjustRightInd w:val="0"/>
        <w:snapToGrid w:val="0"/>
        <w:spacing w:line="360" w:lineRule="auto"/>
        <w:ind w:firstLine="422" w:firstLineChars="200"/>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1.项目信息</w:t>
      </w:r>
    </w:p>
    <w:p>
      <w:pPr>
        <w:spacing w:line="360" w:lineRule="auto"/>
        <w:ind w:firstLine="420" w:firstLineChars="200"/>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color w:val="auto"/>
          <w:szCs w:val="21"/>
        </w:rPr>
        <w:t>（1）采购项目名称：</w:t>
      </w:r>
    </w:p>
    <w:p>
      <w:pPr>
        <w:pStyle w:val="19"/>
        <w:adjustRightInd w:val="0"/>
        <w:snapToGrid w:val="0"/>
        <w:spacing w:after="0"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（2）采购计划编号：</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（3）项目内容：</w:t>
      </w:r>
    </w:p>
    <w:p>
      <w:pPr>
        <w:adjustRightInd w:val="0"/>
        <w:snapToGrid w:val="0"/>
        <w:spacing w:line="360" w:lineRule="auto"/>
        <w:ind w:firstLine="413" w:firstLineChars="196"/>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2.合同金额</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（1）合同金额小写：</w:t>
      </w:r>
    </w:p>
    <w:p>
      <w:pPr>
        <w:adjustRightInd w:val="0"/>
        <w:snapToGrid w:val="0"/>
        <w:spacing w:line="360" w:lineRule="auto"/>
        <w:ind w:firstLine="1785" w:firstLineChars="850"/>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大写：</w:t>
      </w:r>
    </w:p>
    <w:p>
      <w:pPr>
        <w:adjustRightInd w:val="0"/>
        <w:snapToGrid w:val="0"/>
        <w:spacing w:line="360" w:lineRule="auto"/>
        <w:ind w:firstLine="422" w:firstLineChars="200"/>
        <w:rPr>
          <w:rFonts w:asciiTheme="minorEastAsia" w:hAnsiTheme="minorEastAsia" w:eastAsiaTheme="minorEastAsia" w:cstheme="minorEastAsia"/>
          <w:color w:val="auto"/>
          <w:szCs w:val="21"/>
          <w:u w:val="single"/>
        </w:rPr>
      </w:pPr>
      <w:r>
        <w:rPr>
          <w:rFonts w:hint="eastAsia" w:asciiTheme="minorEastAsia" w:hAnsiTheme="minorEastAsia" w:eastAsiaTheme="minorEastAsia" w:cstheme="minorEastAsia"/>
          <w:b/>
          <w:color w:val="auto"/>
          <w:szCs w:val="21"/>
        </w:rPr>
        <w:t>3.履行合同的时间、地点及方式</w:t>
      </w:r>
    </w:p>
    <w:p>
      <w:pPr>
        <w:adjustRightInd w:val="0"/>
        <w:snapToGrid w:val="0"/>
        <w:spacing w:line="360" w:lineRule="auto"/>
        <w:ind w:firstLine="630" w:firstLineChars="3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起始日期：年月日，完成日期：年月日。总日历天数：天。</w:t>
      </w:r>
    </w:p>
    <w:p>
      <w:pPr>
        <w:adjustRightInd w:val="0"/>
        <w:snapToGrid w:val="0"/>
        <w:spacing w:line="360" w:lineRule="auto"/>
        <w:ind w:firstLine="630" w:firstLineChars="300"/>
        <w:rPr>
          <w:rFonts w:asciiTheme="minorEastAsia" w:hAnsiTheme="minorEastAsia" w:eastAsiaTheme="minorEastAsia" w:cstheme="minorEastAsia"/>
          <w:color w:val="auto"/>
          <w:szCs w:val="21"/>
          <w:u w:val="single"/>
        </w:rPr>
      </w:pPr>
      <w:r>
        <w:rPr>
          <w:rFonts w:hint="eastAsia" w:asciiTheme="minorEastAsia" w:hAnsiTheme="minorEastAsia" w:eastAsiaTheme="minorEastAsia" w:cstheme="minorEastAsia"/>
          <w:color w:val="auto"/>
          <w:szCs w:val="21"/>
        </w:rPr>
        <w:t>地点</w:t>
      </w:r>
      <w:r>
        <w:rPr>
          <w:rFonts w:hint="eastAsia" w:asciiTheme="minorEastAsia" w:hAnsiTheme="minorEastAsia" w:eastAsiaTheme="minorEastAsia" w:cstheme="minorEastAsia"/>
          <w:b/>
          <w:color w:val="auto"/>
          <w:szCs w:val="21"/>
        </w:rPr>
        <w:t>：</w:t>
      </w:r>
    </w:p>
    <w:p>
      <w:pPr>
        <w:adjustRightInd w:val="0"/>
        <w:snapToGrid w:val="0"/>
        <w:spacing w:line="360" w:lineRule="auto"/>
        <w:ind w:firstLine="630" w:firstLineChars="3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方式：</w:t>
      </w:r>
    </w:p>
    <w:p>
      <w:pPr>
        <w:adjustRightInd w:val="0"/>
        <w:snapToGrid w:val="0"/>
        <w:spacing w:line="360" w:lineRule="auto"/>
        <w:ind w:firstLine="422" w:firstLineChars="200"/>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4.付款方式：</w:t>
      </w:r>
    </w:p>
    <w:p>
      <w:pPr>
        <w:adjustRightInd w:val="0"/>
        <w:snapToGrid w:val="0"/>
        <w:spacing w:line="360" w:lineRule="auto"/>
        <w:ind w:firstLine="420" w:firstLineChars="200"/>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结算方式:以实际发生的工程量按实结算，本工程不下浮。</w:t>
      </w:r>
    </w:p>
    <w:p>
      <w:pPr>
        <w:adjustRightInd w:val="0"/>
        <w:snapToGrid w:val="0"/>
        <w:spacing w:line="360" w:lineRule="auto"/>
        <w:ind w:firstLine="422" w:firstLineChars="200"/>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5.解决合同纠纷方式</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首先通过双方协商解决，协商解决不成，则通过以下途径之一解决纠纷：</w:t>
      </w:r>
    </w:p>
    <w:p>
      <w:pPr>
        <w:adjustRightInd w:val="0"/>
        <w:snapToGrid w:val="0"/>
        <w:spacing w:line="360" w:lineRule="auto"/>
        <w:ind w:firstLine="840" w:firstLineChars="4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提请仲裁       √向人民法院提起诉讼</w:t>
      </w:r>
    </w:p>
    <w:p>
      <w:pPr>
        <w:adjustRightInd w:val="0"/>
        <w:snapToGrid w:val="0"/>
        <w:spacing w:line="360" w:lineRule="auto"/>
        <w:ind w:firstLine="422" w:firstLineChars="200"/>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6.组成合同的文件</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本协议书与下列文件一起构成合同文件，如下述文件之间有任何抵触、矛盾或歧义，应按以下顺序解释：</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（1）在采购或合同履行过程中乙方作出的承诺以及双方协商达成的变更或补充协议</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（2）成交通知书</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（3）响应文件</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（4）政府采购合同格式条款及其附件</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（5）专用合同条款</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（6）通用合同条款（如果有）</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（7）标准、规范及有关技术文件，图纸，已标价工程量清单或预算书（如果有）</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（8）其他合同文件。</w:t>
      </w:r>
    </w:p>
    <w:p>
      <w:pPr>
        <w:adjustRightInd w:val="0"/>
        <w:snapToGrid w:val="0"/>
        <w:spacing w:line="360" w:lineRule="auto"/>
        <w:ind w:firstLine="310" w:firstLineChars="147"/>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7.合同生效</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本合同自</w:t>
      </w:r>
      <w:r>
        <w:rPr>
          <w:rFonts w:hint="eastAsia" w:asciiTheme="minorEastAsia" w:hAnsiTheme="minorEastAsia" w:eastAsiaTheme="minorEastAsia" w:cstheme="minorEastAsia"/>
          <w:color w:val="auto"/>
          <w:szCs w:val="21"/>
          <w:u w:val="single"/>
        </w:rPr>
        <w:t xml:space="preserve"> 双方签字盖章后</w:t>
      </w:r>
      <w:r>
        <w:rPr>
          <w:rFonts w:hint="eastAsia" w:asciiTheme="minorEastAsia" w:hAnsiTheme="minorEastAsia" w:eastAsiaTheme="minorEastAsia" w:cstheme="minorEastAsia"/>
          <w:color w:val="auto"/>
          <w:szCs w:val="21"/>
        </w:rPr>
        <w:t>生效。</w:t>
      </w:r>
    </w:p>
    <w:p>
      <w:pPr>
        <w:adjustRightInd w:val="0"/>
        <w:snapToGrid w:val="0"/>
        <w:spacing w:line="360" w:lineRule="auto"/>
        <w:ind w:firstLine="310" w:firstLineChars="147"/>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8.合同份数</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本合同一式</w:t>
      </w:r>
      <w:r>
        <w:rPr>
          <w:rFonts w:hint="eastAsia" w:asciiTheme="minorEastAsia" w:hAnsiTheme="minorEastAsia" w:eastAsiaTheme="minorEastAsia" w:cstheme="minorEastAsia"/>
          <w:color w:val="auto"/>
          <w:szCs w:val="21"/>
          <w:u w:val="single"/>
        </w:rPr>
        <w:t>陆</w:t>
      </w:r>
      <w:r>
        <w:rPr>
          <w:rFonts w:hint="eastAsia" w:asciiTheme="minorEastAsia" w:hAnsiTheme="minorEastAsia" w:eastAsiaTheme="minorEastAsia" w:cstheme="minorEastAsia"/>
          <w:color w:val="auto"/>
          <w:szCs w:val="21"/>
        </w:rPr>
        <w:t>份，采购人执</w:t>
      </w:r>
      <w:r>
        <w:rPr>
          <w:rFonts w:hint="eastAsia" w:asciiTheme="minorEastAsia" w:hAnsiTheme="minorEastAsia" w:eastAsiaTheme="minorEastAsia" w:cstheme="minorEastAsia"/>
          <w:color w:val="auto"/>
          <w:szCs w:val="21"/>
          <w:u w:val="single"/>
        </w:rPr>
        <w:t>贰</w:t>
      </w:r>
      <w:r>
        <w:rPr>
          <w:rFonts w:hint="eastAsia" w:asciiTheme="minorEastAsia" w:hAnsiTheme="minorEastAsia" w:eastAsiaTheme="minorEastAsia" w:cstheme="minorEastAsia"/>
          <w:color w:val="auto"/>
          <w:szCs w:val="21"/>
        </w:rPr>
        <w:t>份，供应商执</w:t>
      </w:r>
      <w:r>
        <w:rPr>
          <w:rFonts w:hint="eastAsia" w:asciiTheme="minorEastAsia" w:hAnsiTheme="minorEastAsia" w:eastAsiaTheme="minorEastAsia" w:cstheme="minorEastAsia"/>
          <w:color w:val="auto"/>
          <w:szCs w:val="21"/>
          <w:u w:val="single"/>
        </w:rPr>
        <w:t>贰</w:t>
      </w:r>
      <w:r>
        <w:rPr>
          <w:rFonts w:hint="eastAsia" w:asciiTheme="minorEastAsia" w:hAnsiTheme="minorEastAsia" w:eastAsiaTheme="minorEastAsia" w:cstheme="minorEastAsia"/>
          <w:color w:val="auto"/>
          <w:szCs w:val="21"/>
        </w:rPr>
        <w:t>份，代理公司</w:t>
      </w:r>
      <w:r>
        <w:rPr>
          <w:rFonts w:hint="eastAsia" w:asciiTheme="minorEastAsia" w:hAnsiTheme="minorEastAsia" w:eastAsiaTheme="minorEastAsia" w:cstheme="minorEastAsia"/>
          <w:color w:val="auto"/>
          <w:szCs w:val="21"/>
          <w:u w:val="single"/>
        </w:rPr>
        <w:t>壹</w:t>
      </w:r>
      <w:r>
        <w:rPr>
          <w:rFonts w:hint="eastAsia" w:asciiTheme="minorEastAsia" w:hAnsiTheme="minorEastAsia" w:eastAsiaTheme="minorEastAsia" w:cstheme="minorEastAsia"/>
          <w:color w:val="auto"/>
          <w:szCs w:val="21"/>
        </w:rPr>
        <w:t>份，政府采购管理部门</w:t>
      </w:r>
      <w:r>
        <w:rPr>
          <w:rFonts w:hint="eastAsia" w:asciiTheme="minorEastAsia" w:hAnsiTheme="minorEastAsia" w:eastAsiaTheme="minorEastAsia" w:cstheme="minorEastAsia"/>
          <w:color w:val="auto"/>
          <w:szCs w:val="21"/>
          <w:u w:val="single"/>
        </w:rPr>
        <w:t>壹</w:t>
      </w:r>
      <w:r>
        <w:rPr>
          <w:rFonts w:hint="eastAsia" w:asciiTheme="minorEastAsia" w:hAnsiTheme="minorEastAsia" w:eastAsiaTheme="minorEastAsia" w:cstheme="minorEastAsia"/>
          <w:color w:val="auto"/>
          <w:szCs w:val="21"/>
        </w:rPr>
        <w:t>份，均具有同等法律效力。</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合同订立时间：年月日</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合同订立地点：</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p>
    <w:tbl>
      <w:tblPr>
        <w:tblStyle w:val="45"/>
        <w:tblW w:w="8952" w:type="dxa"/>
        <w:tblInd w:w="108" w:type="dxa"/>
        <w:tblLayout w:type="fixed"/>
        <w:tblCellMar>
          <w:top w:w="0" w:type="dxa"/>
          <w:left w:w="108" w:type="dxa"/>
          <w:bottom w:w="0" w:type="dxa"/>
          <w:right w:w="108" w:type="dxa"/>
        </w:tblCellMar>
      </w:tblPr>
      <w:tblGrid>
        <w:gridCol w:w="4875"/>
        <w:gridCol w:w="4077"/>
      </w:tblGrid>
      <w:tr>
        <w:tblPrEx>
          <w:tblLayout w:type="fixed"/>
          <w:tblCellMar>
            <w:top w:w="0" w:type="dxa"/>
            <w:left w:w="108" w:type="dxa"/>
            <w:bottom w:w="0" w:type="dxa"/>
            <w:right w:w="108" w:type="dxa"/>
          </w:tblCellMar>
        </w:tblPrEx>
        <w:trPr>
          <w:cantSplit/>
          <w:trHeight w:val="3222" w:hRule="atLeast"/>
        </w:trPr>
        <w:tc>
          <w:tcPr>
            <w:tcW w:w="4875" w:type="dxa"/>
          </w:tcPr>
          <w:p>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甲方（公章）</w:t>
            </w:r>
          </w:p>
          <w:p>
            <w:pPr>
              <w:spacing w:before="120"/>
              <w:rPr>
                <w:rFonts w:asciiTheme="minorEastAsia" w:hAnsiTheme="minorEastAsia" w:eastAsiaTheme="minorEastAsia" w:cstheme="minorEastAsia"/>
                <w:color w:val="auto"/>
                <w:szCs w:val="21"/>
                <w:u w:val="single"/>
              </w:rPr>
            </w:pPr>
            <w:r>
              <w:rPr>
                <w:rFonts w:hint="eastAsia" w:asciiTheme="minorEastAsia" w:hAnsiTheme="minorEastAsia" w:eastAsiaTheme="minorEastAsia" w:cstheme="minorEastAsia"/>
                <w:color w:val="auto"/>
                <w:szCs w:val="21"/>
              </w:rPr>
              <w:t xml:space="preserve">法定代理人：           </w:t>
            </w:r>
          </w:p>
          <w:p>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委托代理人：</w:t>
            </w:r>
          </w:p>
          <w:p>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电      话：</w:t>
            </w:r>
          </w:p>
          <w:p>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传      真：</w:t>
            </w:r>
          </w:p>
        </w:tc>
        <w:tc>
          <w:tcPr>
            <w:tcW w:w="4077" w:type="dxa"/>
          </w:tcPr>
          <w:p>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乙方（公章）</w:t>
            </w:r>
          </w:p>
          <w:p>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法定代理人：</w:t>
            </w:r>
          </w:p>
          <w:p>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委托代理人：</w:t>
            </w:r>
          </w:p>
          <w:p>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电      话：</w:t>
            </w:r>
          </w:p>
          <w:p>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传      真：</w:t>
            </w:r>
          </w:p>
          <w:p>
            <w:pPr>
              <w:spacing w:before="12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开 户 银 行：</w:t>
            </w:r>
          </w:p>
          <w:p>
            <w:pPr>
              <w:spacing w:before="12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账       号：</w:t>
            </w:r>
          </w:p>
        </w:tc>
      </w:tr>
      <w:tr>
        <w:tblPrEx>
          <w:tblLayout w:type="fixed"/>
          <w:tblCellMar>
            <w:top w:w="0" w:type="dxa"/>
            <w:left w:w="108" w:type="dxa"/>
            <w:bottom w:w="0" w:type="dxa"/>
            <w:right w:w="108" w:type="dxa"/>
          </w:tblCellMar>
        </w:tblPrEx>
        <w:trPr>
          <w:cantSplit/>
          <w:trHeight w:val="2209" w:hRule="atLeast"/>
        </w:trPr>
        <w:tc>
          <w:tcPr>
            <w:tcW w:w="4875" w:type="dxa"/>
          </w:tcPr>
          <w:p>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采购代理机构（盖章）：</w:t>
            </w:r>
          </w:p>
          <w:p>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本合同内容未超过政府采购申报审批表规定。</w:t>
            </w:r>
          </w:p>
          <w:p>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经办人（签字）：</w:t>
            </w:r>
          </w:p>
          <w:p>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联系电话：</w:t>
            </w:r>
          </w:p>
          <w:p>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签订时间：</w:t>
            </w:r>
          </w:p>
        </w:tc>
        <w:tc>
          <w:tcPr>
            <w:tcW w:w="4077" w:type="dxa"/>
          </w:tcPr>
          <w:p>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政府采购管理部门（盖章）：</w:t>
            </w:r>
          </w:p>
          <w:p>
            <w:pPr>
              <w:spacing w:before="120"/>
              <w:rPr>
                <w:rFonts w:asciiTheme="minorEastAsia" w:hAnsiTheme="minorEastAsia" w:eastAsiaTheme="minorEastAsia" w:cstheme="minorEastAsia"/>
                <w:color w:val="auto"/>
                <w:szCs w:val="21"/>
              </w:rPr>
            </w:pPr>
          </w:p>
          <w:p>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备案经办人（签字）：</w:t>
            </w:r>
          </w:p>
          <w:p>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联系电话：</w:t>
            </w:r>
          </w:p>
          <w:p>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备案时间：</w:t>
            </w:r>
          </w:p>
        </w:tc>
      </w:tr>
    </w:tbl>
    <w:p>
      <w:pPr>
        <w:adjustRightInd w:val="0"/>
        <w:snapToGrid w:val="0"/>
        <w:spacing w:beforeLines="50" w:line="320" w:lineRule="exact"/>
        <w:rPr>
          <w:rFonts w:asciiTheme="minorEastAsia" w:hAnsiTheme="minorEastAsia" w:eastAsiaTheme="minorEastAsia" w:cstheme="minorEastAsia"/>
          <w:color w:val="auto"/>
          <w:szCs w:val="21"/>
        </w:rPr>
      </w:pPr>
    </w:p>
    <w:p>
      <w:pPr>
        <w:pStyle w:val="25"/>
        <w:tabs>
          <w:tab w:val="left" w:pos="1620"/>
        </w:tabs>
        <w:adjustRightInd w:val="0"/>
        <w:snapToGrid w:val="0"/>
        <w:spacing w:line="360" w:lineRule="auto"/>
        <w:ind w:left="-88" w:leftChars="-42"/>
        <w:jc w:val="center"/>
        <w:rPr>
          <w:rFonts w:asciiTheme="minorEastAsia" w:hAnsiTheme="minorEastAsia" w:eastAsiaTheme="minorEastAsia" w:cstheme="minorEastAsia"/>
          <w:b/>
          <w:color w:val="auto"/>
          <w:sz w:val="32"/>
          <w:szCs w:val="32"/>
        </w:rPr>
      </w:pPr>
    </w:p>
    <w:p>
      <w:pPr>
        <w:adjustRightInd w:val="0"/>
        <w:snapToGrid w:val="0"/>
        <w:spacing w:line="360" w:lineRule="auto"/>
        <w:jc w:val="center"/>
        <w:rPr>
          <w:rFonts w:asciiTheme="minorEastAsia" w:hAnsiTheme="minorEastAsia" w:eastAsiaTheme="minorEastAsia" w:cstheme="minorEastAsia"/>
          <w:b/>
          <w:color w:val="auto"/>
          <w:szCs w:val="21"/>
        </w:rPr>
      </w:pPr>
    </w:p>
    <w:p>
      <w:pPr>
        <w:adjustRightInd w:val="0"/>
        <w:snapToGrid w:val="0"/>
        <w:spacing w:line="360" w:lineRule="auto"/>
        <w:jc w:val="center"/>
        <w:rPr>
          <w:rFonts w:asciiTheme="minorEastAsia" w:hAnsiTheme="minorEastAsia" w:eastAsiaTheme="minorEastAsia" w:cstheme="minorEastAsia"/>
          <w:b/>
          <w:color w:val="auto"/>
          <w:szCs w:val="21"/>
        </w:rPr>
      </w:pPr>
    </w:p>
    <w:p>
      <w:pPr>
        <w:adjustRightInd w:val="0"/>
        <w:snapToGrid w:val="0"/>
        <w:spacing w:line="360" w:lineRule="auto"/>
        <w:jc w:val="center"/>
        <w:rPr>
          <w:rFonts w:asciiTheme="minorEastAsia" w:hAnsiTheme="minorEastAsia" w:eastAsiaTheme="minorEastAsia" w:cstheme="minorEastAsia"/>
          <w:b/>
          <w:color w:val="auto"/>
          <w:szCs w:val="21"/>
        </w:rPr>
      </w:pPr>
    </w:p>
    <w:p>
      <w:pPr>
        <w:adjustRightInd w:val="0"/>
        <w:snapToGrid w:val="0"/>
        <w:spacing w:line="360" w:lineRule="auto"/>
        <w:jc w:val="center"/>
        <w:rPr>
          <w:rFonts w:asciiTheme="minorEastAsia" w:hAnsiTheme="minorEastAsia" w:eastAsiaTheme="minorEastAsia" w:cstheme="minorEastAsia"/>
          <w:b/>
          <w:color w:val="auto"/>
          <w:szCs w:val="21"/>
        </w:rPr>
      </w:pPr>
    </w:p>
    <w:p>
      <w:pPr>
        <w:pStyle w:val="66"/>
        <w:rPr>
          <w:rFonts w:asciiTheme="minorEastAsia" w:hAnsiTheme="minorEastAsia" w:eastAsiaTheme="minorEastAsia" w:cstheme="minorEastAsia"/>
          <w:b/>
          <w:color w:val="auto"/>
          <w:szCs w:val="21"/>
        </w:rPr>
      </w:pPr>
    </w:p>
    <w:p>
      <w:pPr>
        <w:rPr>
          <w:rFonts w:asciiTheme="minorEastAsia" w:hAnsiTheme="minorEastAsia" w:eastAsiaTheme="minorEastAsia" w:cstheme="minorEastAsia"/>
          <w:color w:val="auto"/>
        </w:rPr>
      </w:pPr>
    </w:p>
    <w:p>
      <w:pPr>
        <w:adjustRightInd w:val="0"/>
        <w:snapToGrid w:val="0"/>
        <w:spacing w:line="360" w:lineRule="auto"/>
        <w:jc w:val="center"/>
        <w:rPr>
          <w:rFonts w:asciiTheme="minorEastAsia" w:hAnsiTheme="minorEastAsia" w:eastAsiaTheme="minorEastAsia" w:cstheme="minorEastAsia"/>
          <w:b/>
          <w:color w:val="auto"/>
          <w:szCs w:val="21"/>
        </w:rPr>
      </w:pPr>
    </w:p>
    <w:p>
      <w:pPr>
        <w:rPr>
          <w:rFonts w:asciiTheme="minorEastAsia" w:hAnsiTheme="minorEastAsia" w:eastAsiaTheme="minorEastAsia" w:cstheme="minorEastAsia"/>
          <w:color w:val="auto"/>
        </w:rPr>
      </w:pPr>
      <w:bookmarkStart w:id="43" w:name="_Toc28750"/>
      <w:bookmarkStart w:id="44" w:name="_Toc21923"/>
      <w:bookmarkStart w:id="45" w:name="_Toc23635"/>
      <w:bookmarkStart w:id="46" w:name="_Toc431364760"/>
      <w:bookmarkStart w:id="47" w:name="_Toc13306"/>
      <w:bookmarkStart w:id="48" w:name="_Toc24188"/>
      <w:bookmarkStart w:id="49" w:name="_Toc16500"/>
      <w:r>
        <w:rPr>
          <w:rFonts w:hint="eastAsia" w:asciiTheme="minorEastAsia" w:hAnsiTheme="minorEastAsia" w:eastAsiaTheme="minorEastAsia" w:cstheme="minorEastAsia"/>
          <w:color w:val="auto"/>
        </w:rPr>
        <w:br w:type="page"/>
      </w:r>
    </w:p>
    <w:p>
      <w:pPr>
        <w:pStyle w:val="5"/>
        <w:jc w:val="center"/>
        <w:rPr>
          <w:rFonts w:asciiTheme="minorEastAsia" w:hAnsiTheme="minorEastAsia" w:eastAsiaTheme="minorEastAsia" w:cstheme="minorEastAsia"/>
          <w:color w:val="auto"/>
        </w:rPr>
      </w:pPr>
      <w:bookmarkStart w:id="50" w:name="_Toc18638"/>
      <w:r>
        <w:rPr>
          <w:rFonts w:hint="eastAsia" w:asciiTheme="minorEastAsia" w:hAnsiTheme="minorEastAsia" w:eastAsiaTheme="minorEastAsia" w:cstheme="minorEastAsia"/>
          <w:color w:val="auto"/>
        </w:rPr>
        <w:t>二、政府采购合同通用条款</w:t>
      </w:r>
      <w:bookmarkEnd w:id="43"/>
      <w:bookmarkEnd w:id="44"/>
      <w:bookmarkEnd w:id="45"/>
      <w:bookmarkEnd w:id="46"/>
      <w:bookmarkEnd w:id="47"/>
      <w:bookmarkEnd w:id="48"/>
      <w:bookmarkEnd w:id="49"/>
      <w:r>
        <w:rPr>
          <w:rFonts w:hint="eastAsia" w:asciiTheme="minorEastAsia" w:hAnsiTheme="minorEastAsia" w:eastAsiaTheme="minorEastAsia" w:cstheme="minorEastAsia"/>
          <w:color w:val="auto"/>
        </w:rPr>
        <w:t>（工程类）</w:t>
      </w:r>
      <w:bookmarkEnd w:id="50"/>
    </w:p>
    <w:p>
      <w:pPr>
        <w:tabs>
          <w:tab w:val="left" w:pos="8820"/>
          <w:tab w:val="left" w:pos="9345"/>
          <w:tab w:val="left" w:pos="9765"/>
        </w:tabs>
        <w:adjustRightInd w:val="0"/>
        <w:snapToGrid w:val="0"/>
        <w:spacing w:beforeLines="50" w:line="360" w:lineRule="auto"/>
        <w:ind w:right="384" w:rightChars="183"/>
        <w:jc w:val="center"/>
        <w:rPr>
          <w:rFonts w:asciiTheme="minorEastAsia" w:hAnsiTheme="minorEastAsia" w:eastAsiaTheme="minorEastAsia" w:cstheme="minorEastAsia"/>
          <w:b/>
          <w:bCs/>
          <w:color w:val="auto"/>
          <w:sz w:val="36"/>
          <w:szCs w:val="36"/>
        </w:rPr>
      </w:pPr>
    </w:p>
    <w:p>
      <w:pPr>
        <w:adjustRightInd w:val="0"/>
        <w:snapToGrid w:val="0"/>
        <w:spacing w:line="360" w:lineRule="auto"/>
        <w:rPr>
          <w:rFonts w:asciiTheme="minorEastAsia" w:hAnsiTheme="minorEastAsia" w:eastAsiaTheme="minorEastAsia" w:cstheme="minorEastAsia"/>
          <w:bCs/>
          <w:color w:val="auto"/>
          <w:sz w:val="24"/>
          <w:szCs w:val="21"/>
        </w:rPr>
      </w:pPr>
      <w:r>
        <w:rPr>
          <w:rFonts w:hint="eastAsia" w:asciiTheme="minorEastAsia" w:hAnsiTheme="minorEastAsia" w:eastAsiaTheme="minorEastAsia" w:cstheme="minorEastAsia"/>
          <w:bCs/>
          <w:color w:val="auto"/>
          <w:sz w:val="24"/>
        </w:rPr>
        <w:t>按《关于印发建设工程施工合同（示范文本）（HNJS-2014）的通知》(湘建价〔2014〕114号)《建设工程施工合同》第二部分执行。详见湖南住房和建设网(www：hunanjs.gov.cn)。</w:t>
      </w:r>
    </w:p>
    <w:p>
      <w:pPr>
        <w:tabs>
          <w:tab w:val="left" w:pos="8820"/>
          <w:tab w:val="left" w:pos="9345"/>
          <w:tab w:val="left" w:pos="9765"/>
        </w:tabs>
        <w:adjustRightInd w:val="0"/>
        <w:snapToGrid w:val="0"/>
        <w:spacing w:beforeLines="50" w:line="360" w:lineRule="auto"/>
        <w:ind w:right="384" w:rightChars="183"/>
        <w:rPr>
          <w:rFonts w:asciiTheme="minorEastAsia" w:hAnsiTheme="minorEastAsia" w:eastAsiaTheme="minorEastAsia" w:cstheme="minorEastAsia"/>
          <w:bCs/>
          <w:color w:val="auto"/>
          <w:sz w:val="30"/>
          <w:szCs w:val="30"/>
        </w:rPr>
      </w:pPr>
    </w:p>
    <w:p>
      <w:pPr>
        <w:tabs>
          <w:tab w:val="left" w:pos="8820"/>
          <w:tab w:val="left" w:pos="9345"/>
          <w:tab w:val="left" w:pos="9765"/>
        </w:tabs>
        <w:adjustRightInd w:val="0"/>
        <w:snapToGrid w:val="0"/>
        <w:spacing w:beforeLines="50" w:line="360" w:lineRule="auto"/>
        <w:ind w:right="384" w:rightChars="183"/>
        <w:rPr>
          <w:rFonts w:asciiTheme="minorEastAsia" w:hAnsiTheme="minorEastAsia" w:eastAsiaTheme="minorEastAsia" w:cstheme="minorEastAsia"/>
          <w:bCs/>
          <w:color w:val="auto"/>
          <w:sz w:val="30"/>
          <w:szCs w:val="30"/>
        </w:rPr>
      </w:pPr>
    </w:p>
    <w:p>
      <w:pPr>
        <w:tabs>
          <w:tab w:val="left" w:pos="8820"/>
          <w:tab w:val="left" w:pos="9345"/>
          <w:tab w:val="left" w:pos="9765"/>
        </w:tabs>
        <w:adjustRightInd w:val="0"/>
        <w:snapToGrid w:val="0"/>
        <w:spacing w:beforeLines="50" w:line="360" w:lineRule="auto"/>
        <w:ind w:right="384" w:rightChars="183"/>
        <w:rPr>
          <w:rFonts w:asciiTheme="minorEastAsia" w:hAnsiTheme="minorEastAsia" w:eastAsiaTheme="minorEastAsia" w:cstheme="minorEastAsia"/>
          <w:bCs/>
          <w:color w:val="auto"/>
          <w:sz w:val="30"/>
          <w:szCs w:val="30"/>
        </w:rPr>
      </w:pPr>
    </w:p>
    <w:p>
      <w:pPr>
        <w:pStyle w:val="5"/>
        <w:jc w:val="center"/>
        <w:rPr>
          <w:rFonts w:asciiTheme="minorEastAsia" w:hAnsiTheme="minorEastAsia" w:eastAsiaTheme="minorEastAsia" w:cstheme="minorEastAsia"/>
          <w:color w:val="auto"/>
        </w:rPr>
      </w:pPr>
      <w:bookmarkStart w:id="51" w:name="_Toc31373"/>
      <w:bookmarkStart w:id="52" w:name="_Toc12091"/>
      <w:bookmarkStart w:id="53" w:name="_Toc8743"/>
      <w:bookmarkStart w:id="54" w:name="_Toc2960"/>
      <w:bookmarkStart w:id="55" w:name="_Toc12752"/>
      <w:bookmarkStart w:id="56" w:name="_Toc431364761"/>
      <w:bookmarkStart w:id="57" w:name="_Toc1841"/>
      <w:bookmarkStart w:id="58" w:name="_Toc2814"/>
      <w:r>
        <w:rPr>
          <w:rFonts w:hint="eastAsia" w:asciiTheme="minorEastAsia" w:hAnsiTheme="minorEastAsia" w:eastAsiaTheme="minorEastAsia" w:cstheme="minorEastAsia"/>
          <w:color w:val="auto"/>
        </w:rPr>
        <w:t>三、政府采购合同专用条款</w:t>
      </w:r>
      <w:bookmarkEnd w:id="51"/>
      <w:bookmarkEnd w:id="52"/>
      <w:bookmarkEnd w:id="53"/>
      <w:bookmarkEnd w:id="54"/>
      <w:bookmarkEnd w:id="55"/>
      <w:bookmarkEnd w:id="56"/>
      <w:bookmarkEnd w:id="57"/>
      <w:bookmarkEnd w:id="58"/>
    </w:p>
    <w:p>
      <w:pPr>
        <w:spacing w:line="360" w:lineRule="exact"/>
        <w:jc w:val="center"/>
        <w:rPr>
          <w:rFonts w:asciiTheme="minorEastAsia" w:hAnsiTheme="minorEastAsia" w:eastAsiaTheme="minorEastAsia" w:cstheme="minorEastAsia"/>
          <w:bCs/>
          <w:color w:val="auto"/>
          <w:sz w:val="32"/>
          <w:szCs w:val="32"/>
        </w:rPr>
      </w:pPr>
    </w:p>
    <w:p>
      <w:pPr>
        <w:spacing w:line="360" w:lineRule="exact"/>
        <w:rPr>
          <w:rFonts w:asciiTheme="minorEastAsia" w:hAnsiTheme="minorEastAsia" w:eastAsiaTheme="minorEastAsia" w:cstheme="minorEastAsia"/>
          <w:bCs/>
          <w:color w:val="auto"/>
          <w:sz w:val="32"/>
          <w:szCs w:val="32"/>
        </w:rPr>
      </w:pP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按采购建设工程的特殊要求，对第二部分通用合同条款的原则性约定进行细化、完善、补充、修改或另行约定。</w:t>
      </w:r>
    </w:p>
    <w:p>
      <w:pPr>
        <w:pStyle w:val="2"/>
        <w:snapToGrid w:val="0"/>
        <w:ind w:left="105" w:leftChars="50"/>
        <w:rPr>
          <w:rFonts w:asciiTheme="minorEastAsia" w:hAnsiTheme="minorEastAsia" w:eastAsiaTheme="minorEastAsia" w:cstheme="minorEastAsia"/>
          <w:bCs/>
          <w:color w:val="auto"/>
          <w:szCs w:val="21"/>
        </w:rPr>
      </w:pPr>
    </w:p>
    <w:p>
      <w:pPr>
        <w:pStyle w:val="2"/>
        <w:snapToGrid w:val="0"/>
        <w:ind w:left="105" w:leftChars="50"/>
        <w:rPr>
          <w:rFonts w:asciiTheme="minorEastAsia" w:hAnsiTheme="minorEastAsia" w:eastAsiaTheme="minorEastAsia" w:cstheme="minorEastAsia"/>
          <w:bCs/>
          <w:color w:val="auto"/>
          <w:szCs w:val="21"/>
        </w:rPr>
      </w:pPr>
    </w:p>
    <w:p>
      <w:pPr>
        <w:pStyle w:val="2"/>
        <w:snapToGrid w:val="0"/>
        <w:ind w:left="105" w:leftChars="50"/>
        <w:rPr>
          <w:rFonts w:asciiTheme="minorEastAsia" w:hAnsiTheme="minorEastAsia" w:eastAsiaTheme="minorEastAsia" w:cstheme="minorEastAsia"/>
          <w:bCs/>
          <w:color w:val="auto"/>
          <w:szCs w:val="21"/>
        </w:rPr>
      </w:pPr>
    </w:p>
    <w:p>
      <w:pPr>
        <w:pStyle w:val="2"/>
        <w:snapToGrid w:val="0"/>
        <w:ind w:left="105" w:leftChars="50"/>
        <w:rPr>
          <w:rFonts w:asciiTheme="minorEastAsia" w:hAnsiTheme="minorEastAsia" w:eastAsiaTheme="minorEastAsia" w:cstheme="minorEastAsia"/>
          <w:bCs/>
          <w:color w:val="auto"/>
          <w:szCs w:val="21"/>
        </w:rPr>
      </w:pPr>
    </w:p>
    <w:p>
      <w:pPr>
        <w:pStyle w:val="2"/>
        <w:snapToGrid w:val="0"/>
        <w:ind w:left="105" w:leftChars="50"/>
        <w:rPr>
          <w:rFonts w:asciiTheme="minorEastAsia" w:hAnsiTheme="minorEastAsia" w:eastAsiaTheme="minorEastAsia" w:cstheme="minorEastAsia"/>
          <w:bCs/>
          <w:color w:val="auto"/>
          <w:szCs w:val="21"/>
        </w:rPr>
      </w:pPr>
    </w:p>
    <w:p>
      <w:pPr>
        <w:pStyle w:val="2"/>
        <w:snapToGrid w:val="0"/>
        <w:ind w:left="105" w:leftChars="50"/>
        <w:rPr>
          <w:rFonts w:asciiTheme="minorEastAsia" w:hAnsiTheme="minorEastAsia" w:eastAsiaTheme="minorEastAsia" w:cstheme="minorEastAsia"/>
          <w:bCs/>
          <w:color w:val="auto"/>
          <w:szCs w:val="21"/>
        </w:rPr>
      </w:pPr>
    </w:p>
    <w:p>
      <w:pPr>
        <w:pStyle w:val="2"/>
        <w:snapToGrid w:val="0"/>
        <w:ind w:left="105" w:leftChars="50"/>
        <w:rPr>
          <w:rFonts w:asciiTheme="minorEastAsia" w:hAnsiTheme="minorEastAsia" w:eastAsiaTheme="minorEastAsia" w:cstheme="minorEastAsia"/>
          <w:bCs/>
          <w:color w:val="auto"/>
          <w:szCs w:val="21"/>
        </w:rPr>
      </w:pPr>
    </w:p>
    <w:p>
      <w:pPr>
        <w:pStyle w:val="2"/>
        <w:snapToGrid w:val="0"/>
        <w:ind w:left="105" w:leftChars="50"/>
        <w:rPr>
          <w:rFonts w:asciiTheme="minorEastAsia" w:hAnsiTheme="minorEastAsia" w:eastAsiaTheme="minorEastAsia" w:cstheme="minorEastAsia"/>
          <w:bCs/>
          <w:color w:val="auto"/>
          <w:szCs w:val="21"/>
        </w:rPr>
      </w:pPr>
    </w:p>
    <w:p>
      <w:pPr>
        <w:pStyle w:val="2"/>
        <w:snapToGrid w:val="0"/>
        <w:ind w:left="105" w:leftChars="50"/>
        <w:rPr>
          <w:rFonts w:asciiTheme="minorEastAsia" w:hAnsiTheme="minorEastAsia" w:eastAsiaTheme="minorEastAsia" w:cstheme="minorEastAsia"/>
          <w:bCs/>
          <w:color w:val="auto"/>
          <w:szCs w:val="21"/>
        </w:rPr>
      </w:pPr>
    </w:p>
    <w:p>
      <w:pPr>
        <w:pStyle w:val="2"/>
        <w:snapToGrid w:val="0"/>
        <w:ind w:left="105" w:leftChars="50"/>
        <w:rPr>
          <w:rFonts w:asciiTheme="minorEastAsia" w:hAnsiTheme="minorEastAsia" w:eastAsiaTheme="minorEastAsia" w:cstheme="minorEastAsia"/>
          <w:bCs/>
          <w:color w:val="auto"/>
          <w:szCs w:val="21"/>
        </w:rPr>
      </w:pPr>
    </w:p>
    <w:p>
      <w:pPr>
        <w:pStyle w:val="2"/>
        <w:snapToGrid w:val="0"/>
        <w:ind w:left="105" w:leftChars="50"/>
        <w:rPr>
          <w:rFonts w:asciiTheme="minorEastAsia" w:hAnsiTheme="minorEastAsia" w:eastAsiaTheme="minorEastAsia" w:cstheme="minorEastAsia"/>
          <w:bCs/>
          <w:color w:val="auto"/>
          <w:szCs w:val="21"/>
        </w:rPr>
      </w:pPr>
    </w:p>
    <w:p>
      <w:pPr>
        <w:pStyle w:val="2"/>
        <w:snapToGrid w:val="0"/>
        <w:ind w:left="105" w:leftChars="50"/>
        <w:rPr>
          <w:rFonts w:asciiTheme="minorEastAsia" w:hAnsiTheme="minorEastAsia" w:eastAsiaTheme="minorEastAsia" w:cstheme="minorEastAsia"/>
          <w:bCs/>
          <w:color w:val="auto"/>
          <w:szCs w:val="21"/>
        </w:rPr>
      </w:pPr>
    </w:p>
    <w:p>
      <w:pPr>
        <w:tabs>
          <w:tab w:val="left" w:pos="8820"/>
          <w:tab w:val="left" w:pos="9345"/>
          <w:tab w:val="left" w:pos="9765"/>
        </w:tabs>
        <w:adjustRightInd w:val="0"/>
        <w:snapToGrid w:val="0"/>
        <w:spacing w:beforeLines="50" w:line="360" w:lineRule="auto"/>
        <w:ind w:right="384" w:rightChars="183"/>
        <w:rPr>
          <w:rFonts w:asciiTheme="minorEastAsia" w:hAnsiTheme="minorEastAsia" w:eastAsiaTheme="minorEastAsia" w:cstheme="minorEastAsia"/>
          <w:bCs/>
          <w:color w:val="auto"/>
          <w:sz w:val="30"/>
          <w:szCs w:val="30"/>
        </w:rPr>
      </w:pPr>
      <w:r>
        <w:rPr>
          <w:rFonts w:hint="eastAsia" w:asciiTheme="minorEastAsia" w:hAnsiTheme="minorEastAsia" w:eastAsiaTheme="minorEastAsia" w:cstheme="minorEastAsia"/>
          <w:bCs/>
          <w:color w:val="auto"/>
          <w:sz w:val="30"/>
          <w:szCs w:val="30"/>
        </w:rPr>
        <w:br w:type="page"/>
      </w:r>
    </w:p>
    <w:p>
      <w:pPr>
        <w:numPr>
          <w:ilvl w:val="0"/>
          <w:numId w:val="2"/>
        </w:numPr>
        <w:spacing w:line="360" w:lineRule="exact"/>
        <w:jc w:val="center"/>
        <w:outlineLvl w:val="0"/>
        <w:rPr>
          <w:rFonts w:asciiTheme="minorEastAsia" w:hAnsiTheme="minorEastAsia" w:eastAsiaTheme="minorEastAsia" w:cstheme="minorEastAsia"/>
          <w:b/>
          <w:bCs/>
          <w:color w:val="auto"/>
          <w:sz w:val="32"/>
          <w:szCs w:val="32"/>
        </w:rPr>
      </w:pPr>
      <w:bookmarkStart w:id="59" w:name="_Toc8865"/>
      <w:bookmarkStart w:id="60" w:name="_Toc31472_WPSOffice_Level1"/>
      <w:r>
        <w:rPr>
          <w:rFonts w:hint="eastAsia" w:asciiTheme="minorEastAsia" w:hAnsiTheme="minorEastAsia" w:eastAsiaTheme="minorEastAsia" w:cstheme="minorEastAsia"/>
          <w:b/>
          <w:bCs/>
          <w:color w:val="auto"/>
          <w:sz w:val="32"/>
          <w:szCs w:val="32"/>
        </w:rPr>
        <w:t>采购需求</w:t>
      </w:r>
      <w:bookmarkEnd w:id="59"/>
      <w:bookmarkEnd w:id="60"/>
    </w:p>
    <w:p>
      <w:pPr>
        <w:pStyle w:val="20"/>
        <w:ind w:left="840" w:leftChars="400" w:firstLine="0" w:firstLineChars="0"/>
        <w:rPr>
          <w:color w:val="auto"/>
        </w:rPr>
      </w:pPr>
    </w:p>
    <w:p>
      <w:pPr>
        <w:pStyle w:val="223"/>
        <w:numPr>
          <w:ilvl w:val="0"/>
          <w:numId w:val="0"/>
        </w:numPr>
        <w:spacing w:line="360" w:lineRule="auto"/>
        <w:ind w:left="477" w:leftChars="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val="0"/>
          <w:bCs w:val="0"/>
          <w:color w:val="auto"/>
          <w:kern w:val="0"/>
          <w:szCs w:val="21"/>
        </w:rPr>
        <w:t>项目名称：</w:t>
      </w:r>
      <w:r>
        <w:rPr>
          <w:rFonts w:hint="eastAsia" w:asciiTheme="minorEastAsia" w:hAnsiTheme="minorEastAsia" w:eastAsiaTheme="minorEastAsia" w:cstheme="minorEastAsia"/>
          <w:color w:val="auto"/>
          <w:szCs w:val="21"/>
          <w:lang w:eastAsia="zh-CN"/>
        </w:rPr>
        <w:t>临湘高新区化工园水系改造（四期）工程项目</w:t>
      </w:r>
    </w:p>
    <w:p>
      <w:pPr>
        <w:adjustRightInd w:val="0"/>
        <w:snapToGrid w:val="0"/>
        <w:spacing w:line="360" w:lineRule="auto"/>
        <w:ind w:firstLine="420" w:firstLineChars="200"/>
        <w:rPr>
          <w:rFonts w:hint="eastAsia" w:asciiTheme="minorEastAsia" w:hAnsiTheme="minorEastAsia" w:eastAsiaTheme="minorEastAsia" w:cstheme="minorEastAsia"/>
          <w:b w:val="0"/>
          <w:bCs/>
          <w:color w:val="auto"/>
          <w:szCs w:val="21"/>
          <w:lang w:val="zh-TW" w:eastAsia="zh-CN"/>
        </w:rPr>
      </w:pPr>
      <w:r>
        <w:rPr>
          <w:rFonts w:hint="eastAsia" w:asciiTheme="minorEastAsia" w:hAnsiTheme="minorEastAsia" w:eastAsiaTheme="minorEastAsia" w:cstheme="minorEastAsia"/>
          <w:b w:val="0"/>
          <w:bCs/>
          <w:color w:val="auto"/>
          <w:szCs w:val="21"/>
          <w:lang w:val="en-US" w:eastAsia="zh-CN"/>
        </w:rPr>
        <w:t>第一部分：</w:t>
      </w:r>
      <w:r>
        <w:rPr>
          <w:rFonts w:hint="eastAsia" w:asciiTheme="minorEastAsia" w:hAnsiTheme="minorEastAsia" w:eastAsiaTheme="minorEastAsia" w:cstheme="minorEastAsia"/>
          <w:b w:val="0"/>
          <w:bCs/>
          <w:color w:val="auto"/>
          <w:szCs w:val="21"/>
          <w:lang w:val="zh-TW" w:eastAsia="zh-CN"/>
        </w:rPr>
        <w:t>技术要求</w:t>
      </w:r>
    </w:p>
    <w:p>
      <w:pPr>
        <w:adjustRightInd w:val="0"/>
        <w:snapToGrid w:val="0"/>
        <w:spacing w:line="360" w:lineRule="auto"/>
        <w:ind w:firstLine="420" w:firstLineChars="200"/>
        <w:rPr>
          <w:rFonts w:hint="eastAsia" w:asciiTheme="minorEastAsia" w:hAnsiTheme="minorEastAsia" w:eastAsiaTheme="minorEastAsia" w:cstheme="minorEastAsia"/>
          <w:b w:val="0"/>
          <w:bCs/>
          <w:color w:val="auto"/>
          <w:szCs w:val="21"/>
          <w:lang w:val="en-US" w:eastAsia="zh-CN"/>
        </w:rPr>
      </w:pPr>
      <w:r>
        <w:rPr>
          <w:rFonts w:hint="eastAsia" w:asciiTheme="minorEastAsia" w:hAnsiTheme="minorEastAsia" w:eastAsiaTheme="minorEastAsia" w:cstheme="minorEastAsia"/>
          <w:b w:val="0"/>
          <w:bCs/>
          <w:color w:val="auto"/>
          <w:szCs w:val="21"/>
          <w:lang w:val="en-US" w:eastAsia="zh-CN"/>
        </w:rPr>
        <w:t>1.建筑材料运输、保管及保险</w:t>
      </w:r>
    </w:p>
    <w:p>
      <w:pPr>
        <w:adjustRightInd w:val="0"/>
        <w:snapToGrid w:val="0"/>
        <w:spacing w:line="360" w:lineRule="auto"/>
        <w:ind w:firstLine="420" w:firstLineChars="200"/>
        <w:rPr>
          <w:rFonts w:hint="eastAsia" w:asciiTheme="minorEastAsia" w:hAnsiTheme="minorEastAsia" w:eastAsiaTheme="minorEastAsia" w:cstheme="minorEastAsia"/>
          <w:b w:val="0"/>
          <w:bCs/>
          <w:color w:val="auto"/>
          <w:szCs w:val="21"/>
          <w:lang w:val="en-US" w:eastAsia="zh-CN"/>
        </w:rPr>
      </w:pPr>
      <w:r>
        <w:rPr>
          <w:rFonts w:hint="eastAsia" w:asciiTheme="minorEastAsia" w:hAnsiTheme="minorEastAsia" w:eastAsiaTheme="minorEastAsia" w:cstheme="minorEastAsia"/>
          <w:b w:val="0"/>
          <w:bCs/>
          <w:color w:val="auto"/>
          <w:szCs w:val="21"/>
          <w:lang w:val="en-US" w:eastAsia="zh-CN"/>
        </w:rPr>
        <w:t>1)成交供应商负责建筑材料到施工地点的全部运输，包括装卸及现场搬运等。</w:t>
      </w:r>
    </w:p>
    <w:p>
      <w:pPr>
        <w:adjustRightInd w:val="0"/>
        <w:snapToGrid w:val="0"/>
        <w:spacing w:line="360" w:lineRule="auto"/>
        <w:ind w:firstLine="420" w:firstLineChars="200"/>
        <w:rPr>
          <w:rFonts w:hint="eastAsia" w:asciiTheme="minorEastAsia" w:hAnsiTheme="minorEastAsia" w:eastAsiaTheme="minorEastAsia" w:cstheme="minorEastAsia"/>
          <w:b w:val="0"/>
          <w:bCs/>
          <w:color w:val="auto"/>
          <w:szCs w:val="21"/>
          <w:lang w:val="en-US" w:eastAsia="zh-CN"/>
        </w:rPr>
      </w:pPr>
      <w:r>
        <w:rPr>
          <w:rFonts w:hint="eastAsia" w:asciiTheme="minorEastAsia" w:hAnsiTheme="minorEastAsia" w:eastAsiaTheme="minorEastAsia" w:cstheme="minorEastAsia"/>
          <w:b w:val="0"/>
          <w:bCs/>
          <w:color w:val="auto"/>
          <w:szCs w:val="21"/>
          <w:lang w:val="en-US" w:eastAsia="zh-CN"/>
        </w:rPr>
        <w:t>2)成交供应商负责建筑材料在施工地点的保管，直至项目验收合格。</w:t>
      </w:r>
    </w:p>
    <w:p>
      <w:pPr>
        <w:adjustRightInd w:val="0"/>
        <w:snapToGrid w:val="0"/>
        <w:spacing w:line="360" w:lineRule="auto"/>
        <w:ind w:firstLine="420" w:firstLineChars="200"/>
        <w:rPr>
          <w:rFonts w:hint="eastAsia" w:asciiTheme="minorEastAsia" w:hAnsiTheme="minorEastAsia" w:eastAsiaTheme="minorEastAsia" w:cstheme="minorEastAsia"/>
          <w:b w:val="0"/>
          <w:bCs/>
          <w:color w:val="auto"/>
          <w:szCs w:val="21"/>
          <w:lang w:val="en-US" w:eastAsia="zh-CN"/>
        </w:rPr>
      </w:pPr>
      <w:r>
        <w:rPr>
          <w:rFonts w:hint="eastAsia" w:asciiTheme="minorEastAsia" w:hAnsiTheme="minorEastAsia" w:eastAsiaTheme="minorEastAsia" w:cstheme="minorEastAsia"/>
          <w:b w:val="0"/>
          <w:bCs/>
          <w:color w:val="auto"/>
          <w:szCs w:val="21"/>
          <w:lang w:val="en-US" w:eastAsia="zh-CN"/>
        </w:rPr>
        <w:t>3)成交供应商负责其派出的施工人员的人身意外保险。</w:t>
      </w:r>
    </w:p>
    <w:p>
      <w:pPr>
        <w:adjustRightInd w:val="0"/>
        <w:snapToGrid w:val="0"/>
        <w:spacing w:line="360" w:lineRule="auto"/>
        <w:ind w:firstLine="420" w:firstLineChars="200"/>
        <w:rPr>
          <w:rFonts w:hint="eastAsia" w:asciiTheme="minorEastAsia" w:hAnsiTheme="minorEastAsia" w:eastAsiaTheme="minorEastAsia" w:cstheme="minorEastAsia"/>
          <w:b w:val="0"/>
          <w:bCs/>
          <w:color w:val="auto"/>
          <w:szCs w:val="21"/>
          <w:lang w:val="en-US" w:eastAsia="zh-CN"/>
        </w:rPr>
      </w:pPr>
      <w:r>
        <w:rPr>
          <w:rFonts w:hint="eastAsia" w:asciiTheme="minorEastAsia" w:hAnsiTheme="minorEastAsia" w:eastAsiaTheme="minorEastAsia" w:cstheme="minorEastAsia"/>
          <w:b w:val="0"/>
          <w:bCs/>
          <w:color w:val="auto"/>
          <w:szCs w:val="21"/>
          <w:lang w:val="en-US" w:eastAsia="zh-CN"/>
        </w:rPr>
        <w:t>2、施工要求：</w:t>
      </w:r>
    </w:p>
    <w:p>
      <w:pPr>
        <w:adjustRightInd w:val="0"/>
        <w:snapToGrid w:val="0"/>
        <w:spacing w:line="360" w:lineRule="auto"/>
        <w:ind w:firstLine="420" w:firstLineChars="200"/>
        <w:rPr>
          <w:rFonts w:hint="eastAsia" w:asciiTheme="minorEastAsia" w:hAnsiTheme="minorEastAsia" w:eastAsiaTheme="minorEastAsia" w:cstheme="minorEastAsia"/>
          <w:b w:val="0"/>
          <w:bCs/>
          <w:color w:val="auto"/>
          <w:szCs w:val="21"/>
          <w:lang w:val="en-US" w:eastAsia="zh-CN"/>
        </w:rPr>
      </w:pPr>
      <w:r>
        <w:rPr>
          <w:rFonts w:hint="eastAsia" w:asciiTheme="minorEastAsia" w:hAnsiTheme="minorEastAsia" w:eastAsiaTheme="minorEastAsia" w:cstheme="minorEastAsia"/>
          <w:b w:val="0"/>
          <w:bCs/>
          <w:color w:val="auto"/>
          <w:szCs w:val="21"/>
          <w:lang w:val="en-US" w:eastAsia="zh-CN"/>
        </w:rPr>
        <w:t>（1）成交供应商须加强施工的组织管理，所有施工人员须遵守文明安全施工的有关规章制度，持证上岗。</w:t>
      </w:r>
    </w:p>
    <w:p>
      <w:pPr>
        <w:adjustRightInd w:val="0"/>
        <w:snapToGrid w:val="0"/>
        <w:spacing w:line="360" w:lineRule="auto"/>
        <w:ind w:firstLine="420" w:firstLineChars="200"/>
        <w:rPr>
          <w:rFonts w:hint="eastAsia" w:asciiTheme="minorEastAsia" w:hAnsiTheme="minorEastAsia" w:eastAsiaTheme="minorEastAsia" w:cstheme="minorEastAsia"/>
          <w:b w:val="0"/>
          <w:bCs/>
          <w:color w:val="auto"/>
          <w:szCs w:val="21"/>
          <w:lang w:val="en-US" w:eastAsia="zh-CN"/>
        </w:rPr>
      </w:pPr>
      <w:r>
        <w:rPr>
          <w:rFonts w:hint="eastAsia" w:asciiTheme="minorEastAsia" w:hAnsiTheme="minorEastAsia" w:eastAsiaTheme="minorEastAsia" w:cstheme="minorEastAsia"/>
          <w:b w:val="0"/>
          <w:bCs/>
          <w:color w:val="auto"/>
          <w:szCs w:val="21"/>
          <w:lang w:val="en-US" w:eastAsia="zh-CN"/>
        </w:rPr>
        <w:t>（2）项目经理不得同时在其它建设工程项目中任职。关键岗位人员必须持有相应的岗位资格证书，岗位资格证书注明了单位名称的，应与供应商名称一致。</w:t>
      </w:r>
    </w:p>
    <w:p>
      <w:pPr>
        <w:adjustRightInd w:val="0"/>
        <w:snapToGrid w:val="0"/>
        <w:spacing w:line="360" w:lineRule="auto"/>
        <w:ind w:firstLine="420" w:firstLineChars="200"/>
        <w:rPr>
          <w:rFonts w:hint="eastAsia" w:asciiTheme="minorEastAsia" w:hAnsiTheme="minorEastAsia" w:eastAsiaTheme="minorEastAsia" w:cstheme="minorEastAsia"/>
          <w:b w:val="0"/>
          <w:bCs/>
          <w:color w:val="auto"/>
          <w:szCs w:val="21"/>
          <w:lang w:val="en-US" w:eastAsia="zh-CN"/>
        </w:rPr>
      </w:pPr>
      <w:r>
        <w:rPr>
          <w:rFonts w:hint="eastAsia" w:asciiTheme="minorEastAsia" w:hAnsiTheme="minorEastAsia" w:eastAsiaTheme="minorEastAsia" w:cstheme="minorEastAsia"/>
          <w:b w:val="0"/>
          <w:bCs/>
          <w:color w:val="auto"/>
          <w:szCs w:val="21"/>
          <w:lang w:val="en-US" w:eastAsia="zh-CN"/>
        </w:rPr>
        <w:t>（3）成交供应商在参与本项目的全部过程中，应负责其所有工作人员的人身意外保险以及承担人身意外事故引发的责任、损失和所有费用。采购人不承担成交供应商工作人员因意外（包括但不限于：在施工现场工作中发生的意外以及抵达施工现场途中及返程中发生的意外）所致的任何责任。在施工现场由于成交供应商的原因导致给采购人带来的损失，由成交供应商承担。</w:t>
      </w:r>
    </w:p>
    <w:p>
      <w:pPr>
        <w:adjustRightInd w:val="0"/>
        <w:snapToGrid w:val="0"/>
        <w:spacing w:line="360" w:lineRule="auto"/>
        <w:ind w:firstLine="420" w:firstLineChars="200"/>
        <w:rPr>
          <w:rFonts w:hint="eastAsia" w:asciiTheme="minorEastAsia" w:hAnsiTheme="minorEastAsia" w:eastAsiaTheme="minorEastAsia" w:cstheme="minorEastAsia"/>
          <w:b w:val="0"/>
          <w:bCs/>
          <w:color w:val="auto"/>
          <w:szCs w:val="21"/>
          <w:lang w:val="en-US" w:eastAsia="zh-CN"/>
        </w:rPr>
      </w:pPr>
      <w:r>
        <w:rPr>
          <w:rFonts w:hint="eastAsia" w:asciiTheme="minorEastAsia" w:hAnsiTheme="minorEastAsia" w:eastAsiaTheme="minorEastAsia" w:cstheme="minorEastAsia"/>
          <w:b w:val="0"/>
          <w:bCs/>
          <w:color w:val="auto"/>
          <w:szCs w:val="21"/>
          <w:lang w:val="en-US" w:eastAsia="zh-CN"/>
        </w:rPr>
        <w:t>3、验收要求</w:t>
      </w:r>
    </w:p>
    <w:p>
      <w:pPr>
        <w:adjustRightInd w:val="0"/>
        <w:snapToGrid w:val="0"/>
        <w:spacing w:line="360" w:lineRule="auto"/>
        <w:ind w:firstLine="420" w:firstLineChars="200"/>
        <w:rPr>
          <w:rFonts w:hint="eastAsia" w:asciiTheme="minorEastAsia" w:hAnsiTheme="minorEastAsia" w:eastAsiaTheme="minorEastAsia" w:cstheme="minorEastAsia"/>
          <w:b w:val="0"/>
          <w:bCs/>
          <w:color w:val="auto"/>
          <w:szCs w:val="21"/>
          <w:lang w:val="en-US" w:eastAsia="zh-CN"/>
        </w:rPr>
      </w:pPr>
      <w:r>
        <w:rPr>
          <w:rFonts w:hint="eastAsia" w:asciiTheme="minorEastAsia" w:hAnsiTheme="minorEastAsia" w:eastAsiaTheme="minorEastAsia" w:cstheme="minorEastAsia"/>
          <w:b w:val="0"/>
          <w:bCs/>
          <w:color w:val="auto"/>
          <w:szCs w:val="21"/>
          <w:lang w:val="en-US" w:eastAsia="zh-CN"/>
        </w:rPr>
        <w:t>（1）项目验收国家有强制性规定的，按国家规定执行，验收费用由中标供应商承担，验收报告作为申请付款的凭证之一。</w:t>
      </w:r>
    </w:p>
    <w:p>
      <w:pPr>
        <w:adjustRightInd w:val="0"/>
        <w:snapToGrid w:val="0"/>
        <w:spacing w:line="360" w:lineRule="auto"/>
        <w:ind w:firstLine="420" w:firstLineChars="200"/>
        <w:rPr>
          <w:rFonts w:hint="eastAsia" w:asciiTheme="minorEastAsia" w:hAnsiTheme="minorEastAsia" w:eastAsiaTheme="minorEastAsia" w:cstheme="minorEastAsia"/>
          <w:b w:val="0"/>
          <w:bCs/>
          <w:color w:val="auto"/>
          <w:szCs w:val="21"/>
          <w:lang w:val="en-US" w:eastAsia="zh-CN"/>
        </w:rPr>
      </w:pPr>
      <w:r>
        <w:rPr>
          <w:rFonts w:hint="eastAsia" w:asciiTheme="minorEastAsia" w:hAnsiTheme="minorEastAsia" w:eastAsiaTheme="minorEastAsia" w:cstheme="minorEastAsia"/>
          <w:b w:val="0"/>
          <w:bCs/>
          <w:color w:val="auto"/>
          <w:szCs w:val="21"/>
          <w:lang w:val="en-US" w:eastAsia="zh-CN"/>
        </w:rPr>
        <w:t>（2）验收标准:符合现行国家有关工程施工验收规范，达到质量检验合格标准。</w:t>
      </w:r>
    </w:p>
    <w:p>
      <w:pPr>
        <w:adjustRightInd w:val="0"/>
        <w:snapToGrid w:val="0"/>
        <w:spacing w:line="360" w:lineRule="auto"/>
        <w:ind w:firstLine="420" w:firstLineChars="200"/>
        <w:rPr>
          <w:rFonts w:hint="eastAsia" w:asciiTheme="minorEastAsia" w:hAnsiTheme="minorEastAsia" w:eastAsiaTheme="minorEastAsia" w:cstheme="minorEastAsia"/>
          <w:b w:val="0"/>
          <w:bCs/>
          <w:color w:val="auto"/>
          <w:szCs w:val="21"/>
          <w:lang w:val="en-US" w:eastAsia="zh-CN"/>
        </w:rPr>
      </w:pPr>
      <w:r>
        <w:rPr>
          <w:rFonts w:hint="eastAsia" w:asciiTheme="minorEastAsia" w:hAnsiTheme="minorEastAsia" w:eastAsiaTheme="minorEastAsia" w:cstheme="minorEastAsia"/>
          <w:b w:val="0"/>
          <w:bCs/>
          <w:color w:val="auto"/>
          <w:szCs w:val="21"/>
          <w:lang w:val="en-US" w:eastAsia="zh-CN"/>
        </w:rPr>
        <w:t>（3）验收过程中产生纠纷的，由质量技术监督部门认定的检测机构检测,如为中标供应商原因造成的，由中标供应商承担检测费用；否则，由采购人承担。</w:t>
      </w:r>
    </w:p>
    <w:p>
      <w:pPr>
        <w:adjustRightInd w:val="0"/>
        <w:snapToGrid w:val="0"/>
        <w:spacing w:line="360" w:lineRule="auto"/>
        <w:ind w:firstLine="420" w:firstLineChars="200"/>
        <w:rPr>
          <w:rFonts w:hint="eastAsia" w:asciiTheme="minorEastAsia" w:hAnsiTheme="minorEastAsia" w:eastAsiaTheme="minorEastAsia" w:cstheme="minorEastAsia"/>
          <w:b w:val="0"/>
          <w:bCs/>
          <w:color w:val="auto"/>
          <w:szCs w:val="21"/>
          <w:lang w:val="en-US" w:eastAsia="zh-CN"/>
        </w:rPr>
      </w:pPr>
      <w:r>
        <w:rPr>
          <w:rFonts w:hint="eastAsia" w:asciiTheme="minorEastAsia" w:hAnsiTheme="minorEastAsia" w:eastAsiaTheme="minorEastAsia" w:cstheme="minorEastAsia"/>
          <w:b w:val="0"/>
          <w:bCs/>
          <w:color w:val="auto"/>
          <w:szCs w:val="21"/>
          <w:lang w:val="en-US" w:eastAsia="zh-CN"/>
        </w:rPr>
        <w:t>注：项目验收不合格，由中标供应商返工直至合格，有关返工、再行验收，以及给采购人造成的损失等费用由中标供应商承担。连续两次项目验收不合格的，采购人可终止合同，另行按规定选择其他供应商采购，由此带来的一切损失由中标供应商承担。</w:t>
      </w:r>
    </w:p>
    <w:p>
      <w:pPr>
        <w:adjustRightInd w:val="0"/>
        <w:snapToGrid w:val="0"/>
        <w:spacing w:line="360" w:lineRule="auto"/>
        <w:ind w:firstLine="420" w:firstLineChars="200"/>
        <w:rPr>
          <w:rFonts w:hint="eastAsia" w:asciiTheme="minorEastAsia" w:hAnsiTheme="minorEastAsia" w:eastAsiaTheme="minorEastAsia" w:cstheme="minorEastAsia"/>
          <w:b w:val="0"/>
          <w:bCs/>
          <w:color w:val="auto"/>
          <w:szCs w:val="21"/>
          <w:lang w:val="en-US" w:eastAsia="zh-CN"/>
        </w:rPr>
      </w:pPr>
      <w:r>
        <w:rPr>
          <w:rFonts w:hint="eastAsia" w:asciiTheme="minorEastAsia" w:hAnsiTheme="minorEastAsia" w:eastAsiaTheme="minorEastAsia" w:cstheme="minorEastAsia"/>
          <w:b w:val="0"/>
          <w:bCs/>
          <w:color w:val="auto"/>
          <w:szCs w:val="21"/>
          <w:lang w:val="en-US" w:eastAsia="zh-CN"/>
        </w:rPr>
        <w:t>4、质量保证</w:t>
      </w:r>
    </w:p>
    <w:p>
      <w:pPr>
        <w:adjustRightInd w:val="0"/>
        <w:snapToGrid w:val="0"/>
        <w:spacing w:line="360" w:lineRule="auto"/>
        <w:ind w:firstLine="420" w:firstLineChars="200"/>
        <w:rPr>
          <w:rFonts w:hint="eastAsia" w:asciiTheme="minorEastAsia" w:hAnsiTheme="minorEastAsia" w:eastAsiaTheme="minorEastAsia" w:cstheme="minorEastAsia"/>
          <w:b w:val="0"/>
          <w:bCs/>
          <w:color w:val="auto"/>
          <w:szCs w:val="21"/>
          <w:lang w:val="en-US" w:eastAsia="zh-CN"/>
        </w:rPr>
      </w:pPr>
      <w:r>
        <w:rPr>
          <w:rFonts w:hint="eastAsia" w:asciiTheme="minorEastAsia" w:hAnsiTheme="minorEastAsia" w:eastAsiaTheme="minorEastAsia" w:cstheme="minorEastAsia"/>
          <w:b w:val="0"/>
          <w:bCs/>
          <w:color w:val="auto"/>
          <w:szCs w:val="21"/>
          <w:lang w:val="en-US" w:eastAsia="zh-CN"/>
        </w:rPr>
        <w:t>（1）本工程质量符合《工程施工质量验收规范》要求验收合格。</w:t>
      </w:r>
    </w:p>
    <w:p>
      <w:pPr>
        <w:adjustRightInd w:val="0"/>
        <w:snapToGrid w:val="0"/>
        <w:spacing w:line="360" w:lineRule="auto"/>
        <w:ind w:firstLine="420" w:firstLineChars="200"/>
        <w:rPr>
          <w:rFonts w:hint="eastAsia" w:asciiTheme="minorEastAsia" w:hAnsiTheme="minorEastAsia" w:eastAsiaTheme="minorEastAsia" w:cstheme="minorEastAsia"/>
          <w:b w:val="0"/>
          <w:bCs/>
          <w:color w:val="auto"/>
          <w:szCs w:val="21"/>
          <w:lang w:val="en-US" w:eastAsia="zh-CN"/>
        </w:rPr>
      </w:pPr>
      <w:r>
        <w:rPr>
          <w:rFonts w:hint="eastAsia" w:asciiTheme="minorEastAsia" w:hAnsiTheme="minorEastAsia" w:eastAsiaTheme="minorEastAsia" w:cstheme="minorEastAsia"/>
          <w:b w:val="0"/>
          <w:bCs/>
          <w:color w:val="auto"/>
          <w:szCs w:val="21"/>
          <w:lang w:val="en-US" w:eastAsia="zh-CN"/>
        </w:rPr>
        <w:t>（2）工程保修：按照国家建设部第279号令保修规定进行保修内容及期限，由供应商承担其责任与义务。</w:t>
      </w:r>
    </w:p>
    <w:p>
      <w:pPr>
        <w:adjustRightInd w:val="0"/>
        <w:snapToGrid w:val="0"/>
        <w:spacing w:line="360" w:lineRule="auto"/>
        <w:ind w:firstLine="420" w:firstLineChars="200"/>
        <w:rPr>
          <w:rFonts w:hint="eastAsia" w:asciiTheme="minorEastAsia" w:hAnsiTheme="minorEastAsia" w:eastAsiaTheme="minorEastAsia" w:cstheme="minorEastAsia"/>
          <w:b w:val="0"/>
          <w:bCs/>
          <w:color w:val="auto"/>
          <w:szCs w:val="21"/>
          <w:lang w:val="en-US" w:eastAsia="zh-CN"/>
        </w:rPr>
      </w:pPr>
      <w:r>
        <w:rPr>
          <w:rFonts w:hint="eastAsia" w:asciiTheme="minorEastAsia" w:hAnsiTheme="minorEastAsia" w:eastAsiaTheme="minorEastAsia" w:cstheme="minorEastAsia"/>
          <w:b w:val="0"/>
          <w:bCs/>
          <w:color w:val="auto"/>
          <w:szCs w:val="21"/>
          <w:lang w:val="en-US" w:eastAsia="zh-CN"/>
        </w:rPr>
        <w:t>5、本项目最终结算价以相关审计部门审核的为准。投标人应根据项目要求和现场情况，详细列明项目所需的设备、材料以及所有人工、管理、财务等所有费用，如投标人遗漏磋商文件所列工程量清单内容，均由成交人自负，采购人不再支付任何费用。</w:t>
      </w:r>
    </w:p>
    <w:p>
      <w:pPr>
        <w:adjustRightInd w:val="0"/>
        <w:snapToGrid w:val="0"/>
        <w:spacing w:line="360" w:lineRule="auto"/>
        <w:ind w:firstLine="420" w:firstLineChars="200"/>
        <w:rPr>
          <w:rFonts w:hint="eastAsia" w:asciiTheme="minorEastAsia" w:hAnsiTheme="minorEastAsia" w:eastAsiaTheme="minorEastAsia" w:cstheme="minorEastAsia"/>
          <w:b w:val="0"/>
          <w:bCs/>
          <w:color w:val="auto"/>
          <w:szCs w:val="21"/>
          <w:lang w:val="en-US" w:eastAsia="zh-CN"/>
        </w:rPr>
      </w:pPr>
      <w:r>
        <w:rPr>
          <w:rFonts w:hint="eastAsia" w:asciiTheme="minorEastAsia" w:hAnsiTheme="minorEastAsia" w:eastAsiaTheme="minorEastAsia" w:cstheme="minorEastAsia"/>
          <w:b w:val="0"/>
          <w:bCs/>
          <w:color w:val="auto"/>
          <w:szCs w:val="21"/>
          <w:lang w:val="en-US" w:eastAsia="zh-CN"/>
        </w:rPr>
        <w:t>6、其他要求</w:t>
      </w:r>
    </w:p>
    <w:p>
      <w:pPr>
        <w:adjustRightInd w:val="0"/>
        <w:snapToGrid w:val="0"/>
        <w:spacing w:line="360" w:lineRule="auto"/>
        <w:ind w:firstLine="420" w:firstLineChars="200"/>
        <w:rPr>
          <w:rFonts w:hint="eastAsia" w:asciiTheme="minorEastAsia" w:hAnsiTheme="minorEastAsia" w:eastAsiaTheme="minorEastAsia" w:cstheme="minorEastAsia"/>
          <w:b w:val="0"/>
          <w:bCs/>
          <w:color w:val="auto"/>
          <w:szCs w:val="21"/>
          <w:lang w:val="en-US" w:eastAsia="zh-CN"/>
        </w:rPr>
      </w:pPr>
      <w:r>
        <w:rPr>
          <w:rFonts w:hint="eastAsia" w:asciiTheme="minorEastAsia" w:hAnsiTheme="minorEastAsia" w:eastAsiaTheme="minorEastAsia" w:cstheme="minorEastAsia"/>
          <w:b w:val="0"/>
          <w:bCs/>
          <w:color w:val="auto"/>
          <w:szCs w:val="21"/>
          <w:lang w:val="en-US" w:eastAsia="zh-CN"/>
        </w:rPr>
        <w:t>（1）供应商在投标前，如需踏勘现场，有关费用自理，踏勘期间发生的意外自负。</w:t>
      </w:r>
    </w:p>
    <w:p>
      <w:pPr>
        <w:adjustRightInd w:val="0"/>
        <w:snapToGrid w:val="0"/>
        <w:spacing w:line="360" w:lineRule="auto"/>
        <w:ind w:firstLine="420" w:firstLineChars="200"/>
        <w:rPr>
          <w:rFonts w:hint="eastAsia" w:asciiTheme="minorEastAsia" w:hAnsiTheme="minorEastAsia" w:eastAsiaTheme="minorEastAsia" w:cstheme="minorEastAsia"/>
          <w:b w:val="0"/>
          <w:bCs/>
          <w:color w:val="auto"/>
          <w:szCs w:val="21"/>
          <w:lang w:val="en-US" w:eastAsia="zh-CN"/>
        </w:rPr>
      </w:pPr>
      <w:r>
        <w:rPr>
          <w:rFonts w:hint="eastAsia" w:asciiTheme="minorEastAsia" w:hAnsiTheme="minorEastAsia" w:eastAsiaTheme="minorEastAsia" w:cstheme="minorEastAsia"/>
          <w:b w:val="0"/>
          <w:bCs/>
          <w:color w:val="auto"/>
          <w:szCs w:val="21"/>
          <w:lang w:val="en-US" w:eastAsia="zh-CN"/>
        </w:rPr>
        <w:t>（2）对于上述项目要求，供应商应在响应文件中进行回应，作出承诺及说明。</w:t>
      </w:r>
    </w:p>
    <w:p>
      <w:pPr>
        <w:adjustRightInd w:val="0"/>
        <w:snapToGrid w:val="0"/>
        <w:spacing w:line="360" w:lineRule="auto"/>
        <w:ind w:firstLine="420" w:firstLineChars="200"/>
        <w:rPr>
          <w:rFonts w:hint="eastAsia" w:asciiTheme="minorEastAsia" w:hAnsiTheme="minorEastAsia" w:eastAsiaTheme="minorEastAsia" w:cstheme="minorEastAsia"/>
          <w:b w:val="0"/>
          <w:bCs/>
          <w:color w:val="auto"/>
          <w:szCs w:val="21"/>
          <w:lang w:val="en-US" w:eastAsia="zh-CN"/>
        </w:rPr>
      </w:pPr>
      <w:r>
        <w:rPr>
          <w:rFonts w:hint="eastAsia" w:asciiTheme="minorEastAsia" w:hAnsiTheme="minorEastAsia" w:eastAsiaTheme="minorEastAsia" w:cstheme="minorEastAsia"/>
          <w:b w:val="0"/>
          <w:bCs/>
          <w:color w:val="auto"/>
          <w:szCs w:val="21"/>
          <w:lang w:val="en-US" w:eastAsia="zh-CN"/>
        </w:rPr>
        <w:t>（3）不合理报价</w:t>
      </w:r>
    </w:p>
    <w:p>
      <w:pPr>
        <w:adjustRightInd w:val="0"/>
        <w:snapToGrid w:val="0"/>
        <w:spacing w:line="360" w:lineRule="auto"/>
        <w:ind w:firstLine="420" w:firstLineChars="200"/>
        <w:rPr>
          <w:rFonts w:hint="eastAsia" w:asciiTheme="minorEastAsia" w:hAnsiTheme="minorEastAsia" w:eastAsiaTheme="minorEastAsia" w:cstheme="minorEastAsia"/>
          <w:b w:val="0"/>
          <w:bCs/>
          <w:color w:val="auto"/>
          <w:szCs w:val="21"/>
          <w:lang w:eastAsia="zh-CN"/>
        </w:rPr>
      </w:pPr>
      <w:r>
        <w:rPr>
          <w:rFonts w:hint="eastAsia" w:asciiTheme="minorEastAsia" w:hAnsiTheme="minorEastAsia" w:eastAsiaTheme="minorEastAsia" w:cstheme="minorEastAsia"/>
          <w:b w:val="0"/>
          <w:bCs/>
          <w:color w:val="auto"/>
          <w:szCs w:val="21"/>
          <w:lang w:val="en-US" w:eastAsia="zh-CN"/>
        </w:rPr>
        <w:t>如果在评标过程中，磋商小组发现投标人的投标报价明显低于其他通过符合性审查投标人的综合报价或者有理由怀疑其投标综合报价可能低于其成本的，将要求该投标人在规定的时间内出具详细的成本计算清单（加盖投标人单位公章或授权代表签字）并提供相关证明材料（相关证明材料：提供与本次工程规模类似的业绩合同复印件及建设单位认可的竣工报告为准，并加盖投标单位公章）。投标人在规定的时间内不能出具详细的成本计算清单或不能提供相关证明材料的，视作该投标人以低于成本报价投标，其投标文件应作废标处理。</w:t>
      </w:r>
    </w:p>
    <w:p>
      <w:pPr>
        <w:adjustRightInd w:val="0"/>
        <w:snapToGrid w:val="0"/>
        <w:spacing w:line="360" w:lineRule="auto"/>
        <w:ind w:firstLine="420" w:firstLineChars="200"/>
        <w:rPr>
          <w:rFonts w:hint="eastAsia" w:asciiTheme="minorEastAsia" w:hAnsiTheme="minorEastAsia" w:eastAsiaTheme="minorEastAsia" w:cstheme="minorEastAsia"/>
          <w:b w:val="0"/>
          <w:bCs/>
          <w:color w:val="auto"/>
          <w:szCs w:val="21"/>
          <w:lang w:val="en-US" w:eastAsia="zh-CN"/>
        </w:rPr>
      </w:pPr>
      <w:r>
        <w:rPr>
          <w:rFonts w:hint="eastAsia" w:asciiTheme="minorEastAsia" w:hAnsiTheme="minorEastAsia" w:eastAsiaTheme="minorEastAsia" w:cstheme="minorEastAsia"/>
          <w:b w:val="0"/>
          <w:bCs/>
          <w:color w:val="auto"/>
          <w:szCs w:val="21"/>
          <w:lang w:val="en-US" w:eastAsia="zh-CN"/>
        </w:rPr>
        <w:t>第二部分：商务要求</w:t>
      </w:r>
    </w:p>
    <w:p>
      <w:pPr>
        <w:adjustRightInd w:val="0"/>
        <w:snapToGrid w:val="0"/>
        <w:spacing w:line="360" w:lineRule="auto"/>
        <w:ind w:firstLine="420" w:firstLineChars="200"/>
        <w:rPr>
          <w:rFonts w:hint="eastAsia" w:asciiTheme="minorEastAsia" w:hAnsiTheme="minorEastAsia" w:eastAsiaTheme="minorEastAsia" w:cstheme="minorEastAsia"/>
          <w:b w:val="0"/>
          <w:bCs/>
          <w:color w:val="auto"/>
          <w:szCs w:val="21"/>
          <w:lang w:val="en-US" w:eastAsia="zh-CN"/>
        </w:rPr>
      </w:pPr>
      <w:r>
        <w:rPr>
          <w:rFonts w:hint="eastAsia" w:asciiTheme="minorEastAsia" w:hAnsiTheme="minorEastAsia" w:eastAsiaTheme="minorEastAsia" w:cstheme="minorEastAsia"/>
          <w:b w:val="0"/>
          <w:bCs/>
          <w:color w:val="auto"/>
          <w:szCs w:val="21"/>
          <w:lang w:val="en-US" w:eastAsia="zh-CN"/>
        </w:rPr>
        <w:t>1、履行合同的时间与地点：</w:t>
      </w:r>
    </w:p>
    <w:p>
      <w:pPr>
        <w:adjustRightInd w:val="0"/>
        <w:snapToGrid w:val="0"/>
        <w:spacing w:line="360" w:lineRule="auto"/>
        <w:ind w:firstLine="420" w:firstLineChars="200"/>
        <w:rPr>
          <w:rFonts w:hint="eastAsia" w:asciiTheme="minorEastAsia" w:hAnsiTheme="minorEastAsia" w:eastAsiaTheme="minorEastAsia" w:cstheme="minorEastAsia"/>
          <w:b w:val="0"/>
          <w:bCs/>
          <w:color w:val="auto"/>
          <w:szCs w:val="21"/>
          <w:lang w:val="en-US" w:eastAsia="zh-CN"/>
        </w:rPr>
      </w:pPr>
      <w:r>
        <w:rPr>
          <w:rFonts w:hint="eastAsia" w:asciiTheme="minorEastAsia" w:hAnsiTheme="minorEastAsia" w:eastAsiaTheme="minorEastAsia" w:cstheme="minorEastAsia"/>
          <w:b w:val="0"/>
          <w:bCs/>
          <w:color w:val="auto"/>
          <w:szCs w:val="21"/>
          <w:lang w:val="en-US" w:eastAsia="zh-CN"/>
        </w:rPr>
        <w:t>（1）合同履约时间：自合同签订之日起60日历天。</w:t>
      </w:r>
    </w:p>
    <w:p>
      <w:pPr>
        <w:adjustRightInd w:val="0"/>
        <w:snapToGrid w:val="0"/>
        <w:spacing w:line="360" w:lineRule="auto"/>
        <w:ind w:firstLine="420" w:firstLineChars="200"/>
        <w:rPr>
          <w:rFonts w:hint="eastAsia" w:asciiTheme="minorEastAsia" w:hAnsiTheme="minorEastAsia" w:eastAsiaTheme="minorEastAsia" w:cstheme="minorEastAsia"/>
          <w:b w:val="0"/>
          <w:bCs/>
          <w:color w:val="auto"/>
          <w:szCs w:val="21"/>
          <w:lang w:val="en-US" w:eastAsia="zh-CN"/>
        </w:rPr>
      </w:pPr>
      <w:r>
        <w:rPr>
          <w:rFonts w:hint="eastAsia" w:asciiTheme="minorEastAsia" w:hAnsiTheme="minorEastAsia" w:eastAsiaTheme="minorEastAsia" w:cstheme="minorEastAsia"/>
          <w:b w:val="0"/>
          <w:bCs/>
          <w:color w:val="auto"/>
          <w:szCs w:val="21"/>
          <w:lang w:val="en-US" w:eastAsia="zh-CN"/>
        </w:rPr>
        <w:t>（2）合同履约地点：</w:t>
      </w:r>
      <w:r>
        <w:rPr>
          <w:rFonts w:hint="eastAsia" w:asciiTheme="minorEastAsia" w:hAnsiTheme="minorEastAsia" w:eastAsiaTheme="minorEastAsia" w:cstheme="minorEastAsia"/>
          <w:b w:val="0"/>
          <w:bCs/>
          <w:color w:val="auto"/>
          <w:szCs w:val="21"/>
        </w:rPr>
        <w:t>岳阳楼区</w:t>
      </w:r>
    </w:p>
    <w:p>
      <w:pPr>
        <w:adjustRightInd w:val="0"/>
        <w:snapToGrid w:val="0"/>
        <w:spacing w:line="360" w:lineRule="auto"/>
        <w:ind w:firstLine="420" w:firstLineChars="200"/>
        <w:rPr>
          <w:rFonts w:hint="eastAsia" w:asciiTheme="minorEastAsia" w:hAnsiTheme="minorEastAsia" w:eastAsiaTheme="minorEastAsia" w:cstheme="minorEastAsia"/>
          <w:b w:val="0"/>
          <w:bCs/>
          <w:color w:val="auto"/>
          <w:szCs w:val="21"/>
          <w:lang w:val="en-US" w:eastAsia="zh-CN"/>
        </w:rPr>
      </w:pPr>
      <w:r>
        <w:rPr>
          <w:rFonts w:hint="eastAsia" w:asciiTheme="minorEastAsia" w:hAnsiTheme="minorEastAsia" w:eastAsiaTheme="minorEastAsia" w:cstheme="minorEastAsia"/>
          <w:b w:val="0"/>
          <w:bCs/>
          <w:color w:val="auto"/>
          <w:szCs w:val="21"/>
          <w:lang w:val="en-US" w:eastAsia="zh-CN"/>
        </w:rPr>
        <w:t>2、付款方式 ：</w:t>
      </w:r>
    </w:p>
    <w:p>
      <w:pPr>
        <w:adjustRightInd w:val="0"/>
        <w:snapToGrid w:val="0"/>
        <w:spacing w:line="360" w:lineRule="auto"/>
        <w:ind w:firstLine="420" w:firstLineChars="200"/>
        <w:rPr>
          <w:rFonts w:hint="eastAsia" w:asciiTheme="minorEastAsia" w:hAnsiTheme="minorEastAsia" w:eastAsiaTheme="minorEastAsia" w:cstheme="minorEastAsia"/>
          <w:b w:val="0"/>
          <w:bCs/>
          <w:color w:val="auto"/>
          <w:szCs w:val="21"/>
          <w:lang w:val="en-US" w:eastAsia="zh-CN"/>
        </w:rPr>
      </w:pPr>
      <w:r>
        <w:rPr>
          <w:rFonts w:hint="eastAsia" w:asciiTheme="minorEastAsia" w:hAnsiTheme="minorEastAsia" w:eastAsiaTheme="minorEastAsia" w:cstheme="minorEastAsia"/>
          <w:b w:val="0"/>
          <w:bCs/>
          <w:color w:val="auto"/>
          <w:szCs w:val="21"/>
          <w:lang w:val="en-US" w:eastAsia="zh-CN"/>
        </w:rPr>
        <w:t>（1）工程进度款采取按月支付形式。每月15日前，由乙方申报上一个月的工程进度款，甲方审核确认后，一个月内按审定进度款的50%支付给乙方。</w:t>
      </w:r>
    </w:p>
    <w:p>
      <w:pPr>
        <w:adjustRightInd w:val="0"/>
        <w:snapToGrid w:val="0"/>
        <w:spacing w:line="360" w:lineRule="auto"/>
        <w:ind w:firstLine="420" w:firstLineChars="200"/>
        <w:rPr>
          <w:rFonts w:hint="eastAsia" w:asciiTheme="minorEastAsia" w:hAnsiTheme="minorEastAsia" w:eastAsiaTheme="minorEastAsia" w:cstheme="minorEastAsia"/>
          <w:b w:val="0"/>
          <w:bCs/>
          <w:color w:val="auto"/>
          <w:szCs w:val="21"/>
          <w:lang w:val="en-US" w:eastAsia="zh-CN"/>
        </w:rPr>
      </w:pPr>
      <w:r>
        <w:rPr>
          <w:rFonts w:hint="eastAsia" w:asciiTheme="minorEastAsia" w:hAnsiTheme="minorEastAsia" w:eastAsiaTheme="minorEastAsia" w:cstheme="minorEastAsia"/>
          <w:b w:val="0"/>
          <w:bCs/>
          <w:color w:val="auto"/>
          <w:szCs w:val="21"/>
          <w:lang w:val="en-US" w:eastAsia="zh-CN"/>
        </w:rPr>
        <w:t>（2）工程竣工验收合格后一周内，可支付至合同内进度的60%。</w:t>
      </w:r>
    </w:p>
    <w:p>
      <w:pPr>
        <w:adjustRightInd w:val="0"/>
        <w:snapToGrid w:val="0"/>
        <w:spacing w:line="360" w:lineRule="auto"/>
        <w:ind w:firstLine="420" w:firstLineChars="200"/>
        <w:rPr>
          <w:rFonts w:hint="eastAsia" w:asciiTheme="minorEastAsia" w:hAnsiTheme="minorEastAsia" w:eastAsiaTheme="minorEastAsia" w:cstheme="minorEastAsia"/>
          <w:b w:val="0"/>
          <w:bCs/>
          <w:color w:val="auto"/>
          <w:szCs w:val="21"/>
          <w:lang w:val="en-US" w:eastAsia="zh-CN"/>
        </w:rPr>
      </w:pPr>
      <w:r>
        <w:rPr>
          <w:rFonts w:hint="eastAsia" w:asciiTheme="minorEastAsia" w:hAnsiTheme="minorEastAsia" w:eastAsiaTheme="minorEastAsia" w:cstheme="minorEastAsia"/>
          <w:b w:val="0"/>
          <w:bCs/>
          <w:color w:val="auto"/>
          <w:szCs w:val="21"/>
          <w:lang w:val="en-US" w:eastAsia="zh-CN"/>
        </w:rPr>
        <w:t>（3）完成工程结算初审，可支付至初审结论的70%。</w:t>
      </w:r>
    </w:p>
    <w:p>
      <w:pPr>
        <w:adjustRightInd w:val="0"/>
        <w:snapToGrid w:val="0"/>
        <w:spacing w:line="360" w:lineRule="auto"/>
        <w:ind w:firstLine="420" w:firstLineChars="200"/>
        <w:rPr>
          <w:rFonts w:hint="eastAsia" w:asciiTheme="minorEastAsia" w:hAnsiTheme="minorEastAsia" w:eastAsiaTheme="minorEastAsia" w:cstheme="minorEastAsia"/>
          <w:b w:val="0"/>
          <w:bCs/>
          <w:color w:val="auto"/>
          <w:szCs w:val="21"/>
          <w:lang w:val="en-US" w:eastAsia="zh-CN"/>
        </w:rPr>
      </w:pPr>
      <w:r>
        <w:rPr>
          <w:rFonts w:hint="eastAsia" w:asciiTheme="minorEastAsia" w:hAnsiTheme="minorEastAsia" w:eastAsiaTheme="minorEastAsia" w:cstheme="minorEastAsia"/>
          <w:b w:val="0"/>
          <w:bCs/>
          <w:color w:val="auto"/>
          <w:szCs w:val="21"/>
          <w:lang w:val="en-US" w:eastAsia="zh-CN"/>
        </w:rPr>
        <w:t>（4）工程经结算评审后，支付至结算审定金额的97 %；3 %余款作为质量保修金，在质量缺陷责任期满后支付。</w:t>
      </w:r>
    </w:p>
    <w:p>
      <w:pPr>
        <w:adjustRightInd w:val="0"/>
        <w:snapToGrid w:val="0"/>
        <w:spacing w:line="360" w:lineRule="auto"/>
        <w:ind w:firstLine="420" w:firstLineChars="200"/>
        <w:rPr>
          <w:rFonts w:hint="eastAsia" w:asciiTheme="minorEastAsia" w:hAnsiTheme="minorEastAsia" w:eastAsiaTheme="minorEastAsia" w:cstheme="minorEastAsia"/>
          <w:b w:val="0"/>
          <w:bCs/>
          <w:color w:val="auto"/>
          <w:szCs w:val="21"/>
          <w:lang w:val="en-US" w:eastAsia="zh-CN"/>
        </w:rPr>
      </w:pPr>
      <w:r>
        <w:rPr>
          <w:rFonts w:hint="eastAsia" w:asciiTheme="minorEastAsia" w:hAnsiTheme="minorEastAsia" w:eastAsiaTheme="minorEastAsia" w:cstheme="minorEastAsia"/>
          <w:b w:val="0"/>
          <w:bCs/>
          <w:color w:val="auto"/>
          <w:szCs w:val="21"/>
          <w:lang w:val="en-US" w:eastAsia="zh-CN"/>
        </w:rPr>
        <w:t>3、采购标的的数量、招标项目交付或者实施的时间和地点：</w:t>
      </w:r>
    </w:p>
    <w:p>
      <w:pPr>
        <w:adjustRightInd w:val="0"/>
        <w:snapToGrid w:val="0"/>
        <w:spacing w:line="360" w:lineRule="auto"/>
        <w:ind w:firstLine="420" w:firstLineChars="200"/>
        <w:rPr>
          <w:rFonts w:hint="eastAsia" w:asciiTheme="minorEastAsia" w:hAnsiTheme="minorEastAsia" w:eastAsiaTheme="minorEastAsia" w:cstheme="minorEastAsia"/>
          <w:b w:val="0"/>
          <w:bCs/>
          <w:color w:val="auto"/>
          <w:szCs w:val="21"/>
          <w:lang w:val="en-US" w:eastAsia="zh-CN"/>
        </w:rPr>
      </w:pPr>
      <w:r>
        <w:rPr>
          <w:rFonts w:hint="eastAsia" w:asciiTheme="minorEastAsia" w:hAnsiTheme="minorEastAsia" w:eastAsiaTheme="minorEastAsia" w:cstheme="minorEastAsia"/>
          <w:b w:val="0"/>
          <w:bCs/>
          <w:color w:val="auto"/>
          <w:szCs w:val="21"/>
          <w:lang w:val="en-US" w:eastAsia="zh-CN"/>
        </w:rPr>
        <w:t>（1）施工要求：自合同签订之日起60日历天内竣工完毕，达到验收合格标准。</w:t>
      </w:r>
    </w:p>
    <w:p>
      <w:pPr>
        <w:adjustRightInd w:val="0"/>
        <w:snapToGrid w:val="0"/>
        <w:spacing w:line="360" w:lineRule="auto"/>
        <w:ind w:firstLine="420" w:firstLineChars="200"/>
        <w:rPr>
          <w:rFonts w:hint="eastAsia" w:asciiTheme="minorEastAsia" w:hAnsiTheme="minorEastAsia" w:eastAsiaTheme="minorEastAsia" w:cstheme="minorEastAsia"/>
          <w:b w:val="0"/>
          <w:bCs/>
          <w:color w:val="auto"/>
          <w:szCs w:val="21"/>
          <w:lang w:val="en-US" w:eastAsia="zh-CN"/>
        </w:rPr>
      </w:pPr>
      <w:r>
        <w:rPr>
          <w:rFonts w:hint="eastAsia" w:asciiTheme="minorEastAsia" w:hAnsiTheme="minorEastAsia" w:eastAsiaTheme="minorEastAsia" w:cstheme="minorEastAsia"/>
          <w:b w:val="0"/>
          <w:bCs/>
          <w:color w:val="auto"/>
          <w:szCs w:val="21"/>
          <w:lang w:val="en-US" w:eastAsia="zh-CN"/>
        </w:rPr>
        <w:t>（2）投标人应负责自行解决正常施工所需要的进入施工现场的交通条件。</w:t>
      </w:r>
    </w:p>
    <w:p>
      <w:pPr>
        <w:adjustRightInd w:val="0"/>
        <w:snapToGrid w:val="0"/>
        <w:spacing w:line="360" w:lineRule="auto"/>
        <w:ind w:firstLine="420" w:firstLineChars="200"/>
        <w:rPr>
          <w:rFonts w:hint="eastAsia" w:asciiTheme="minorEastAsia" w:hAnsiTheme="minorEastAsia" w:eastAsiaTheme="minorEastAsia" w:cstheme="minorEastAsia"/>
          <w:b w:val="0"/>
          <w:bCs/>
          <w:color w:val="auto"/>
          <w:szCs w:val="21"/>
          <w:lang w:val="en-US" w:eastAsia="zh-CN"/>
        </w:rPr>
      </w:pPr>
      <w:r>
        <w:rPr>
          <w:rFonts w:hint="eastAsia" w:asciiTheme="minorEastAsia" w:hAnsiTheme="minorEastAsia" w:eastAsiaTheme="minorEastAsia" w:cstheme="minorEastAsia"/>
          <w:b w:val="0"/>
          <w:bCs/>
          <w:color w:val="auto"/>
          <w:szCs w:val="21"/>
          <w:lang w:val="en-US" w:eastAsia="zh-CN"/>
        </w:rPr>
        <w:t>（3）施工手续办理：投标人需要办理施工过程中的所有手续包括但不限于城管、卫生、环保、治安、劳动、保险、安监等手续，由投标人负责，需缴纳的相关费用由投标人自行承担。</w:t>
      </w:r>
    </w:p>
    <w:p>
      <w:pPr>
        <w:adjustRightInd w:val="0"/>
        <w:snapToGrid w:val="0"/>
        <w:spacing w:line="360" w:lineRule="auto"/>
        <w:ind w:firstLine="420" w:firstLineChars="200"/>
        <w:rPr>
          <w:rFonts w:hint="eastAsia" w:asciiTheme="minorEastAsia" w:hAnsiTheme="minorEastAsia" w:eastAsiaTheme="minorEastAsia" w:cstheme="minorEastAsia"/>
          <w:b w:val="0"/>
          <w:bCs/>
          <w:color w:val="auto"/>
          <w:szCs w:val="21"/>
          <w:lang w:val="en-US" w:eastAsia="zh-CN"/>
        </w:rPr>
      </w:pPr>
      <w:r>
        <w:rPr>
          <w:rFonts w:hint="eastAsia" w:asciiTheme="minorEastAsia" w:hAnsiTheme="minorEastAsia" w:eastAsiaTheme="minorEastAsia" w:cstheme="minorEastAsia"/>
          <w:b w:val="0"/>
          <w:bCs/>
          <w:color w:val="auto"/>
          <w:szCs w:val="21"/>
          <w:lang w:val="en-US" w:eastAsia="zh-CN"/>
        </w:rPr>
        <w:t>4、违约责任与解决争议的方法：采购人所在地进行诉讼。</w:t>
      </w:r>
    </w:p>
    <w:p>
      <w:pPr>
        <w:adjustRightInd w:val="0"/>
        <w:snapToGrid w:val="0"/>
        <w:spacing w:line="360" w:lineRule="auto"/>
        <w:ind w:firstLine="420" w:firstLineChars="200"/>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val="0"/>
          <w:bCs/>
          <w:color w:val="auto"/>
          <w:szCs w:val="21"/>
          <w:lang w:val="en-US" w:eastAsia="zh-CN"/>
        </w:rPr>
        <w:t>5、其他未尽事宜由采购人和成交人双方在采购合同中详细约定。</w:t>
      </w:r>
      <w:r>
        <w:rPr>
          <w:rFonts w:hint="eastAsia" w:asciiTheme="minorEastAsia" w:hAnsiTheme="minorEastAsia" w:eastAsiaTheme="minorEastAsia" w:cstheme="minorEastAsia"/>
          <w:b w:val="0"/>
          <w:bCs/>
          <w:color w:val="auto"/>
          <w:szCs w:val="21"/>
        </w:rPr>
        <w:t>注：</w:t>
      </w:r>
      <w:r>
        <w:rPr>
          <w:rFonts w:hint="eastAsia" w:asciiTheme="minorEastAsia" w:hAnsiTheme="minorEastAsia" w:eastAsiaTheme="minorEastAsia" w:cstheme="minorEastAsia"/>
          <w:b w:val="0"/>
          <w:bCs/>
          <w:color w:val="auto"/>
          <w:kern w:val="0"/>
          <w:szCs w:val="21"/>
        </w:rPr>
        <w:t>在磋商过程中，磋商文件可能发生实质性变动的技术、服务要求以及合同草案条款，请在可能变动的条款旁予以文字注明，并将</w:t>
      </w:r>
      <w:r>
        <w:rPr>
          <w:rFonts w:hint="eastAsia" w:asciiTheme="minorEastAsia" w:hAnsiTheme="minorEastAsia" w:eastAsiaTheme="minorEastAsia" w:cstheme="minorEastAsia"/>
          <w:b w:val="0"/>
          <w:bCs/>
          <w:color w:val="auto"/>
          <w:szCs w:val="21"/>
        </w:rPr>
        <w:t>磋商文件可能变动的内容在磋商须知前附表中明确。</w:t>
      </w:r>
    </w:p>
    <w:p>
      <w:pPr>
        <w:pStyle w:val="20"/>
        <w:ind w:firstLine="422"/>
        <w:rPr>
          <w:rFonts w:asciiTheme="minorEastAsia" w:hAnsiTheme="minorEastAsia" w:eastAsiaTheme="minorEastAsia" w:cstheme="minorEastAsia"/>
          <w:b/>
          <w:color w:val="auto"/>
          <w:szCs w:val="21"/>
        </w:rPr>
      </w:pPr>
    </w:p>
    <w:p>
      <w:pPr>
        <w:pStyle w:val="20"/>
        <w:ind w:firstLine="422"/>
        <w:rPr>
          <w:rFonts w:asciiTheme="minorEastAsia" w:hAnsiTheme="minorEastAsia" w:eastAsiaTheme="minorEastAsia" w:cstheme="minorEastAsia"/>
          <w:b/>
          <w:color w:val="auto"/>
          <w:szCs w:val="21"/>
        </w:rPr>
      </w:pPr>
    </w:p>
    <w:p>
      <w:pPr>
        <w:pStyle w:val="20"/>
        <w:ind w:firstLine="422"/>
        <w:rPr>
          <w:rFonts w:asciiTheme="minorEastAsia" w:hAnsiTheme="minorEastAsia" w:eastAsiaTheme="minorEastAsia" w:cstheme="minorEastAsia"/>
          <w:b/>
          <w:color w:val="auto"/>
          <w:szCs w:val="21"/>
        </w:rPr>
      </w:pPr>
    </w:p>
    <w:p>
      <w:pPr>
        <w:rPr>
          <w:rFonts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br w:type="page"/>
      </w:r>
    </w:p>
    <w:p>
      <w:pPr>
        <w:numPr>
          <w:ilvl w:val="0"/>
          <w:numId w:val="3"/>
        </w:numPr>
        <w:jc w:val="center"/>
        <w:rPr>
          <w:rFonts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响应文件组成</w:t>
      </w:r>
    </w:p>
    <w:p>
      <w:pPr>
        <w:pStyle w:val="4"/>
        <w:jc w:val="both"/>
        <w:rPr>
          <w:color w:val="auto"/>
        </w:rPr>
      </w:pPr>
    </w:p>
    <w:p>
      <w:pPr>
        <w:spacing w:line="360" w:lineRule="auto"/>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供应商的响应文件应包含以下部分：</w:t>
      </w:r>
    </w:p>
    <w:p>
      <w:pPr>
        <w:adjustRightInd w:val="0"/>
        <w:snapToGrid w:val="0"/>
        <w:spacing w:line="360" w:lineRule="auto"/>
        <w:jc w:val="left"/>
        <w:outlineLvl w:val="1"/>
        <w:rPr>
          <w:rFonts w:asciiTheme="minorEastAsia" w:hAnsiTheme="minorEastAsia" w:eastAsiaTheme="minorEastAsia" w:cstheme="minorEastAsia"/>
          <w:b/>
          <w:color w:val="auto"/>
          <w:szCs w:val="21"/>
        </w:rPr>
      </w:pPr>
      <w:bookmarkStart w:id="61" w:name="_Toc2199"/>
      <w:r>
        <w:rPr>
          <w:rFonts w:hint="eastAsia" w:asciiTheme="minorEastAsia" w:hAnsiTheme="minorEastAsia" w:eastAsiaTheme="minorEastAsia" w:cstheme="minorEastAsia"/>
          <w:b/>
          <w:color w:val="auto"/>
          <w:szCs w:val="21"/>
        </w:rPr>
        <w:t>一、磋商响应声明</w:t>
      </w:r>
      <w:bookmarkEnd w:id="61"/>
    </w:p>
    <w:p>
      <w:pPr>
        <w:pStyle w:val="25"/>
        <w:adjustRightInd w:val="0"/>
        <w:snapToGrid w:val="0"/>
        <w:spacing w:line="360" w:lineRule="auto"/>
        <w:ind w:firstLine="435"/>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附件1：法定代表人身份证明</w:t>
      </w:r>
    </w:p>
    <w:p>
      <w:pPr>
        <w:pStyle w:val="25"/>
        <w:adjustRightInd w:val="0"/>
        <w:snapToGrid w:val="0"/>
        <w:spacing w:line="360" w:lineRule="auto"/>
        <w:ind w:firstLine="435"/>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附件2：法定代表人授权委托书</w:t>
      </w:r>
    </w:p>
    <w:p>
      <w:pPr>
        <w:pStyle w:val="223"/>
        <w:numPr>
          <w:ilvl w:val="0"/>
          <w:numId w:val="4"/>
        </w:numPr>
        <w:adjustRightInd w:val="0"/>
        <w:snapToGrid w:val="0"/>
        <w:spacing w:line="360" w:lineRule="auto"/>
        <w:ind w:firstLineChars="0"/>
        <w:jc w:val="left"/>
        <w:outlineLvl w:val="1"/>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投标承诺</w:t>
      </w:r>
    </w:p>
    <w:p>
      <w:pPr>
        <w:adjustRightInd w:val="0"/>
        <w:snapToGrid w:val="0"/>
        <w:spacing w:line="360" w:lineRule="auto"/>
        <w:jc w:val="left"/>
        <w:outlineLvl w:val="1"/>
        <w:rPr>
          <w:rFonts w:asciiTheme="minorEastAsia" w:hAnsiTheme="minorEastAsia" w:eastAsiaTheme="minorEastAsia" w:cstheme="minorEastAsia"/>
          <w:b/>
          <w:color w:val="auto"/>
          <w:szCs w:val="21"/>
        </w:rPr>
      </w:pPr>
      <w:bookmarkStart w:id="62" w:name="_Toc10974"/>
      <w:r>
        <w:rPr>
          <w:rFonts w:hint="eastAsia" w:asciiTheme="minorEastAsia" w:hAnsiTheme="minorEastAsia" w:eastAsiaTheme="minorEastAsia" w:cstheme="minorEastAsia"/>
          <w:b/>
          <w:color w:val="auto"/>
          <w:szCs w:val="21"/>
        </w:rPr>
        <w:t>三、供应商的资格证明资料</w:t>
      </w:r>
      <w:bookmarkEnd w:id="62"/>
    </w:p>
    <w:p>
      <w:pPr>
        <w:pStyle w:val="25"/>
        <w:adjustRightInd w:val="0"/>
        <w:snapToGrid w:val="0"/>
        <w:spacing w:line="360" w:lineRule="auto"/>
        <w:ind w:firstLine="435"/>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附件3：供应商基本情况表</w:t>
      </w:r>
    </w:p>
    <w:p>
      <w:pPr>
        <w:pStyle w:val="25"/>
        <w:adjustRightInd w:val="0"/>
        <w:snapToGrid w:val="0"/>
        <w:spacing w:line="360" w:lineRule="auto"/>
        <w:ind w:firstLine="435"/>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附件4：磋商文件规定的基本资格条件证明资料</w:t>
      </w:r>
    </w:p>
    <w:p>
      <w:pPr>
        <w:pStyle w:val="25"/>
        <w:adjustRightInd w:val="0"/>
        <w:snapToGrid w:val="0"/>
        <w:spacing w:line="360" w:lineRule="auto"/>
        <w:ind w:firstLine="435"/>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附件5：磋商文件规定的特定资格条件证明资料</w:t>
      </w:r>
    </w:p>
    <w:p>
      <w:pPr>
        <w:pStyle w:val="25"/>
        <w:adjustRightInd w:val="0"/>
        <w:snapToGrid w:val="0"/>
        <w:spacing w:line="360" w:lineRule="auto"/>
        <w:ind w:firstLine="435"/>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附件6：其他说明</w:t>
      </w:r>
    </w:p>
    <w:p>
      <w:pPr>
        <w:pStyle w:val="25"/>
        <w:adjustRightInd w:val="0"/>
        <w:snapToGrid w:val="0"/>
        <w:spacing w:line="360" w:lineRule="auto"/>
        <w:outlineLvl w:val="1"/>
        <w:rPr>
          <w:rFonts w:asciiTheme="minorEastAsia" w:hAnsiTheme="minorEastAsia" w:eastAsiaTheme="minorEastAsia" w:cstheme="minorEastAsia"/>
          <w:b/>
          <w:color w:val="auto"/>
        </w:rPr>
      </w:pPr>
      <w:bookmarkStart w:id="63" w:name="_Toc7070"/>
      <w:r>
        <w:rPr>
          <w:rFonts w:hint="eastAsia" w:asciiTheme="minorEastAsia" w:hAnsiTheme="minorEastAsia" w:eastAsiaTheme="minorEastAsia" w:cstheme="minorEastAsia"/>
          <w:b/>
          <w:color w:val="auto"/>
        </w:rPr>
        <w:t>四、施工实施方案</w:t>
      </w:r>
      <w:bookmarkEnd w:id="63"/>
    </w:p>
    <w:p>
      <w:pPr>
        <w:pStyle w:val="25"/>
        <w:adjustRightInd w:val="0"/>
        <w:snapToGrid w:val="0"/>
        <w:spacing w:line="360" w:lineRule="auto"/>
        <w:ind w:firstLine="435"/>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附件7-1：施工主要人员简历表</w:t>
      </w:r>
    </w:p>
    <w:p>
      <w:pPr>
        <w:adjustRightInd w:val="0"/>
        <w:snapToGrid w:val="0"/>
        <w:spacing w:line="360" w:lineRule="auto"/>
        <w:jc w:val="left"/>
        <w:outlineLvl w:val="1"/>
        <w:rPr>
          <w:rFonts w:asciiTheme="minorEastAsia" w:hAnsiTheme="minorEastAsia" w:eastAsiaTheme="minorEastAsia" w:cstheme="minorEastAsia"/>
          <w:b/>
          <w:color w:val="auto"/>
          <w:szCs w:val="21"/>
        </w:rPr>
      </w:pPr>
      <w:bookmarkStart w:id="64" w:name="_Toc18280"/>
      <w:r>
        <w:rPr>
          <w:rFonts w:hint="eastAsia" w:asciiTheme="minorEastAsia" w:hAnsiTheme="minorEastAsia" w:eastAsiaTheme="minorEastAsia" w:cstheme="minorEastAsia"/>
          <w:b/>
          <w:color w:val="auto"/>
          <w:szCs w:val="21"/>
        </w:rPr>
        <w:t>五、技术/商务响应与偏离表</w:t>
      </w:r>
      <w:bookmarkEnd w:id="64"/>
    </w:p>
    <w:p>
      <w:pPr>
        <w:adjustRightInd w:val="0"/>
        <w:snapToGrid w:val="0"/>
        <w:spacing w:line="360" w:lineRule="auto"/>
        <w:jc w:val="left"/>
        <w:outlineLvl w:val="1"/>
        <w:rPr>
          <w:rFonts w:asciiTheme="minorEastAsia" w:hAnsiTheme="minorEastAsia" w:eastAsiaTheme="minorEastAsia" w:cstheme="minorEastAsia"/>
          <w:b/>
          <w:color w:val="auto"/>
          <w:szCs w:val="21"/>
        </w:rPr>
      </w:pPr>
      <w:bookmarkStart w:id="65" w:name="_Toc29849"/>
      <w:r>
        <w:rPr>
          <w:rFonts w:hint="eastAsia" w:asciiTheme="minorEastAsia" w:hAnsiTheme="minorEastAsia" w:eastAsiaTheme="minorEastAsia" w:cstheme="minorEastAsia"/>
          <w:b/>
          <w:color w:val="auto"/>
          <w:szCs w:val="21"/>
        </w:rPr>
        <w:t>六、提供享受政府采购政策的证明资料和清单表</w:t>
      </w:r>
      <w:bookmarkEnd w:id="65"/>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附件8：中小企业声明函</w:t>
      </w:r>
    </w:p>
    <w:p>
      <w:pPr>
        <w:adjustRightInd w:val="0"/>
        <w:snapToGrid w:val="0"/>
        <w:spacing w:line="360" w:lineRule="auto"/>
        <w:jc w:val="left"/>
        <w:outlineLvl w:val="1"/>
        <w:rPr>
          <w:rFonts w:asciiTheme="minorEastAsia" w:hAnsiTheme="minorEastAsia" w:eastAsiaTheme="minorEastAsia" w:cstheme="minorEastAsia"/>
          <w:b/>
          <w:color w:val="auto"/>
          <w:szCs w:val="21"/>
        </w:rPr>
      </w:pPr>
      <w:bookmarkStart w:id="66" w:name="_Toc6984"/>
      <w:r>
        <w:rPr>
          <w:rFonts w:hint="eastAsia" w:asciiTheme="minorEastAsia" w:hAnsiTheme="minorEastAsia" w:eastAsiaTheme="minorEastAsia" w:cstheme="minorEastAsia"/>
          <w:b/>
          <w:color w:val="auto"/>
          <w:szCs w:val="21"/>
        </w:rPr>
        <w:t>七、报价一览表及分项价格表</w:t>
      </w:r>
      <w:bookmarkEnd w:id="66"/>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附件9：报价一览表</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附件9-1：分项价格表</w:t>
      </w:r>
    </w:p>
    <w:p>
      <w:pPr>
        <w:adjustRightInd w:val="0"/>
        <w:snapToGrid w:val="0"/>
        <w:spacing w:line="360" w:lineRule="auto"/>
        <w:jc w:val="left"/>
        <w:outlineLvl w:val="1"/>
        <w:rPr>
          <w:rFonts w:asciiTheme="minorEastAsia" w:hAnsiTheme="minorEastAsia" w:eastAsiaTheme="minorEastAsia" w:cstheme="minorEastAsia"/>
          <w:b/>
          <w:color w:val="auto"/>
          <w:szCs w:val="21"/>
        </w:rPr>
      </w:pPr>
      <w:bookmarkStart w:id="67" w:name="_Toc7333"/>
      <w:r>
        <w:rPr>
          <w:rFonts w:hint="eastAsia" w:asciiTheme="minorEastAsia" w:hAnsiTheme="minorEastAsia" w:eastAsiaTheme="minorEastAsia" w:cstheme="minorEastAsia"/>
          <w:b/>
          <w:color w:val="auto"/>
          <w:szCs w:val="21"/>
        </w:rPr>
        <w:t>八、供应商认为需提供的其它资料</w:t>
      </w:r>
      <w:bookmarkEnd w:id="67"/>
    </w:p>
    <w:p>
      <w:pPr>
        <w:adjustRightInd w:val="0"/>
        <w:snapToGrid w:val="0"/>
        <w:spacing w:line="360" w:lineRule="auto"/>
        <w:jc w:val="left"/>
        <w:outlineLvl w:val="1"/>
        <w:rPr>
          <w:rFonts w:asciiTheme="minorEastAsia" w:hAnsiTheme="minorEastAsia" w:eastAsiaTheme="minorEastAsia" w:cstheme="minorEastAsia"/>
          <w:b/>
          <w:color w:val="auto"/>
          <w:szCs w:val="21"/>
        </w:rPr>
      </w:pPr>
      <w:bookmarkStart w:id="68" w:name="_Toc30658"/>
      <w:r>
        <w:rPr>
          <w:rFonts w:hint="eastAsia" w:asciiTheme="minorEastAsia" w:hAnsiTheme="minorEastAsia" w:eastAsiaTheme="minorEastAsia" w:cstheme="minorEastAsia"/>
          <w:b/>
          <w:color w:val="auto"/>
          <w:szCs w:val="21"/>
        </w:rPr>
        <w:t>九、最后报价</w:t>
      </w:r>
      <w:bookmarkEnd w:id="68"/>
    </w:p>
    <w:p>
      <w:pPr>
        <w:pStyle w:val="20"/>
        <w:ind w:firstLine="643"/>
        <w:rPr>
          <w:rFonts w:asciiTheme="minorEastAsia" w:hAnsiTheme="minorEastAsia" w:eastAsiaTheme="minorEastAsia" w:cstheme="minorEastAsia"/>
          <w:b/>
          <w:color w:val="auto"/>
          <w:sz w:val="32"/>
          <w:szCs w:val="32"/>
        </w:rPr>
      </w:pPr>
    </w:p>
    <w:p>
      <w:pPr>
        <w:pStyle w:val="20"/>
        <w:ind w:firstLine="643"/>
        <w:rPr>
          <w:rFonts w:asciiTheme="minorEastAsia" w:hAnsiTheme="minorEastAsia" w:eastAsiaTheme="minorEastAsia" w:cstheme="minorEastAsia"/>
          <w:b/>
          <w:color w:val="auto"/>
          <w:sz w:val="32"/>
          <w:szCs w:val="32"/>
        </w:rPr>
      </w:pPr>
    </w:p>
    <w:p>
      <w:pPr>
        <w:pStyle w:val="20"/>
        <w:ind w:firstLine="643"/>
        <w:rPr>
          <w:rFonts w:asciiTheme="minorEastAsia" w:hAnsiTheme="minorEastAsia" w:eastAsiaTheme="minorEastAsia" w:cstheme="minorEastAsia"/>
          <w:b/>
          <w:color w:val="auto"/>
          <w:sz w:val="32"/>
          <w:szCs w:val="32"/>
        </w:rPr>
      </w:pPr>
    </w:p>
    <w:p>
      <w:pPr>
        <w:pStyle w:val="20"/>
        <w:ind w:firstLine="643"/>
        <w:rPr>
          <w:rFonts w:asciiTheme="minorEastAsia" w:hAnsiTheme="minorEastAsia" w:eastAsiaTheme="minorEastAsia" w:cstheme="minorEastAsia"/>
          <w:b/>
          <w:color w:val="auto"/>
          <w:sz w:val="32"/>
          <w:szCs w:val="32"/>
        </w:rPr>
      </w:pPr>
    </w:p>
    <w:p>
      <w:pPr>
        <w:pStyle w:val="20"/>
        <w:ind w:firstLine="643"/>
        <w:rPr>
          <w:rFonts w:asciiTheme="minorEastAsia" w:hAnsiTheme="minorEastAsia" w:eastAsiaTheme="minorEastAsia" w:cstheme="minorEastAsia"/>
          <w:b/>
          <w:color w:val="auto"/>
          <w:sz w:val="32"/>
          <w:szCs w:val="32"/>
        </w:rPr>
      </w:pPr>
    </w:p>
    <w:p>
      <w:pPr>
        <w:pStyle w:val="20"/>
        <w:ind w:firstLine="643"/>
        <w:rPr>
          <w:rFonts w:asciiTheme="minorEastAsia" w:hAnsiTheme="minorEastAsia" w:eastAsiaTheme="minorEastAsia" w:cstheme="minorEastAsia"/>
          <w:b/>
          <w:color w:val="auto"/>
          <w:sz w:val="32"/>
          <w:szCs w:val="32"/>
        </w:rPr>
      </w:pPr>
    </w:p>
    <w:p>
      <w:pPr>
        <w:pStyle w:val="20"/>
        <w:ind w:firstLine="643"/>
        <w:rPr>
          <w:rFonts w:asciiTheme="minorEastAsia" w:hAnsiTheme="minorEastAsia" w:eastAsiaTheme="minorEastAsia" w:cstheme="minorEastAsia"/>
          <w:b/>
          <w:color w:val="auto"/>
          <w:sz w:val="32"/>
          <w:szCs w:val="32"/>
        </w:rPr>
      </w:pPr>
    </w:p>
    <w:p>
      <w:pPr>
        <w:pStyle w:val="20"/>
        <w:ind w:firstLine="643"/>
        <w:rPr>
          <w:rFonts w:asciiTheme="minorEastAsia" w:hAnsiTheme="minorEastAsia" w:eastAsiaTheme="minorEastAsia" w:cstheme="minorEastAsia"/>
          <w:b/>
          <w:color w:val="auto"/>
          <w:sz w:val="32"/>
          <w:szCs w:val="32"/>
        </w:rPr>
      </w:pPr>
    </w:p>
    <w:p>
      <w:pPr>
        <w:pStyle w:val="20"/>
        <w:ind w:firstLine="643"/>
        <w:rPr>
          <w:rFonts w:asciiTheme="minorEastAsia" w:hAnsiTheme="minorEastAsia" w:eastAsiaTheme="minorEastAsia" w:cstheme="minorEastAsia"/>
          <w:b/>
          <w:color w:val="auto"/>
          <w:sz w:val="32"/>
          <w:szCs w:val="32"/>
        </w:rPr>
      </w:pPr>
    </w:p>
    <w:p>
      <w:pPr>
        <w:rPr>
          <w:rFonts w:hint="eastAsia" w:asciiTheme="minorEastAsia" w:hAnsiTheme="minorEastAsia" w:eastAsiaTheme="minorEastAsia" w:cstheme="minorEastAsia"/>
          <w:b/>
          <w:color w:val="auto"/>
          <w:sz w:val="32"/>
          <w:szCs w:val="32"/>
        </w:rPr>
      </w:pPr>
      <w:bookmarkStart w:id="69" w:name="_Toc19068"/>
      <w:r>
        <w:rPr>
          <w:rFonts w:hint="eastAsia" w:asciiTheme="minorEastAsia" w:hAnsiTheme="minorEastAsia" w:eastAsiaTheme="minorEastAsia" w:cstheme="minorEastAsia"/>
          <w:b/>
          <w:color w:val="auto"/>
          <w:sz w:val="32"/>
          <w:szCs w:val="32"/>
        </w:rPr>
        <w:br w:type="page"/>
      </w:r>
    </w:p>
    <w:p>
      <w:pPr>
        <w:spacing w:line="360" w:lineRule="exact"/>
        <w:ind w:firstLine="3240" w:firstLineChars="450"/>
        <w:outlineLvl w:val="1"/>
        <w:rPr>
          <w:rFonts w:asciiTheme="minorEastAsia" w:hAnsiTheme="minorEastAsia" w:eastAsiaTheme="minorEastAsia" w:cstheme="minorEastAsia"/>
          <w:b/>
          <w:color w:val="auto"/>
          <w:sz w:val="32"/>
          <w:szCs w:val="32"/>
        </w:rPr>
      </w:pPr>
      <w:r>
        <w:rPr>
          <w:rFonts w:asciiTheme="minorEastAsia" w:hAnsiTheme="minorEastAsia" w:eastAsiaTheme="minorEastAsia" w:cstheme="minorEastAsia"/>
          <w:color w:val="auto"/>
          <w:sz w:val="72"/>
        </w:rPr>
        <mc:AlternateContent>
          <mc:Choice Requires="wps">
            <w:drawing>
              <wp:anchor distT="0" distB="0" distL="114300" distR="114300" simplePos="0" relativeHeight="251660288" behindDoc="0" locked="0" layoutInCell="1" allowOverlap="1">
                <wp:simplePos x="0" y="0"/>
                <wp:positionH relativeFrom="column">
                  <wp:posOffset>7105650</wp:posOffset>
                </wp:positionH>
                <wp:positionV relativeFrom="paragraph">
                  <wp:posOffset>15240</wp:posOffset>
                </wp:positionV>
                <wp:extent cx="770255" cy="407670"/>
                <wp:effectExtent l="4445" t="4445" r="6350" b="6985"/>
                <wp:wrapNone/>
                <wp:docPr id="2" name="矩形 2"/>
                <wp:cNvGraphicFramePr/>
                <a:graphic xmlns:a="http://schemas.openxmlformats.org/drawingml/2006/main">
                  <a:graphicData uri="http://schemas.microsoft.com/office/word/2010/wordprocessingShape">
                    <wps:wsp>
                      <wps:cNvSpPr/>
                      <wps:spPr>
                        <a:xfrm>
                          <a:off x="0" y="0"/>
                          <a:ext cx="770255" cy="4076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txbxContent>
                      </wps:txbx>
                      <wps:bodyPr upright="1"/>
                    </wps:wsp>
                  </a:graphicData>
                </a:graphic>
              </wp:anchor>
            </w:drawing>
          </mc:Choice>
          <mc:Fallback>
            <w:pict>
              <v:rect id="_x0000_s1026" o:spid="_x0000_s1026" o:spt="1" style="position:absolute;left:0pt;margin-left:559.5pt;margin-top:1.2pt;height:32.1pt;width:60.65pt;z-index:251660288;mso-width-relative:page;mso-height-relative:page;" fillcolor="#FFFFFF" filled="t" stroked="t" coordsize="21600,21600" o:gfxdata="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V&#10;dp881wAAAAoBAAAPAAAAAAAAAAEAIAAAACIAAABkcnMvZG93bnJldi54bWxQSwECFAAUAAAACACH&#10;TuJAcEJmf+wBAADoAwAADgAAAAAAAAABACAAAAAmAQAAZHJzL2Uyb0RvYy54bWxQSwUGAAAAAAYA&#10;BgBZAQAAhAUAAAAA&#10;">
                <v:fill on="t" focussize="0,0"/>
                <v:stroke color="#000000" joinstyle="miter"/>
                <v:imagedata o:title=""/>
                <o:lock v:ext="edit" aspectratio="f"/>
                <v:textbox>
                  <w:txbxContent>
                    <w:p/>
                  </w:txbxContent>
                </v:textbox>
              </v:rect>
            </w:pict>
          </mc:Fallback>
        </mc:AlternateContent>
      </w:r>
      <w:r>
        <w:rPr>
          <w:rFonts w:hint="eastAsia" w:asciiTheme="minorEastAsia" w:hAnsiTheme="minorEastAsia" w:eastAsiaTheme="minorEastAsia" w:cstheme="minorEastAsia"/>
          <w:b/>
          <w:color w:val="auto"/>
          <w:sz w:val="32"/>
          <w:szCs w:val="32"/>
        </w:rPr>
        <w:t>一、磋商响应声明</w:t>
      </w:r>
      <w:bookmarkEnd w:id="69"/>
    </w:p>
    <w:p>
      <w:pPr>
        <w:adjustRightInd w:val="0"/>
        <w:snapToGrid w:val="0"/>
        <w:spacing w:line="360" w:lineRule="auto"/>
        <w:rPr>
          <w:rFonts w:asciiTheme="minorEastAsia" w:hAnsiTheme="minorEastAsia" w:eastAsiaTheme="minorEastAsia" w:cstheme="minorEastAsia"/>
          <w:color w:val="auto"/>
          <w:sz w:val="24"/>
        </w:rPr>
      </w:pPr>
    </w:p>
    <w:p>
      <w:pPr>
        <w:adjustRightInd w:val="0"/>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致 (采购人或采购代理机构)：</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我方已仔细研究了</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项目名称)的竞争性磋商文件（采购代理编号：</w:t>
      </w:r>
      <w:r>
        <w:rPr>
          <w:rFonts w:hint="eastAsia" w:asciiTheme="minorEastAsia" w:hAnsiTheme="minorEastAsia" w:eastAsiaTheme="minorEastAsia" w:cstheme="minorEastAsia"/>
          <w:color w:val="auto"/>
          <w:szCs w:val="21"/>
          <w:u w:val="single"/>
          <w:lang w:val="en-US" w:eastAsia="zh-CN"/>
        </w:rPr>
        <w:t xml:space="preserve">     </w:t>
      </w:r>
      <w:r>
        <w:rPr>
          <w:rFonts w:hint="eastAsia" w:asciiTheme="minorEastAsia" w:hAnsiTheme="minorEastAsia" w:eastAsiaTheme="minorEastAsia" w:cstheme="minorEastAsia"/>
          <w:color w:val="auto"/>
          <w:szCs w:val="21"/>
        </w:rPr>
        <w:t>）的全部内容，</w:t>
      </w:r>
      <w:r>
        <w:rPr>
          <w:rFonts w:hint="eastAsia" w:asciiTheme="minorEastAsia" w:hAnsiTheme="minorEastAsia" w:eastAsiaTheme="minorEastAsia" w:cstheme="minorEastAsia"/>
          <w:color w:val="auto"/>
        </w:rPr>
        <w:t>知悉参加竞争性磋商的风险，我方承诺接受磋商文件的全部条款且无任何异议。</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一、我方同意在磋商文件中规定的提交首次响应文件截止时间起日内(响应文件有效期)遵守本响应文件中的承诺且在此期限期满之前均具有法律约束力。</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二、我方提交响应文件正本一份和副本</w:t>
      </w:r>
      <w:r>
        <w:rPr>
          <w:rFonts w:hint="eastAsia" w:asciiTheme="minorEastAsia" w:hAnsiTheme="minorEastAsia" w:eastAsiaTheme="minorEastAsia" w:cstheme="minorEastAsia"/>
          <w:color w:val="auto"/>
          <w:lang w:val="en-US" w:eastAsia="zh-CN"/>
        </w:rPr>
        <w:t>二</w:t>
      </w:r>
      <w:r>
        <w:rPr>
          <w:rFonts w:hint="eastAsia" w:asciiTheme="minorEastAsia" w:hAnsiTheme="minorEastAsia" w:eastAsiaTheme="minorEastAsia" w:cstheme="minorEastAsia"/>
          <w:color w:val="auto"/>
        </w:rPr>
        <w:t>份，并保证响应文件提供的数据和资料全部内容真实、合法、准确和完整，我们对此负责，并愿承担由此引起的法律责任。</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三、我方愿意向贵方提供任何与本项采购有关的数据、情况和技术资料。若贵方需要，我方愿意提供我方作出的一切承诺的证明资料。</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四、我方愿意按磋商文件规定和磋商小组要求重新提交响应文件和最后报价。</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五、我方承诺遵守《中华人民共和国政府采购法》的有关规定，保证在获得成交资格后，按照磋商文件确定的事项签订政府采购合同，履行双方所签订的合同，并承担合同规定的责任和义务。</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六、我方在此声明： </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（一）我方与采购人或采购代理机构不存在隶属关系或者其他利害关系。</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（二）我方与参加本项目的其他供应商不存在直接控股、管理关系，或者与其他供应商法定代表人（或者负责人）为同一人。</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（三）我方未为本项目前期准备提供设计或咨询服务。</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（四）我方承诺（承诺期：成立三年以上的，为提交首次响应文件截止时间前三年内；成立不足三年的，为实际时间）：</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1、我方依法缴纳了各项税费及各项社会保障资金，没有偷税、漏税及欠缴行为。</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2、我方在经营活动中没有存在下列重大违法记录：</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(1)受到刑事处罚；</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(2)受到三万元以上的罚款、责令停产停业、在一至三年内禁止参加政府采购活动、暂扣或者吊销许可证、暂扣或者吊销执照的行政处罚。</w:t>
      </w:r>
    </w:p>
    <w:p>
      <w:pPr>
        <w:adjustRightInd w:val="0"/>
        <w:snapToGrid w:val="0"/>
        <w:spacing w:line="360" w:lineRule="auto"/>
        <w:ind w:right="24"/>
        <w:rPr>
          <w:rFonts w:asciiTheme="minorEastAsia" w:hAnsiTheme="minorEastAsia" w:eastAsiaTheme="minorEastAsia" w:cstheme="minorEastAsia"/>
          <w:color w:val="auto"/>
          <w:szCs w:val="21"/>
        </w:rPr>
      </w:pPr>
      <w:bookmarkStart w:id="70" w:name="_Toc20965_WPSOffice_Level1"/>
      <w:r>
        <w:rPr>
          <w:rFonts w:hint="eastAsia" w:asciiTheme="minorEastAsia" w:hAnsiTheme="minorEastAsia" w:eastAsiaTheme="minorEastAsia" w:cstheme="minorEastAsia"/>
          <w:bCs/>
          <w:color w:val="auto"/>
          <w:szCs w:val="21"/>
        </w:rPr>
        <w:t>附件1：</w:t>
      </w:r>
      <w:r>
        <w:rPr>
          <w:rFonts w:hint="eastAsia" w:asciiTheme="minorEastAsia" w:hAnsiTheme="minorEastAsia" w:eastAsiaTheme="minorEastAsia" w:cstheme="minorEastAsia"/>
          <w:color w:val="auto"/>
          <w:szCs w:val="21"/>
        </w:rPr>
        <w:t>法定代表人身份证明</w:t>
      </w:r>
      <w:bookmarkEnd w:id="70"/>
    </w:p>
    <w:p>
      <w:pPr>
        <w:adjustRightInd w:val="0"/>
        <w:snapToGrid w:val="0"/>
        <w:spacing w:line="360" w:lineRule="auto"/>
        <w:ind w:right="24"/>
        <w:rPr>
          <w:rFonts w:asciiTheme="minorEastAsia" w:hAnsiTheme="minorEastAsia" w:eastAsiaTheme="minorEastAsia" w:cstheme="minorEastAsia"/>
          <w:color w:val="auto"/>
          <w:szCs w:val="21"/>
        </w:rPr>
      </w:pPr>
      <w:bookmarkStart w:id="71" w:name="_Toc31857_WPSOffice_Level1"/>
      <w:r>
        <w:rPr>
          <w:rFonts w:hint="eastAsia" w:asciiTheme="minorEastAsia" w:hAnsiTheme="minorEastAsia" w:eastAsiaTheme="minorEastAsia" w:cstheme="minorEastAsia"/>
          <w:bCs/>
          <w:color w:val="auto"/>
          <w:szCs w:val="21"/>
        </w:rPr>
        <w:t>附件2</w:t>
      </w:r>
      <w:r>
        <w:rPr>
          <w:rFonts w:hint="eastAsia" w:asciiTheme="minorEastAsia" w:hAnsiTheme="minorEastAsia" w:eastAsiaTheme="minorEastAsia" w:cstheme="minorEastAsia"/>
          <w:color w:val="auto"/>
          <w:szCs w:val="21"/>
        </w:rPr>
        <w:t>：法定代表人授权书</w:t>
      </w:r>
      <w:bookmarkEnd w:id="71"/>
    </w:p>
    <w:p>
      <w:pPr>
        <w:pStyle w:val="25"/>
        <w:adjustRightInd w:val="0"/>
        <w:snapToGrid w:val="0"/>
        <w:spacing w:line="360" w:lineRule="auto"/>
        <w:rPr>
          <w:rFonts w:asciiTheme="minorEastAsia" w:hAnsiTheme="minorEastAsia" w:eastAsiaTheme="minorEastAsia" w:cstheme="minorEastAsia"/>
          <w:color w:val="auto"/>
        </w:rPr>
      </w:pPr>
    </w:p>
    <w:p>
      <w:pPr>
        <w:pStyle w:val="25"/>
        <w:adjustRightInd w:val="0"/>
        <w:snapToGrid w:val="0"/>
        <w:spacing w:line="360" w:lineRule="auto"/>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供应商名称(盖单位章)：</w:t>
      </w:r>
    </w:p>
    <w:p>
      <w:pPr>
        <w:adjustRightInd w:val="0"/>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法定代表人或其委托代理人 (签字)：</w:t>
      </w:r>
    </w:p>
    <w:p>
      <w:pPr>
        <w:adjustRightInd w:val="0"/>
        <w:snapToGrid w:val="0"/>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日     期：年月日</w:t>
      </w:r>
    </w:p>
    <w:p>
      <w:pPr>
        <w:pStyle w:val="62"/>
        <w:rPr>
          <w:color w:val="auto"/>
        </w:rPr>
      </w:pPr>
    </w:p>
    <w:p>
      <w:pPr>
        <w:rPr>
          <w:rFonts w:asciiTheme="minorEastAsia" w:hAnsiTheme="minorEastAsia" w:eastAsiaTheme="minorEastAsia" w:cstheme="minorEastAsia"/>
          <w:b/>
          <w:color w:val="auto"/>
          <w:sz w:val="30"/>
          <w:szCs w:val="30"/>
        </w:rPr>
      </w:pPr>
      <w:bookmarkStart w:id="72" w:name="_Toc24842"/>
      <w:r>
        <w:rPr>
          <w:rFonts w:hint="eastAsia" w:asciiTheme="minorEastAsia" w:hAnsiTheme="minorEastAsia" w:eastAsiaTheme="minorEastAsia" w:cstheme="minorEastAsia"/>
          <w:b/>
          <w:color w:val="auto"/>
          <w:sz w:val="30"/>
          <w:szCs w:val="30"/>
        </w:rPr>
        <w:t>附件1</w:t>
      </w:r>
      <w:bookmarkEnd w:id="72"/>
    </w:p>
    <w:p>
      <w:pPr>
        <w:jc w:val="center"/>
        <w:rPr>
          <w:rFonts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b/>
          <w:color w:val="auto"/>
          <w:sz w:val="30"/>
          <w:szCs w:val="30"/>
        </w:rPr>
        <w:t>法定代表人身份证明</w:t>
      </w:r>
    </w:p>
    <w:p>
      <w:pPr>
        <w:tabs>
          <w:tab w:val="left" w:pos="3880"/>
        </w:tabs>
        <w:autoSpaceDE w:val="0"/>
        <w:autoSpaceDN w:val="0"/>
        <w:adjustRightInd w:val="0"/>
        <w:snapToGrid w:val="0"/>
        <w:spacing w:beforeLines="50" w:line="360" w:lineRule="auto"/>
        <w:ind w:left="100" w:right="-20"/>
        <w:jc w:val="left"/>
        <w:rPr>
          <w:rFonts w:ascii="宋体" w:hAnsi="宋体" w:cs="微软雅黑"/>
          <w:color w:val="auto"/>
          <w:kern w:val="0"/>
          <w:szCs w:val="21"/>
        </w:rPr>
      </w:pPr>
      <w:r>
        <w:rPr>
          <w:rFonts w:hint="eastAsia" w:ascii="宋体" w:hAnsi="宋体" w:cs="微软雅黑"/>
          <w:color w:val="auto"/>
          <w:kern w:val="0"/>
          <w:position w:val="-4"/>
          <w:szCs w:val="21"/>
        </w:rPr>
        <w:t>供应商名</w:t>
      </w:r>
      <w:r>
        <w:rPr>
          <w:rFonts w:hint="eastAsia" w:ascii="宋体" w:hAnsi="宋体" w:cs="微软雅黑"/>
          <w:color w:val="auto"/>
          <w:spacing w:val="-2"/>
          <w:kern w:val="0"/>
          <w:position w:val="-4"/>
          <w:szCs w:val="21"/>
        </w:rPr>
        <w:t>称</w:t>
      </w:r>
      <w:r>
        <w:rPr>
          <w:rFonts w:hint="eastAsia" w:ascii="宋体" w:hAnsi="宋体" w:cs="微软雅黑"/>
          <w:color w:val="auto"/>
          <w:kern w:val="0"/>
          <w:position w:val="-4"/>
          <w:szCs w:val="21"/>
        </w:rPr>
        <w:t>：</w:t>
      </w:r>
    </w:p>
    <w:p>
      <w:pPr>
        <w:tabs>
          <w:tab w:val="left" w:pos="2400"/>
          <w:tab w:val="left" w:pos="3880"/>
          <w:tab w:val="left" w:pos="5340"/>
          <w:tab w:val="left" w:pos="6820"/>
        </w:tabs>
        <w:autoSpaceDE w:val="0"/>
        <w:autoSpaceDN w:val="0"/>
        <w:adjustRightInd w:val="0"/>
        <w:snapToGrid w:val="0"/>
        <w:spacing w:beforeLines="50" w:line="360" w:lineRule="auto"/>
        <w:ind w:left="100" w:right="-20"/>
        <w:jc w:val="left"/>
        <w:rPr>
          <w:rFonts w:ascii="宋体" w:hAnsi="宋体" w:cs="微软雅黑"/>
          <w:color w:val="auto"/>
          <w:kern w:val="0"/>
          <w:position w:val="-2"/>
          <w:szCs w:val="21"/>
        </w:rPr>
      </w:pPr>
      <w:r>
        <w:rPr>
          <w:rFonts w:hint="eastAsia" w:ascii="宋体" w:hAnsi="宋体" w:cs="微软雅黑"/>
          <w:color w:val="auto"/>
          <w:kern w:val="0"/>
          <w:position w:val="-2"/>
          <w:szCs w:val="21"/>
        </w:rPr>
        <w:t>统一社会信用代码：</w:t>
      </w:r>
    </w:p>
    <w:p>
      <w:pPr>
        <w:tabs>
          <w:tab w:val="left" w:pos="2400"/>
          <w:tab w:val="left" w:pos="3880"/>
          <w:tab w:val="left" w:pos="5340"/>
          <w:tab w:val="left" w:pos="6820"/>
        </w:tabs>
        <w:autoSpaceDE w:val="0"/>
        <w:autoSpaceDN w:val="0"/>
        <w:adjustRightInd w:val="0"/>
        <w:snapToGrid w:val="0"/>
        <w:spacing w:beforeLines="50" w:line="360" w:lineRule="auto"/>
        <w:ind w:left="100" w:right="-20"/>
        <w:jc w:val="left"/>
        <w:rPr>
          <w:rFonts w:ascii="宋体" w:hAnsi="宋体" w:cs="微软雅黑"/>
          <w:color w:val="auto"/>
          <w:kern w:val="0"/>
          <w:position w:val="-2"/>
          <w:szCs w:val="21"/>
        </w:rPr>
      </w:pPr>
      <w:r>
        <w:rPr>
          <w:rFonts w:hint="eastAsia" w:ascii="宋体" w:hAnsi="宋体" w:cs="微软雅黑"/>
          <w:color w:val="auto"/>
          <w:kern w:val="0"/>
          <w:position w:val="-2"/>
          <w:szCs w:val="21"/>
        </w:rPr>
        <w:t>注册地址：</w:t>
      </w:r>
    </w:p>
    <w:p>
      <w:pPr>
        <w:tabs>
          <w:tab w:val="left" w:pos="2400"/>
          <w:tab w:val="left" w:pos="3880"/>
          <w:tab w:val="left" w:pos="5340"/>
          <w:tab w:val="left" w:pos="6820"/>
        </w:tabs>
        <w:autoSpaceDE w:val="0"/>
        <w:autoSpaceDN w:val="0"/>
        <w:adjustRightInd w:val="0"/>
        <w:snapToGrid w:val="0"/>
        <w:spacing w:beforeLines="50" w:line="360" w:lineRule="auto"/>
        <w:ind w:left="102" w:right="-23" w:firstLine="420" w:firstLineChars="200"/>
        <w:jc w:val="left"/>
        <w:rPr>
          <w:rFonts w:ascii="宋体" w:hAnsi="宋体" w:cs="微软雅黑"/>
          <w:color w:val="auto"/>
          <w:kern w:val="0"/>
          <w:szCs w:val="21"/>
        </w:rPr>
      </w:pPr>
      <w:r>
        <w:rPr>
          <w:rFonts w:hint="eastAsia" w:ascii="宋体" w:hAnsi="宋体" w:cs="微软雅黑"/>
          <w:color w:val="auto"/>
          <w:kern w:val="0"/>
          <w:position w:val="-2"/>
          <w:szCs w:val="21"/>
        </w:rPr>
        <w:t>姓名</w:t>
      </w:r>
      <w:r>
        <w:rPr>
          <w:rFonts w:hint="eastAsia" w:ascii="宋体" w:hAnsi="宋体" w:cs="微软雅黑"/>
          <w:color w:val="auto"/>
          <w:spacing w:val="-2"/>
          <w:kern w:val="0"/>
          <w:position w:val="-2"/>
          <w:szCs w:val="21"/>
        </w:rPr>
        <w:t>：</w:t>
      </w:r>
      <w:r>
        <w:rPr>
          <w:rFonts w:hint="eastAsia" w:ascii="宋体" w:hAnsi="宋体" w:cs="微软雅黑"/>
          <w:color w:val="auto"/>
          <w:kern w:val="0"/>
          <w:position w:val="-2"/>
          <w:szCs w:val="21"/>
        </w:rPr>
        <w:t>性别</w:t>
      </w:r>
      <w:r>
        <w:rPr>
          <w:rFonts w:hint="eastAsia" w:ascii="宋体" w:hAnsi="宋体" w:cs="微软雅黑"/>
          <w:color w:val="auto"/>
          <w:spacing w:val="-2"/>
          <w:kern w:val="0"/>
          <w:position w:val="-2"/>
          <w:szCs w:val="21"/>
        </w:rPr>
        <w:t>：</w:t>
      </w:r>
      <w:r>
        <w:rPr>
          <w:rFonts w:hint="eastAsia" w:ascii="宋体" w:hAnsi="宋体" w:cs="微软雅黑"/>
          <w:color w:val="auto"/>
          <w:kern w:val="0"/>
          <w:position w:val="-2"/>
          <w:szCs w:val="21"/>
        </w:rPr>
        <w:t>年</w:t>
      </w:r>
      <w:r>
        <w:rPr>
          <w:rFonts w:hint="eastAsia" w:ascii="宋体" w:hAnsi="宋体" w:cs="微软雅黑"/>
          <w:color w:val="auto"/>
          <w:spacing w:val="-2"/>
          <w:kern w:val="0"/>
          <w:position w:val="-2"/>
          <w:szCs w:val="21"/>
        </w:rPr>
        <w:t>龄</w:t>
      </w:r>
      <w:r>
        <w:rPr>
          <w:rFonts w:hint="eastAsia" w:ascii="宋体" w:hAnsi="宋体" w:cs="微软雅黑"/>
          <w:color w:val="auto"/>
          <w:kern w:val="0"/>
          <w:position w:val="-2"/>
          <w:szCs w:val="21"/>
        </w:rPr>
        <w:t>：职</w:t>
      </w:r>
      <w:r>
        <w:rPr>
          <w:rFonts w:hint="eastAsia" w:ascii="宋体" w:hAnsi="宋体" w:cs="微软雅黑"/>
          <w:color w:val="auto"/>
          <w:spacing w:val="-2"/>
          <w:kern w:val="0"/>
          <w:position w:val="-2"/>
          <w:szCs w:val="21"/>
        </w:rPr>
        <w:t>务</w:t>
      </w:r>
      <w:r>
        <w:rPr>
          <w:rFonts w:hint="eastAsia" w:ascii="宋体" w:hAnsi="宋体" w:cs="微软雅黑"/>
          <w:color w:val="auto"/>
          <w:kern w:val="0"/>
          <w:position w:val="-2"/>
          <w:szCs w:val="21"/>
        </w:rPr>
        <w:t>：系</w:t>
      </w:r>
      <w:r>
        <w:rPr>
          <w:rFonts w:hint="eastAsia" w:ascii="宋体" w:hAnsi="宋体" w:cs="微软雅黑"/>
          <w:color w:val="auto"/>
          <w:spacing w:val="-2"/>
          <w:kern w:val="0"/>
          <w:position w:val="-2"/>
          <w:szCs w:val="21"/>
        </w:rPr>
        <w:t>（</w:t>
      </w:r>
      <w:r>
        <w:rPr>
          <w:rFonts w:hint="eastAsia" w:ascii="宋体" w:hAnsi="宋体" w:cs="微软雅黑"/>
          <w:color w:val="auto"/>
          <w:kern w:val="0"/>
          <w:position w:val="-2"/>
          <w:szCs w:val="21"/>
        </w:rPr>
        <w:t>供应商</w:t>
      </w:r>
      <w:r>
        <w:rPr>
          <w:rFonts w:hint="eastAsia" w:ascii="宋体" w:hAnsi="宋体" w:cs="微软雅黑"/>
          <w:color w:val="auto"/>
          <w:spacing w:val="-2"/>
          <w:kern w:val="0"/>
          <w:position w:val="-2"/>
          <w:szCs w:val="21"/>
        </w:rPr>
        <w:t>名</w:t>
      </w:r>
      <w:r>
        <w:rPr>
          <w:rFonts w:hint="eastAsia" w:ascii="宋体" w:hAnsi="宋体" w:cs="微软雅黑"/>
          <w:color w:val="auto"/>
          <w:kern w:val="0"/>
          <w:position w:val="-2"/>
          <w:szCs w:val="21"/>
        </w:rPr>
        <w:t>称</w:t>
      </w:r>
      <w:r>
        <w:rPr>
          <w:rFonts w:hint="eastAsia" w:ascii="宋体" w:hAnsi="宋体" w:cs="微软雅黑"/>
          <w:color w:val="auto"/>
          <w:spacing w:val="-2"/>
          <w:kern w:val="0"/>
          <w:position w:val="-2"/>
          <w:szCs w:val="21"/>
        </w:rPr>
        <w:t>）</w:t>
      </w:r>
      <w:r>
        <w:rPr>
          <w:rFonts w:hint="eastAsia" w:ascii="宋体" w:hAnsi="宋体" w:cs="微软雅黑"/>
          <w:color w:val="auto"/>
          <w:kern w:val="0"/>
          <w:position w:val="-2"/>
          <w:szCs w:val="21"/>
        </w:rPr>
        <w:t>的</w:t>
      </w:r>
      <w:r>
        <w:rPr>
          <w:rFonts w:hint="eastAsia" w:ascii="宋体" w:hAnsi="宋体" w:cs="微软雅黑"/>
          <w:color w:val="auto"/>
          <w:spacing w:val="-2"/>
          <w:kern w:val="0"/>
          <w:position w:val="-2"/>
          <w:szCs w:val="21"/>
        </w:rPr>
        <w:t>法定</w:t>
      </w:r>
      <w:r>
        <w:rPr>
          <w:rFonts w:hint="eastAsia" w:ascii="宋体" w:hAnsi="宋体" w:cs="微软雅黑"/>
          <w:color w:val="auto"/>
          <w:kern w:val="0"/>
          <w:position w:val="-2"/>
          <w:szCs w:val="21"/>
        </w:rPr>
        <w:t>代表</w:t>
      </w:r>
      <w:r>
        <w:rPr>
          <w:rFonts w:hint="eastAsia" w:ascii="宋体" w:hAnsi="宋体" w:cs="微软雅黑"/>
          <w:color w:val="auto"/>
          <w:spacing w:val="-2"/>
          <w:kern w:val="0"/>
          <w:position w:val="-2"/>
          <w:szCs w:val="21"/>
        </w:rPr>
        <w:t>人</w:t>
      </w:r>
      <w:r>
        <w:rPr>
          <w:rFonts w:hint="eastAsia" w:ascii="宋体" w:hAnsi="宋体" w:cs="微软雅黑"/>
          <w:color w:val="auto"/>
          <w:kern w:val="0"/>
          <w:position w:val="-2"/>
          <w:szCs w:val="21"/>
        </w:rPr>
        <w:t>（</w:t>
      </w:r>
      <w:r>
        <w:rPr>
          <w:rFonts w:hint="eastAsia" w:ascii="宋体" w:hAnsi="宋体" w:cs="微软雅黑"/>
          <w:color w:val="auto"/>
          <w:spacing w:val="-2"/>
          <w:kern w:val="0"/>
          <w:position w:val="-2"/>
          <w:szCs w:val="21"/>
        </w:rPr>
        <w:t>单</w:t>
      </w:r>
      <w:r>
        <w:rPr>
          <w:rFonts w:hint="eastAsia" w:ascii="宋体" w:hAnsi="宋体" w:cs="微软雅黑"/>
          <w:color w:val="auto"/>
          <w:kern w:val="0"/>
          <w:position w:val="-2"/>
          <w:szCs w:val="21"/>
        </w:rPr>
        <w:t>位</w:t>
      </w:r>
      <w:r>
        <w:rPr>
          <w:rFonts w:hint="eastAsia" w:ascii="宋体" w:hAnsi="宋体" w:cs="微软雅黑"/>
          <w:color w:val="auto"/>
          <w:spacing w:val="-2"/>
          <w:kern w:val="0"/>
          <w:position w:val="-2"/>
          <w:szCs w:val="21"/>
        </w:rPr>
        <w:t>负</w:t>
      </w:r>
      <w:r>
        <w:rPr>
          <w:rFonts w:hint="eastAsia" w:ascii="宋体" w:hAnsi="宋体" w:cs="微软雅黑"/>
          <w:color w:val="auto"/>
          <w:kern w:val="0"/>
          <w:position w:val="-2"/>
          <w:szCs w:val="21"/>
        </w:rPr>
        <w:t>责</w:t>
      </w:r>
      <w:r>
        <w:rPr>
          <w:rFonts w:hint="eastAsia" w:ascii="宋体" w:hAnsi="宋体" w:cs="微软雅黑"/>
          <w:color w:val="auto"/>
          <w:spacing w:val="-2"/>
          <w:kern w:val="0"/>
          <w:position w:val="-2"/>
          <w:szCs w:val="21"/>
        </w:rPr>
        <w:t>人</w:t>
      </w:r>
      <w:r>
        <w:rPr>
          <w:rFonts w:hint="eastAsia" w:ascii="宋体" w:hAnsi="宋体" w:cs="微软雅黑"/>
          <w:color w:val="auto"/>
          <w:spacing w:val="-106"/>
          <w:kern w:val="0"/>
          <w:position w:val="-2"/>
          <w:szCs w:val="21"/>
        </w:rPr>
        <w:t>）</w:t>
      </w:r>
      <w:r>
        <w:rPr>
          <w:rFonts w:hint="eastAsia" w:ascii="宋体" w:hAnsi="宋体" w:cs="微软雅黑"/>
          <w:color w:val="auto"/>
          <w:kern w:val="0"/>
          <w:position w:val="-2"/>
          <w:szCs w:val="21"/>
        </w:rPr>
        <w:t>。</w:t>
      </w:r>
    </w:p>
    <w:p>
      <w:pPr>
        <w:autoSpaceDE w:val="0"/>
        <w:autoSpaceDN w:val="0"/>
        <w:adjustRightInd w:val="0"/>
        <w:snapToGrid w:val="0"/>
        <w:spacing w:beforeLines="50" w:line="360" w:lineRule="auto"/>
        <w:ind w:left="520" w:right="-20"/>
        <w:jc w:val="left"/>
        <w:rPr>
          <w:rFonts w:ascii="宋体" w:hAnsi="宋体" w:cs="微软雅黑"/>
          <w:color w:val="auto"/>
          <w:kern w:val="0"/>
          <w:szCs w:val="21"/>
        </w:rPr>
      </w:pPr>
      <w:r>
        <w:rPr>
          <w:rFonts w:hint="eastAsia" w:ascii="宋体" w:hAnsi="宋体" w:cs="微软雅黑"/>
          <w:color w:val="auto"/>
          <w:kern w:val="0"/>
          <w:szCs w:val="21"/>
        </w:rPr>
        <w:t>特此</w:t>
      </w:r>
      <w:r>
        <w:rPr>
          <w:rFonts w:hint="eastAsia" w:ascii="宋体" w:hAnsi="宋体" w:cs="微软雅黑"/>
          <w:color w:val="auto"/>
          <w:spacing w:val="-2"/>
          <w:kern w:val="0"/>
          <w:szCs w:val="21"/>
        </w:rPr>
        <w:t>证</w:t>
      </w:r>
      <w:r>
        <w:rPr>
          <w:rFonts w:hint="eastAsia" w:ascii="宋体" w:hAnsi="宋体" w:cs="微软雅黑"/>
          <w:color w:val="auto"/>
          <w:kern w:val="0"/>
          <w:szCs w:val="21"/>
        </w:rPr>
        <w:t>明。</w:t>
      </w:r>
    </w:p>
    <w:p>
      <w:pPr>
        <w:autoSpaceDE w:val="0"/>
        <w:autoSpaceDN w:val="0"/>
        <w:adjustRightInd w:val="0"/>
        <w:snapToGrid w:val="0"/>
        <w:spacing w:beforeLines="50" w:line="360" w:lineRule="auto"/>
        <w:ind w:left="100" w:right="4231"/>
        <w:jc w:val="left"/>
        <w:rPr>
          <w:rFonts w:ascii="宋体" w:hAnsi="宋体" w:cs="微软雅黑"/>
          <w:color w:val="auto"/>
          <w:kern w:val="0"/>
          <w:szCs w:val="21"/>
        </w:rPr>
      </w:pPr>
      <w:r>
        <w:rPr>
          <w:rFonts w:hint="eastAsia" w:ascii="宋体" w:hAnsi="宋体" w:cs="微软雅黑"/>
          <w:color w:val="auto"/>
          <w:kern w:val="0"/>
          <w:szCs w:val="21"/>
        </w:rPr>
        <w:t>附：</w:t>
      </w: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s="微软雅黑"/>
          <w:color w:val="auto"/>
          <w:kern w:val="0"/>
          <w:szCs w:val="21"/>
        </w:rPr>
        <w:t>身</w:t>
      </w:r>
      <w:r>
        <w:rPr>
          <w:rFonts w:hint="eastAsia" w:ascii="宋体" w:hAnsi="宋体" w:cs="微软雅黑"/>
          <w:color w:val="auto"/>
          <w:spacing w:val="-2"/>
          <w:kern w:val="0"/>
          <w:szCs w:val="21"/>
        </w:rPr>
        <w:t>份</w:t>
      </w:r>
      <w:r>
        <w:rPr>
          <w:rFonts w:hint="eastAsia" w:ascii="宋体" w:hAnsi="宋体" w:cs="微软雅黑"/>
          <w:color w:val="auto"/>
          <w:kern w:val="0"/>
          <w:szCs w:val="21"/>
        </w:rPr>
        <w:t>证</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r>
        <w:rPr>
          <w:rFonts w:hint="eastAsia" w:ascii="宋体" w:hAnsi="宋体" w:cs="微软雅黑"/>
          <w:color w:val="auto"/>
          <w:kern w:val="0"/>
          <w:szCs w:val="21"/>
        </w:rPr>
        <w:t>。</w:t>
      </w:r>
    </w:p>
    <w:tbl>
      <w:tblPr>
        <w:tblStyle w:val="45"/>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trPr>
        <w:tc>
          <w:tcPr>
            <w:tcW w:w="3898" w:type="dxa"/>
            <w:noWrap/>
            <w:vAlign w:val="center"/>
          </w:tcPr>
          <w:p>
            <w:pPr>
              <w:adjustRightInd w:val="0"/>
              <w:snapToGrid w:val="0"/>
              <w:spacing w:beforeLines="50" w:line="360" w:lineRule="auto"/>
              <w:jc w:val="center"/>
              <w:rPr>
                <w:rFonts w:ascii="宋体" w:hAnsi="宋体"/>
                <w:color w:val="auto"/>
                <w:szCs w:val="21"/>
              </w:rPr>
            </w:pPr>
            <w:r>
              <w:rPr>
                <w:rFonts w:hint="eastAsia" w:ascii="宋体" w:hAnsi="宋体"/>
                <w:color w:val="auto"/>
                <w:szCs w:val="21"/>
              </w:rPr>
              <w:t>身份证（正面）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c>
          <w:tcPr>
            <w:tcW w:w="3899" w:type="dxa"/>
            <w:noWrap/>
            <w:vAlign w:val="center"/>
          </w:tcPr>
          <w:p>
            <w:pPr>
              <w:adjustRightInd w:val="0"/>
              <w:snapToGrid w:val="0"/>
              <w:spacing w:beforeLines="50" w:line="360" w:lineRule="auto"/>
              <w:jc w:val="center"/>
              <w:rPr>
                <w:rFonts w:ascii="宋体" w:hAnsi="宋体"/>
                <w:color w:val="auto"/>
                <w:szCs w:val="21"/>
              </w:rPr>
            </w:pPr>
            <w:r>
              <w:rPr>
                <w:rFonts w:hint="eastAsia" w:ascii="宋体" w:hAnsi="宋体"/>
                <w:color w:val="auto"/>
                <w:szCs w:val="21"/>
              </w:rPr>
              <w:t>身份证（反面）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r>
    </w:tbl>
    <w:p>
      <w:pPr>
        <w:adjustRightInd w:val="0"/>
        <w:snapToGrid w:val="0"/>
        <w:spacing w:beforeLines="50" w:line="360" w:lineRule="auto"/>
        <w:rPr>
          <w:rFonts w:ascii="宋体" w:hAnsi="宋体"/>
          <w:color w:val="auto"/>
          <w:szCs w:val="21"/>
        </w:rPr>
      </w:pPr>
    </w:p>
    <w:p>
      <w:pPr>
        <w:adjustRightInd w:val="0"/>
        <w:snapToGrid w:val="0"/>
        <w:spacing w:beforeLines="50" w:line="360" w:lineRule="auto"/>
        <w:rPr>
          <w:rFonts w:ascii="宋体" w:hAnsi="宋体"/>
          <w:color w:val="auto"/>
          <w:szCs w:val="21"/>
        </w:rPr>
      </w:pPr>
    </w:p>
    <w:p>
      <w:pPr>
        <w:pStyle w:val="4"/>
        <w:rPr>
          <w:rFonts w:ascii="宋体" w:hAnsi="宋体"/>
          <w:color w:val="auto"/>
          <w:szCs w:val="21"/>
        </w:rPr>
      </w:pPr>
    </w:p>
    <w:p>
      <w:pPr>
        <w:rPr>
          <w:color w:val="auto"/>
        </w:rPr>
      </w:pPr>
    </w:p>
    <w:p>
      <w:pPr>
        <w:pStyle w:val="25"/>
        <w:adjustRightInd w:val="0"/>
        <w:snapToGrid w:val="0"/>
        <w:spacing w:beforeLines="50" w:line="360" w:lineRule="auto"/>
        <w:rPr>
          <w:rFonts w:hAnsi="宋体"/>
          <w:color w:val="auto"/>
        </w:rPr>
      </w:pPr>
      <w:r>
        <w:rPr>
          <w:rFonts w:hint="eastAsia" w:hAnsi="宋体"/>
          <w:color w:val="auto"/>
        </w:rPr>
        <w:t>供应商名称(盖单位公章)：</w:t>
      </w:r>
    </w:p>
    <w:p>
      <w:pPr>
        <w:adjustRightInd w:val="0"/>
        <w:snapToGrid w:val="0"/>
        <w:spacing w:beforeLines="50" w:line="360" w:lineRule="auto"/>
        <w:ind w:right="24"/>
        <w:rPr>
          <w:rFonts w:ascii="仿宋_GB2312" w:hAnsi="宋体" w:eastAsia="仿宋_GB2312"/>
          <w:color w:val="auto"/>
          <w:szCs w:val="21"/>
        </w:rPr>
      </w:pPr>
      <w:r>
        <w:rPr>
          <w:rFonts w:hint="eastAsia" w:ascii="宋体" w:hAnsi="宋体"/>
          <w:color w:val="auto"/>
          <w:szCs w:val="21"/>
        </w:rPr>
        <w:t>日期：年月日</w:t>
      </w:r>
    </w:p>
    <w:p>
      <w:pPr>
        <w:pStyle w:val="5"/>
        <w:jc w:val="center"/>
        <w:rPr>
          <w:color w:val="auto"/>
        </w:rPr>
      </w:pPr>
    </w:p>
    <w:p>
      <w:pPr>
        <w:pStyle w:val="5"/>
        <w:jc w:val="center"/>
        <w:rPr>
          <w:color w:val="auto"/>
        </w:rPr>
      </w:pPr>
    </w:p>
    <w:p>
      <w:pPr>
        <w:adjustRightInd w:val="0"/>
        <w:snapToGrid w:val="0"/>
        <w:spacing w:beforeLines="50" w:line="360" w:lineRule="auto"/>
        <w:rPr>
          <w:rFonts w:asciiTheme="minorEastAsia" w:hAnsiTheme="minorEastAsia" w:eastAsiaTheme="minorEastAsia" w:cstheme="minorEastAsia"/>
          <w:color w:val="auto"/>
          <w:szCs w:val="21"/>
        </w:rPr>
      </w:pPr>
    </w:p>
    <w:p>
      <w:pPr>
        <w:adjustRightInd w:val="0"/>
        <w:snapToGrid w:val="0"/>
        <w:spacing w:beforeLines="50" w:line="360" w:lineRule="auto"/>
        <w:rPr>
          <w:rFonts w:asciiTheme="minorEastAsia" w:hAnsiTheme="minorEastAsia" w:eastAsiaTheme="minorEastAsia" w:cstheme="minorEastAsia"/>
          <w:bCs/>
          <w:color w:val="auto"/>
          <w:sz w:val="30"/>
          <w:szCs w:val="30"/>
        </w:rPr>
      </w:pPr>
    </w:p>
    <w:p>
      <w:pPr>
        <w:adjustRightInd w:val="0"/>
        <w:snapToGrid w:val="0"/>
        <w:spacing w:beforeLines="50" w:line="360" w:lineRule="auto"/>
        <w:rPr>
          <w:rFonts w:asciiTheme="minorEastAsia" w:hAnsiTheme="minorEastAsia" w:eastAsiaTheme="minorEastAsia" w:cstheme="minorEastAsia"/>
          <w:bCs/>
          <w:color w:val="auto"/>
          <w:sz w:val="30"/>
          <w:szCs w:val="30"/>
        </w:rPr>
      </w:pPr>
    </w:p>
    <w:p>
      <w:pPr>
        <w:adjustRightInd w:val="0"/>
        <w:snapToGrid w:val="0"/>
        <w:spacing w:beforeLines="50" w:line="360" w:lineRule="auto"/>
        <w:rPr>
          <w:rFonts w:asciiTheme="minorEastAsia" w:hAnsiTheme="minorEastAsia" w:eastAsiaTheme="minorEastAsia" w:cstheme="minorEastAsia"/>
          <w:bCs/>
          <w:color w:val="auto"/>
          <w:sz w:val="30"/>
          <w:szCs w:val="30"/>
        </w:rPr>
      </w:pPr>
    </w:p>
    <w:p>
      <w:pPr>
        <w:adjustRightInd w:val="0"/>
        <w:snapToGrid w:val="0"/>
        <w:spacing w:beforeLines="50" w:line="360" w:lineRule="auto"/>
        <w:rPr>
          <w:rFonts w:asciiTheme="minorEastAsia" w:hAnsiTheme="minorEastAsia" w:eastAsiaTheme="minorEastAsia" w:cstheme="minorEastAsia"/>
          <w:bCs/>
          <w:color w:val="auto"/>
          <w:sz w:val="30"/>
          <w:szCs w:val="30"/>
        </w:rPr>
      </w:pPr>
    </w:p>
    <w:p>
      <w:pPr>
        <w:adjustRightInd w:val="0"/>
        <w:snapToGrid w:val="0"/>
        <w:spacing w:beforeLines="50" w:line="360" w:lineRule="auto"/>
        <w:rPr>
          <w:rFonts w:asciiTheme="minorEastAsia" w:hAnsiTheme="minorEastAsia" w:eastAsiaTheme="minorEastAsia" w:cstheme="minorEastAsia"/>
          <w:bCs/>
          <w:color w:val="auto"/>
          <w:sz w:val="30"/>
          <w:szCs w:val="30"/>
        </w:rPr>
      </w:pPr>
    </w:p>
    <w:p>
      <w:pPr>
        <w:pStyle w:val="62"/>
        <w:rPr>
          <w:color w:val="auto"/>
        </w:rPr>
      </w:pPr>
    </w:p>
    <w:p>
      <w:pPr>
        <w:adjustRightInd w:val="0"/>
        <w:snapToGrid w:val="0"/>
        <w:spacing w:beforeLines="50" w:line="360" w:lineRule="auto"/>
        <w:rPr>
          <w:rFonts w:asciiTheme="minorEastAsia" w:hAnsiTheme="minorEastAsia" w:eastAsiaTheme="minorEastAsia" w:cstheme="minorEastAsia"/>
          <w:bCs/>
          <w:color w:val="auto"/>
          <w:sz w:val="30"/>
          <w:szCs w:val="30"/>
        </w:rPr>
      </w:pPr>
    </w:p>
    <w:p>
      <w:pPr>
        <w:adjustRightInd w:val="0"/>
        <w:snapToGrid w:val="0"/>
        <w:spacing w:beforeLines="50" w:line="360" w:lineRule="auto"/>
        <w:outlineLvl w:val="0"/>
        <w:rPr>
          <w:rFonts w:asciiTheme="minorEastAsia" w:hAnsiTheme="minorEastAsia" w:eastAsiaTheme="minorEastAsia" w:cstheme="minorEastAsia"/>
          <w:b/>
          <w:color w:val="auto"/>
          <w:sz w:val="30"/>
          <w:szCs w:val="30"/>
        </w:rPr>
      </w:pPr>
      <w:bookmarkStart w:id="73" w:name="_Toc98"/>
      <w:r>
        <w:rPr>
          <w:rFonts w:hint="eastAsia" w:asciiTheme="minorEastAsia" w:hAnsiTheme="minorEastAsia" w:eastAsiaTheme="minorEastAsia" w:cstheme="minorEastAsia"/>
          <w:b/>
          <w:color w:val="auto"/>
          <w:sz w:val="30"/>
          <w:szCs w:val="30"/>
        </w:rPr>
        <w:t>附件2</w:t>
      </w:r>
      <w:bookmarkEnd w:id="73"/>
    </w:p>
    <w:p>
      <w:pPr>
        <w:jc w:val="center"/>
        <w:rPr>
          <w:rFonts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b/>
          <w:color w:val="auto"/>
          <w:sz w:val="30"/>
          <w:szCs w:val="30"/>
        </w:rPr>
        <w:t>法定代表人授权委托书</w:t>
      </w:r>
    </w:p>
    <w:p>
      <w:pPr>
        <w:adjustRightInd w:val="0"/>
        <w:snapToGrid w:val="0"/>
        <w:spacing w:line="360" w:lineRule="auto"/>
        <w:jc w:val="center"/>
        <w:rPr>
          <w:rFonts w:asciiTheme="minorEastAsia" w:hAnsiTheme="minorEastAsia" w:eastAsiaTheme="minorEastAsia" w:cstheme="minorEastAsia"/>
          <w:b/>
          <w:color w:val="auto"/>
          <w:sz w:val="28"/>
          <w:szCs w:val="28"/>
        </w:rPr>
      </w:pPr>
    </w:p>
    <w:p>
      <w:pPr>
        <w:autoSpaceDE w:val="0"/>
        <w:autoSpaceDN w:val="0"/>
        <w:adjustRightInd w:val="0"/>
        <w:snapToGrid w:val="0"/>
        <w:spacing w:before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本人（姓名、职务）系 （</w:t>
      </w:r>
      <w:r>
        <w:rPr>
          <w:rFonts w:hint="eastAsia" w:ascii="宋体" w:hAnsi="宋体"/>
          <w:color w:val="auto"/>
          <w:szCs w:val="21"/>
        </w:rPr>
        <w:t>供应商</w:t>
      </w:r>
      <w:r>
        <w:rPr>
          <w:rFonts w:hint="eastAsia" w:ascii="宋体" w:hAnsi="宋体" w:cs="宋体"/>
          <w:color w:val="auto"/>
          <w:kern w:val="0"/>
          <w:szCs w:val="21"/>
        </w:rPr>
        <w:t>名称）的法定代表人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s="宋体"/>
          <w:color w:val="auto"/>
          <w:kern w:val="0"/>
          <w:szCs w:val="21"/>
        </w:rPr>
        <w:t>，现授权（姓名、职务）为我方代理人。代理人根据授权，以我方名义：(1)签署、澄清、补正、修改、撤回、提交（项目名称、</w:t>
      </w:r>
      <w:r>
        <w:rPr>
          <w:rFonts w:hint="eastAsia" w:ascii="宋体" w:hAnsi="宋体"/>
          <w:color w:val="auto"/>
          <w:szCs w:val="21"/>
        </w:rPr>
        <w:t>政府</w:t>
      </w:r>
      <w:r>
        <w:rPr>
          <w:rFonts w:hint="eastAsia" w:ascii="宋体" w:hAnsi="宋体" w:cs="宋体"/>
          <w:color w:val="auto"/>
          <w:kern w:val="0"/>
          <w:szCs w:val="21"/>
        </w:rPr>
        <w:t>采购编号、采购代理编号）响应文件；(2)签署并重新提交响应文件及最后报价；(3)退出谈判（如可能）；(4)签订合同和处理有关事宜，其法律后果由我方承担。</w:t>
      </w:r>
    </w:p>
    <w:p>
      <w:pPr>
        <w:autoSpaceDE w:val="0"/>
        <w:autoSpaceDN w:val="0"/>
        <w:adjustRightInd w:val="0"/>
        <w:snapToGrid w:val="0"/>
        <w:spacing w:before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委托期限： 。</w:t>
      </w:r>
    </w:p>
    <w:p>
      <w:pPr>
        <w:adjustRightInd w:val="0"/>
        <w:snapToGrid w:val="0"/>
        <w:spacing w:beforeLines="50" w:line="360" w:lineRule="auto"/>
        <w:ind w:firstLine="435"/>
        <w:rPr>
          <w:rFonts w:ascii="宋体" w:hAnsi="宋体" w:cs="宋体"/>
          <w:color w:val="auto"/>
          <w:kern w:val="0"/>
          <w:szCs w:val="21"/>
        </w:rPr>
      </w:pPr>
      <w:r>
        <w:rPr>
          <w:rFonts w:hint="eastAsia" w:ascii="宋体" w:hAnsi="宋体" w:cs="宋体"/>
          <w:color w:val="auto"/>
          <w:kern w:val="0"/>
          <w:szCs w:val="21"/>
        </w:rPr>
        <w:t>代理人无转委托权。</w:t>
      </w:r>
    </w:p>
    <w:p>
      <w:pPr>
        <w:adjustRightInd w:val="0"/>
        <w:snapToGrid w:val="0"/>
        <w:spacing w:beforeLines="50" w:line="360" w:lineRule="auto"/>
        <w:ind w:firstLine="435"/>
        <w:rPr>
          <w:rFonts w:ascii="宋体" w:hAnsi="宋体"/>
          <w:color w:val="auto"/>
          <w:szCs w:val="21"/>
        </w:rPr>
      </w:pPr>
      <w:r>
        <w:rPr>
          <w:rFonts w:hint="eastAsia" w:ascii="宋体" w:hAnsi="宋体"/>
          <w:color w:val="auto"/>
          <w:szCs w:val="21"/>
        </w:rPr>
        <w:t>本授权书于年月日签字生效，特此声明。</w:t>
      </w:r>
    </w:p>
    <w:p>
      <w:pPr>
        <w:adjustRightInd w:val="0"/>
        <w:snapToGrid w:val="0"/>
        <w:spacing w:beforeLines="50" w:line="360" w:lineRule="auto"/>
        <w:ind w:firstLine="435"/>
        <w:rPr>
          <w:color w:val="auto"/>
        </w:rPr>
      </w:pPr>
      <w:r>
        <w:rPr>
          <w:rFonts w:hint="eastAsia" w:ascii="宋体" w:hAnsi="宋体" w:cs="微软雅黑"/>
          <w:color w:val="auto"/>
          <w:kern w:val="0"/>
          <w:szCs w:val="21"/>
        </w:rPr>
        <w:t>附：</w:t>
      </w: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）和授权代理人的</w:t>
      </w:r>
      <w:r>
        <w:rPr>
          <w:rFonts w:hint="eastAsia" w:ascii="宋体" w:hAnsi="宋体" w:cs="微软雅黑"/>
          <w:color w:val="auto"/>
          <w:kern w:val="0"/>
          <w:szCs w:val="21"/>
        </w:rPr>
        <w:t>身</w:t>
      </w:r>
      <w:r>
        <w:rPr>
          <w:rFonts w:hint="eastAsia" w:ascii="宋体" w:hAnsi="宋体" w:cs="微软雅黑"/>
          <w:color w:val="auto"/>
          <w:spacing w:val="-2"/>
          <w:kern w:val="0"/>
          <w:szCs w:val="21"/>
        </w:rPr>
        <w:t>份</w:t>
      </w:r>
      <w:r>
        <w:rPr>
          <w:rFonts w:hint="eastAsia" w:ascii="宋体" w:hAnsi="宋体" w:cs="微软雅黑"/>
          <w:color w:val="auto"/>
          <w:kern w:val="0"/>
          <w:szCs w:val="21"/>
        </w:rPr>
        <w:t>证</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r>
        <w:rPr>
          <w:rFonts w:hint="eastAsia" w:ascii="宋体" w:hAnsi="宋体" w:cs="微软雅黑"/>
          <w:color w:val="auto"/>
          <w:kern w:val="0"/>
          <w:szCs w:val="21"/>
        </w:rPr>
        <w:t>。</w:t>
      </w:r>
    </w:p>
    <w:tbl>
      <w:tblPr>
        <w:tblStyle w:val="45"/>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265" w:hRule="atLeast"/>
        </w:trPr>
        <w:tc>
          <w:tcPr>
            <w:tcW w:w="3898" w:type="dxa"/>
            <w:noWrap/>
            <w:vAlign w:val="center"/>
          </w:tcPr>
          <w:p>
            <w:pPr>
              <w:adjustRightInd w:val="0"/>
              <w:snapToGrid w:val="0"/>
              <w:spacing w:beforeLines="50" w:line="360" w:lineRule="auto"/>
              <w:jc w:val="center"/>
              <w:rPr>
                <w:rFonts w:ascii="宋体" w:hAnsi="宋体"/>
                <w:color w:val="auto"/>
                <w:szCs w:val="21"/>
              </w:rPr>
            </w:pPr>
            <w:r>
              <w:rPr>
                <w:rFonts w:hint="eastAsia" w:ascii="宋体" w:hAnsi="宋体"/>
                <w:color w:val="auto"/>
                <w:szCs w:val="21"/>
              </w:rPr>
              <w:t>身份证（正面）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c>
          <w:tcPr>
            <w:tcW w:w="3899" w:type="dxa"/>
            <w:noWrap/>
            <w:vAlign w:val="center"/>
          </w:tcPr>
          <w:p>
            <w:pPr>
              <w:adjustRightInd w:val="0"/>
              <w:snapToGrid w:val="0"/>
              <w:spacing w:beforeLines="50" w:line="360" w:lineRule="auto"/>
              <w:jc w:val="center"/>
              <w:rPr>
                <w:rFonts w:ascii="宋体" w:hAnsi="宋体"/>
                <w:color w:val="auto"/>
                <w:szCs w:val="21"/>
              </w:rPr>
            </w:pPr>
            <w:r>
              <w:rPr>
                <w:rFonts w:hint="eastAsia" w:ascii="宋体" w:hAnsi="宋体"/>
                <w:color w:val="auto"/>
                <w:szCs w:val="21"/>
              </w:rPr>
              <w:t>身份证（反面）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r>
    </w:tbl>
    <w:p>
      <w:pPr>
        <w:adjustRightInd w:val="0"/>
        <w:snapToGrid w:val="0"/>
        <w:spacing w:beforeLines="50" w:line="360" w:lineRule="auto"/>
        <w:ind w:firstLine="420" w:firstLineChars="200"/>
        <w:rPr>
          <w:rFonts w:ascii="宋体" w:hAnsi="宋体"/>
          <w:color w:val="auto"/>
          <w:szCs w:val="21"/>
        </w:rPr>
      </w:pPr>
    </w:p>
    <w:p>
      <w:pPr>
        <w:adjustRightInd w:val="0"/>
        <w:snapToGrid w:val="0"/>
        <w:spacing w:beforeLines="50" w:line="360" w:lineRule="auto"/>
        <w:ind w:firstLine="420" w:firstLineChars="200"/>
        <w:rPr>
          <w:rFonts w:ascii="宋体" w:hAnsi="宋体"/>
          <w:color w:val="auto"/>
          <w:szCs w:val="21"/>
        </w:rPr>
      </w:pPr>
    </w:p>
    <w:p>
      <w:pPr>
        <w:adjustRightInd w:val="0"/>
        <w:snapToGrid w:val="0"/>
        <w:spacing w:beforeLines="50" w:line="360" w:lineRule="auto"/>
        <w:ind w:firstLine="420" w:firstLineChars="200"/>
        <w:rPr>
          <w:rFonts w:ascii="宋体" w:hAnsi="宋体"/>
          <w:color w:val="auto"/>
          <w:szCs w:val="21"/>
        </w:rPr>
      </w:pPr>
    </w:p>
    <w:p>
      <w:pPr>
        <w:pStyle w:val="4"/>
        <w:rPr>
          <w:rFonts w:ascii="宋体" w:hAnsi="宋体"/>
          <w:color w:val="auto"/>
          <w:szCs w:val="21"/>
        </w:rPr>
      </w:pPr>
    </w:p>
    <w:p>
      <w:pPr>
        <w:rPr>
          <w:color w:val="auto"/>
        </w:rPr>
      </w:pPr>
    </w:p>
    <w:p>
      <w:pPr>
        <w:adjustRightInd w:val="0"/>
        <w:snapToGrid w:val="0"/>
        <w:spacing w:beforeLines="50" w:line="360" w:lineRule="auto"/>
        <w:ind w:firstLine="420" w:firstLineChars="200"/>
        <w:rPr>
          <w:rFonts w:ascii="宋体" w:hAnsi="宋体"/>
          <w:color w:val="auto"/>
          <w:szCs w:val="21"/>
        </w:rPr>
      </w:pPr>
    </w:p>
    <w:p>
      <w:pPr>
        <w:pStyle w:val="25"/>
        <w:adjustRightInd w:val="0"/>
        <w:snapToGrid w:val="0"/>
        <w:spacing w:beforeLines="50" w:line="360" w:lineRule="auto"/>
        <w:rPr>
          <w:rFonts w:hAnsi="宋体"/>
          <w:color w:val="auto"/>
        </w:rPr>
      </w:pPr>
      <w:r>
        <w:rPr>
          <w:rFonts w:hint="eastAsia" w:hAnsi="宋体"/>
          <w:color w:val="auto"/>
        </w:rPr>
        <w:t>供应商名称(盖单位公章)：</w:t>
      </w:r>
    </w:p>
    <w:p>
      <w:pPr>
        <w:adjustRightInd w:val="0"/>
        <w:snapToGrid w:val="0"/>
        <w:spacing w:beforeLines="50" w:line="360" w:lineRule="auto"/>
        <w:rPr>
          <w:rFonts w:ascii="宋体" w:hAnsi="宋体"/>
          <w:color w:val="auto"/>
          <w:szCs w:val="21"/>
        </w:rPr>
      </w:pP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olor w:val="auto"/>
          <w:szCs w:val="21"/>
        </w:rPr>
        <w:t>签字或印章</w:t>
      </w:r>
      <w:r>
        <w:rPr>
          <w:rFonts w:hint="eastAsia" w:ascii="宋体" w:hAnsi="宋体" w:cs="微软雅黑"/>
          <w:color w:val="auto"/>
          <w:spacing w:val="-2"/>
          <w:kern w:val="0"/>
          <w:szCs w:val="21"/>
        </w:rPr>
        <w:t>）：</w:t>
      </w:r>
    </w:p>
    <w:p>
      <w:pPr>
        <w:adjustRightInd w:val="0"/>
        <w:snapToGrid w:val="0"/>
        <w:spacing w:beforeLines="50" w:line="360" w:lineRule="auto"/>
        <w:rPr>
          <w:rFonts w:ascii="宋体" w:hAnsi="宋体"/>
          <w:color w:val="auto"/>
          <w:szCs w:val="21"/>
          <w:u w:val="single"/>
        </w:rPr>
      </w:pPr>
      <w:r>
        <w:rPr>
          <w:rFonts w:hint="eastAsia" w:ascii="宋体" w:hAnsi="宋体"/>
          <w:color w:val="auto"/>
          <w:szCs w:val="21"/>
        </w:rPr>
        <w:t>授权的代理人（签字或印章）：</w:t>
      </w:r>
    </w:p>
    <w:p>
      <w:pPr>
        <w:adjustRightInd w:val="0"/>
        <w:snapToGrid w:val="0"/>
        <w:spacing w:beforeLines="50" w:line="360" w:lineRule="auto"/>
        <w:rPr>
          <w:rFonts w:ascii="宋体" w:hAnsi="宋体"/>
          <w:color w:val="auto"/>
          <w:szCs w:val="21"/>
        </w:rPr>
      </w:pPr>
      <w:r>
        <w:rPr>
          <w:rFonts w:hint="eastAsia" w:ascii="宋体" w:hAnsi="宋体"/>
          <w:color w:val="auto"/>
          <w:szCs w:val="21"/>
        </w:rPr>
        <w:t>日期：年月日</w:t>
      </w:r>
    </w:p>
    <w:p>
      <w:pPr>
        <w:adjustRightInd w:val="0"/>
        <w:snapToGrid w:val="0"/>
        <w:spacing w:line="360" w:lineRule="auto"/>
        <w:ind w:right="420"/>
        <w:rPr>
          <w:rFonts w:asciiTheme="minorEastAsia" w:hAnsiTheme="minorEastAsia" w:eastAsiaTheme="minorEastAsia" w:cstheme="minorEastAsia"/>
          <w:color w:val="auto"/>
          <w:szCs w:val="21"/>
        </w:rPr>
      </w:pPr>
      <w:r>
        <w:rPr>
          <w:rFonts w:ascii="宋体"/>
          <w:color w:val="auto"/>
        </w:rPr>
        <w:br w:type="page"/>
      </w:r>
    </w:p>
    <w:p>
      <w:pPr>
        <w:adjustRightInd w:val="0"/>
        <w:snapToGrid w:val="0"/>
        <w:spacing w:line="360" w:lineRule="auto"/>
        <w:ind w:right="24"/>
        <w:rPr>
          <w:rFonts w:asciiTheme="minorEastAsia" w:hAnsiTheme="minorEastAsia" w:eastAsiaTheme="minorEastAsia" w:cstheme="minorEastAsia"/>
          <w:bCs/>
          <w:color w:val="auto"/>
          <w:sz w:val="24"/>
          <w:szCs w:val="28"/>
        </w:rPr>
      </w:pPr>
    </w:p>
    <w:p>
      <w:pPr>
        <w:pStyle w:val="5"/>
        <w:jc w:val="center"/>
        <w:rPr>
          <w:rFonts w:asciiTheme="minorEastAsia" w:hAnsiTheme="minorEastAsia" w:eastAsiaTheme="minorEastAsia" w:cstheme="minorEastAsia"/>
          <w:color w:val="auto"/>
          <w:sz w:val="32"/>
        </w:rPr>
      </w:pPr>
      <w:bookmarkStart w:id="74" w:name="_Toc3011"/>
      <w:r>
        <w:rPr>
          <w:rFonts w:hint="eastAsia" w:asciiTheme="minorEastAsia" w:hAnsiTheme="minorEastAsia" w:eastAsiaTheme="minorEastAsia" w:cstheme="minorEastAsia"/>
          <w:color w:val="auto"/>
          <w:sz w:val="32"/>
        </w:rPr>
        <w:t>二、</w:t>
      </w:r>
      <w:bookmarkEnd w:id="74"/>
      <w:bookmarkStart w:id="75" w:name="_Toc18756"/>
      <w:bookmarkStart w:id="76" w:name="_Toc16135"/>
      <w:r>
        <w:rPr>
          <w:rFonts w:hint="eastAsia" w:asciiTheme="minorEastAsia" w:hAnsiTheme="minorEastAsia" w:eastAsiaTheme="minorEastAsia" w:cstheme="minorEastAsia"/>
          <w:color w:val="auto"/>
          <w:sz w:val="32"/>
        </w:rPr>
        <w:t>投标承诺</w:t>
      </w:r>
      <w:bookmarkEnd w:id="75"/>
      <w:bookmarkEnd w:id="76"/>
    </w:p>
    <w:p>
      <w:pPr>
        <w:adjustRightInd w:val="0"/>
        <w:snapToGrid w:val="0"/>
        <w:spacing w:line="480" w:lineRule="exact"/>
        <w:rPr>
          <w:rFonts w:ascii="宋体" w:hAnsi="宋体" w:cs="宋体"/>
          <w:color w:val="auto"/>
          <w:sz w:val="24"/>
        </w:rPr>
      </w:pPr>
    </w:p>
    <w:p>
      <w:pPr>
        <w:spacing w:line="480" w:lineRule="exact"/>
        <w:rPr>
          <w:rFonts w:ascii="宋体" w:hAnsi="宋体" w:cs="宋体"/>
          <w:color w:val="auto"/>
          <w:szCs w:val="32"/>
        </w:rPr>
      </w:pPr>
      <w:r>
        <w:rPr>
          <w:rFonts w:hint="eastAsia" w:ascii="宋体" w:hAnsi="宋体" w:cs="宋体"/>
          <w:color w:val="auto"/>
          <w:szCs w:val="32"/>
          <w:u w:val="single"/>
        </w:rPr>
        <w:t xml:space="preserve">                （招标人名称）</w:t>
      </w:r>
      <w:r>
        <w:rPr>
          <w:rFonts w:hint="eastAsia" w:ascii="宋体" w:hAnsi="宋体" w:cs="宋体"/>
          <w:color w:val="auto"/>
          <w:szCs w:val="32"/>
        </w:rPr>
        <w:t xml:space="preserve"> ：</w:t>
      </w:r>
    </w:p>
    <w:p>
      <w:pPr>
        <w:spacing w:line="480" w:lineRule="exact"/>
        <w:ind w:firstLine="640"/>
        <w:rPr>
          <w:rFonts w:ascii="宋体" w:hAnsi="宋体" w:cs="宋体"/>
          <w:color w:val="auto"/>
          <w:szCs w:val="32"/>
          <w:u w:val="single"/>
        </w:rPr>
      </w:pPr>
      <w:r>
        <w:rPr>
          <w:rFonts w:hint="eastAsia" w:ascii="宋体" w:hAnsi="宋体" w:cs="宋体"/>
          <w:color w:val="auto"/>
          <w:szCs w:val="32"/>
        </w:rPr>
        <w:t>经慎重研究，我公司</w:t>
      </w:r>
      <w:r>
        <w:rPr>
          <w:rFonts w:hint="eastAsia" w:ascii="宋体" w:hAnsi="宋体" w:cs="宋体"/>
          <w:color w:val="auto"/>
          <w:szCs w:val="32"/>
          <w:u w:val="single"/>
        </w:rPr>
        <w:t xml:space="preserve">          投标人名称  </w:t>
      </w:r>
      <w:r>
        <w:rPr>
          <w:rFonts w:hint="eastAsia" w:ascii="宋体" w:hAnsi="宋体" w:cs="宋体"/>
          <w:color w:val="auto"/>
          <w:szCs w:val="32"/>
        </w:rPr>
        <w:t>（以下称“投标人”）决定于______年____月_____日参与你方组织的的采购投标，我方承诺严格按照《政府采购法》及其实施条例等法律法规和政策文件的要求，履行投标义务。</w:t>
      </w:r>
    </w:p>
    <w:p>
      <w:pPr>
        <w:spacing w:line="480" w:lineRule="exact"/>
        <w:ind w:firstLine="640"/>
        <w:rPr>
          <w:rFonts w:ascii="宋体" w:hAnsi="宋体" w:cs="宋体"/>
          <w:color w:val="auto"/>
          <w:szCs w:val="32"/>
        </w:rPr>
      </w:pPr>
      <w:r>
        <w:rPr>
          <w:rFonts w:hint="eastAsia" w:ascii="宋体" w:hAnsi="宋体" w:cs="宋体"/>
          <w:color w:val="auto"/>
          <w:szCs w:val="32"/>
        </w:rPr>
        <w:t>如果发生不履行相关投标义务的行为，自愿接受按法律法规和招标文件作出的处理。</w:t>
      </w:r>
    </w:p>
    <w:p>
      <w:pPr>
        <w:adjustRightInd w:val="0"/>
        <w:snapToGrid w:val="0"/>
        <w:spacing w:line="480" w:lineRule="exact"/>
        <w:rPr>
          <w:rFonts w:ascii="宋体" w:hAnsi="宋体" w:cs="宋体"/>
          <w:color w:val="auto"/>
          <w:szCs w:val="32"/>
        </w:rPr>
      </w:pPr>
    </w:p>
    <w:p>
      <w:pPr>
        <w:adjustRightInd w:val="0"/>
        <w:snapToGrid w:val="0"/>
        <w:spacing w:line="480" w:lineRule="exact"/>
        <w:rPr>
          <w:rFonts w:ascii="宋体" w:hAnsi="宋体" w:cs="宋体"/>
          <w:color w:val="auto"/>
          <w:szCs w:val="32"/>
        </w:rPr>
      </w:pPr>
    </w:p>
    <w:p>
      <w:pPr>
        <w:spacing w:line="480" w:lineRule="exact"/>
        <w:ind w:right="404" w:firstLine="2205" w:firstLineChars="1050"/>
        <w:rPr>
          <w:rFonts w:ascii="宋体" w:hAnsi="宋体" w:cs="宋体"/>
          <w:color w:val="auto"/>
          <w:szCs w:val="32"/>
        </w:rPr>
      </w:pPr>
      <w:r>
        <w:rPr>
          <w:rFonts w:hint="eastAsia" w:ascii="宋体" w:hAnsi="宋体" w:cs="宋体"/>
          <w:color w:val="auto"/>
          <w:szCs w:val="21"/>
        </w:rPr>
        <w:t>供应商名称</w:t>
      </w:r>
      <w:r>
        <w:rPr>
          <w:rFonts w:hint="eastAsia" w:ascii="宋体" w:hAnsi="宋体" w:cs="宋体"/>
          <w:color w:val="auto"/>
          <w:szCs w:val="32"/>
        </w:rPr>
        <w:t>：（盖章）</w:t>
      </w:r>
    </w:p>
    <w:p>
      <w:pPr>
        <w:spacing w:line="480" w:lineRule="exact"/>
        <w:ind w:firstLine="2100" w:firstLineChars="1000"/>
        <w:rPr>
          <w:rFonts w:ascii="宋体" w:hAnsi="宋体" w:cs="宋体"/>
          <w:color w:val="auto"/>
          <w:szCs w:val="32"/>
        </w:rPr>
      </w:pPr>
      <w:r>
        <w:rPr>
          <w:rFonts w:hint="eastAsia" w:ascii="宋体" w:hAnsi="宋体" w:cs="宋体"/>
          <w:color w:val="auto"/>
          <w:szCs w:val="32"/>
        </w:rPr>
        <w:t xml:space="preserve"> 法定代表人：（签字或盖章）</w:t>
      </w:r>
    </w:p>
    <w:p>
      <w:pPr>
        <w:spacing w:line="480" w:lineRule="exact"/>
        <w:ind w:firstLine="2205" w:firstLineChars="1050"/>
        <w:rPr>
          <w:rFonts w:ascii="宋体" w:hAnsi="宋体" w:cs="宋体"/>
          <w:color w:val="auto"/>
          <w:szCs w:val="32"/>
          <w:u w:val="single"/>
        </w:rPr>
      </w:pPr>
      <w:r>
        <w:rPr>
          <w:rFonts w:hint="eastAsia" w:ascii="宋体" w:hAnsi="宋体" w:cs="宋体"/>
          <w:color w:val="auto"/>
          <w:szCs w:val="32"/>
        </w:rPr>
        <w:t>地址：</w:t>
      </w:r>
    </w:p>
    <w:p>
      <w:pPr>
        <w:spacing w:line="480" w:lineRule="exact"/>
        <w:ind w:firstLine="2205" w:firstLineChars="1050"/>
        <w:rPr>
          <w:rFonts w:ascii="宋体" w:hAnsi="宋体" w:cs="宋体"/>
          <w:color w:val="auto"/>
          <w:szCs w:val="32"/>
          <w:u w:val="single"/>
        </w:rPr>
      </w:pPr>
      <w:r>
        <w:rPr>
          <w:rFonts w:hint="eastAsia" w:ascii="宋体" w:hAnsi="宋体" w:cs="宋体"/>
          <w:color w:val="auto"/>
          <w:szCs w:val="32"/>
        </w:rPr>
        <w:t>电话：</w:t>
      </w:r>
    </w:p>
    <w:p>
      <w:pPr>
        <w:spacing w:line="480" w:lineRule="exact"/>
        <w:ind w:firstLine="2205" w:firstLineChars="1050"/>
        <w:rPr>
          <w:rFonts w:ascii="宋体" w:hAnsi="宋体" w:cs="宋体"/>
          <w:color w:val="auto"/>
          <w:szCs w:val="32"/>
          <w:u w:val="single"/>
        </w:rPr>
      </w:pPr>
      <w:r>
        <w:rPr>
          <w:rFonts w:hint="eastAsia" w:ascii="宋体" w:hAnsi="宋体" w:cs="宋体"/>
          <w:color w:val="auto"/>
          <w:szCs w:val="32"/>
        </w:rPr>
        <w:t>传真：</w:t>
      </w:r>
    </w:p>
    <w:p>
      <w:pPr>
        <w:spacing w:line="480" w:lineRule="exact"/>
        <w:ind w:firstLine="735" w:firstLineChars="350"/>
        <w:rPr>
          <w:rFonts w:ascii="宋体" w:hAnsi="宋体" w:cs="宋体"/>
          <w:color w:val="auto"/>
          <w:szCs w:val="32"/>
        </w:rPr>
      </w:pPr>
    </w:p>
    <w:p>
      <w:pPr>
        <w:jc w:val="right"/>
        <w:rPr>
          <w:rFonts w:asciiTheme="minorEastAsia" w:hAnsiTheme="minorEastAsia" w:eastAsiaTheme="minorEastAsia" w:cstheme="minorEastAsia"/>
          <w:color w:val="auto"/>
        </w:rPr>
      </w:pPr>
      <w:r>
        <w:rPr>
          <w:rFonts w:hint="eastAsia" w:ascii="宋体" w:hAnsi="宋体" w:cs="宋体"/>
          <w:color w:val="auto"/>
          <w:szCs w:val="32"/>
        </w:rPr>
        <w:t>年月</w:t>
      </w:r>
      <w:r>
        <w:rPr>
          <w:rFonts w:hint="eastAsia" w:ascii="宋体" w:hAnsi="宋体" w:cs="宋体"/>
          <w:color w:val="auto"/>
          <w:szCs w:val="32"/>
          <w:u w:val="single"/>
        </w:rPr>
        <w:t>日</w:t>
      </w:r>
    </w:p>
    <w:p>
      <w:pPr>
        <w:rPr>
          <w:rFonts w:asciiTheme="minorEastAsia" w:hAnsiTheme="minorEastAsia" w:eastAsiaTheme="minorEastAsia" w:cstheme="minorEastAsia"/>
          <w:color w:val="auto"/>
        </w:rPr>
      </w:pPr>
    </w:p>
    <w:p>
      <w:pPr>
        <w:rPr>
          <w:rFonts w:asciiTheme="minorEastAsia" w:hAnsiTheme="minorEastAsia" w:eastAsiaTheme="minorEastAsia" w:cstheme="minorEastAsia"/>
          <w:color w:val="auto"/>
        </w:rPr>
      </w:pPr>
    </w:p>
    <w:p>
      <w:pPr>
        <w:rPr>
          <w:rFonts w:asciiTheme="minorEastAsia" w:hAnsiTheme="minorEastAsia" w:eastAsiaTheme="minorEastAsia" w:cstheme="minorEastAsia"/>
          <w:color w:val="auto"/>
        </w:rPr>
      </w:pPr>
    </w:p>
    <w:p>
      <w:pPr>
        <w:rPr>
          <w:rFonts w:asciiTheme="minorEastAsia" w:hAnsiTheme="minorEastAsia" w:eastAsiaTheme="minorEastAsia" w:cstheme="minorEastAsia"/>
          <w:color w:val="auto"/>
        </w:rPr>
      </w:pPr>
    </w:p>
    <w:p>
      <w:pPr>
        <w:rPr>
          <w:rFonts w:asciiTheme="minorEastAsia" w:hAnsiTheme="minorEastAsia" w:eastAsiaTheme="minorEastAsia" w:cstheme="minorEastAsia"/>
          <w:color w:val="auto"/>
        </w:rPr>
      </w:pPr>
    </w:p>
    <w:p>
      <w:pPr>
        <w:rPr>
          <w:rFonts w:asciiTheme="minorEastAsia" w:hAnsiTheme="minorEastAsia" w:eastAsiaTheme="minorEastAsia" w:cstheme="minorEastAsia"/>
          <w:color w:val="auto"/>
        </w:rPr>
      </w:pPr>
    </w:p>
    <w:p>
      <w:pPr>
        <w:rPr>
          <w:rFonts w:asciiTheme="minorEastAsia" w:hAnsiTheme="minorEastAsia" w:eastAsiaTheme="minorEastAsia" w:cstheme="minorEastAsia"/>
          <w:color w:val="auto"/>
        </w:rPr>
      </w:pPr>
    </w:p>
    <w:p>
      <w:pPr>
        <w:rPr>
          <w:rFonts w:asciiTheme="minorEastAsia" w:hAnsiTheme="minorEastAsia" w:eastAsiaTheme="minorEastAsia" w:cstheme="minorEastAsia"/>
          <w:color w:val="auto"/>
        </w:rPr>
      </w:pPr>
    </w:p>
    <w:p>
      <w:pPr>
        <w:rPr>
          <w:rFonts w:asciiTheme="minorEastAsia" w:hAnsiTheme="minorEastAsia" w:eastAsiaTheme="minorEastAsia" w:cstheme="minorEastAsia"/>
          <w:color w:val="auto"/>
        </w:rPr>
      </w:pPr>
    </w:p>
    <w:p>
      <w:pPr>
        <w:rPr>
          <w:rFonts w:asciiTheme="minorEastAsia" w:hAnsiTheme="minorEastAsia" w:eastAsiaTheme="minorEastAsia" w:cstheme="minorEastAsia"/>
          <w:color w:val="auto"/>
        </w:rPr>
      </w:pPr>
    </w:p>
    <w:p>
      <w:pPr>
        <w:rPr>
          <w:rFonts w:asciiTheme="minorEastAsia" w:hAnsiTheme="minorEastAsia" w:eastAsiaTheme="minorEastAsia" w:cstheme="minorEastAsia"/>
          <w:color w:val="auto"/>
        </w:rPr>
      </w:pPr>
    </w:p>
    <w:p>
      <w:pPr>
        <w:rPr>
          <w:rFonts w:asciiTheme="minorEastAsia" w:hAnsiTheme="minorEastAsia" w:eastAsiaTheme="minorEastAsia" w:cstheme="minorEastAsia"/>
          <w:color w:val="auto"/>
        </w:rPr>
      </w:pPr>
    </w:p>
    <w:p>
      <w:pPr>
        <w:rPr>
          <w:rFonts w:asciiTheme="minorEastAsia" w:hAnsiTheme="minorEastAsia" w:eastAsiaTheme="minorEastAsia" w:cstheme="minorEastAsia"/>
          <w:color w:val="auto"/>
        </w:rPr>
      </w:pPr>
    </w:p>
    <w:p>
      <w:pPr>
        <w:rPr>
          <w:rFonts w:asciiTheme="minorEastAsia" w:hAnsiTheme="minorEastAsia" w:eastAsiaTheme="minorEastAsia" w:cstheme="minorEastAsia"/>
          <w:color w:val="auto"/>
        </w:rPr>
        <w:sectPr>
          <w:pgSz w:w="11906" w:h="16838"/>
          <w:pgMar w:top="1474" w:right="1474" w:bottom="250" w:left="1588" w:header="851" w:footer="992" w:gutter="0"/>
          <w:cols w:space="720" w:num="1"/>
          <w:docGrid w:linePitch="312" w:charSpace="0"/>
        </w:sectPr>
      </w:pPr>
    </w:p>
    <w:p>
      <w:pPr>
        <w:rPr>
          <w:rFonts w:asciiTheme="minorEastAsia" w:hAnsiTheme="minorEastAsia" w:eastAsiaTheme="minorEastAsia" w:cstheme="minorEastAsia"/>
          <w:color w:val="auto"/>
        </w:rPr>
      </w:pPr>
    </w:p>
    <w:p>
      <w:pPr>
        <w:spacing w:line="360" w:lineRule="exact"/>
        <w:jc w:val="center"/>
        <w:outlineLvl w:val="1"/>
        <w:rPr>
          <w:rFonts w:asciiTheme="minorEastAsia" w:hAnsiTheme="minorEastAsia" w:eastAsiaTheme="minorEastAsia" w:cstheme="minorEastAsia"/>
          <w:b/>
          <w:color w:val="auto"/>
          <w:sz w:val="32"/>
          <w:szCs w:val="32"/>
        </w:rPr>
      </w:pPr>
      <w:bookmarkStart w:id="77" w:name="_Toc6565"/>
      <w:r>
        <w:rPr>
          <w:rFonts w:hint="eastAsia" w:asciiTheme="minorEastAsia" w:hAnsiTheme="minorEastAsia" w:eastAsiaTheme="minorEastAsia" w:cstheme="minorEastAsia"/>
          <w:b/>
          <w:color w:val="auto"/>
          <w:sz w:val="32"/>
          <w:szCs w:val="32"/>
        </w:rPr>
        <w:t>三、供应商的资格证明资料</w:t>
      </w:r>
      <w:bookmarkEnd w:id="77"/>
    </w:p>
    <w:p>
      <w:pPr>
        <w:spacing w:line="480" w:lineRule="exact"/>
        <w:outlineLvl w:val="0"/>
        <w:rPr>
          <w:rFonts w:asciiTheme="minorEastAsia" w:hAnsiTheme="minorEastAsia" w:eastAsiaTheme="minorEastAsia" w:cstheme="minorEastAsia"/>
          <w:color w:val="auto"/>
          <w:sz w:val="30"/>
          <w:szCs w:val="30"/>
        </w:rPr>
      </w:pPr>
      <w:bookmarkStart w:id="78" w:name="_Toc4517_WPSOffice_Level1"/>
      <w:bookmarkStart w:id="79" w:name="_Toc14392"/>
      <w:r>
        <w:rPr>
          <w:rFonts w:hint="eastAsia" w:asciiTheme="minorEastAsia" w:hAnsiTheme="minorEastAsia" w:eastAsiaTheme="minorEastAsia" w:cstheme="minorEastAsia"/>
          <w:b/>
          <w:bCs/>
          <w:color w:val="auto"/>
          <w:sz w:val="30"/>
          <w:szCs w:val="30"/>
        </w:rPr>
        <w:t>附件3              供应商基本情况表</w:t>
      </w:r>
      <w:bookmarkEnd w:id="78"/>
      <w:bookmarkEnd w:id="79"/>
    </w:p>
    <w:p>
      <w:pPr>
        <w:spacing w:line="480" w:lineRule="exact"/>
        <w:rPr>
          <w:rFonts w:asciiTheme="minorEastAsia" w:hAnsiTheme="minorEastAsia" w:eastAsiaTheme="minorEastAsia" w:cstheme="minorEastAsia"/>
          <w:color w:val="auto"/>
          <w:sz w:val="30"/>
          <w:szCs w:val="30"/>
        </w:rPr>
      </w:pPr>
    </w:p>
    <w:p>
      <w:pPr>
        <w:adjustRightInd w:val="0"/>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盖供应商单位章</w:t>
      </w:r>
    </w:p>
    <w:tbl>
      <w:tblPr>
        <w:tblStyle w:val="45"/>
        <w:tblW w:w="882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19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620" w:type="dxa"/>
            <w:gridSpan w:val="3"/>
            <w:tcBorders>
              <w:top w:val="double" w:color="auto" w:sz="4" w:space="0"/>
              <w:left w:val="double" w:color="auto" w:sz="4"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供应商名称</w:t>
            </w:r>
          </w:p>
        </w:tc>
        <w:tc>
          <w:tcPr>
            <w:tcW w:w="3960" w:type="dxa"/>
            <w:gridSpan w:val="5"/>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p>
        </w:tc>
        <w:tc>
          <w:tcPr>
            <w:tcW w:w="1329" w:type="dxa"/>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法定代表人</w:t>
            </w:r>
          </w:p>
        </w:tc>
        <w:tc>
          <w:tcPr>
            <w:tcW w:w="1911" w:type="dxa"/>
            <w:tcBorders>
              <w:top w:val="double" w:color="auto" w:sz="4" w:space="0"/>
              <w:left w:val="single" w:color="auto" w:sz="6" w:space="0"/>
              <w:bottom w:val="single" w:color="auto" w:sz="6" w:space="0"/>
              <w:right w:val="double" w:color="auto" w:sz="4" w:space="0"/>
            </w:tcBorders>
            <w:vAlign w:val="center"/>
          </w:tcPr>
          <w:p>
            <w:pPr>
              <w:topLinePunct/>
              <w:spacing w:line="440" w:lineRule="exact"/>
              <w:jc w:val="center"/>
              <w:rPr>
                <w:rFonts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trHeight w:val="611" w:hRule="atLeast"/>
        </w:trPr>
        <w:tc>
          <w:tcPr>
            <w:tcW w:w="1620" w:type="dxa"/>
            <w:gridSpan w:val="3"/>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委托代理人</w:t>
            </w:r>
          </w:p>
        </w:tc>
        <w:tc>
          <w:tcPr>
            <w:tcW w:w="3960" w:type="dxa"/>
            <w:gridSpan w:val="5"/>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邮政编码</w:t>
            </w:r>
          </w:p>
        </w:tc>
        <w:tc>
          <w:tcPr>
            <w:tcW w:w="1911"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620" w:type="dxa"/>
            <w:gridSpan w:val="3"/>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p>
        </w:tc>
        <w:tc>
          <w:tcPr>
            <w:tcW w:w="3960" w:type="dxa"/>
            <w:gridSpan w:val="5"/>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电子邮箱</w:t>
            </w:r>
          </w:p>
        </w:tc>
        <w:tc>
          <w:tcPr>
            <w:tcW w:w="1911"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620" w:type="dxa"/>
            <w:gridSpan w:val="3"/>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上年营业收入</w:t>
            </w:r>
          </w:p>
        </w:tc>
        <w:tc>
          <w:tcPr>
            <w:tcW w:w="3960" w:type="dxa"/>
            <w:gridSpan w:val="5"/>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员工总人数</w:t>
            </w:r>
          </w:p>
        </w:tc>
        <w:tc>
          <w:tcPr>
            <w:tcW w:w="1911"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719" w:type="dxa"/>
            <w:vMerge w:val="restart"/>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营业执照</w:t>
            </w:r>
          </w:p>
        </w:tc>
        <w:tc>
          <w:tcPr>
            <w:tcW w:w="2044" w:type="dxa"/>
            <w:gridSpan w:val="3"/>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注册号码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p>
        </w:tc>
        <w:tc>
          <w:tcPr>
            <w:tcW w:w="1377"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注册地址</w:t>
            </w:r>
          </w:p>
        </w:tc>
        <w:tc>
          <w:tcPr>
            <w:tcW w:w="3240"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ind w:firstLine="105" w:firstLineChars="50"/>
              <w:jc w:val="center"/>
              <w:rPr>
                <w:rFonts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p>
        </w:tc>
        <w:tc>
          <w:tcPr>
            <w:tcW w:w="2044" w:type="dxa"/>
            <w:gridSpan w:val="3"/>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p>
        </w:tc>
        <w:tc>
          <w:tcPr>
            <w:tcW w:w="1377"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发证日期</w:t>
            </w:r>
          </w:p>
        </w:tc>
        <w:tc>
          <w:tcPr>
            <w:tcW w:w="3240"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ind w:firstLine="105" w:firstLineChars="50"/>
              <w:jc w:val="center"/>
              <w:rPr>
                <w:rFonts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p>
        </w:tc>
        <w:tc>
          <w:tcPr>
            <w:tcW w:w="2044" w:type="dxa"/>
            <w:gridSpan w:val="3"/>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营业范围（主营）</w:t>
            </w:r>
          </w:p>
        </w:tc>
        <w:tc>
          <w:tcPr>
            <w:tcW w:w="6057" w:type="dxa"/>
            <w:gridSpan w:val="6"/>
            <w:tcBorders>
              <w:top w:val="single" w:color="auto" w:sz="6" w:space="0"/>
              <w:left w:val="single" w:color="auto" w:sz="6" w:space="0"/>
              <w:bottom w:val="single" w:color="auto" w:sz="6" w:space="0"/>
              <w:right w:val="double" w:color="auto" w:sz="4" w:space="0"/>
            </w:tcBorders>
            <w:vAlign w:val="center"/>
          </w:tcPr>
          <w:p>
            <w:pPr>
              <w:topLinePunct/>
              <w:spacing w:line="440" w:lineRule="exact"/>
              <w:ind w:firstLine="105" w:firstLineChars="50"/>
              <w:jc w:val="center"/>
              <w:rPr>
                <w:rFonts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p>
        </w:tc>
        <w:tc>
          <w:tcPr>
            <w:tcW w:w="2044" w:type="dxa"/>
            <w:gridSpan w:val="3"/>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营业范围（兼营）</w:t>
            </w:r>
          </w:p>
        </w:tc>
        <w:tc>
          <w:tcPr>
            <w:tcW w:w="6057" w:type="dxa"/>
            <w:gridSpan w:val="6"/>
            <w:tcBorders>
              <w:top w:val="single" w:color="auto" w:sz="6" w:space="0"/>
              <w:left w:val="single" w:color="auto" w:sz="6" w:space="0"/>
              <w:bottom w:val="single" w:color="auto" w:sz="6" w:space="0"/>
              <w:right w:val="double" w:color="auto" w:sz="4" w:space="0"/>
            </w:tcBorders>
            <w:vAlign w:val="center"/>
          </w:tcPr>
          <w:p>
            <w:pPr>
              <w:topLinePunct/>
              <w:spacing w:line="440" w:lineRule="exact"/>
              <w:ind w:firstLine="105" w:firstLineChars="50"/>
              <w:jc w:val="center"/>
              <w:rPr>
                <w:rFonts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基本账户开户行及账号</w:t>
            </w:r>
          </w:p>
        </w:tc>
        <w:tc>
          <w:tcPr>
            <w:tcW w:w="6057" w:type="dxa"/>
            <w:gridSpan w:val="6"/>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税务登记机关</w:t>
            </w:r>
          </w:p>
        </w:tc>
        <w:tc>
          <w:tcPr>
            <w:tcW w:w="6057" w:type="dxa"/>
            <w:gridSpan w:val="6"/>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等级</w:t>
            </w: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发证机关</w:t>
            </w:r>
          </w:p>
        </w:tc>
        <w:tc>
          <w:tcPr>
            <w:tcW w:w="3240"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有效期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p>
        </w:tc>
        <w:tc>
          <w:tcPr>
            <w:tcW w:w="3240"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p>
        </w:tc>
        <w:tc>
          <w:tcPr>
            <w:tcW w:w="3240"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p>
        </w:tc>
        <w:tc>
          <w:tcPr>
            <w:tcW w:w="3240"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p>
        </w:tc>
        <w:tc>
          <w:tcPr>
            <w:tcW w:w="3240"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77" w:hRule="atLeast"/>
        </w:trPr>
        <w:tc>
          <w:tcPr>
            <w:tcW w:w="1258" w:type="dxa"/>
            <w:gridSpan w:val="2"/>
            <w:tcBorders>
              <w:top w:val="single" w:color="auto" w:sz="6" w:space="0"/>
              <w:left w:val="double" w:color="auto" w:sz="4" w:space="0"/>
              <w:bottom w:val="double" w:color="auto" w:sz="4"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备注</w:t>
            </w:r>
          </w:p>
        </w:tc>
        <w:tc>
          <w:tcPr>
            <w:tcW w:w="7562" w:type="dxa"/>
            <w:gridSpan w:val="8"/>
            <w:tcBorders>
              <w:top w:val="single" w:color="auto" w:sz="6" w:space="0"/>
              <w:left w:val="single" w:color="auto" w:sz="6" w:space="0"/>
              <w:bottom w:val="double" w:color="auto" w:sz="4" w:space="0"/>
              <w:right w:val="double" w:color="auto" w:sz="4" w:space="0"/>
            </w:tcBorders>
            <w:vAlign w:val="center"/>
          </w:tcPr>
          <w:p>
            <w:pPr>
              <w:topLinePunct/>
              <w:spacing w:line="44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附《营业执照》（副本）复印件</w:t>
            </w:r>
          </w:p>
        </w:tc>
      </w:tr>
    </w:tbl>
    <w:p>
      <w:pPr>
        <w:spacing w:line="480" w:lineRule="exact"/>
        <w:rPr>
          <w:rFonts w:asciiTheme="minorEastAsia" w:hAnsiTheme="minorEastAsia" w:eastAsiaTheme="minorEastAsia" w:cstheme="minorEastAsia"/>
          <w:color w:val="auto"/>
          <w:sz w:val="30"/>
          <w:szCs w:val="30"/>
        </w:rPr>
      </w:pPr>
    </w:p>
    <w:p>
      <w:pPr>
        <w:adjustRightInd w:val="0"/>
        <w:snapToGrid w:val="0"/>
        <w:spacing w:line="360" w:lineRule="auto"/>
        <w:ind w:firstLine="602" w:firstLineChars="200"/>
        <w:outlineLvl w:val="0"/>
        <w:rPr>
          <w:rFonts w:asciiTheme="minorEastAsia" w:hAnsiTheme="minorEastAsia" w:eastAsiaTheme="minorEastAsia" w:cstheme="minorEastAsia"/>
          <w:b/>
          <w:bCs/>
          <w:color w:val="auto"/>
          <w:sz w:val="30"/>
          <w:szCs w:val="30"/>
        </w:rPr>
      </w:pPr>
      <w:bookmarkStart w:id="80" w:name="_Toc17523_WPSOffice_Level1"/>
      <w:bookmarkStart w:id="81" w:name="_Toc21035"/>
      <w:r>
        <w:rPr>
          <w:rFonts w:hint="eastAsia" w:asciiTheme="minorEastAsia" w:hAnsiTheme="minorEastAsia" w:eastAsiaTheme="minorEastAsia" w:cstheme="minorEastAsia"/>
          <w:b/>
          <w:bCs/>
          <w:color w:val="auto"/>
          <w:sz w:val="30"/>
          <w:szCs w:val="30"/>
        </w:rPr>
        <w:t>附件4     磋商文件规定的基本资格条件证明资料</w:t>
      </w:r>
      <w:bookmarkEnd w:id="80"/>
      <w:bookmarkEnd w:id="81"/>
    </w:p>
    <w:p>
      <w:pPr>
        <w:numPr>
          <w:ilvl w:val="0"/>
          <w:numId w:val="5"/>
        </w:numPr>
        <w:spacing w:line="48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供应商的基本资格条件：供应商必须是在中华人民共和国境内注册登记的法人、其他组织或者自然人，且应当符合《政府采购法》第二十二条第一款的规定。</w:t>
      </w:r>
    </w:p>
    <w:p>
      <w:pPr>
        <w:pStyle w:val="20"/>
        <w:ind w:left="0" w:leftChars="0" w:firstLine="0" w:firstLineChars="0"/>
        <w:rPr>
          <w:color w:val="auto"/>
        </w:rPr>
      </w:pPr>
    </w:p>
    <w:p>
      <w:pPr>
        <w:pStyle w:val="20"/>
        <w:ind w:left="0" w:leftChars="0" w:firstLine="0" w:firstLineChars="0"/>
        <w:rPr>
          <w:color w:val="auto"/>
        </w:rPr>
      </w:pPr>
    </w:p>
    <w:p>
      <w:pPr>
        <w:pStyle w:val="20"/>
        <w:ind w:left="0" w:leftChars="0" w:firstLine="0" w:firstLineChars="0"/>
        <w:rPr>
          <w:color w:val="auto"/>
        </w:rPr>
      </w:pPr>
    </w:p>
    <w:p>
      <w:pPr>
        <w:pStyle w:val="20"/>
        <w:ind w:left="0" w:leftChars="0" w:firstLine="0" w:firstLineChars="0"/>
        <w:rPr>
          <w:color w:val="auto"/>
        </w:rPr>
      </w:pPr>
    </w:p>
    <w:p>
      <w:pPr>
        <w:pStyle w:val="20"/>
        <w:ind w:left="0" w:leftChars="0" w:firstLine="0" w:firstLineChars="0"/>
        <w:rPr>
          <w:color w:val="auto"/>
        </w:rPr>
      </w:pPr>
    </w:p>
    <w:p>
      <w:pPr>
        <w:pStyle w:val="20"/>
        <w:ind w:left="0" w:leftChars="0" w:firstLine="0" w:firstLineChars="0"/>
        <w:rPr>
          <w:color w:val="auto"/>
        </w:rPr>
      </w:pPr>
    </w:p>
    <w:p>
      <w:pPr>
        <w:pStyle w:val="20"/>
        <w:ind w:left="0" w:leftChars="0" w:firstLine="0" w:firstLineChars="0"/>
        <w:rPr>
          <w:color w:val="auto"/>
        </w:rPr>
      </w:pPr>
    </w:p>
    <w:p>
      <w:pPr>
        <w:pStyle w:val="20"/>
        <w:ind w:left="0" w:leftChars="0" w:firstLine="0" w:firstLineChars="0"/>
        <w:rPr>
          <w:color w:val="auto"/>
        </w:rPr>
      </w:pPr>
    </w:p>
    <w:p>
      <w:pPr>
        <w:pStyle w:val="20"/>
        <w:ind w:left="0" w:leftChars="0" w:firstLine="0" w:firstLineChars="0"/>
        <w:rPr>
          <w:color w:val="auto"/>
        </w:rPr>
      </w:pPr>
    </w:p>
    <w:p>
      <w:pPr>
        <w:pStyle w:val="20"/>
        <w:ind w:left="0" w:leftChars="0" w:firstLine="0" w:firstLineChars="0"/>
        <w:rPr>
          <w:color w:val="auto"/>
        </w:rPr>
      </w:pPr>
    </w:p>
    <w:p>
      <w:pPr>
        <w:pStyle w:val="20"/>
        <w:ind w:left="0" w:leftChars="0" w:firstLine="0" w:firstLineChars="0"/>
        <w:rPr>
          <w:color w:val="auto"/>
        </w:rPr>
      </w:pPr>
    </w:p>
    <w:p>
      <w:pPr>
        <w:pStyle w:val="20"/>
        <w:ind w:left="0" w:leftChars="0" w:firstLine="0" w:firstLineChars="0"/>
        <w:rPr>
          <w:color w:val="auto"/>
        </w:rPr>
      </w:pPr>
    </w:p>
    <w:p>
      <w:pPr>
        <w:pStyle w:val="20"/>
        <w:ind w:left="0" w:leftChars="0" w:firstLine="0" w:firstLineChars="0"/>
        <w:rPr>
          <w:color w:val="auto"/>
        </w:rPr>
      </w:pPr>
    </w:p>
    <w:p>
      <w:pPr>
        <w:spacing w:line="480" w:lineRule="exact"/>
        <w:rPr>
          <w:rFonts w:asciiTheme="minorEastAsia" w:hAnsiTheme="minorEastAsia" w:eastAsiaTheme="minorEastAsia" w:cstheme="minorEastAsia"/>
          <w:color w:val="auto"/>
          <w:sz w:val="30"/>
          <w:szCs w:val="30"/>
        </w:rPr>
      </w:pPr>
    </w:p>
    <w:p>
      <w:pPr>
        <w:spacing w:line="480" w:lineRule="exact"/>
        <w:rPr>
          <w:rFonts w:asciiTheme="minorEastAsia" w:hAnsiTheme="minorEastAsia" w:eastAsiaTheme="minorEastAsia" w:cstheme="minorEastAsia"/>
          <w:color w:val="auto"/>
          <w:sz w:val="30"/>
          <w:szCs w:val="30"/>
        </w:rPr>
      </w:pPr>
    </w:p>
    <w:p>
      <w:pPr>
        <w:pStyle w:val="20"/>
        <w:ind w:firstLine="600"/>
        <w:rPr>
          <w:rFonts w:asciiTheme="minorEastAsia" w:hAnsiTheme="minorEastAsia" w:eastAsiaTheme="minorEastAsia" w:cstheme="minorEastAsia"/>
          <w:color w:val="auto"/>
          <w:sz w:val="30"/>
          <w:szCs w:val="30"/>
        </w:rPr>
      </w:pPr>
    </w:p>
    <w:p>
      <w:pPr>
        <w:pStyle w:val="20"/>
        <w:ind w:firstLine="600"/>
        <w:rPr>
          <w:rFonts w:asciiTheme="minorEastAsia" w:hAnsiTheme="minorEastAsia" w:eastAsiaTheme="minorEastAsia" w:cstheme="minorEastAsia"/>
          <w:color w:val="auto"/>
          <w:sz w:val="30"/>
          <w:szCs w:val="30"/>
        </w:rPr>
      </w:pPr>
    </w:p>
    <w:p>
      <w:pPr>
        <w:pStyle w:val="20"/>
        <w:ind w:firstLine="600"/>
        <w:rPr>
          <w:rFonts w:asciiTheme="minorEastAsia" w:hAnsiTheme="minorEastAsia" w:eastAsiaTheme="minorEastAsia" w:cstheme="minorEastAsia"/>
          <w:color w:val="auto"/>
          <w:sz w:val="30"/>
          <w:szCs w:val="30"/>
        </w:rPr>
      </w:pPr>
    </w:p>
    <w:p>
      <w:pPr>
        <w:pStyle w:val="20"/>
        <w:ind w:firstLine="600"/>
        <w:rPr>
          <w:rFonts w:asciiTheme="minorEastAsia" w:hAnsiTheme="minorEastAsia" w:eastAsiaTheme="minorEastAsia" w:cstheme="minorEastAsia"/>
          <w:color w:val="auto"/>
          <w:sz w:val="30"/>
          <w:szCs w:val="30"/>
        </w:rPr>
      </w:pPr>
    </w:p>
    <w:p>
      <w:pPr>
        <w:pStyle w:val="20"/>
        <w:ind w:firstLine="600"/>
        <w:rPr>
          <w:rFonts w:asciiTheme="minorEastAsia" w:hAnsiTheme="minorEastAsia" w:eastAsiaTheme="minorEastAsia" w:cstheme="minorEastAsia"/>
          <w:color w:val="auto"/>
          <w:sz w:val="30"/>
          <w:szCs w:val="30"/>
        </w:rPr>
      </w:pPr>
    </w:p>
    <w:p>
      <w:pPr>
        <w:pStyle w:val="20"/>
        <w:ind w:firstLine="600"/>
        <w:rPr>
          <w:rFonts w:asciiTheme="minorEastAsia" w:hAnsiTheme="minorEastAsia" w:eastAsiaTheme="minorEastAsia" w:cstheme="minorEastAsia"/>
          <w:color w:val="auto"/>
          <w:sz w:val="30"/>
          <w:szCs w:val="30"/>
        </w:rPr>
      </w:pPr>
    </w:p>
    <w:p>
      <w:pPr>
        <w:pStyle w:val="20"/>
        <w:ind w:firstLine="600"/>
        <w:rPr>
          <w:rFonts w:asciiTheme="minorEastAsia" w:hAnsiTheme="minorEastAsia" w:eastAsiaTheme="minorEastAsia" w:cstheme="minorEastAsia"/>
          <w:color w:val="auto"/>
          <w:sz w:val="30"/>
          <w:szCs w:val="30"/>
        </w:rPr>
      </w:pPr>
    </w:p>
    <w:p>
      <w:pPr>
        <w:pStyle w:val="20"/>
        <w:ind w:firstLine="600"/>
        <w:rPr>
          <w:rFonts w:asciiTheme="minorEastAsia" w:hAnsiTheme="minorEastAsia" w:eastAsiaTheme="minorEastAsia" w:cstheme="minorEastAsia"/>
          <w:color w:val="auto"/>
          <w:sz w:val="30"/>
          <w:szCs w:val="30"/>
        </w:rPr>
      </w:pPr>
    </w:p>
    <w:p>
      <w:pPr>
        <w:pStyle w:val="20"/>
        <w:ind w:firstLine="600"/>
        <w:rPr>
          <w:rFonts w:asciiTheme="minorEastAsia" w:hAnsiTheme="minorEastAsia" w:eastAsiaTheme="minorEastAsia" w:cstheme="minorEastAsia"/>
          <w:color w:val="auto"/>
          <w:sz w:val="30"/>
          <w:szCs w:val="30"/>
        </w:rPr>
      </w:pPr>
    </w:p>
    <w:p>
      <w:pPr>
        <w:pStyle w:val="20"/>
        <w:ind w:firstLine="600"/>
        <w:rPr>
          <w:rFonts w:asciiTheme="minorEastAsia" w:hAnsiTheme="minorEastAsia" w:eastAsiaTheme="minorEastAsia" w:cstheme="minorEastAsia"/>
          <w:color w:val="auto"/>
          <w:sz w:val="30"/>
          <w:szCs w:val="30"/>
        </w:rPr>
      </w:pPr>
    </w:p>
    <w:p>
      <w:pPr>
        <w:pStyle w:val="20"/>
        <w:ind w:firstLine="600"/>
        <w:rPr>
          <w:rFonts w:asciiTheme="minorEastAsia" w:hAnsiTheme="minorEastAsia" w:eastAsiaTheme="minorEastAsia" w:cstheme="minorEastAsia"/>
          <w:color w:val="auto"/>
          <w:sz w:val="30"/>
          <w:szCs w:val="30"/>
        </w:rPr>
      </w:pPr>
    </w:p>
    <w:p>
      <w:pPr>
        <w:pStyle w:val="20"/>
        <w:ind w:firstLine="600"/>
        <w:rPr>
          <w:rFonts w:asciiTheme="minorEastAsia" w:hAnsiTheme="minorEastAsia" w:eastAsiaTheme="minorEastAsia" w:cstheme="minorEastAsia"/>
          <w:color w:val="auto"/>
          <w:sz w:val="30"/>
          <w:szCs w:val="30"/>
        </w:rPr>
      </w:pPr>
    </w:p>
    <w:p>
      <w:pPr>
        <w:pStyle w:val="20"/>
        <w:ind w:firstLine="600"/>
        <w:rPr>
          <w:rFonts w:asciiTheme="minorEastAsia" w:hAnsiTheme="minorEastAsia" w:eastAsiaTheme="minorEastAsia" w:cstheme="minorEastAsia"/>
          <w:color w:val="auto"/>
          <w:sz w:val="30"/>
          <w:szCs w:val="30"/>
        </w:rPr>
      </w:pPr>
    </w:p>
    <w:p>
      <w:pPr>
        <w:adjustRightInd w:val="0"/>
        <w:snapToGrid w:val="0"/>
        <w:spacing w:line="360" w:lineRule="auto"/>
        <w:ind w:firstLine="840" w:firstLineChars="300"/>
        <w:rPr>
          <w:rFonts w:ascii="黑体" w:eastAsia="黑体"/>
          <w:color w:val="auto"/>
          <w:sz w:val="28"/>
          <w:szCs w:val="28"/>
        </w:rPr>
      </w:pPr>
      <w:r>
        <w:rPr>
          <w:rFonts w:hint="eastAsia" w:ascii="黑体" w:eastAsia="黑体"/>
          <w:color w:val="auto"/>
          <w:sz w:val="28"/>
          <w:szCs w:val="28"/>
        </w:rPr>
        <w:t>参加政府采购活动前三年内在经营活动中没有重大</w:t>
      </w:r>
    </w:p>
    <w:p>
      <w:pPr>
        <w:adjustRightInd w:val="0"/>
        <w:snapToGrid w:val="0"/>
        <w:spacing w:line="360" w:lineRule="auto"/>
        <w:ind w:firstLine="2800" w:firstLineChars="1000"/>
        <w:rPr>
          <w:rFonts w:ascii="黑体" w:eastAsia="黑体"/>
          <w:color w:val="auto"/>
          <w:sz w:val="28"/>
          <w:szCs w:val="28"/>
        </w:rPr>
      </w:pPr>
      <w:r>
        <w:rPr>
          <w:rFonts w:hint="eastAsia" w:ascii="黑体" w:eastAsia="黑体"/>
          <w:color w:val="auto"/>
          <w:sz w:val="28"/>
          <w:szCs w:val="28"/>
        </w:rPr>
        <w:t>违法记录的书面声明</w:t>
      </w:r>
    </w:p>
    <w:p>
      <w:pPr>
        <w:adjustRightInd w:val="0"/>
        <w:snapToGrid w:val="0"/>
        <w:spacing w:beforeLines="50" w:line="360" w:lineRule="auto"/>
        <w:ind w:left="-88" w:leftChars="-42"/>
        <w:outlineLvl w:val="0"/>
        <w:rPr>
          <w:rFonts w:ascii="宋体" w:hAnsi="宋体" w:cs="宋体"/>
          <w:color w:val="auto"/>
          <w:szCs w:val="21"/>
        </w:rPr>
      </w:pPr>
      <w:r>
        <w:rPr>
          <w:rFonts w:hint="eastAsia" w:ascii="宋体" w:hAnsi="宋体" w:cs="宋体"/>
          <w:color w:val="auto"/>
          <w:szCs w:val="21"/>
        </w:rPr>
        <w:t>致(采购代理机构)：</w:t>
      </w:r>
    </w:p>
    <w:p>
      <w:pPr>
        <w:adjustRightInd w:val="0"/>
        <w:snapToGrid w:val="0"/>
        <w:spacing w:beforeLines="50" w:line="360" w:lineRule="auto"/>
        <w:ind w:left="-88" w:leftChars="-42" w:firstLine="420" w:firstLineChars="200"/>
        <w:outlineLvl w:val="0"/>
        <w:rPr>
          <w:rFonts w:ascii="宋体" w:hAnsi="宋体" w:cs="宋体"/>
          <w:color w:val="auto"/>
          <w:szCs w:val="21"/>
        </w:rPr>
      </w:pPr>
    </w:p>
    <w:p>
      <w:pPr>
        <w:adjustRightInd w:val="0"/>
        <w:snapToGrid w:val="0"/>
        <w:spacing w:beforeLines="50" w:line="360" w:lineRule="auto"/>
        <w:ind w:left="-88" w:leftChars="-42" w:firstLine="420" w:firstLineChars="200"/>
        <w:outlineLvl w:val="0"/>
        <w:rPr>
          <w:rFonts w:ascii="宋体" w:hAnsi="宋体" w:cs="宋体"/>
          <w:color w:val="auto"/>
          <w:szCs w:val="21"/>
        </w:rPr>
      </w:pPr>
      <w:r>
        <w:rPr>
          <w:rFonts w:hint="eastAsia" w:ascii="宋体" w:hAnsi="宋体" w:cs="宋体"/>
          <w:bCs/>
          <w:color w:val="auto"/>
          <w:szCs w:val="21"/>
        </w:rPr>
        <w:t>我单位在</w:t>
      </w:r>
      <w:r>
        <w:rPr>
          <w:rFonts w:hint="eastAsia" w:ascii="宋体" w:hAnsi="宋体" w:cs="宋体"/>
          <w:color w:val="auto"/>
          <w:szCs w:val="21"/>
        </w:rPr>
        <w:t>参加采购活动前三年内在经营活动中没有政府采购法第二十二条第一款第（五）项和实施条例第十九条所称重大违法记录，包括：</w:t>
      </w:r>
    </w:p>
    <w:p>
      <w:pPr>
        <w:widowControl/>
        <w:adjustRightInd w:val="0"/>
        <w:snapToGrid w:val="0"/>
        <w:spacing w:beforeLines="50" w:line="360" w:lineRule="auto"/>
        <w:ind w:firstLine="420" w:firstLineChars="200"/>
        <w:rPr>
          <w:rFonts w:ascii="宋体" w:hAnsi="宋体" w:cs="宋体"/>
          <w:color w:val="auto"/>
          <w:szCs w:val="21"/>
        </w:rPr>
      </w:pPr>
      <w:r>
        <w:rPr>
          <w:rFonts w:hint="eastAsia" w:ascii="宋体" w:hAnsi="宋体" w:cs="宋体"/>
          <w:color w:val="auto"/>
          <w:szCs w:val="21"/>
        </w:rPr>
        <w:t>1、因违法经营受到刑事处罚或者责令停产停业、吊销许可证或者执照、较大数额罚款等行政处罚。</w:t>
      </w:r>
    </w:p>
    <w:p>
      <w:pPr>
        <w:widowControl/>
        <w:adjustRightInd w:val="0"/>
        <w:snapToGrid w:val="0"/>
        <w:spacing w:beforeLines="50" w:line="360" w:lineRule="auto"/>
        <w:ind w:firstLine="420" w:firstLineChars="200"/>
        <w:rPr>
          <w:rFonts w:ascii="宋体" w:hAnsi="宋体" w:cs="宋体"/>
          <w:color w:val="auto"/>
          <w:szCs w:val="21"/>
        </w:rPr>
      </w:pPr>
      <w:r>
        <w:rPr>
          <w:rFonts w:hint="eastAsia" w:ascii="宋体" w:hAnsi="宋体" w:cs="宋体"/>
          <w:color w:val="auto"/>
          <w:szCs w:val="21"/>
        </w:rPr>
        <w:t>2、在参加本项目政府采购活动前3年内因违法经营被禁止在一定期限内参加政府采购活动。</w:t>
      </w:r>
    </w:p>
    <w:p>
      <w:pPr>
        <w:widowControl/>
        <w:adjustRightInd w:val="0"/>
        <w:snapToGrid w:val="0"/>
        <w:spacing w:beforeLines="50" w:line="360" w:lineRule="auto"/>
        <w:ind w:firstLine="420" w:firstLineChars="200"/>
        <w:rPr>
          <w:rFonts w:ascii="宋体" w:hAnsi="宋体" w:cs="宋体"/>
          <w:color w:val="auto"/>
          <w:szCs w:val="21"/>
        </w:rPr>
      </w:pPr>
      <w:r>
        <w:rPr>
          <w:rFonts w:hint="eastAsia" w:ascii="宋体" w:hAnsi="宋体" w:cs="宋体"/>
          <w:color w:val="auto"/>
          <w:szCs w:val="21"/>
        </w:rPr>
        <w:t>特此声明！</w:t>
      </w:r>
    </w:p>
    <w:p>
      <w:pPr>
        <w:widowControl/>
        <w:adjustRightInd w:val="0"/>
        <w:snapToGrid w:val="0"/>
        <w:spacing w:beforeLines="50" w:line="360" w:lineRule="auto"/>
        <w:ind w:firstLine="420"/>
        <w:rPr>
          <w:rFonts w:ascii="宋体" w:hAnsi="宋体" w:cs="宋体"/>
          <w:color w:val="auto"/>
          <w:szCs w:val="21"/>
        </w:rPr>
      </w:pPr>
    </w:p>
    <w:p>
      <w:pPr>
        <w:widowControl/>
        <w:adjustRightInd w:val="0"/>
        <w:snapToGrid w:val="0"/>
        <w:spacing w:beforeLines="50" w:line="360" w:lineRule="auto"/>
        <w:ind w:firstLine="420"/>
        <w:rPr>
          <w:rFonts w:ascii="宋体" w:hAnsi="宋体" w:cs="宋体"/>
          <w:color w:val="auto"/>
          <w:szCs w:val="21"/>
        </w:rPr>
      </w:pPr>
    </w:p>
    <w:p>
      <w:pPr>
        <w:adjustRightInd w:val="0"/>
        <w:snapToGrid w:val="0"/>
        <w:spacing w:beforeLines="50" w:line="360" w:lineRule="auto"/>
        <w:rPr>
          <w:rFonts w:ascii="宋体" w:hAnsi="宋体" w:cs="宋体"/>
          <w:color w:val="auto"/>
          <w:szCs w:val="21"/>
        </w:rPr>
      </w:pPr>
      <w:r>
        <w:rPr>
          <w:rFonts w:hint="eastAsia" w:ascii="宋体" w:hAnsi="宋体" w:cs="宋体"/>
          <w:color w:val="auto"/>
          <w:szCs w:val="21"/>
        </w:rPr>
        <w:t xml:space="preserve">投标人名称（单位章）： </w:t>
      </w:r>
    </w:p>
    <w:p>
      <w:pPr>
        <w:adjustRightInd w:val="0"/>
        <w:snapToGrid w:val="0"/>
        <w:spacing w:beforeLines="50" w:line="360" w:lineRule="auto"/>
        <w:rPr>
          <w:rFonts w:ascii="宋体" w:hAnsi="宋体" w:cs="宋体"/>
          <w:color w:val="auto"/>
          <w:szCs w:val="21"/>
        </w:rPr>
      </w:pPr>
      <w:r>
        <w:rPr>
          <w:rFonts w:hint="eastAsia" w:ascii="宋体" w:hAnsi="宋体" w:cs="宋体"/>
          <w:color w:val="auto"/>
          <w:szCs w:val="21"/>
        </w:rPr>
        <w:t>法定代表人（签字或盖章）：</w:t>
      </w:r>
    </w:p>
    <w:p>
      <w:pPr>
        <w:widowControl/>
        <w:adjustRightInd w:val="0"/>
        <w:snapToGrid w:val="0"/>
        <w:spacing w:beforeLines="50" w:line="360" w:lineRule="auto"/>
        <w:rPr>
          <w:rFonts w:ascii="宋体" w:hAnsi="宋体" w:cs="宋体"/>
          <w:color w:val="auto"/>
          <w:szCs w:val="21"/>
        </w:rPr>
      </w:pPr>
      <w:r>
        <w:rPr>
          <w:rFonts w:hint="eastAsia" w:ascii="宋体" w:hAnsi="宋体" w:cs="宋体"/>
          <w:color w:val="auto"/>
          <w:szCs w:val="21"/>
        </w:rPr>
        <w:t>日期： 年月日</w:t>
      </w:r>
    </w:p>
    <w:p>
      <w:pPr>
        <w:spacing w:line="480" w:lineRule="exact"/>
        <w:rPr>
          <w:rFonts w:asciiTheme="minorEastAsia" w:hAnsiTheme="minorEastAsia" w:eastAsiaTheme="minorEastAsia" w:cstheme="minorEastAsia"/>
          <w:color w:val="auto"/>
          <w:sz w:val="30"/>
          <w:szCs w:val="30"/>
        </w:rPr>
      </w:pPr>
    </w:p>
    <w:p>
      <w:pPr>
        <w:pStyle w:val="4"/>
        <w:rPr>
          <w:rFonts w:asciiTheme="minorEastAsia" w:hAnsiTheme="minorEastAsia" w:eastAsiaTheme="minorEastAsia" w:cstheme="minorEastAsia"/>
          <w:color w:val="auto"/>
          <w:sz w:val="30"/>
          <w:szCs w:val="30"/>
        </w:rPr>
      </w:pPr>
    </w:p>
    <w:p>
      <w:pPr>
        <w:rPr>
          <w:rFonts w:asciiTheme="minorEastAsia" w:hAnsiTheme="minorEastAsia" w:eastAsiaTheme="minorEastAsia" w:cstheme="minorEastAsia"/>
          <w:color w:val="auto"/>
          <w:sz w:val="30"/>
          <w:szCs w:val="30"/>
        </w:rPr>
      </w:pPr>
    </w:p>
    <w:p>
      <w:pPr>
        <w:pStyle w:val="4"/>
        <w:rPr>
          <w:rFonts w:asciiTheme="minorEastAsia" w:hAnsiTheme="minorEastAsia" w:eastAsiaTheme="minorEastAsia" w:cstheme="minorEastAsia"/>
          <w:color w:val="auto"/>
          <w:sz w:val="30"/>
          <w:szCs w:val="30"/>
        </w:rPr>
      </w:pPr>
    </w:p>
    <w:p>
      <w:pPr>
        <w:rPr>
          <w:rFonts w:asciiTheme="minorEastAsia" w:hAnsiTheme="minorEastAsia" w:eastAsiaTheme="minorEastAsia" w:cstheme="minorEastAsia"/>
          <w:color w:val="auto"/>
          <w:sz w:val="30"/>
          <w:szCs w:val="30"/>
        </w:rPr>
      </w:pPr>
    </w:p>
    <w:p>
      <w:pPr>
        <w:pStyle w:val="4"/>
        <w:rPr>
          <w:rFonts w:asciiTheme="minorEastAsia" w:hAnsiTheme="minorEastAsia" w:eastAsiaTheme="minorEastAsia" w:cstheme="minorEastAsia"/>
          <w:color w:val="auto"/>
          <w:sz w:val="30"/>
          <w:szCs w:val="30"/>
        </w:rPr>
      </w:pPr>
    </w:p>
    <w:p>
      <w:pPr>
        <w:rPr>
          <w:rFonts w:asciiTheme="minorEastAsia" w:hAnsiTheme="minorEastAsia" w:eastAsiaTheme="minorEastAsia" w:cstheme="minorEastAsia"/>
          <w:color w:val="auto"/>
          <w:sz w:val="30"/>
          <w:szCs w:val="30"/>
        </w:rPr>
      </w:pPr>
    </w:p>
    <w:p>
      <w:pPr>
        <w:pStyle w:val="4"/>
        <w:rPr>
          <w:rFonts w:asciiTheme="minorEastAsia" w:hAnsiTheme="minorEastAsia" w:eastAsiaTheme="minorEastAsia" w:cstheme="minorEastAsia"/>
          <w:color w:val="auto"/>
          <w:sz w:val="30"/>
          <w:szCs w:val="30"/>
        </w:rPr>
      </w:pPr>
    </w:p>
    <w:p>
      <w:pPr>
        <w:rPr>
          <w:rFonts w:asciiTheme="minorEastAsia" w:hAnsiTheme="minorEastAsia" w:eastAsiaTheme="minorEastAsia" w:cstheme="minorEastAsia"/>
          <w:color w:val="auto"/>
          <w:sz w:val="30"/>
          <w:szCs w:val="30"/>
        </w:rPr>
      </w:pPr>
    </w:p>
    <w:p>
      <w:pPr>
        <w:pStyle w:val="4"/>
        <w:rPr>
          <w:rFonts w:asciiTheme="minorEastAsia" w:hAnsiTheme="minorEastAsia" w:eastAsiaTheme="minorEastAsia" w:cstheme="minorEastAsia"/>
          <w:color w:val="auto"/>
          <w:sz w:val="30"/>
          <w:szCs w:val="30"/>
        </w:rPr>
      </w:pPr>
    </w:p>
    <w:p>
      <w:pPr>
        <w:rPr>
          <w:rFonts w:asciiTheme="minorEastAsia" w:hAnsiTheme="minorEastAsia" w:eastAsiaTheme="minorEastAsia" w:cstheme="minorEastAsia"/>
          <w:color w:val="auto"/>
          <w:sz w:val="30"/>
          <w:szCs w:val="30"/>
        </w:rPr>
      </w:pPr>
    </w:p>
    <w:p>
      <w:pPr>
        <w:pStyle w:val="4"/>
        <w:rPr>
          <w:rFonts w:asciiTheme="minorEastAsia" w:hAnsiTheme="minorEastAsia" w:eastAsiaTheme="minorEastAsia" w:cstheme="minorEastAsia"/>
          <w:color w:val="auto"/>
          <w:sz w:val="30"/>
          <w:szCs w:val="30"/>
        </w:rPr>
      </w:pPr>
    </w:p>
    <w:p>
      <w:pPr>
        <w:rPr>
          <w:rFonts w:asciiTheme="minorEastAsia" w:hAnsiTheme="minorEastAsia" w:eastAsiaTheme="minorEastAsia" w:cstheme="minorEastAsia"/>
          <w:color w:val="auto"/>
          <w:sz w:val="30"/>
          <w:szCs w:val="30"/>
        </w:rPr>
      </w:pPr>
    </w:p>
    <w:p>
      <w:pPr>
        <w:pStyle w:val="4"/>
        <w:rPr>
          <w:rFonts w:asciiTheme="minorEastAsia" w:hAnsiTheme="minorEastAsia" w:eastAsiaTheme="minorEastAsia" w:cstheme="minorEastAsia"/>
          <w:color w:val="auto"/>
          <w:sz w:val="30"/>
          <w:szCs w:val="30"/>
        </w:rPr>
      </w:pPr>
    </w:p>
    <w:p>
      <w:pPr>
        <w:rPr>
          <w:rFonts w:asciiTheme="minorEastAsia" w:hAnsiTheme="minorEastAsia" w:eastAsiaTheme="minorEastAsia" w:cstheme="minorEastAsia"/>
          <w:color w:val="auto"/>
          <w:sz w:val="30"/>
          <w:szCs w:val="30"/>
        </w:rPr>
      </w:pPr>
    </w:p>
    <w:p>
      <w:pPr>
        <w:pStyle w:val="4"/>
        <w:rPr>
          <w:color w:val="auto"/>
        </w:rPr>
      </w:pPr>
    </w:p>
    <w:p>
      <w:pPr>
        <w:spacing w:line="480" w:lineRule="exact"/>
        <w:outlineLvl w:val="0"/>
        <w:rPr>
          <w:rFonts w:asciiTheme="minorEastAsia" w:hAnsiTheme="minorEastAsia" w:eastAsiaTheme="minorEastAsia" w:cstheme="minorEastAsia"/>
          <w:b/>
          <w:bCs/>
          <w:color w:val="auto"/>
          <w:sz w:val="30"/>
          <w:szCs w:val="30"/>
        </w:rPr>
      </w:pPr>
      <w:bookmarkStart w:id="82" w:name="_Toc506_WPSOffice_Level1"/>
      <w:bookmarkStart w:id="83" w:name="_Toc24698"/>
      <w:r>
        <w:rPr>
          <w:rFonts w:hint="eastAsia" w:asciiTheme="minorEastAsia" w:hAnsiTheme="minorEastAsia" w:eastAsiaTheme="minorEastAsia" w:cstheme="minorEastAsia"/>
          <w:b/>
          <w:bCs/>
          <w:color w:val="auto"/>
          <w:sz w:val="30"/>
          <w:szCs w:val="30"/>
        </w:rPr>
        <w:t>附件5  磋商文件规定的特定资格条件证明资料</w:t>
      </w:r>
      <w:bookmarkEnd w:id="82"/>
      <w:bookmarkEnd w:id="83"/>
    </w:p>
    <w:p>
      <w:pPr>
        <w:spacing w:line="480" w:lineRule="exact"/>
        <w:rPr>
          <w:rFonts w:asciiTheme="minorEastAsia" w:hAnsiTheme="minorEastAsia" w:eastAsiaTheme="minorEastAsia" w:cstheme="minorEastAsia"/>
          <w:color w:val="auto"/>
          <w:sz w:val="24"/>
        </w:rPr>
      </w:pPr>
    </w:p>
    <w:p>
      <w:pPr>
        <w:spacing w:line="48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1、供应商特定资格条件：</w:t>
      </w:r>
    </w:p>
    <w:p>
      <w:pPr>
        <w:spacing w:line="480" w:lineRule="exac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（1）投标人具备</w:t>
      </w:r>
      <w:r>
        <w:rPr>
          <w:rFonts w:hint="eastAsia" w:asciiTheme="minorEastAsia" w:hAnsiTheme="minorEastAsia" w:eastAsiaTheme="minorEastAsia" w:cstheme="minorEastAsia"/>
          <w:color w:val="auto"/>
          <w:sz w:val="24"/>
          <w:lang w:eastAsia="zh-CN"/>
        </w:rPr>
        <w:t>市政公用工程</w:t>
      </w:r>
      <w:r>
        <w:rPr>
          <w:rFonts w:hint="eastAsia" w:asciiTheme="minorEastAsia" w:hAnsiTheme="minorEastAsia" w:eastAsiaTheme="minorEastAsia" w:cstheme="minorEastAsia"/>
          <w:color w:val="auto"/>
          <w:sz w:val="24"/>
        </w:rPr>
        <w:t>施工总承包叁级及以上资质；具有有效的安全生产许可证；</w:t>
      </w:r>
    </w:p>
    <w:p>
      <w:pPr>
        <w:spacing w:line="480" w:lineRule="exac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en-US" w:eastAsia="zh-CN"/>
        </w:rPr>
        <w:t>2</w:t>
      </w:r>
      <w:r>
        <w:rPr>
          <w:rFonts w:hint="eastAsia" w:asciiTheme="minorEastAsia" w:hAnsiTheme="minorEastAsia" w:eastAsiaTheme="minorEastAsia" w:cstheme="minorEastAsia"/>
          <w:color w:val="auto"/>
          <w:sz w:val="24"/>
        </w:rPr>
        <w:t>）拟派本项目的项目经理需具有</w:t>
      </w:r>
      <w:r>
        <w:rPr>
          <w:rFonts w:hint="eastAsia" w:asciiTheme="minorEastAsia" w:hAnsiTheme="minorEastAsia" w:eastAsiaTheme="minorEastAsia" w:cstheme="minorEastAsia"/>
          <w:color w:val="auto"/>
          <w:sz w:val="24"/>
          <w:lang w:val="en-US" w:eastAsia="zh-CN"/>
        </w:rPr>
        <w:t>市政公用工程专业</w:t>
      </w:r>
      <w:r>
        <w:rPr>
          <w:rFonts w:hint="eastAsia" w:asciiTheme="minorEastAsia" w:hAnsiTheme="minorEastAsia" w:eastAsiaTheme="minorEastAsia" w:cstheme="minorEastAsia"/>
          <w:color w:val="auto"/>
          <w:sz w:val="24"/>
        </w:rPr>
        <w:t>二级及以上注册建造师</w:t>
      </w:r>
      <w:r>
        <w:rPr>
          <w:rFonts w:hint="eastAsia" w:asciiTheme="minorEastAsia" w:hAnsiTheme="minorEastAsia" w:eastAsiaTheme="minorEastAsia" w:cstheme="minorEastAsia"/>
          <w:color w:val="auto"/>
          <w:sz w:val="24"/>
          <w:lang w:val="en-US" w:eastAsia="zh-CN"/>
        </w:rPr>
        <w:t>执业资格</w:t>
      </w:r>
      <w:r>
        <w:rPr>
          <w:rFonts w:hint="eastAsia" w:asciiTheme="minorEastAsia" w:hAnsiTheme="minorEastAsia" w:eastAsiaTheme="minorEastAsia" w:cstheme="minorEastAsia"/>
          <w:color w:val="auto"/>
          <w:sz w:val="24"/>
        </w:rPr>
        <w:t>证书</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具有</w:t>
      </w:r>
      <w:r>
        <w:rPr>
          <w:rFonts w:hint="eastAsia" w:asciiTheme="minorEastAsia" w:hAnsiTheme="minorEastAsia" w:eastAsiaTheme="minorEastAsia" w:cstheme="minorEastAsia"/>
          <w:color w:val="auto"/>
          <w:sz w:val="24"/>
        </w:rPr>
        <w:t>安全生产考核合格证书（B 证），</w:t>
      </w:r>
      <w:r>
        <w:rPr>
          <w:rFonts w:hint="eastAsia" w:asciiTheme="minorEastAsia" w:hAnsiTheme="minorEastAsia" w:eastAsiaTheme="minorEastAsia" w:cstheme="minorEastAsia"/>
          <w:color w:val="auto"/>
          <w:sz w:val="24"/>
          <w:lang w:val="en-US" w:eastAsia="zh-CN"/>
        </w:rPr>
        <w:t>且</w:t>
      </w:r>
      <w:r>
        <w:rPr>
          <w:rFonts w:hint="eastAsia" w:asciiTheme="minorEastAsia" w:hAnsiTheme="minorEastAsia" w:eastAsiaTheme="minorEastAsia" w:cstheme="minorEastAsia"/>
          <w:color w:val="auto"/>
          <w:sz w:val="24"/>
        </w:rPr>
        <w:t>无在建项目（同一施工项目负责人不能同时在两个及以上的工程项目上担任施工项目负责人；无在建项目指至本项目投标截止期，无在建未完工项目或已中标（以网上发布中标侯选人公示为准）未开工项目，以及符合《注册建造师执业管理办法（试行）》第九条规定的其他情形）。</w:t>
      </w:r>
    </w:p>
    <w:p>
      <w:pPr>
        <w:spacing w:line="480" w:lineRule="exac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注：</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1）</w:t>
      </w:r>
      <w:r>
        <w:rPr>
          <w:rFonts w:hint="eastAsia" w:asciiTheme="minorEastAsia" w:hAnsiTheme="minorEastAsia" w:eastAsiaTheme="minorEastAsia" w:cstheme="minorEastAsia"/>
          <w:color w:val="auto"/>
          <w:sz w:val="24"/>
        </w:rPr>
        <w:t>根据《湖南省财政厅关于政府采购促进中小企业发展有关措施的通知》，符合法定条件的供应商凭《湖南省政府采购供应商资格承诺函》（格式见竞争性磋商文件）参与政府采购活动，无需提供财务状况、缴纳税收和社会保障资金等资格证明材料。经采购人或监管部门查实，如发现伪造、篡改、提供虚假证明材料等行为，有关行政监督部门将依法给予行政处罚（处理），执行诚信不良行为记录联合惩戒措施，触犯法律的，将依法承担法律责任。</w:t>
      </w:r>
    </w:p>
    <w:p>
      <w:pPr>
        <w:spacing w:line="480" w:lineRule="exact"/>
        <w:ind w:firstLine="240" w:firstLineChars="100"/>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2）被“信用中国（www.creditchina.gov.cn）”“湖南信用网（www.hncredit.gov.cn）”网站列入失信被执行人和重大税收违法案件当事人名单的、被“中国政府采购网（www.ccgp.gov.cn）”“湖南省政府采购网（</w:t>
      </w:r>
      <w:r>
        <w:rPr>
          <w:rFonts w:hint="eastAsia" w:asciiTheme="minorEastAsia" w:hAnsiTheme="minorEastAsia" w:eastAsiaTheme="minorEastAsia" w:cstheme="minorEastAsia"/>
          <w:color w:val="auto"/>
          <w:sz w:val="24"/>
          <w:lang w:val="en-US" w:eastAsia="zh-CN"/>
        </w:rPr>
        <w:fldChar w:fldCharType="begin"/>
      </w:r>
      <w:r>
        <w:rPr>
          <w:rFonts w:hint="eastAsia" w:asciiTheme="minorEastAsia" w:hAnsiTheme="minorEastAsia" w:eastAsiaTheme="minorEastAsia" w:cstheme="minorEastAsia"/>
          <w:color w:val="auto"/>
          <w:sz w:val="24"/>
          <w:lang w:val="en-US" w:eastAsia="zh-CN"/>
        </w:rPr>
        <w:instrText xml:space="preserve"> HYPERLINK "http://www.ccgp-hunan.gov.cn/" </w:instrText>
      </w:r>
      <w:r>
        <w:rPr>
          <w:rFonts w:hint="eastAsia" w:asciiTheme="minorEastAsia" w:hAnsiTheme="minorEastAsia" w:eastAsiaTheme="minorEastAsia" w:cstheme="minorEastAsia"/>
          <w:color w:val="auto"/>
          <w:sz w:val="24"/>
          <w:lang w:val="en-US" w:eastAsia="zh-CN"/>
        </w:rPr>
        <w:fldChar w:fldCharType="separate"/>
      </w:r>
      <w:r>
        <w:rPr>
          <w:rFonts w:hint="eastAsia" w:asciiTheme="minorEastAsia" w:hAnsiTheme="minorEastAsia" w:eastAsiaTheme="minorEastAsia" w:cstheme="minorEastAsia"/>
          <w:color w:val="auto"/>
          <w:sz w:val="24"/>
          <w:lang w:val="en-US" w:eastAsia="zh-CN"/>
        </w:rPr>
        <w:t>www.ccgp-hunan.gov.cn</w:t>
      </w:r>
      <w:r>
        <w:rPr>
          <w:rFonts w:hint="eastAsia" w:asciiTheme="minorEastAsia" w:hAnsiTheme="minorEastAsia" w:eastAsiaTheme="minorEastAsia" w:cstheme="minorEastAsia"/>
          <w:color w:val="auto"/>
          <w:sz w:val="24"/>
          <w:lang w:val="en-US" w:eastAsia="zh-CN"/>
        </w:rPr>
        <w:fldChar w:fldCharType="end"/>
      </w:r>
      <w:r>
        <w:rPr>
          <w:rFonts w:hint="eastAsia" w:asciiTheme="minorEastAsia" w:hAnsiTheme="minorEastAsia" w:eastAsiaTheme="minorEastAsia" w:cstheme="minorEastAsia"/>
          <w:color w:val="auto"/>
          <w:sz w:val="24"/>
          <w:lang w:val="en-US" w:eastAsia="zh-CN"/>
        </w:rPr>
        <w:t>）”网站列入政府采购严重违法失信行为记录名单（处罚期限尚未届满的），不得参与本项目的政府采购活动；提供最近一个月的投标人查询记录网上打印件并加盖单位公章。</w:t>
      </w:r>
    </w:p>
    <w:p>
      <w:pPr>
        <w:spacing w:line="480" w:lineRule="exact"/>
        <w:rPr>
          <w:rFonts w:asciiTheme="minorEastAsia" w:hAnsiTheme="minorEastAsia" w:eastAsiaTheme="minorEastAsia" w:cstheme="minorEastAsia"/>
          <w:color w:val="auto"/>
          <w:sz w:val="30"/>
          <w:szCs w:val="30"/>
        </w:rPr>
      </w:pPr>
    </w:p>
    <w:p>
      <w:pPr>
        <w:pStyle w:val="2"/>
        <w:rPr>
          <w:rFonts w:asciiTheme="minorEastAsia" w:hAnsiTheme="minorEastAsia" w:eastAsiaTheme="minorEastAsia" w:cstheme="minorEastAsia"/>
          <w:color w:val="auto"/>
          <w:sz w:val="30"/>
          <w:szCs w:val="30"/>
        </w:rPr>
      </w:pPr>
    </w:p>
    <w:p>
      <w:pPr>
        <w:pStyle w:val="63"/>
        <w:rPr>
          <w:color w:val="auto"/>
        </w:rPr>
      </w:pPr>
    </w:p>
    <w:p>
      <w:pPr>
        <w:pStyle w:val="63"/>
        <w:rPr>
          <w:color w:val="auto"/>
        </w:rPr>
      </w:pPr>
    </w:p>
    <w:p>
      <w:pPr>
        <w:pStyle w:val="63"/>
        <w:rPr>
          <w:color w:val="auto"/>
        </w:rPr>
      </w:pPr>
    </w:p>
    <w:p>
      <w:pPr>
        <w:pStyle w:val="3"/>
        <w:rPr>
          <w:rFonts w:asciiTheme="minorEastAsia" w:hAnsiTheme="minorEastAsia" w:eastAsiaTheme="minorEastAsia" w:cstheme="minorEastAsia"/>
          <w:color w:val="auto"/>
          <w:sz w:val="30"/>
          <w:szCs w:val="30"/>
        </w:rPr>
      </w:pPr>
    </w:p>
    <w:p>
      <w:pPr>
        <w:rPr>
          <w:color w:val="auto"/>
        </w:rPr>
      </w:pPr>
    </w:p>
    <w:p>
      <w:pPr>
        <w:spacing w:line="480" w:lineRule="exact"/>
        <w:rPr>
          <w:rFonts w:asciiTheme="minorEastAsia" w:hAnsiTheme="minorEastAsia" w:eastAsiaTheme="minorEastAsia" w:cstheme="minorEastAsia"/>
          <w:color w:val="auto"/>
          <w:sz w:val="30"/>
          <w:szCs w:val="30"/>
        </w:rPr>
      </w:pPr>
    </w:p>
    <w:p>
      <w:pPr>
        <w:rPr>
          <w:rFonts w:hint="eastAsia" w:asciiTheme="minorEastAsia" w:hAnsiTheme="minorEastAsia" w:eastAsiaTheme="minorEastAsia" w:cstheme="minorEastAsia"/>
          <w:b/>
          <w:color w:val="auto"/>
          <w:sz w:val="30"/>
          <w:szCs w:val="30"/>
        </w:rPr>
      </w:pPr>
      <w:bookmarkStart w:id="84" w:name="_Toc10631"/>
      <w:bookmarkStart w:id="85" w:name="_Toc32763_WPSOffice_Level1"/>
      <w:r>
        <w:rPr>
          <w:rFonts w:hint="eastAsia" w:asciiTheme="minorEastAsia" w:hAnsiTheme="minorEastAsia" w:eastAsiaTheme="minorEastAsia" w:cstheme="minorEastAsia"/>
          <w:b/>
          <w:color w:val="auto"/>
          <w:sz w:val="30"/>
          <w:szCs w:val="30"/>
        </w:rPr>
        <w:br w:type="page"/>
      </w:r>
    </w:p>
    <w:p>
      <w:pPr>
        <w:adjustRightInd w:val="0"/>
        <w:snapToGrid w:val="0"/>
        <w:spacing w:line="360" w:lineRule="auto"/>
        <w:outlineLvl w:val="0"/>
        <w:rPr>
          <w:rFonts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b/>
          <w:color w:val="auto"/>
          <w:sz w:val="30"/>
          <w:szCs w:val="30"/>
        </w:rPr>
        <w:t>附件6           其他证明资料或说明</w:t>
      </w:r>
      <w:bookmarkEnd w:id="84"/>
      <w:bookmarkEnd w:id="85"/>
    </w:p>
    <w:p>
      <w:pPr>
        <w:adjustRightInd w:val="0"/>
        <w:snapToGrid w:val="0"/>
        <w:spacing w:line="360" w:lineRule="auto"/>
        <w:rPr>
          <w:rFonts w:asciiTheme="minorEastAsia" w:hAnsiTheme="minorEastAsia" w:eastAsiaTheme="minorEastAsia" w:cstheme="minorEastAsia"/>
          <w:color w:val="auto"/>
          <w:szCs w:val="21"/>
        </w:rPr>
      </w:pPr>
    </w:p>
    <w:p>
      <w:pPr>
        <w:adjustRightInd w:val="0"/>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提供磋商文件或评分标准需要提供的相关证明文件复印件</w:t>
      </w:r>
    </w:p>
    <w:p>
      <w:pPr>
        <w:adjustRightInd w:val="0"/>
        <w:snapToGrid w:val="0"/>
        <w:spacing w:line="360" w:lineRule="auto"/>
        <w:jc w:val="center"/>
        <w:rPr>
          <w:rFonts w:asciiTheme="minorEastAsia" w:hAnsiTheme="minorEastAsia" w:eastAsiaTheme="minorEastAsia" w:cstheme="minorEastAsia"/>
          <w:b/>
          <w:color w:val="auto"/>
          <w:sz w:val="32"/>
          <w:szCs w:val="32"/>
        </w:rPr>
      </w:pPr>
    </w:p>
    <w:p>
      <w:pPr>
        <w:adjustRightInd w:val="0"/>
        <w:snapToGrid w:val="0"/>
        <w:spacing w:line="360" w:lineRule="auto"/>
        <w:jc w:val="center"/>
        <w:rPr>
          <w:rFonts w:asciiTheme="minorEastAsia" w:hAnsiTheme="minorEastAsia" w:eastAsiaTheme="minorEastAsia" w:cstheme="minorEastAsia"/>
          <w:b/>
          <w:color w:val="auto"/>
          <w:sz w:val="32"/>
          <w:szCs w:val="32"/>
        </w:rPr>
      </w:pPr>
    </w:p>
    <w:p>
      <w:pPr>
        <w:adjustRightInd w:val="0"/>
        <w:snapToGrid w:val="0"/>
        <w:spacing w:line="360" w:lineRule="auto"/>
        <w:jc w:val="center"/>
        <w:rPr>
          <w:rFonts w:asciiTheme="minorEastAsia" w:hAnsiTheme="minorEastAsia" w:eastAsiaTheme="minorEastAsia" w:cstheme="minorEastAsia"/>
          <w:b/>
          <w:color w:val="auto"/>
          <w:sz w:val="32"/>
          <w:szCs w:val="32"/>
        </w:rPr>
      </w:pPr>
    </w:p>
    <w:p>
      <w:pPr>
        <w:adjustRightInd w:val="0"/>
        <w:snapToGrid w:val="0"/>
        <w:spacing w:line="360" w:lineRule="auto"/>
        <w:jc w:val="center"/>
        <w:rPr>
          <w:rFonts w:asciiTheme="minorEastAsia" w:hAnsiTheme="minorEastAsia" w:eastAsiaTheme="minorEastAsia" w:cstheme="minorEastAsia"/>
          <w:b/>
          <w:color w:val="auto"/>
          <w:sz w:val="32"/>
          <w:szCs w:val="32"/>
        </w:rPr>
      </w:pPr>
    </w:p>
    <w:p>
      <w:pPr>
        <w:adjustRightInd w:val="0"/>
        <w:snapToGrid w:val="0"/>
        <w:spacing w:line="360" w:lineRule="auto"/>
        <w:jc w:val="center"/>
        <w:rPr>
          <w:rFonts w:asciiTheme="minorEastAsia" w:hAnsiTheme="minorEastAsia" w:eastAsiaTheme="minorEastAsia" w:cstheme="minorEastAsia"/>
          <w:b/>
          <w:color w:val="auto"/>
          <w:sz w:val="32"/>
          <w:szCs w:val="32"/>
        </w:rPr>
      </w:pPr>
    </w:p>
    <w:p>
      <w:pPr>
        <w:adjustRightInd w:val="0"/>
        <w:snapToGrid w:val="0"/>
        <w:spacing w:line="360" w:lineRule="auto"/>
        <w:jc w:val="center"/>
        <w:rPr>
          <w:rFonts w:asciiTheme="minorEastAsia" w:hAnsiTheme="minorEastAsia" w:eastAsiaTheme="minorEastAsia" w:cstheme="minorEastAsia"/>
          <w:b/>
          <w:color w:val="auto"/>
          <w:sz w:val="32"/>
          <w:szCs w:val="32"/>
        </w:rPr>
      </w:pPr>
    </w:p>
    <w:p>
      <w:pPr>
        <w:adjustRightInd w:val="0"/>
        <w:snapToGrid w:val="0"/>
        <w:spacing w:line="360" w:lineRule="auto"/>
        <w:jc w:val="center"/>
        <w:rPr>
          <w:rFonts w:asciiTheme="minorEastAsia" w:hAnsiTheme="minorEastAsia" w:eastAsiaTheme="minorEastAsia" w:cstheme="minorEastAsia"/>
          <w:b/>
          <w:color w:val="auto"/>
          <w:sz w:val="32"/>
          <w:szCs w:val="32"/>
        </w:rPr>
      </w:pPr>
    </w:p>
    <w:p>
      <w:pPr>
        <w:adjustRightInd w:val="0"/>
        <w:snapToGrid w:val="0"/>
        <w:spacing w:line="360" w:lineRule="auto"/>
        <w:jc w:val="center"/>
        <w:rPr>
          <w:rFonts w:asciiTheme="minorEastAsia" w:hAnsiTheme="minorEastAsia" w:eastAsiaTheme="minorEastAsia" w:cstheme="minorEastAsia"/>
          <w:b/>
          <w:color w:val="auto"/>
          <w:sz w:val="32"/>
          <w:szCs w:val="32"/>
        </w:rPr>
      </w:pPr>
    </w:p>
    <w:p>
      <w:pPr>
        <w:adjustRightInd w:val="0"/>
        <w:snapToGrid w:val="0"/>
        <w:spacing w:line="360" w:lineRule="auto"/>
        <w:jc w:val="center"/>
        <w:rPr>
          <w:rFonts w:asciiTheme="minorEastAsia" w:hAnsiTheme="minorEastAsia" w:eastAsiaTheme="minorEastAsia" w:cstheme="minorEastAsia"/>
          <w:b/>
          <w:color w:val="auto"/>
          <w:sz w:val="32"/>
          <w:szCs w:val="32"/>
        </w:rPr>
      </w:pPr>
    </w:p>
    <w:p>
      <w:pPr>
        <w:adjustRightInd w:val="0"/>
        <w:snapToGrid w:val="0"/>
        <w:spacing w:line="360" w:lineRule="auto"/>
        <w:jc w:val="center"/>
        <w:rPr>
          <w:rFonts w:asciiTheme="minorEastAsia" w:hAnsiTheme="minorEastAsia" w:eastAsiaTheme="minorEastAsia" w:cstheme="minorEastAsia"/>
          <w:b/>
          <w:color w:val="auto"/>
          <w:sz w:val="32"/>
          <w:szCs w:val="32"/>
        </w:rPr>
      </w:pPr>
    </w:p>
    <w:p>
      <w:pPr>
        <w:adjustRightInd w:val="0"/>
        <w:snapToGrid w:val="0"/>
        <w:spacing w:line="360" w:lineRule="auto"/>
        <w:jc w:val="center"/>
        <w:rPr>
          <w:rFonts w:asciiTheme="minorEastAsia" w:hAnsiTheme="minorEastAsia" w:eastAsiaTheme="minorEastAsia" w:cstheme="minorEastAsia"/>
          <w:b/>
          <w:color w:val="auto"/>
          <w:sz w:val="32"/>
          <w:szCs w:val="32"/>
        </w:rPr>
      </w:pPr>
    </w:p>
    <w:p>
      <w:pPr>
        <w:adjustRightInd w:val="0"/>
        <w:snapToGrid w:val="0"/>
        <w:spacing w:line="360" w:lineRule="auto"/>
        <w:jc w:val="center"/>
        <w:rPr>
          <w:rFonts w:asciiTheme="minorEastAsia" w:hAnsiTheme="minorEastAsia" w:eastAsiaTheme="minorEastAsia" w:cstheme="minorEastAsia"/>
          <w:b/>
          <w:color w:val="auto"/>
          <w:sz w:val="32"/>
          <w:szCs w:val="32"/>
        </w:rPr>
      </w:pPr>
    </w:p>
    <w:p>
      <w:pPr>
        <w:adjustRightInd w:val="0"/>
        <w:snapToGrid w:val="0"/>
        <w:spacing w:line="360" w:lineRule="auto"/>
        <w:jc w:val="center"/>
        <w:rPr>
          <w:rFonts w:asciiTheme="minorEastAsia" w:hAnsiTheme="minorEastAsia" w:eastAsiaTheme="minorEastAsia" w:cstheme="minorEastAsia"/>
          <w:b/>
          <w:color w:val="auto"/>
          <w:sz w:val="32"/>
          <w:szCs w:val="32"/>
        </w:rPr>
      </w:pPr>
    </w:p>
    <w:p>
      <w:pPr>
        <w:adjustRightInd w:val="0"/>
        <w:snapToGrid w:val="0"/>
        <w:spacing w:line="360" w:lineRule="auto"/>
        <w:jc w:val="center"/>
        <w:rPr>
          <w:rFonts w:asciiTheme="minorEastAsia" w:hAnsiTheme="minorEastAsia" w:eastAsiaTheme="minorEastAsia" w:cstheme="minorEastAsia"/>
          <w:b/>
          <w:color w:val="auto"/>
          <w:sz w:val="32"/>
          <w:szCs w:val="32"/>
        </w:rPr>
      </w:pPr>
    </w:p>
    <w:p>
      <w:pPr>
        <w:adjustRightInd w:val="0"/>
        <w:snapToGrid w:val="0"/>
        <w:spacing w:line="360" w:lineRule="auto"/>
        <w:jc w:val="center"/>
        <w:rPr>
          <w:rFonts w:asciiTheme="minorEastAsia" w:hAnsiTheme="minorEastAsia" w:eastAsiaTheme="minorEastAsia" w:cstheme="minorEastAsia"/>
          <w:b/>
          <w:color w:val="auto"/>
          <w:sz w:val="32"/>
          <w:szCs w:val="32"/>
        </w:rPr>
      </w:pPr>
    </w:p>
    <w:p>
      <w:pPr>
        <w:adjustRightInd w:val="0"/>
        <w:snapToGrid w:val="0"/>
        <w:spacing w:line="360" w:lineRule="auto"/>
        <w:jc w:val="center"/>
        <w:rPr>
          <w:rFonts w:asciiTheme="minorEastAsia" w:hAnsiTheme="minorEastAsia" w:eastAsiaTheme="minorEastAsia" w:cstheme="minorEastAsia"/>
          <w:b/>
          <w:color w:val="auto"/>
          <w:sz w:val="32"/>
          <w:szCs w:val="32"/>
        </w:rPr>
      </w:pPr>
    </w:p>
    <w:p>
      <w:pPr>
        <w:adjustRightInd w:val="0"/>
        <w:snapToGrid w:val="0"/>
        <w:spacing w:line="360" w:lineRule="auto"/>
        <w:jc w:val="center"/>
        <w:rPr>
          <w:rFonts w:asciiTheme="minorEastAsia" w:hAnsiTheme="minorEastAsia" w:eastAsiaTheme="minorEastAsia" w:cstheme="minorEastAsia"/>
          <w:b/>
          <w:color w:val="auto"/>
          <w:sz w:val="32"/>
          <w:szCs w:val="32"/>
        </w:rPr>
      </w:pPr>
    </w:p>
    <w:p>
      <w:pPr>
        <w:adjustRightInd w:val="0"/>
        <w:snapToGrid w:val="0"/>
        <w:spacing w:line="360" w:lineRule="auto"/>
        <w:jc w:val="center"/>
        <w:rPr>
          <w:rFonts w:asciiTheme="minorEastAsia" w:hAnsiTheme="minorEastAsia" w:eastAsiaTheme="minorEastAsia" w:cstheme="minorEastAsia"/>
          <w:b/>
          <w:color w:val="auto"/>
          <w:sz w:val="32"/>
          <w:szCs w:val="32"/>
        </w:rPr>
      </w:pPr>
    </w:p>
    <w:p>
      <w:pPr>
        <w:adjustRightInd w:val="0"/>
        <w:snapToGrid w:val="0"/>
        <w:spacing w:line="360" w:lineRule="auto"/>
        <w:jc w:val="center"/>
        <w:rPr>
          <w:rFonts w:asciiTheme="minorEastAsia" w:hAnsiTheme="minorEastAsia" w:eastAsiaTheme="minorEastAsia" w:cstheme="minorEastAsia"/>
          <w:b/>
          <w:color w:val="auto"/>
          <w:sz w:val="32"/>
          <w:szCs w:val="32"/>
        </w:rPr>
      </w:pPr>
    </w:p>
    <w:p>
      <w:pPr>
        <w:adjustRightInd w:val="0"/>
        <w:snapToGrid w:val="0"/>
        <w:spacing w:line="360" w:lineRule="auto"/>
        <w:rPr>
          <w:rFonts w:asciiTheme="minorEastAsia" w:hAnsiTheme="minorEastAsia" w:eastAsiaTheme="minorEastAsia" w:cstheme="minorEastAsia"/>
          <w:b/>
          <w:color w:val="auto"/>
          <w:sz w:val="32"/>
          <w:szCs w:val="32"/>
        </w:rPr>
      </w:pPr>
    </w:p>
    <w:p>
      <w:pPr>
        <w:spacing w:line="360" w:lineRule="exact"/>
        <w:jc w:val="center"/>
        <w:rPr>
          <w:rFonts w:asciiTheme="minorEastAsia" w:hAnsiTheme="minorEastAsia" w:eastAsiaTheme="minorEastAsia" w:cstheme="minorEastAsia"/>
          <w:b/>
          <w:color w:val="auto"/>
          <w:sz w:val="32"/>
          <w:szCs w:val="32"/>
        </w:rPr>
        <w:sectPr>
          <w:pgSz w:w="11906" w:h="16838"/>
          <w:pgMar w:top="1474" w:right="1474" w:bottom="250" w:left="1588" w:header="851" w:footer="992" w:gutter="0"/>
          <w:cols w:space="720" w:num="1"/>
          <w:docGrid w:linePitch="312" w:charSpace="0"/>
        </w:sectPr>
      </w:pPr>
    </w:p>
    <w:p>
      <w:pPr>
        <w:adjustRightInd w:val="0"/>
        <w:snapToGrid w:val="0"/>
        <w:spacing w:line="360" w:lineRule="auto"/>
        <w:jc w:val="center"/>
        <w:rPr>
          <w:rFonts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四、施工实施方案</w:t>
      </w:r>
    </w:p>
    <w:p>
      <w:pPr>
        <w:spacing w:line="360" w:lineRule="auto"/>
        <w:ind w:firstLine="315" w:firstLineChars="1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Cs w:val="21"/>
        </w:rPr>
        <w:t>1、施工实施方案包括</w:t>
      </w:r>
      <w:r>
        <w:rPr>
          <w:rFonts w:hint="eastAsia" w:asciiTheme="minorEastAsia" w:hAnsiTheme="minorEastAsia" w:eastAsiaTheme="minorEastAsia" w:cstheme="minorEastAsia"/>
          <w:color w:val="auto"/>
          <w:szCs w:val="21"/>
          <w:lang w:eastAsia="zh-CN"/>
        </w:rPr>
        <w:t>但不限于</w:t>
      </w:r>
      <w:r>
        <w:rPr>
          <w:rFonts w:hint="eastAsia" w:asciiTheme="minorEastAsia" w:hAnsiTheme="minorEastAsia" w:eastAsiaTheme="minorEastAsia" w:cstheme="minorEastAsia"/>
          <w:color w:val="auto"/>
          <w:szCs w:val="21"/>
        </w:rPr>
        <w:t>：</w:t>
      </w:r>
    </w:p>
    <w:p>
      <w:pPr>
        <w:adjustRightInd w:val="0"/>
        <w:snapToGrid w:val="0"/>
        <w:spacing w:line="360" w:lineRule="auto"/>
        <w:ind w:firstLine="4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（1）施工方案技术及保证措施；</w:t>
      </w:r>
    </w:p>
    <w:p>
      <w:pPr>
        <w:adjustRightInd w:val="0"/>
        <w:snapToGrid w:val="0"/>
        <w:spacing w:line="360" w:lineRule="auto"/>
        <w:ind w:firstLine="4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（2）安全生产措施；</w:t>
      </w:r>
    </w:p>
    <w:p>
      <w:pPr>
        <w:adjustRightInd w:val="0"/>
        <w:snapToGrid w:val="0"/>
        <w:spacing w:line="360" w:lineRule="auto"/>
        <w:ind w:firstLine="4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（3）文明、环保施工保证措施；</w:t>
      </w:r>
    </w:p>
    <w:p>
      <w:pPr>
        <w:adjustRightInd w:val="0"/>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    （4）保证质量措施；</w:t>
      </w:r>
    </w:p>
    <w:p>
      <w:pPr>
        <w:adjustRightInd w:val="0"/>
        <w:snapToGrid w:val="0"/>
        <w:spacing w:line="360" w:lineRule="auto"/>
        <w:ind w:firstLine="423"/>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（5）劳动力安排计划；</w:t>
      </w:r>
    </w:p>
    <w:p>
      <w:pPr>
        <w:adjustRightInd w:val="0"/>
        <w:snapToGrid w:val="0"/>
        <w:spacing w:line="360" w:lineRule="auto"/>
        <w:ind w:firstLine="42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rPr>
        <w:t>（6）施工进度计划及保证措施</w:t>
      </w:r>
      <w:r>
        <w:rPr>
          <w:rFonts w:hint="eastAsia" w:asciiTheme="minorEastAsia" w:hAnsiTheme="minorEastAsia" w:eastAsiaTheme="minorEastAsia" w:cstheme="minorEastAsia"/>
          <w:color w:val="auto"/>
          <w:szCs w:val="21"/>
          <w:lang w:eastAsia="zh-CN"/>
        </w:rPr>
        <w:t>；</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rPr>
        <w:t>（7）合理化建议</w:t>
      </w:r>
      <w:r>
        <w:rPr>
          <w:rFonts w:hint="eastAsia" w:asciiTheme="minorEastAsia" w:hAnsiTheme="minorEastAsia" w:eastAsiaTheme="minorEastAsia" w:cstheme="minorEastAsia"/>
          <w:color w:val="auto"/>
          <w:szCs w:val="21"/>
          <w:lang w:eastAsia="zh-CN"/>
        </w:rPr>
        <w:t>。</w:t>
      </w:r>
    </w:p>
    <w:p>
      <w:pPr>
        <w:pStyle w:val="66"/>
        <w:rPr>
          <w:rFonts w:asciiTheme="minorEastAsia" w:hAnsiTheme="minorEastAsia" w:eastAsiaTheme="minorEastAsia" w:cstheme="minorEastAsia"/>
          <w:b/>
          <w:bCs/>
          <w:color w:val="auto"/>
        </w:rPr>
      </w:pPr>
    </w:p>
    <w:p>
      <w:pPr>
        <w:adjustRightInd w:val="0"/>
        <w:snapToGrid w:val="0"/>
        <w:spacing w:line="360" w:lineRule="auto"/>
        <w:ind w:firstLine="525" w:firstLineChars="2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注：格式自拟。</w:t>
      </w:r>
    </w:p>
    <w:p>
      <w:pPr>
        <w:adjustRightInd w:val="0"/>
        <w:snapToGrid w:val="0"/>
        <w:spacing w:line="360" w:lineRule="auto"/>
        <w:ind w:firstLine="525" w:firstLineChars="250"/>
        <w:rPr>
          <w:rFonts w:asciiTheme="minorEastAsia" w:hAnsiTheme="minorEastAsia" w:eastAsiaTheme="minorEastAsia" w:cstheme="minorEastAsia"/>
          <w:color w:val="auto"/>
          <w:szCs w:val="21"/>
        </w:rPr>
      </w:pPr>
    </w:p>
    <w:p>
      <w:pPr>
        <w:adjustRightInd w:val="0"/>
        <w:snapToGrid w:val="0"/>
        <w:spacing w:line="360" w:lineRule="auto"/>
        <w:ind w:firstLine="525" w:firstLineChars="250"/>
        <w:rPr>
          <w:rFonts w:asciiTheme="minorEastAsia" w:hAnsiTheme="minorEastAsia" w:eastAsiaTheme="minorEastAsia" w:cstheme="minorEastAsia"/>
          <w:color w:val="auto"/>
          <w:szCs w:val="21"/>
        </w:rPr>
      </w:pPr>
    </w:p>
    <w:p>
      <w:pPr>
        <w:adjustRightInd w:val="0"/>
        <w:snapToGrid w:val="0"/>
        <w:spacing w:line="360" w:lineRule="auto"/>
        <w:ind w:firstLine="525" w:firstLineChars="250"/>
        <w:rPr>
          <w:rFonts w:asciiTheme="minorEastAsia" w:hAnsiTheme="minorEastAsia" w:eastAsiaTheme="minorEastAsia" w:cstheme="minorEastAsia"/>
          <w:color w:val="auto"/>
          <w:szCs w:val="21"/>
        </w:rPr>
      </w:pPr>
    </w:p>
    <w:p>
      <w:pPr>
        <w:adjustRightInd w:val="0"/>
        <w:snapToGrid w:val="0"/>
        <w:spacing w:line="360" w:lineRule="auto"/>
        <w:ind w:firstLine="525" w:firstLineChars="250"/>
        <w:rPr>
          <w:rFonts w:asciiTheme="minorEastAsia" w:hAnsiTheme="minorEastAsia" w:eastAsiaTheme="minorEastAsia" w:cstheme="minorEastAsia"/>
          <w:color w:val="auto"/>
          <w:szCs w:val="21"/>
        </w:rPr>
      </w:pPr>
    </w:p>
    <w:p>
      <w:pPr>
        <w:adjustRightInd w:val="0"/>
        <w:snapToGrid w:val="0"/>
        <w:spacing w:line="360" w:lineRule="auto"/>
        <w:ind w:firstLine="525" w:firstLineChars="250"/>
        <w:rPr>
          <w:rFonts w:asciiTheme="minorEastAsia" w:hAnsiTheme="minorEastAsia" w:eastAsiaTheme="minorEastAsia" w:cstheme="minorEastAsia"/>
          <w:color w:val="auto"/>
          <w:szCs w:val="21"/>
        </w:rPr>
      </w:pPr>
    </w:p>
    <w:p>
      <w:pPr>
        <w:adjustRightInd w:val="0"/>
        <w:snapToGrid w:val="0"/>
        <w:spacing w:line="360" w:lineRule="auto"/>
        <w:ind w:firstLine="525" w:firstLineChars="250"/>
        <w:rPr>
          <w:rFonts w:asciiTheme="minorEastAsia" w:hAnsiTheme="minorEastAsia" w:eastAsiaTheme="minorEastAsia" w:cstheme="minorEastAsia"/>
          <w:color w:val="auto"/>
          <w:szCs w:val="21"/>
        </w:rPr>
      </w:pPr>
    </w:p>
    <w:p>
      <w:pPr>
        <w:adjustRightInd w:val="0"/>
        <w:snapToGrid w:val="0"/>
        <w:spacing w:line="360" w:lineRule="auto"/>
        <w:ind w:firstLine="525" w:firstLineChars="250"/>
        <w:rPr>
          <w:rFonts w:asciiTheme="minorEastAsia" w:hAnsiTheme="minorEastAsia" w:eastAsiaTheme="minorEastAsia" w:cstheme="minorEastAsia"/>
          <w:color w:val="auto"/>
          <w:szCs w:val="21"/>
        </w:rPr>
      </w:pPr>
    </w:p>
    <w:p>
      <w:pPr>
        <w:adjustRightInd w:val="0"/>
        <w:snapToGrid w:val="0"/>
        <w:spacing w:line="360" w:lineRule="auto"/>
        <w:ind w:firstLine="525" w:firstLineChars="250"/>
        <w:rPr>
          <w:rFonts w:asciiTheme="minorEastAsia" w:hAnsiTheme="minorEastAsia" w:eastAsiaTheme="minorEastAsia" w:cstheme="minorEastAsia"/>
          <w:color w:val="auto"/>
          <w:szCs w:val="21"/>
        </w:rPr>
      </w:pPr>
    </w:p>
    <w:p>
      <w:pPr>
        <w:adjustRightInd w:val="0"/>
        <w:snapToGrid w:val="0"/>
        <w:spacing w:line="360" w:lineRule="auto"/>
        <w:ind w:firstLine="525" w:firstLineChars="250"/>
        <w:rPr>
          <w:rFonts w:asciiTheme="minorEastAsia" w:hAnsiTheme="minorEastAsia" w:eastAsiaTheme="minorEastAsia" w:cstheme="minorEastAsia"/>
          <w:color w:val="auto"/>
          <w:szCs w:val="21"/>
        </w:rPr>
      </w:pPr>
    </w:p>
    <w:p>
      <w:pPr>
        <w:adjustRightInd w:val="0"/>
        <w:snapToGrid w:val="0"/>
        <w:spacing w:line="360" w:lineRule="auto"/>
        <w:ind w:firstLine="525" w:firstLineChars="250"/>
        <w:rPr>
          <w:rFonts w:asciiTheme="minorEastAsia" w:hAnsiTheme="minorEastAsia" w:eastAsiaTheme="minorEastAsia" w:cstheme="minorEastAsia"/>
          <w:color w:val="auto"/>
          <w:szCs w:val="21"/>
        </w:rPr>
      </w:pPr>
    </w:p>
    <w:p>
      <w:pPr>
        <w:adjustRightInd w:val="0"/>
        <w:snapToGrid w:val="0"/>
        <w:spacing w:line="360" w:lineRule="auto"/>
        <w:ind w:firstLine="525" w:firstLineChars="250"/>
        <w:rPr>
          <w:rFonts w:asciiTheme="minorEastAsia" w:hAnsiTheme="minorEastAsia" w:eastAsiaTheme="minorEastAsia" w:cstheme="minorEastAsia"/>
          <w:color w:val="auto"/>
          <w:szCs w:val="21"/>
        </w:rPr>
      </w:pPr>
    </w:p>
    <w:p>
      <w:pPr>
        <w:adjustRightInd w:val="0"/>
        <w:snapToGrid w:val="0"/>
        <w:spacing w:line="360" w:lineRule="auto"/>
        <w:ind w:firstLine="525" w:firstLineChars="250"/>
        <w:rPr>
          <w:rFonts w:asciiTheme="minorEastAsia" w:hAnsiTheme="minorEastAsia" w:eastAsiaTheme="minorEastAsia" w:cstheme="minorEastAsia"/>
          <w:color w:val="auto"/>
          <w:szCs w:val="21"/>
        </w:rPr>
      </w:pPr>
    </w:p>
    <w:p>
      <w:pPr>
        <w:pStyle w:val="66"/>
        <w:rPr>
          <w:rFonts w:asciiTheme="minorEastAsia" w:hAnsiTheme="minorEastAsia" w:eastAsiaTheme="minorEastAsia" w:cstheme="minorEastAsia"/>
          <w:color w:val="auto"/>
          <w:szCs w:val="21"/>
        </w:rPr>
      </w:pPr>
    </w:p>
    <w:p>
      <w:pPr>
        <w:rPr>
          <w:rFonts w:asciiTheme="minorEastAsia" w:hAnsiTheme="minorEastAsia" w:eastAsiaTheme="minorEastAsia" w:cstheme="minorEastAsia"/>
          <w:color w:val="auto"/>
          <w:szCs w:val="21"/>
        </w:rPr>
      </w:pPr>
    </w:p>
    <w:p>
      <w:pPr>
        <w:pStyle w:val="66"/>
        <w:rPr>
          <w:rFonts w:asciiTheme="minorEastAsia" w:hAnsiTheme="minorEastAsia" w:eastAsiaTheme="minorEastAsia" w:cstheme="minorEastAsia"/>
          <w:color w:val="auto"/>
          <w:szCs w:val="21"/>
        </w:rPr>
      </w:pPr>
    </w:p>
    <w:p>
      <w:pPr>
        <w:rPr>
          <w:rFonts w:asciiTheme="minorEastAsia" w:hAnsiTheme="minorEastAsia" w:eastAsiaTheme="minorEastAsia" w:cstheme="minorEastAsia"/>
          <w:color w:val="auto"/>
          <w:szCs w:val="21"/>
        </w:rPr>
      </w:pPr>
    </w:p>
    <w:p>
      <w:pPr>
        <w:pStyle w:val="66"/>
        <w:rPr>
          <w:rFonts w:asciiTheme="minorEastAsia" w:hAnsiTheme="minorEastAsia" w:eastAsiaTheme="minorEastAsia" w:cstheme="minorEastAsia"/>
          <w:color w:val="auto"/>
          <w:szCs w:val="21"/>
        </w:rPr>
      </w:pPr>
    </w:p>
    <w:p>
      <w:pPr>
        <w:rPr>
          <w:rFonts w:asciiTheme="minorEastAsia" w:hAnsiTheme="minorEastAsia" w:eastAsiaTheme="minorEastAsia" w:cstheme="minorEastAsia"/>
          <w:color w:val="auto"/>
          <w:szCs w:val="21"/>
        </w:rPr>
      </w:pPr>
    </w:p>
    <w:p>
      <w:pPr>
        <w:pStyle w:val="66"/>
        <w:rPr>
          <w:rFonts w:asciiTheme="minorEastAsia" w:hAnsiTheme="minorEastAsia" w:eastAsiaTheme="minorEastAsia" w:cstheme="minorEastAsia"/>
          <w:color w:val="auto"/>
          <w:szCs w:val="21"/>
        </w:rPr>
      </w:pPr>
    </w:p>
    <w:p>
      <w:pPr>
        <w:rPr>
          <w:rFonts w:asciiTheme="minorEastAsia" w:hAnsiTheme="minorEastAsia" w:eastAsiaTheme="minorEastAsia" w:cstheme="minorEastAsia"/>
          <w:color w:val="auto"/>
          <w:szCs w:val="21"/>
        </w:rPr>
      </w:pPr>
    </w:p>
    <w:p>
      <w:pPr>
        <w:pStyle w:val="66"/>
        <w:rPr>
          <w:rFonts w:asciiTheme="minorEastAsia" w:hAnsiTheme="minorEastAsia" w:eastAsiaTheme="minorEastAsia" w:cstheme="minorEastAsia"/>
          <w:color w:val="auto"/>
          <w:szCs w:val="21"/>
        </w:rPr>
      </w:pPr>
    </w:p>
    <w:p>
      <w:pPr>
        <w:rPr>
          <w:rFonts w:asciiTheme="minorEastAsia" w:hAnsiTheme="minorEastAsia" w:eastAsiaTheme="minorEastAsia" w:cstheme="minorEastAsia"/>
          <w:color w:val="auto"/>
          <w:szCs w:val="21"/>
        </w:rPr>
      </w:pPr>
    </w:p>
    <w:p>
      <w:pPr>
        <w:pStyle w:val="66"/>
        <w:rPr>
          <w:rFonts w:asciiTheme="minorEastAsia" w:hAnsiTheme="minorEastAsia" w:eastAsiaTheme="minorEastAsia" w:cstheme="minorEastAsia"/>
          <w:color w:val="auto"/>
          <w:szCs w:val="21"/>
        </w:rPr>
      </w:pPr>
    </w:p>
    <w:p>
      <w:pPr>
        <w:rPr>
          <w:rFonts w:asciiTheme="minorEastAsia" w:hAnsiTheme="minorEastAsia" w:eastAsiaTheme="minorEastAsia" w:cstheme="minorEastAsia"/>
          <w:color w:val="auto"/>
          <w:szCs w:val="21"/>
        </w:rPr>
      </w:pPr>
    </w:p>
    <w:p>
      <w:pPr>
        <w:pStyle w:val="66"/>
        <w:rPr>
          <w:rFonts w:asciiTheme="minorEastAsia" w:hAnsiTheme="minorEastAsia" w:eastAsiaTheme="minorEastAsia" w:cstheme="minorEastAsia"/>
          <w:color w:val="auto"/>
          <w:szCs w:val="21"/>
        </w:rPr>
      </w:pPr>
    </w:p>
    <w:p>
      <w:pPr>
        <w:rPr>
          <w:rFonts w:asciiTheme="minorEastAsia" w:hAnsiTheme="minorEastAsia" w:eastAsiaTheme="minorEastAsia" w:cstheme="minorEastAsia"/>
          <w:color w:val="auto"/>
        </w:rPr>
      </w:pPr>
    </w:p>
    <w:p>
      <w:pPr>
        <w:adjustRightInd w:val="0"/>
        <w:snapToGrid w:val="0"/>
        <w:spacing w:line="360" w:lineRule="auto"/>
        <w:ind w:firstLine="525" w:firstLineChars="250"/>
        <w:rPr>
          <w:rFonts w:asciiTheme="minorEastAsia" w:hAnsiTheme="minorEastAsia" w:eastAsiaTheme="minorEastAsia" w:cstheme="minorEastAsia"/>
          <w:color w:val="auto"/>
          <w:szCs w:val="21"/>
        </w:rPr>
      </w:pPr>
    </w:p>
    <w:p>
      <w:pPr>
        <w:adjustRightInd w:val="0"/>
        <w:snapToGrid w:val="0"/>
        <w:spacing w:line="360" w:lineRule="auto"/>
        <w:ind w:firstLine="525" w:firstLineChars="250"/>
        <w:rPr>
          <w:rFonts w:asciiTheme="minorEastAsia" w:hAnsiTheme="minorEastAsia" w:eastAsiaTheme="minorEastAsia" w:cstheme="minorEastAsia"/>
          <w:color w:val="auto"/>
          <w:szCs w:val="21"/>
        </w:rPr>
      </w:pPr>
    </w:p>
    <w:p>
      <w:pPr>
        <w:spacing w:line="360" w:lineRule="atLeast"/>
        <w:rPr>
          <w:rFonts w:asciiTheme="minorEastAsia" w:hAnsiTheme="minorEastAsia" w:eastAsiaTheme="minorEastAsia" w:cstheme="minorEastAsia"/>
          <w:color w:val="auto"/>
          <w:sz w:val="30"/>
          <w:szCs w:val="30"/>
        </w:rPr>
      </w:pPr>
    </w:p>
    <w:p>
      <w:pPr>
        <w:spacing w:line="360" w:lineRule="atLeast"/>
        <w:outlineLvl w:val="0"/>
        <w:rPr>
          <w:rFonts w:asciiTheme="minorEastAsia" w:hAnsiTheme="minorEastAsia" w:eastAsiaTheme="minorEastAsia" w:cstheme="minorEastAsia"/>
          <w:b/>
          <w:bCs/>
          <w:color w:val="auto"/>
          <w:sz w:val="30"/>
          <w:szCs w:val="30"/>
        </w:rPr>
      </w:pPr>
      <w:bookmarkStart w:id="86" w:name="_Toc6434"/>
      <w:bookmarkStart w:id="87" w:name="_Toc30950_WPSOffice_Level1"/>
      <w:r>
        <w:rPr>
          <w:rFonts w:hint="eastAsia" w:asciiTheme="minorEastAsia" w:hAnsiTheme="minorEastAsia" w:eastAsiaTheme="minorEastAsia" w:cstheme="minorEastAsia"/>
          <w:b/>
          <w:bCs/>
          <w:color w:val="auto"/>
          <w:sz w:val="30"/>
          <w:szCs w:val="30"/>
        </w:rPr>
        <w:t>附件7-1               主要人员简历表</w:t>
      </w:r>
      <w:bookmarkEnd w:id="86"/>
      <w:bookmarkEnd w:id="87"/>
    </w:p>
    <w:p>
      <w:pPr>
        <w:spacing w:line="360" w:lineRule="atLeast"/>
        <w:jc w:val="center"/>
        <w:rPr>
          <w:rFonts w:asciiTheme="minorEastAsia" w:hAnsiTheme="minorEastAsia" w:eastAsiaTheme="minorEastAsia" w:cstheme="minorEastAsia"/>
          <w:color w:val="auto"/>
          <w:sz w:val="28"/>
          <w:szCs w:val="28"/>
        </w:rPr>
      </w:pPr>
    </w:p>
    <w:tbl>
      <w:tblPr>
        <w:tblStyle w:val="45"/>
        <w:tblW w:w="8503"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032"/>
        <w:gridCol w:w="2468"/>
        <w:gridCol w:w="396"/>
        <w:gridCol w:w="1404"/>
        <w:gridCol w:w="540"/>
        <w:gridCol w:w="166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91" w:hRule="exact"/>
          <w:jc w:val="center"/>
        </w:trPr>
        <w:tc>
          <w:tcPr>
            <w:tcW w:w="2032" w:type="dxa"/>
            <w:vAlign w:val="center"/>
          </w:tcPr>
          <w:p>
            <w:pPr>
              <w:spacing w:line="36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姓名</w:t>
            </w:r>
          </w:p>
        </w:tc>
        <w:tc>
          <w:tcPr>
            <w:tcW w:w="2468" w:type="dxa"/>
            <w:vAlign w:val="center"/>
          </w:tcPr>
          <w:p>
            <w:pPr>
              <w:spacing w:line="360" w:lineRule="atLeast"/>
              <w:jc w:val="center"/>
              <w:rPr>
                <w:rFonts w:asciiTheme="minorEastAsia" w:hAnsiTheme="minorEastAsia" w:eastAsiaTheme="minorEastAsia" w:cstheme="minorEastAsia"/>
                <w:color w:val="auto"/>
              </w:rPr>
            </w:pPr>
          </w:p>
        </w:tc>
        <w:tc>
          <w:tcPr>
            <w:tcW w:w="2340" w:type="dxa"/>
            <w:gridSpan w:val="3"/>
            <w:vAlign w:val="center"/>
          </w:tcPr>
          <w:p>
            <w:pPr>
              <w:spacing w:line="36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性别</w:t>
            </w:r>
          </w:p>
        </w:tc>
        <w:tc>
          <w:tcPr>
            <w:tcW w:w="1663" w:type="dxa"/>
            <w:vAlign w:val="center"/>
          </w:tcPr>
          <w:p>
            <w:pPr>
              <w:spacing w:line="360" w:lineRule="atLeast"/>
              <w:jc w:val="center"/>
              <w:rPr>
                <w:rFonts w:asciiTheme="minorEastAsia" w:hAnsiTheme="minorEastAsia" w:eastAsiaTheme="minorEastAsia" w:cstheme="minorEastAsia"/>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13" w:hRule="exact"/>
          <w:jc w:val="center"/>
        </w:trPr>
        <w:tc>
          <w:tcPr>
            <w:tcW w:w="2032" w:type="dxa"/>
            <w:vAlign w:val="center"/>
          </w:tcPr>
          <w:p>
            <w:pPr>
              <w:spacing w:line="36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职务</w:t>
            </w:r>
          </w:p>
        </w:tc>
        <w:tc>
          <w:tcPr>
            <w:tcW w:w="2468" w:type="dxa"/>
            <w:vAlign w:val="center"/>
          </w:tcPr>
          <w:p>
            <w:pPr>
              <w:spacing w:line="360" w:lineRule="atLeast"/>
              <w:jc w:val="center"/>
              <w:rPr>
                <w:rFonts w:asciiTheme="minorEastAsia" w:hAnsiTheme="minorEastAsia" w:eastAsiaTheme="minorEastAsia" w:cstheme="minorEastAsia"/>
                <w:color w:val="auto"/>
              </w:rPr>
            </w:pPr>
          </w:p>
        </w:tc>
        <w:tc>
          <w:tcPr>
            <w:tcW w:w="2340" w:type="dxa"/>
            <w:gridSpan w:val="3"/>
            <w:vAlign w:val="center"/>
          </w:tcPr>
          <w:p>
            <w:pPr>
              <w:spacing w:line="36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职称</w:t>
            </w:r>
          </w:p>
        </w:tc>
        <w:tc>
          <w:tcPr>
            <w:tcW w:w="1663" w:type="dxa"/>
            <w:vAlign w:val="center"/>
          </w:tcPr>
          <w:p>
            <w:pPr>
              <w:spacing w:line="360" w:lineRule="atLeast"/>
              <w:jc w:val="center"/>
              <w:rPr>
                <w:rFonts w:asciiTheme="minorEastAsia" w:hAnsiTheme="minorEastAsia" w:eastAsiaTheme="minorEastAsia" w:cstheme="minorEastAsia"/>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21" w:hRule="exact"/>
          <w:jc w:val="center"/>
        </w:trPr>
        <w:tc>
          <w:tcPr>
            <w:tcW w:w="2032" w:type="dxa"/>
            <w:vAlign w:val="center"/>
          </w:tcPr>
          <w:p>
            <w:pPr>
              <w:spacing w:line="36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毕业学校、专业</w:t>
            </w:r>
          </w:p>
        </w:tc>
        <w:tc>
          <w:tcPr>
            <w:tcW w:w="6471" w:type="dxa"/>
            <w:gridSpan w:val="5"/>
            <w:vAlign w:val="center"/>
          </w:tcPr>
          <w:p>
            <w:pPr>
              <w:spacing w:line="360" w:lineRule="atLeast"/>
              <w:jc w:val="center"/>
              <w:rPr>
                <w:rFonts w:asciiTheme="minorEastAsia" w:hAnsiTheme="minorEastAsia" w:eastAsiaTheme="minorEastAsia" w:cstheme="minorEastAsia"/>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71" w:hRule="exact"/>
          <w:jc w:val="center"/>
        </w:trPr>
        <w:tc>
          <w:tcPr>
            <w:tcW w:w="2032" w:type="dxa"/>
            <w:vAlign w:val="center"/>
          </w:tcPr>
          <w:p>
            <w:pPr>
              <w:spacing w:line="36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身份证号</w:t>
            </w:r>
          </w:p>
        </w:tc>
        <w:tc>
          <w:tcPr>
            <w:tcW w:w="2468" w:type="dxa"/>
            <w:vAlign w:val="center"/>
          </w:tcPr>
          <w:p>
            <w:pPr>
              <w:spacing w:line="360" w:lineRule="atLeast"/>
              <w:jc w:val="center"/>
              <w:rPr>
                <w:rFonts w:asciiTheme="minorEastAsia" w:hAnsiTheme="minorEastAsia" w:eastAsiaTheme="minorEastAsia" w:cstheme="minorEastAsia"/>
                <w:color w:val="auto"/>
              </w:rPr>
            </w:pPr>
          </w:p>
        </w:tc>
        <w:tc>
          <w:tcPr>
            <w:tcW w:w="2340" w:type="dxa"/>
            <w:gridSpan w:val="3"/>
            <w:vAlign w:val="center"/>
          </w:tcPr>
          <w:p>
            <w:pPr>
              <w:spacing w:line="36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拟在本合同任职</w:t>
            </w:r>
          </w:p>
        </w:tc>
        <w:tc>
          <w:tcPr>
            <w:tcW w:w="1663" w:type="dxa"/>
            <w:vAlign w:val="center"/>
          </w:tcPr>
          <w:p>
            <w:pPr>
              <w:spacing w:line="360" w:lineRule="atLeast"/>
              <w:ind w:right="-105" w:rightChars="-50"/>
              <w:jc w:val="center"/>
              <w:rPr>
                <w:rFonts w:asciiTheme="minorEastAsia" w:hAnsiTheme="minorEastAsia" w:eastAsiaTheme="minorEastAsia" w:cstheme="minorEastAsia"/>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71" w:hRule="exact"/>
          <w:jc w:val="center"/>
        </w:trPr>
        <w:tc>
          <w:tcPr>
            <w:tcW w:w="2032" w:type="dxa"/>
            <w:vAlign w:val="center"/>
          </w:tcPr>
          <w:p>
            <w:pPr>
              <w:spacing w:line="36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执业资格证</w:t>
            </w:r>
          </w:p>
        </w:tc>
        <w:tc>
          <w:tcPr>
            <w:tcW w:w="2468" w:type="dxa"/>
            <w:vAlign w:val="center"/>
          </w:tcPr>
          <w:p>
            <w:pPr>
              <w:spacing w:line="360" w:lineRule="atLeast"/>
              <w:jc w:val="center"/>
              <w:rPr>
                <w:rFonts w:asciiTheme="minorEastAsia" w:hAnsiTheme="minorEastAsia" w:eastAsiaTheme="minorEastAsia" w:cstheme="minorEastAsia"/>
                <w:color w:val="auto"/>
              </w:rPr>
            </w:pPr>
          </w:p>
        </w:tc>
        <w:tc>
          <w:tcPr>
            <w:tcW w:w="2340" w:type="dxa"/>
            <w:gridSpan w:val="3"/>
            <w:vAlign w:val="center"/>
          </w:tcPr>
          <w:p>
            <w:pPr>
              <w:spacing w:line="36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执业资格证书号</w:t>
            </w:r>
          </w:p>
        </w:tc>
        <w:tc>
          <w:tcPr>
            <w:tcW w:w="1663" w:type="dxa"/>
            <w:vAlign w:val="center"/>
          </w:tcPr>
          <w:p>
            <w:pPr>
              <w:rPr>
                <w:rFonts w:asciiTheme="minorEastAsia" w:hAnsiTheme="minorEastAsia" w:eastAsiaTheme="minorEastAsia" w:cstheme="minorEastAsia"/>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00" w:hRule="exact"/>
          <w:jc w:val="center"/>
        </w:trPr>
        <w:tc>
          <w:tcPr>
            <w:tcW w:w="8503" w:type="dxa"/>
            <w:gridSpan w:val="6"/>
            <w:vAlign w:val="center"/>
          </w:tcPr>
          <w:p>
            <w:pPr>
              <w:spacing w:line="36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近三年承担项目情况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00" w:hRule="exact"/>
          <w:jc w:val="center"/>
        </w:trPr>
        <w:tc>
          <w:tcPr>
            <w:tcW w:w="2032" w:type="dxa"/>
            <w:vAlign w:val="center"/>
          </w:tcPr>
          <w:p>
            <w:pPr>
              <w:spacing w:line="36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时间</w:t>
            </w:r>
          </w:p>
        </w:tc>
        <w:tc>
          <w:tcPr>
            <w:tcW w:w="2864" w:type="dxa"/>
            <w:gridSpan w:val="2"/>
            <w:vAlign w:val="center"/>
          </w:tcPr>
          <w:p>
            <w:pPr>
              <w:spacing w:line="36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类似项目名称</w:t>
            </w:r>
          </w:p>
        </w:tc>
        <w:tc>
          <w:tcPr>
            <w:tcW w:w="1404" w:type="dxa"/>
            <w:vAlign w:val="center"/>
          </w:tcPr>
          <w:p>
            <w:pPr>
              <w:spacing w:line="36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担任职务</w:t>
            </w:r>
          </w:p>
        </w:tc>
        <w:tc>
          <w:tcPr>
            <w:tcW w:w="2203" w:type="dxa"/>
            <w:gridSpan w:val="2"/>
            <w:vAlign w:val="center"/>
          </w:tcPr>
          <w:p>
            <w:pPr>
              <w:spacing w:line="36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项目单位名称及电话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00" w:hRule="exact"/>
          <w:jc w:val="center"/>
        </w:trPr>
        <w:tc>
          <w:tcPr>
            <w:tcW w:w="2032" w:type="dxa"/>
            <w:vAlign w:val="center"/>
          </w:tcPr>
          <w:p>
            <w:pPr>
              <w:spacing w:line="360" w:lineRule="atLeast"/>
              <w:jc w:val="center"/>
              <w:rPr>
                <w:rFonts w:asciiTheme="minorEastAsia" w:hAnsiTheme="minorEastAsia" w:eastAsiaTheme="minorEastAsia" w:cstheme="minorEastAsia"/>
                <w:color w:val="auto"/>
              </w:rPr>
            </w:pPr>
          </w:p>
        </w:tc>
        <w:tc>
          <w:tcPr>
            <w:tcW w:w="2864" w:type="dxa"/>
            <w:gridSpan w:val="2"/>
            <w:vAlign w:val="center"/>
          </w:tcPr>
          <w:p>
            <w:pPr>
              <w:spacing w:line="360" w:lineRule="atLeast"/>
              <w:jc w:val="center"/>
              <w:rPr>
                <w:rFonts w:asciiTheme="minorEastAsia" w:hAnsiTheme="minorEastAsia" w:eastAsiaTheme="minorEastAsia" w:cstheme="minorEastAsia"/>
                <w:color w:val="auto"/>
              </w:rPr>
            </w:pPr>
          </w:p>
        </w:tc>
        <w:tc>
          <w:tcPr>
            <w:tcW w:w="1404" w:type="dxa"/>
            <w:vAlign w:val="center"/>
          </w:tcPr>
          <w:p>
            <w:pPr>
              <w:spacing w:line="360" w:lineRule="atLeast"/>
              <w:jc w:val="center"/>
              <w:rPr>
                <w:rFonts w:asciiTheme="minorEastAsia" w:hAnsiTheme="minorEastAsia" w:eastAsiaTheme="minorEastAsia" w:cstheme="minorEastAsia"/>
                <w:color w:val="auto"/>
              </w:rPr>
            </w:pPr>
          </w:p>
        </w:tc>
        <w:tc>
          <w:tcPr>
            <w:tcW w:w="2203" w:type="dxa"/>
            <w:gridSpan w:val="2"/>
            <w:vAlign w:val="center"/>
          </w:tcPr>
          <w:p>
            <w:pPr>
              <w:spacing w:line="360" w:lineRule="atLeast"/>
              <w:jc w:val="center"/>
              <w:rPr>
                <w:rFonts w:asciiTheme="minorEastAsia" w:hAnsiTheme="minorEastAsia" w:eastAsiaTheme="minorEastAsia" w:cstheme="minorEastAsia"/>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00" w:hRule="exact"/>
          <w:jc w:val="center"/>
        </w:trPr>
        <w:tc>
          <w:tcPr>
            <w:tcW w:w="2032" w:type="dxa"/>
            <w:vAlign w:val="center"/>
          </w:tcPr>
          <w:p>
            <w:pPr>
              <w:spacing w:line="360" w:lineRule="atLeast"/>
              <w:jc w:val="center"/>
              <w:rPr>
                <w:rFonts w:asciiTheme="minorEastAsia" w:hAnsiTheme="minorEastAsia" w:eastAsiaTheme="minorEastAsia" w:cstheme="minorEastAsia"/>
                <w:color w:val="auto"/>
              </w:rPr>
            </w:pPr>
          </w:p>
        </w:tc>
        <w:tc>
          <w:tcPr>
            <w:tcW w:w="2864" w:type="dxa"/>
            <w:gridSpan w:val="2"/>
            <w:vAlign w:val="center"/>
          </w:tcPr>
          <w:p>
            <w:pPr>
              <w:spacing w:line="360" w:lineRule="atLeast"/>
              <w:jc w:val="center"/>
              <w:rPr>
                <w:rFonts w:asciiTheme="minorEastAsia" w:hAnsiTheme="minorEastAsia" w:eastAsiaTheme="minorEastAsia" w:cstheme="minorEastAsia"/>
                <w:color w:val="auto"/>
              </w:rPr>
            </w:pPr>
          </w:p>
        </w:tc>
        <w:tc>
          <w:tcPr>
            <w:tcW w:w="1404" w:type="dxa"/>
            <w:vAlign w:val="center"/>
          </w:tcPr>
          <w:p>
            <w:pPr>
              <w:spacing w:line="360" w:lineRule="atLeast"/>
              <w:jc w:val="center"/>
              <w:rPr>
                <w:rFonts w:asciiTheme="minorEastAsia" w:hAnsiTheme="minorEastAsia" w:eastAsiaTheme="minorEastAsia" w:cstheme="minorEastAsia"/>
                <w:color w:val="auto"/>
              </w:rPr>
            </w:pPr>
          </w:p>
        </w:tc>
        <w:tc>
          <w:tcPr>
            <w:tcW w:w="2203" w:type="dxa"/>
            <w:gridSpan w:val="2"/>
            <w:vAlign w:val="center"/>
          </w:tcPr>
          <w:p>
            <w:pPr>
              <w:spacing w:line="360" w:lineRule="atLeast"/>
              <w:jc w:val="center"/>
              <w:rPr>
                <w:rFonts w:asciiTheme="minorEastAsia" w:hAnsiTheme="minorEastAsia" w:eastAsiaTheme="minorEastAsia" w:cstheme="minorEastAsia"/>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00" w:hRule="exact"/>
          <w:jc w:val="center"/>
        </w:trPr>
        <w:tc>
          <w:tcPr>
            <w:tcW w:w="2032" w:type="dxa"/>
            <w:vAlign w:val="center"/>
          </w:tcPr>
          <w:p>
            <w:pPr>
              <w:spacing w:line="360" w:lineRule="atLeast"/>
              <w:jc w:val="center"/>
              <w:rPr>
                <w:rFonts w:asciiTheme="minorEastAsia" w:hAnsiTheme="minorEastAsia" w:eastAsiaTheme="minorEastAsia" w:cstheme="minorEastAsia"/>
                <w:color w:val="auto"/>
              </w:rPr>
            </w:pPr>
          </w:p>
        </w:tc>
        <w:tc>
          <w:tcPr>
            <w:tcW w:w="2864" w:type="dxa"/>
            <w:gridSpan w:val="2"/>
            <w:vAlign w:val="center"/>
          </w:tcPr>
          <w:p>
            <w:pPr>
              <w:spacing w:line="360" w:lineRule="atLeast"/>
              <w:jc w:val="center"/>
              <w:rPr>
                <w:rFonts w:asciiTheme="minorEastAsia" w:hAnsiTheme="minorEastAsia" w:eastAsiaTheme="minorEastAsia" w:cstheme="minorEastAsia"/>
                <w:color w:val="auto"/>
              </w:rPr>
            </w:pPr>
          </w:p>
        </w:tc>
        <w:tc>
          <w:tcPr>
            <w:tcW w:w="1404" w:type="dxa"/>
            <w:vAlign w:val="center"/>
          </w:tcPr>
          <w:p>
            <w:pPr>
              <w:spacing w:line="360" w:lineRule="atLeast"/>
              <w:jc w:val="center"/>
              <w:rPr>
                <w:rFonts w:asciiTheme="minorEastAsia" w:hAnsiTheme="minorEastAsia" w:eastAsiaTheme="minorEastAsia" w:cstheme="minorEastAsia"/>
                <w:color w:val="auto"/>
              </w:rPr>
            </w:pPr>
          </w:p>
        </w:tc>
        <w:tc>
          <w:tcPr>
            <w:tcW w:w="2203" w:type="dxa"/>
            <w:gridSpan w:val="2"/>
            <w:vAlign w:val="center"/>
          </w:tcPr>
          <w:p>
            <w:pPr>
              <w:spacing w:line="360" w:lineRule="atLeast"/>
              <w:jc w:val="center"/>
              <w:rPr>
                <w:rFonts w:asciiTheme="minorEastAsia" w:hAnsiTheme="minorEastAsia" w:eastAsiaTheme="minorEastAsia" w:cstheme="minorEastAsia"/>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00" w:hRule="exact"/>
          <w:jc w:val="center"/>
        </w:trPr>
        <w:tc>
          <w:tcPr>
            <w:tcW w:w="2032" w:type="dxa"/>
            <w:vAlign w:val="center"/>
          </w:tcPr>
          <w:p>
            <w:pPr>
              <w:spacing w:line="360" w:lineRule="atLeast"/>
              <w:jc w:val="center"/>
              <w:rPr>
                <w:rFonts w:asciiTheme="minorEastAsia" w:hAnsiTheme="minorEastAsia" w:eastAsiaTheme="minorEastAsia" w:cstheme="minorEastAsia"/>
                <w:color w:val="auto"/>
              </w:rPr>
            </w:pPr>
          </w:p>
        </w:tc>
        <w:tc>
          <w:tcPr>
            <w:tcW w:w="2864" w:type="dxa"/>
            <w:gridSpan w:val="2"/>
            <w:vAlign w:val="center"/>
          </w:tcPr>
          <w:p>
            <w:pPr>
              <w:spacing w:line="360" w:lineRule="atLeast"/>
              <w:jc w:val="center"/>
              <w:rPr>
                <w:rFonts w:asciiTheme="minorEastAsia" w:hAnsiTheme="minorEastAsia" w:eastAsiaTheme="minorEastAsia" w:cstheme="minorEastAsia"/>
                <w:color w:val="auto"/>
              </w:rPr>
            </w:pPr>
          </w:p>
        </w:tc>
        <w:tc>
          <w:tcPr>
            <w:tcW w:w="1404" w:type="dxa"/>
            <w:vAlign w:val="center"/>
          </w:tcPr>
          <w:p>
            <w:pPr>
              <w:spacing w:line="360" w:lineRule="atLeast"/>
              <w:jc w:val="center"/>
              <w:rPr>
                <w:rFonts w:asciiTheme="minorEastAsia" w:hAnsiTheme="minorEastAsia" w:eastAsiaTheme="minorEastAsia" w:cstheme="minorEastAsia"/>
                <w:color w:val="auto"/>
              </w:rPr>
            </w:pPr>
          </w:p>
        </w:tc>
        <w:tc>
          <w:tcPr>
            <w:tcW w:w="2203" w:type="dxa"/>
            <w:gridSpan w:val="2"/>
            <w:vAlign w:val="center"/>
          </w:tcPr>
          <w:p>
            <w:pPr>
              <w:spacing w:line="360" w:lineRule="atLeast"/>
              <w:jc w:val="center"/>
              <w:rPr>
                <w:rFonts w:asciiTheme="minorEastAsia" w:hAnsiTheme="minorEastAsia" w:eastAsiaTheme="minorEastAsia" w:cstheme="minorEastAsia"/>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00" w:hRule="exact"/>
          <w:jc w:val="center"/>
        </w:trPr>
        <w:tc>
          <w:tcPr>
            <w:tcW w:w="2032" w:type="dxa"/>
            <w:vAlign w:val="center"/>
          </w:tcPr>
          <w:p>
            <w:pPr>
              <w:spacing w:line="360" w:lineRule="atLeast"/>
              <w:jc w:val="center"/>
              <w:rPr>
                <w:rFonts w:asciiTheme="minorEastAsia" w:hAnsiTheme="minorEastAsia" w:eastAsiaTheme="minorEastAsia" w:cstheme="minorEastAsia"/>
                <w:color w:val="auto"/>
              </w:rPr>
            </w:pPr>
          </w:p>
        </w:tc>
        <w:tc>
          <w:tcPr>
            <w:tcW w:w="2864" w:type="dxa"/>
            <w:gridSpan w:val="2"/>
            <w:vAlign w:val="center"/>
          </w:tcPr>
          <w:p>
            <w:pPr>
              <w:spacing w:line="360" w:lineRule="atLeast"/>
              <w:jc w:val="center"/>
              <w:rPr>
                <w:rFonts w:asciiTheme="minorEastAsia" w:hAnsiTheme="minorEastAsia" w:eastAsiaTheme="minorEastAsia" w:cstheme="minorEastAsia"/>
                <w:color w:val="auto"/>
              </w:rPr>
            </w:pPr>
          </w:p>
        </w:tc>
        <w:tc>
          <w:tcPr>
            <w:tcW w:w="1404" w:type="dxa"/>
            <w:vAlign w:val="center"/>
          </w:tcPr>
          <w:p>
            <w:pPr>
              <w:spacing w:line="360" w:lineRule="atLeast"/>
              <w:jc w:val="center"/>
              <w:rPr>
                <w:rFonts w:asciiTheme="minorEastAsia" w:hAnsiTheme="minorEastAsia" w:eastAsiaTheme="minorEastAsia" w:cstheme="minorEastAsia"/>
                <w:color w:val="auto"/>
              </w:rPr>
            </w:pPr>
          </w:p>
        </w:tc>
        <w:tc>
          <w:tcPr>
            <w:tcW w:w="2203" w:type="dxa"/>
            <w:gridSpan w:val="2"/>
            <w:vAlign w:val="center"/>
          </w:tcPr>
          <w:p>
            <w:pPr>
              <w:spacing w:line="360" w:lineRule="atLeast"/>
              <w:jc w:val="center"/>
              <w:rPr>
                <w:rFonts w:asciiTheme="minorEastAsia" w:hAnsiTheme="minorEastAsia" w:eastAsiaTheme="minorEastAsia" w:cstheme="minorEastAsia"/>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00" w:hRule="exact"/>
          <w:jc w:val="center"/>
        </w:trPr>
        <w:tc>
          <w:tcPr>
            <w:tcW w:w="2032" w:type="dxa"/>
            <w:vAlign w:val="center"/>
          </w:tcPr>
          <w:p>
            <w:pPr>
              <w:spacing w:line="360" w:lineRule="atLeast"/>
              <w:jc w:val="center"/>
              <w:rPr>
                <w:rFonts w:asciiTheme="minorEastAsia" w:hAnsiTheme="minorEastAsia" w:eastAsiaTheme="minorEastAsia" w:cstheme="minorEastAsia"/>
                <w:color w:val="auto"/>
              </w:rPr>
            </w:pPr>
          </w:p>
        </w:tc>
        <w:tc>
          <w:tcPr>
            <w:tcW w:w="2864" w:type="dxa"/>
            <w:gridSpan w:val="2"/>
            <w:vAlign w:val="center"/>
          </w:tcPr>
          <w:p>
            <w:pPr>
              <w:spacing w:line="360" w:lineRule="atLeast"/>
              <w:jc w:val="center"/>
              <w:rPr>
                <w:rFonts w:asciiTheme="minorEastAsia" w:hAnsiTheme="minorEastAsia" w:eastAsiaTheme="minorEastAsia" w:cstheme="minorEastAsia"/>
                <w:color w:val="auto"/>
              </w:rPr>
            </w:pPr>
          </w:p>
        </w:tc>
        <w:tc>
          <w:tcPr>
            <w:tcW w:w="1404" w:type="dxa"/>
            <w:vAlign w:val="center"/>
          </w:tcPr>
          <w:p>
            <w:pPr>
              <w:spacing w:line="360" w:lineRule="atLeast"/>
              <w:jc w:val="center"/>
              <w:rPr>
                <w:rFonts w:asciiTheme="minorEastAsia" w:hAnsiTheme="minorEastAsia" w:eastAsiaTheme="minorEastAsia" w:cstheme="minorEastAsia"/>
                <w:color w:val="auto"/>
              </w:rPr>
            </w:pPr>
          </w:p>
        </w:tc>
        <w:tc>
          <w:tcPr>
            <w:tcW w:w="2203" w:type="dxa"/>
            <w:gridSpan w:val="2"/>
            <w:vAlign w:val="center"/>
          </w:tcPr>
          <w:p>
            <w:pPr>
              <w:spacing w:line="360" w:lineRule="atLeast"/>
              <w:jc w:val="center"/>
              <w:rPr>
                <w:rFonts w:asciiTheme="minorEastAsia" w:hAnsiTheme="minorEastAsia" w:eastAsiaTheme="minorEastAsia" w:cstheme="minorEastAsia"/>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00" w:hRule="exact"/>
          <w:jc w:val="center"/>
        </w:trPr>
        <w:tc>
          <w:tcPr>
            <w:tcW w:w="2032" w:type="dxa"/>
            <w:vAlign w:val="center"/>
          </w:tcPr>
          <w:p>
            <w:pPr>
              <w:spacing w:line="360" w:lineRule="atLeast"/>
              <w:jc w:val="center"/>
              <w:rPr>
                <w:rFonts w:asciiTheme="minorEastAsia" w:hAnsiTheme="minorEastAsia" w:eastAsiaTheme="minorEastAsia" w:cstheme="minorEastAsia"/>
                <w:color w:val="auto"/>
              </w:rPr>
            </w:pPr>
          </w:p>
        </w:tc>
        <w:tc>
          <w:tcPr>
            <w:tcW w:w="2864" w:type="dxa"/>
            <w:gridSpan w:val="2"/>
            <w:vAlign w:val="center"/>
          </w:tcPr>
          <w:p>
            <w:pPr>
              <w:spacing w:line="360" w:lineRule="atLeast"/>
              <w:jc w:val="center"/>
              <w:rPr>
                <w:rFonts w:asciiTheme="minorEastAsia" w:hAnsiTheme="minorEastAsia" w:eastAsiaTheme="minorEastAsia" w:cstheme="minorEastAsia"/>
                <w:color w:val="auto"/>
              </w:rPr>
            </w:pPr>
          </w:p>
        </w:tc>
        <w:tc>
          <w:tcPr>
            <w:tcW w:w="1404" w:type="dxa"/>
            <w:vAlign w:val="center"/>
          </w:tcPr>
          <w:p>
            <w:pPr>
              <w:spacing w:line="360" w:lineRule="atLeast"/>
              <w:jc w:val="center"/>
              <w:rPr>
                <w:rFonts w:asciiTheme="minorEastAsia" w:hAnsiTheme="minorEastAsia" w:eastAsiaTheme="minorEastAsia" w:cstheme="minorEastAsia"/>
                <w:color w:val="auto"/>
              </w:rPr>
            </w:pPr>
          </w:p>
        </w:tc>
        <w:tc>
          <w:tcPr>
            <w:tcW w:w="2203" w:type="dxa"/>
            <w:gridSpan w:val="2"/>
            <w:vAlign w:val="center"/>
          </w:tcPr>
          <w:p>
            <w:pPr>
              <w:spacing w:line="360" w:lineRule="atLeast"/>
              <w:jc w:val="center"/>
              <w:rPr>
                <w:rFonts w:asciiTheme="minorEastAsia" w:hAnsiTheme="minorEastAsia" w:eastAsiaTheme="minorEastAsia" w:cstheme="minorEastAsia"/>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00" w:hRule="exact"/>
          <w:jc w:val="center"/>
        </w:trPr>
        <w:tc>
          <w:tcPr>
            <w:tcW w:w="2032" w:type="dxa"/>
            <w:vAlign w:val="center"/>
          </w:tcPr>
          <w:p>
            <w:pPr>
              <w:spacing w:line="360" w:lineRule="atLeast"/>
              <w:jc w:val="center"/>
              <w:rPr>
                <w:rFonts w:asciiTheme="minorEastAsia" w:hAnsiTheme="minorEastAsia" w:eastAsiaTheme="minorEastAsia" w:cstheme="minorEastAsia"/>
                <w:color w:val="auto"/>
              </w:rPr>
            </w:pPr>
          </w:p>
        </w:tc>
        <w:tc>
          <w:tcPr>
            <w:tcW w:w="2864" w:type="dxa"/>
            <w:gridSpan w:val="2"/>
            <w:vAlign w:val="center"/>
          </w:tcPr>
          <w:p>
            <w:pPr>
              <w:spacing w:line="360" w:lineRule="atLeast"/>
              <w:jc w:val="center"/>
              <w:rPr>
                <w:rFonts w:asciiTheme="minorEastAsia" w:hAnsiTheme="minorEastAsia" w:eastAsiaTheme="minorEastAsia" w:cstheme="minorEastAsia"/>
                <w:color w:val="auto"/>
              </w:rPr>
            </w:pPr>
          </w:p>
        </w:tc>
        <w:tc>
          <w:tcPr>
            <w:tcW w:w="1404" w:type="dxa"/>
            <w:vAlign w:val="center"/>
          </w:tcPr>
          <w:p>
            <w:pPr>
              <w:spacing w:line="360" w:lineRule="atLeast"/>
              <w:jc w:val="center"/>
              <w:rPr>
                <w:rFonts w:asciiTheme="minorEastAsia" w:hAnsiTheme="minorEastAsia" w:eastAsiaTheme="minorEastAsia" w:cstheme="minorEastAsia"/>
                <w:color w:val="auto"/>
              </w:rPr>
            </w:pPr>
          </w:p>
        </w:tc>
        <w:tc>
          <w:tcPr>
            <w:tcW w:w="2203" w:type="dxa"/>
            <w:gridSpan w:val="2"/>
            <w:vAlign w:val="center"/>
          </w:tcPr>
          <w:p>
            <w:pPr>
              <w:spacing w:line="360" w:lineRule="atLeast"/>
              <w:jc w:val="center"/>
              <w:rPr>
                <w:rFonts w:asciiTheme="minorEastAsia" w:hAnsiTheme="minorEastAsia" w:eastAsiaTheme="minorEastAsia" w:cstheme="minorEastAsia"/>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00" w:hRule="exact"/>
          <w:jc w:val="center"/>
        </w:trPr>
        <w:tc>
          <w:tcPr>
            <w:tcW w:w="2032" w:type="dxa"/>
            <w:vAlign w:val="center"/>
          </w:tcPr>
          <w:p>
            <w:pPr>
              <w:spacing w:line="360" w:lineRule="atLeast"/>
              <w:jc w:val="center"/>
              <w:rPr>
                <w:rFonts w:asciiTheme="minorEastAsia" w:hAnsiTheme="minorEastAsia" w:eastAsiaTheme="minorEastAsia" w:cstheme="minorEastAsia"/>
                <w:color w:val="auto"/>
              </w:rPr>
            </w:pPr>
          </w:p>
        </w:tc>
        <w:tc>
          <w:tcPr>
            <w:tcW w:w="2864" w:type="dxa"/>
            <w:gridSpan w:val="2"/>
            <w:vAlign w:val="center"/>
          </w:tcPr>
          <w:p>
            <w:pPr>
              <w:spacing w:line="360" w:lineRule="atLeast"/>
              <w:jc w:val="center"/>
              <w:rPr>
                <w:rFonts w:asciiTheme="minorEastAsia" w:hAnsiTheme="minorEastAsia" w:eastAsiaTheme="minorEastAsia" w:cstheme="minorEastAsia"/>
                <w:color w:val="auto"/>
              </w:rPr>
            </w:pPr>
          </w:p>
        </w:tc>
        <w:tc>
          <w:tcPr>
            <w:tcW w:w="1404" w:type="dxa"/>
            <w:vAlign w:val="center"/>
          </w:tcPr>
          <w:p>
            <w:pPr>
              <w:spacing w:line="360" w:lineRule="atLeast"/>
              <w:jc w:val="center"/>
              <w:rPr>
                <w:rFonts w:asciiTheme="minorEastAsia" w:hAnsiTheme="minorEastAsia" w:eastAsiaTheme="minorEastAsia" w:cstheme="minorEastAsia"/>
                <w:color w:val="auto"/>
              </w:rPr>
            </w:pPr>
          </w:p>
        </w:tc>
        <w:tc>
          <w:tcPr>
            <w:tcW w:w="2203" w:type="dxa"/>
            <w:gridSpan w:val="2"/>
            <w:vAlign w:val="center"/>
          </w:tcPr>
          <w:p>
            <w:pPr>
              <w:spacing w:line="360" w:lineRule="atLeast"/>
              <w:jc w:val="center"/>
              <w:rPr>
                <w:rFonts w:asciiTheme="minorEastAsia" w:hAnsiTheme="minorEastAsia" w:eastAsiaTheme="minorEastAsia" w:cstheme="minorEastAsia"/>
                <w:color w:val="auto"/>
              </w:rPr>
            </w:pPr>
          </w:p>
        </w:tc>
      </w:tr>
    </w:tbl>
    <w:p>
      <w:pPr>
        <w:spacing w:line="360" w:lineRule="atLeast"/>
        <w:ind w:right="23" w:rightChars="11"/>
        <w:rPr>
          <w:rFonts w:ascii="宋体" w:hAnsi="宋体" w:cs="宋体"/>
          <w:color w:val="auto"/>
        </w:rPr>
      </w:pPr>
      <w:r>
        <w:rPr>
          <w:rFonts w:hint="eastAsia" w:ascii="宋体" w:hAnsi="宋体" w:cs="宋体"/>
          <w:color w:val="auto"/>
          <w:szCs w:val="21"/>
        </w:rPr>
        <w:t>说明</w:t>
      </w:r>
      <w:r>
        <w:rPr>
          <w:rFonts w:hint="eastAsia" w:ascii="宋体" w:hAnsi="宋体" w:cs="宋体"/>
          <w:color w:val="auto"/>
        </w:rPr>
        <w:t>：</w:t>
      </w:r>
      <w:r>
        <w:rPr>
          <w:rFonts w:hint="eastAsia" w:ascii="宋体" w:hAnsi="宋体" w:cs="宋体"/>
          <w:color w:val="auto"/>
          <w:szCs w:val="21"/>
        </w:rPr>
        <w:t>主要人员证书、</w:t>
      </w:r>
      <w:r>
        <w:rPr>
          <w:rFonts w:hint="eastAsia" w:ascii="宋体" w:hAnsi="宋体" w:cs="宋体"/>
          <w:color w:val="auto"/>
        </w:rPr>
        <w:t>类似项目证明资料等按磋商文件要求提供。</w:t>
      </w:r>
    </w:p>
    <w:p>
      <w:pPr>
        <w:rPr>
          <w:rFonts w:asciiTheme="minorEastAsia" w:hAnsiTheme="minorEastAsia" w:eastAsiaTheme="minorEastAsia" w:cstheme="minorEastAsia"/>
          <w:color w:val="auto"/>
          <w:szCs w:val="21"/>
        </w:rPr>
      </w:pPr>
    </w:p>
    <w:p>
      <w:pPr>
        <w:rPr>
          <w:rFonts w:asciiTheme="minorEastAsia" w:hAnsiTheme="minorEastAsia" w:eastAsiaTheme="minorEastAsia" w:cstheme="minorEastAsia"/>
          <w:color w:val="auto"/>
          <w:szCs w:val="21"/>
        </w:rPr>
      </w:pPr>
    </w:p>
    <w:p>
      <w:pPr>
        <w:pStyle w:val="27"/>
        <w:adjustRightInd w:val="0"/>
        <w:snapToGrid w:val="0"/>
        <w:spacing w:line="360" w:lineRule="auto"/>
        <w:outlineLvl w:val="0"/>
        <w:rPr>
          <w:rFonts w:asciiTheme="minorEastAsia" w:hAnsiTheme="minorEastAsia" w:eastAsiaTheme="minorEastAsia" w:cstheme="minorEastAsia"/>
          <w:bCs/>
          <w:color w:val="auto"/>
          <w:sz w:val="21"/>
          <w:szCs w:val="21"/>
          <w:u w:val="single"/>
        </w:rPr>
      </w:pPr>
      <w:bookmarkStart w:id="88" w:name="_Toc13818"/>
      <w:r>
        <w:rPr>
          <w:rFonts w:hint="eastAsia" w:asciiTheme="minorEastAsia" w:hAnsiTheme="minorEastAsia" w:eastAsiaTheme="minorEastAsia" w:cstheme="minorEastAsia"/>
          <w:color w:val="auto"/>
          <w:sz w:val="21"/>
          <w:szCs w:val="21"/>
        </w:rPr>
        <w:t>供应商名称：</w:t>
      </w:r>
      <w:bookmarkEnd w:id="88"/>
    </w:p>
    <w:p>
      <w:pPr>
        <w:adjustRightInd w:val="0"/>
        <w:snapToGrid w:val="0"/>
        <w:spacing w:line="360" w:lineRule="auto"/>
        <w:outlineLvl w:val="0"/>
        <w:rPr>
          <w:rFonts w:asciiTheme="minorEastAsia" w:hAnsiTheme="minorEastAsia" w:eastAsiaTheme="minorEastAsia" w:cstheme="minorEastAsia"/>
          <w:color w:val="auto"/>
          <w:szCs w:val="21"/>
          <w:u w:val="single"/>
        </w:rPr>
      </w:pPr>
      <w:bookmarkStart w:id="89" w:name="_Toc30888"/>
      <w:r>
        <w:rPr>
          <w:rFonts w:hint="eastAsia" w:asciiTheme="minorEastAsia" w:hAnsiTheme="minorEastAsia" w:eastAsiaTheme="minorEastAsia" w:cstheme="minorEastAsia"/>
          <w:color w:val="auto"/>
          <w:szCs w:val="21"/>
        </w:rPr>
        <w:t>法定代表人或其委托代理人(签字)：</w:t>
      </w:r>
      <w:bookmarkEnd w:id="89"/>
    </w:p>
    <w:p>
      <w:pPr>
        <w:spacing w:line="360" w:lineRule="exac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zCs w:val="21"/>
        </w:rPr>
        <w:t>日期：  年  月  日</w:t>
      </w:r>
    </w:p>
    <w:p>
      <w:pPr>
        <w:adjustRightInd w:val="0"/>
        <w:snapToGrid w:val="0"/>
        <w:spacing w:line="360" w:lineRule="auto"/>
        <w:ind w:firstLine="525" w:firstLineChars="250"/>
        <w:rPr>
          <w:rFonts w:asciiTheme="minorEastAsia" w:hAnsiTheme="minorEastAsia" w:eastAsiaTheme="minorEastAsia" w:cstheme="minorEastAsia"/>
          <w:color w:val="auto"/>
          <w:szCs w:val="21"/>
        </w:rPr>
      </w:pPr>
    </w:p>
    <w:p>
      <w:pPr>
        <w:adjustRightInd w:val="0"/>
        <w:snapToGrid w:val="0"/>
        <w:spacing w:line="360" w:lineRule="auto"/>
        <w:ind w:firstLine="525" w:firstLineChars="250"/>
        <w:rPr>
          <w:rFonts w:asciiTheme="minorEastAsia" w:hAnsiTheme="minorEastAsia" w:eastAsiaTheme="minorEastAsia" w:cstheme="minorEastAsia"/>
          <w:color w:val="auto"/>
          <w:szCs w:val="21"/>
        </w:rPr>
      </w:pPr>
    </w:p>
    <w:p>
      <w:pPr>
        <w:adjustRightInd w:val="0"/>
        <w:snapToGrid w:val="0"/>
        <w:spacing w:line="360" w:lineRule="auto"/>
        <w:ind w:firstLine="525" w:firstLineChars="250"/>
        <w:rPr>
          <w:rFonts w:asciiTheme="minorEastAsia" w:hAnsiTheme="minorEastAsia" w:eastAsiaTheme="minorEastAsia" w:cstheme="minorEastAsia"/>
          <w:color w:val="auto"/>
          <w:szCs w:val="21"/>
        </w:rPr>
      </w:pPr>
    </w:p>
    <w:p>
      <w:pPr>
        <w:adjustRightInd w:val="0"/>
        <w:snapToGrid w:val="0"/>
        <w:spacing w:line="360" w:lineRule="auto"/>
        <w:ind w:firstLine="525" w:firstLineChars="250"/>
        <w:rPr>
          <w:rFonts w:asciiTheme="minorEastAsia" w:hAnsiTheme="minorEastAsia" w:eastAsiaTheme="minorEastAsia" w:cstheme="minorEastAsia"/>
          <w:color w:val="auto"/>
          <w:szCs w:val="21"/>
        </w:rPr>
      </w:pPr>
    </w:p>
    <w:p>
      <w:pPr>
        <w:adjustRightInd w:val="0"/>
        <w:snapToGrid w:val="0"/>
        <w:spacing w:line="360" w:lineRule="auto"/>
        <w:ind w:firstLine="525" w:firstLineChars="250"/>
        <w:rPr>
          <w:rFonts w:asciiTheme="minorEastAsia" w:hAnsiTheme="minorEastAsia" w:eastAsiaTheme="minorEastAsia" w:cstheme="minorEastAsia"/>
          <w:color w:val="auto"/>
          <w:szCs w:val="21"/>
        </w:rPr>
      </w:pPr>
    </w:p>
    <w:p>
      <w:pPr>
        <w:adjustRightInd w:val="0"/>
        <w:snapToGrid w:val="0"/>
        <w:spacing w:line="360" w:lineRule="auto"/>
        <w:ind w:firstLine="525" w:firstLineChars="250"/>
        <w:rPr>
          <w:rFonts w:asciiTheme="minorEastAsia" w:hAnsiTheme="minorEastAsia" w:eastAsiaTheme="minorEastAsia" w:cstheme="minorEastAsia"/>
          <w:color w:val="auto"/>
          <w:szCs w:val="21"/>
        </w:rPr>
      </w:pPr>
    </w:p>
    <w:p>
      <w:pPr>
        <w:spacing w:line="360" w:lineRule="exact"/>
        <w:jc w:val="center"/>
        <w:outlineLvl w:val="1"/>
        <w:rPr>
          <w:rFonts w:asciiTheme="minorEastAsia" w:hAnsiTheme="minorEastAsia" w:eastAsiaTheme="minorEastAsia" w:cstheme="minorEastAsia"/>
          <w:b/>
          <w:color w:val="auto"/>
          <w:sz w:val="32"/>
          <w:szCs w:val="32"/>
        </w:rPr>
      </w:pPr>
      <w:bookmarkStart w:id="90" w:name="_Toc4208"/>
      <w:r>
        <w:rPr>
          <w:rFonts w:hint="eastAsia" w:asciiTheme="minorEastAsia" w:hAnsiTheme="minorEastAsia" w:eastAsiaTheme="minorEastAsia" w:cstheme="minorEastAsia"/>
          <w:b/>
          <w:color w:val="auto"/>
          <w:sz w:val="32"/>
          <w:szCs w:val="32"/>
        </w:rPr>
        <w:t>五、技术/商务响应与偏离表</w:t>
      </w:r>
      <w:bookmarkEnd w:id="90"/>
    </w:p>
    <w:p>
      <w:pPr>
        <w:adjustRightInd w:val="0"/>
        <w:snapToGrid w:val="0"/>
        <w:ind w:left="-88" w:leftChars="-42" w:firstLine="315" w:firstLineChars="150"/>
        <w:rPr>
          <w:rFonts w:asciiTheme="minorEastAsia" w:hAnsiTheme="minorEastAsia" w:eastAsiaTheme="minorEastAsia" w:cstheme="minorEastAsia"/>
          <w:color w:val="auto"/>
          <w:szCs w:val="21"/>
          <w:u w:val="single"/>
        </w:rPr>
      </w:pPr>
    </w:p>
    <w:tbl>
      <w:tblPr>
        <w:tblStyle w:val="45"/>
        <w:tblW w:w="8742"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34"/>
        <w:gridCol w:w="1685"/>
        <w:gridCol w:w="1948"/>
        <w:gridCol w:w="2600"/>
        <w:gridCol w:w="1214"/>
        <w:gridCol w:w="66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04" w:hRule="atLeast"/>
          <w:jc w:val="center"/>
        </w:trPr>
        <w:tc>
          <w:tcPr>
            <w:tcW w:w="634" w:type="dxa"/>
            <w:vAlign w:val="center"/>
          </w:tcPr>
          <w:p>
            <w:pPr>
              <w:adjustRightInd w:val="0"/>
              <w:snapToGrid w:val="0"/>
              <w:ind w:left="-88" w:leftChars="-42"/>
              <w:jc w:val="cente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序号</w:t>
            </w:r>
          </w:p>
        </w:tc>
        <w:tc>
          <w:tcPr>
            <w:tcW w:w="1685" w:type="dxa"/>
            <w:vAlign w:val="center"/>
          </w:tcPr>
          <w:p>
            <w:pPr>
              <w:adjustRightInd w:val="0"/>
              <w:snapToGrid w:val="0"/>
              <w:ind w:left="-88" w:leftChars="-42"/>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磋商文件条目号</w:t>
            </w:r>
          </w:p>
        </w:tc>
        <w:tc>
          <w:tcPr>
            <w:tcW w:w="1948" w:type="dxa"/>
            <w:vAlign w:val="center"/>
          </w:tcPr>
          <w:p>
            <w:pPr>
              <w:adjustRightInd w:val="0"/>
              <w:snapToGrid w:val="0"/>
              <w:ind w:left="-88" w:leftChars="-42"/>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采购规格/商务条款</w:t>
            </w:r>
          </w:p>
        </w:tc>
        <w:tc>
          <w:tcPr>
            <w:tcW w:w="2600" w:type="dxa"/>
            <w:vAlign w:val="center"/>
          </w:tcPr>
          <w:p>
            <w:pPr>
              <w:adjustRightInd w:val="0"/>
              <w:snapToGrid w:val="0"/>
              <w:ind w:left="-88" w:leftChars="-42"/>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响应文件的规格/商务条款</w:t>
            </w:r>
          </w:p>
        </w:tc>
        <w:tc>
          <w:tcPr>
            <w:tcW w:w="1214" w:type="dxa"/>
            <w:vAlign w:val="center"/>
          </w:tcPr>
          <w:p>
            <w:pPr>
              <w:adjustRightInd w:val="0"/>
              <w:snapToGrid w:val="0"/>
              <w:ind w:left="-88" w:leftChars="-42"/>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响应与偏离</w:t>
            </w:r>
          </w:p>
        </w:tc>
        <w:tc>
          <w:tcPr>
            <w:tcW w:w="661" w:type="dxa"/>
            <w:vAlign w:val="center"/>
          </w:tcPr>
          <w:p>
            <w:pPr>
              <w:adjustRightInd w:val="0"/>
              <w:snapToGrid w:val="0"/>
              <w:ind w:left="-88" w:leftChars="-42"/>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05" w:hRule="atLeast"/>
          <w:jc w:val="center"/>
        </w:trPr>
        <w:tc>
          <w:tcPr>
            <w:tcW w:w="634" w:type="dxa"/>
          </w:tcPr>
          <w:p>
            <w:pPr>
              <w:adjustRightInd w:val="0"/>
              <w:snapToGrid w:val="0"/>
              <w:ind w:left="-88" w:leftChars="-42"/>
              <w:jc w:val="center"/>
              <w:rPr>
                <w:rFonts w:asciiTheme="minorEastAsia" w:hAnsiTheme="minorEastAsia" w:eastAsiaTheme="minorEastAsia" w:cstheme="minorEastAsia"/>
                <w:color w:val="auto"/>
                <w:szCs w:val="21"/>
              </w:rPr>
            </w:pPr>
          </w:p>
        </w:tc>
        <w:tc>
          <w:tcPr>
            <w:tcW w:w="1685" w:type="dxa"/>
            <w:vAlign w:val="center"/>
          </w:tcPr>
          <w:p>
            <w:pPr>
              <w:adjustRightInd w:val="0"/>
              <w:snapToGrid w:val="0"/>
              <w:ind w:left="-88" w:leftChars="-42"/>
              <w:jc w:val="center"/>
              <w:rPr>
                <w:rFonts w:asciiTheme="minorEastAsia" w:hAnsiTheme="minorEastAsia" w:eastAsiaTheme="minorEastAsia" w:cstheme="minorEastAsia"/>
                <w:color w:val="auto"/>
                <w:szCs w:val="21"/>
              </w:rPr>
            </w:pPr>
          </w:p>
        </w:tc>
        <w:tc>
          <w:tcPr>
            <w:tcW w:w="1948" w:type="dxa"/>
            <w:vAlign w:val="center"/>
          </w:tcPr>
          <w:p>
            <w:pPr>
              <w:adjustRightInd w:val="0"/>
              <w:snapToGrid w:val="0"/>
              <w:ind w:left="-88" w:leftChars="-42"/>
              <w:jc w:val="center"/>
              <w:rPr>
                <w:rFonts w:asciiTheme="minorEastAsia" w:hAnsiTheme="minorEastAsia" w:eastAsiaTheme="minorEastAsia" w:cstheme="minorEastAsia"/>
                <w:color w:val="auto"/>
                <w:szCs w:val="21"/>
              </w:rPr>
            </w:pPr>
          </w:p>
        </w:tc>
        <w:tc>
          <w:tcPr>
            <w:tcW w:w="2600" w:type="dxa"/>
            <w:vAlign w:val="center"/>
          </w:tcPr>
          <w:p>
            <w:pPr>
              <w:adjustRightInd w:val="0"/>
              <w:snapToGrid w:val="0"/>
              <w:ind w:left="-88" w:leftChars="-42"/>
              <w:jc w:val="center"/>
              <w:rPr>
                <w:rFonts w:asciiTheme="minorEastAsia" w:hAnsiTheme="minorEastAsia" w:eastAsiaTheme="minorEastAsia" w:cstheme="minorEastAsia"/>
                <w:color w:val="auto"/>
                <w:szCs w:val="21"/>
              </w:rPr>
            </w:pPr>
          </w:p>
        </w:tc>
        <w:tc>
          <w:tcPr>
            <w:tcW w:w="1214" w:type="dxa"/>
            <w:vAlign w:val="center"/>
          </w:tcPr>
          <w:p>
            <w:pPr>
              <w:adjustRightInd w:val="0"/>
              <w:snapToGrid w:val="0"/>
              <w:ind w:left="-88" w:leftChars="-42"/>
              <w:jc w:val="center"/>
              <w:rPr>
                <w:rFonts w:asciiTheme="minorEastAsia" w:hAnsiTheme="minorEastAsia" w:eastAsiaTheme="minorEastAsia" w:cstheme="minorEastAsia"/>
                <w:color w:val="auto"/>
                <w:szCs w:val="21"/>
              </w:rPr>
            </w:pPr>
          </w:p>
        </w:tc>
        <w:tc>
          <w:tcPr>
            <w:tcW w:w="661" w:type="dxa"/>
            <w:vAlign w:val="center"/>
          </w:tcPr>
          <w:p>
            <w:pPr>
              <w:adjustRightInd w:val="0"/>
              <w:snapToGrid w:val="0"/>
              <w:ind w:left="-88" w:leftChars="-42"/>
              <w:jc w:val="center"/>
              <w:rPr>
                <w:rFonts w:asciiTheme="minorEastAsia" w:hAnsiTheme="minorEastAsia" w:eastAsiaTheme="minorEastAsia" w:cstheme="minorEastAsia"/>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05" w:hRule="atLeast"/>
          <w:jc w:val="center"/>
        </w:trPr>
        <w:tc>
          <w:tcPr>
            <w:tcW w:w="634" w:type="dxa"/>
          </w:tcPr>
          <w:p>
            <w:pPr>
              <w:adjustRightInd w:val="0"/>
              <w:snapToGrid w:val="0"/>
              <w:ind w:left="-88" w:leftChars="-42"/>
              <w:jc w:val="center"/>
              <w:rPr>
                <w:rFonts w:asciiTheme="minorEastAsia" w:hAnsiTheme="minorEastAsia" w:eastAsiaTheme="minorEastAsia" w:cstheme="minorEastAsia"/>
                <w:color w:val="auto"/>
                <w:szCs w:val="21"/>
              </w:rPr>
            </w:pPr>
          </w:p>
        </w:tc>
        <w:tc>
          <w:tcPr>
            <w:tcW w:w="1685" w:type="dxa"/>
            <w:vAlign w:val="center"/>
          </w:tcPr>
          <w:p>
            <w:pPr>
              <w:adjustRightInd w:val="0"/>
              <w:snapToGrid w:val="0"/>
              <w:ind w:left="-88" w:leftChars="-42"/>
              <w:jc w:val="center"/>
              <w:rPr>
                <w:rFonts w:asciiTheme="minorEastAsia" w:hAnsiTheme="minorEastAsia" w:eastAsiaTheme="minorEastAsia" w:cstheme="minorEastAsia"/>
                <w:color w:val="auto"/>
                <w:szCs w:val="21"/>
              </w:rPr>
            </w:pPr>
          </w:p>
        </w:tc>
        <w:tc>
          <w:tcPr>
            <w:tcW w:w="1948" w:type="dxa"/>
            <w:vAlign w:val="center"/>
          </w:tcPr>
          <w:p>
            <w:pPr>
              <w:adjustRightInd w:val="0"/>
              <w:snapToGrid w:val="0"/>
              <w:ind w:left="-88" w:leftChars="-42"/>
              <w:jc w:val="center"/>
              <w:rPr>
                <w:rFonts w:asciiTheme="minorEastAsia" w:hAnsiTheme="minorEastAsia" w:eastAsiaTheme="minorEastAsia" w:cstheme="minorEastAsia"/>
                <w:color w:val="auto"/>
                <w:szCs w:val="21"/>
              </w:rPr>
            </w:pPr>
          </w:p>
        </w:tc>
        <w:tc>
          <w:tcPr>
            <w:tcW w:w="2600" w:type="dxa"/>
            <w:vAlign w:val="center"/>
          </w:tcPr>
          <w:p>
            <w:pPr>
              <w:adjustRightInd w:val="0"/>
              <w:snapToGrid w:val="0"/>
              <w:ind w:left="-88" w:leftChars="-42"/>
              <w:jc w:val="center"/>
              <w:rPr>
                <w:rFonts w:asciiTheme="minorEastAsia" w:hAnsiTheme="minorEastAsia" w:eastAsiaTheme="minorEastAsia" w:cstheme="minorEastAsia"/>
                <w:color w:val="auto"/>
                <w:szCs w:val="21"/>
              </w:rPr>
            </w:pPr>
          </w:p>
        </w:tc>
        <w:tc>
          <w:tcPr>
            <w:tcW w:w="1214" w:type="dxa"/>
            <w:vAlign w:val="center"/>
          </w:tcPr>
          <w:p>
            <w:pPr>
              <w:adjustRightInd w:val="0"/>
              <w:snapToGrid w:val="0"/>
              <w:ind w:left="-88" w:leftChars="-42"/>
              <w:jc w:val="center"/>
              <w:rPr>
                <w:rFonts w:asciiTheme="minorEastAsia" w:hAnsiTheme="minorEastAsia" w:eastAsiaTheme="minorEastAsia" w:cstheme="minorEastAsia"/>
                <w:color w:val="auto"/>
                <w:szCs w:val="21"/>
              </w:rPr>
            </w:pPr>
          </w:p>
        </w:tc>
        <w:tc>
          <w:tcPr>
            <w:tcW w:w="661" w:type="dxa"/>
            <w:vAlign w:val="center"/>
          </w:tcPr>
          <w:p>
            <w:pPr>
              <w:adjustRightInd w:val="0"/>
              <w:snapToGrid w:val="0"/>
              <w:ind w:left="-88" w:leftChars="-42"/>
              <w:jc w:val="center"/>
              <w:rPr>
                <w:rFonts w:asciiTheme="minorEastAsia" w:hAnsiTheme="minorEastAsia" w:eastAsiaTheme="minorEastAsia" w:cstheme="minorEastAsia"/>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05" w:hRule="atLeast"/>
          <w:jc w:val="center"/>
        </w:trPr>
        <w:tc>
          <w:tcPr>
            <w:tcW w:w="634" w:type="dxa"/>
          </w:tcPr>
          <w:p>
            <w:pPr>
              <w:adjustRightInd w:val="0"/>
              <w:snapToGrid w:val="0"/>
              <w:ind w:left="-88" w:leftChars="-42"/>
              <w:jc w:val="center"/>
              <w:rPr>
                <w:rFonts w:asciiTheme="minorEastAsia" w:hAnsiTheme="minorEastAsia" w:eastAsiaTheme="minorEastAsia" w:cstheme="minorEastAsia"/>
                <w:color w:val="auto"/>
                <w:szCs w:val="21"/>
              </w:rPr>
            </w:pPr>
          </w:p>
        </w:tc>
        <w:tc>
          <w:tcPr>
            <w:tcW w:w="1685" w:type="dxa"/>
            <w:vAlign w:val="center"/>
          </w:tcPr>
          <w:p>
            <w:pPr>
              <w:adjustRightInd w:val="0"/>
              <w:snapToGrid w:val="0"/>
              <w:ind w:left="-88" w:leftChars="-42"/>
              <w:jc w:val="center"/>
              <w:rPr>
                <w:rFonts w:asciiTheme="minorEastAsia" w:hAnsiTheme="minorEastAsia" w:eastAsiaTheme="minorEastAsia" w:cstheme="minorEastAsia"/>
                <w:color w:val="auto"/>
                <w:szCs w:val="21"/>
              </w:rPr>
            </w:pPr>
          </w:p>
        </w:tc>
        <w:tc>
          <w:tcPr>
            <w:tcW w:w="1948" w:type="dxa"/>
            <w:vAlign w:val="center"/>
          </w:tcPr>
          <w:p>
            <w:pPr>
              <w:adjustRightInd w:val="0"/>
              <w:snapToGrid w:val="0"/>
              <w:ind w:left="-88" w:leftChars="-42"/>
              <w:jc w:val="center"/>
              <w:rPr>
                <w:rFonts w:asciiTheme="minorEastAsia" w:hAnsiTheme="minorEastAsia" w:eastAsiaTheme="minorEastAsia" w:cstheme="minorEastAsia"/>
                <w:color w:val="auto"/>
                <w:szCs w:val="21"/>
              </w:rPr>
            </w:pPr>
          </w:p>
        </w:tc>
        <w:tc>
          <w:tcPr>
            <w:tcW w:w="2600" w:type="dxa"/>
            <w:vAlign w:val="center"/>
          </w:tcPr>
          <w:p>
            <w:pPr>
              <w:adjustRightInd w:val="0"/>
              <w:snapToGrid w:val="0"/>
              <w:ind w:left="-88" w:leftChars="-42"/>
              <w:jc w:val="center"/>
              <w:rPr>
                <w:rFonts w:asciiTheme="minorEastAsia" w:hAnsiTheme="minorEastAsia" w:eastAsiaTheme="minorEastAsia" w:cstheme="minorEastAsia"/>
                <w:color w:val="auto"/>
                <w:szCs w:val="21"/>
              </w:rPr>
            </w:pPr>
          </w:p>
        </w:tc>
        <w:tc>
          <w:tcPr>
            <w:tcW w:w="1214" w:type="dxa"/>
            <w:vAlign w:val="center"/>
          </w:tcPr>
          <w:p>
            <w:pPr>
              <w:adjustRightInd w:val="0"/>
              <w:snapToGrid w:val="0"/>
              <w:ind w:left="-88" w:leftChars="-42"/>
              <w:jc w:val="center"/>
              <w:rPr>
                <w:rFonts w:asciiTheme="minorEastAsia" w:hAnsiTheme="minorEastAsia" w:eastAsiaTheme="minorEastAsia" w:cstheme="minorEastAsia"/>
                <w:color w:val="auto"/>
                <w:szCs w:val="21"/>
              </w:rPr>
            </w:pPr>
          </w:p>
        </w:tc>
        <w:tc>
          <w:tcPr>
            <w:tcW w:w="661" w:type="dxa"/>
            <w:vAlign w:val="center"/>
          </w:tcPr>
          <w:p>
            <w:pPr>
              <w:adjustRightInd w:val="0"/>
              <w:snapToGrid w:val="0"/>
              <w:ind w:left="-88" w:leftChars="-42"/>
              <w:jc w:val="center"/>
              <w:rPr>
                <w:rFonts w:asciiTheme="minorEastAsia" w:hAnsiTheme="minorEastAsia" w:eastAsiaTheme="minorEastAsia" w:cstheme="minorEastAsia"/>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05" w:hRule="atLeast"/>
          <w:jc w:val="center"/>
        </w:trPr>
        <w:tc>
          <w:tcPr>
            <w:tcW w:w="634" w:type="dxa"/>
          </w:tcPr>
          <w:p>
            <w:pPr>
              <w:adjustRightInd w:val="0"/>
              <w:snapToGrid w:val="0"/>
              <w:ind w:left="-88" w:leftChars="-42"/>
              <w:jc w:val="center"/>
              <w:rPr>
                <w:rFonts w:asciiTheme="minorEastAsia" w:hAnsiTheme="minorEastAsia" w:eastAsiaTheme="minorEastAsia" w:cstheme="minorEastAsia"/>
                <w:color w:val="auto"/>
                <w:szCs w:val="21"/>
              </w:rPr>
            </w:pPr>
          </w:p>
        </w:tc>
        <w:tc>
          <w:tcPr>
            <w:tcW w:w="1685" w:type="dxa"/>
            <w:vAlign w:val="center"/>
          </w:tcPr>
          <w:p>
            <w:pPr>
              <w:adjustRightInd w:val="0"/>
              <w:snapToGrid w:val="0"/>
              <w:ind w:left="-88" w:leftChars="-42"/>
              <w:jc w:val="center"/>
              <w:rPr>
                <w:rFonts w:asciiTheme="minorEastAsia" w:hAnsiTheme="minorEastAsia" w:eastAsiaTheme="minorEastAsia" w:cstheme="minorEastAsia"/>
                <w:color w:val="auto"/>
                <w:szCs w:val="21"/>
              </w:rPr>
            </w:pPr>
          </w:p>
        </w:tc>
        <w:tc>
          <w:tcPr>
            <w:tcW w:w="1948" w:type="dxa"/>
            <w:vAlign w:val="center"/>
          </w:tcPr>
          <w:p>
            <w:pPr>
              <w:adjustRightInd w:val="0"/>
              <w:snapToGrid w:val="0"/>
              <w:ind w:left="-88" w:leftChars="-42"/>
              <w:jc w:val="center"/>
              <w:rPr>
                <w:rFonts w:asciiTheme="minorEastAsia" w:hAnsiTheme="minorEastAsia" w:eastAsiaTheme="minorEastAsia" w:cstheme="minorEastAsia"/>
                <w:color w:val="auto"/>
                <w:szCs w:val="21"/>
              </w:rPr>
            </w:pPr>
          </w:p>
        </w:tc>
        <w:tc>
          <w:tcPr>
            <w:tcW w:w="2600" w:type="dxa"/>
            <w:vAlign w:val="center"/>
          </w:tcPr>
          <w:p>
            <w:pPr>
              <w:adjustRightInd w:val="0"/>
              <w:snapToGrid w:val="0"/>
              <w:ind w:left="-88" w:leftChars="-42"/>
              <w:jc w:val="center"/>
              <w:rPr>
                <w:rFonts w:asciiTheme="minorEastAsia" w:hAnsiTheme="minorEastAsia" w:eastAsiaTheme="minorEastAsia" w:cstheme="minorEastAsia"/>
                <w:color w:val="auto"/>
                <w:szCs w:val="21"/>
              </w:rPr>
            </w:pPr>
          </w:p>
        </w:tc>
        <w:tc>
          <w:tcPr>
            <w:tcW w:w="1214" w:type="dxa"/>
            <w:vAlign w:val="center"/>
          </w:tcPr>
          <w:p>
            <w:pPr>
              <w:adjustRightInd w:val="0"/>
              <w:snapToGrid w:val="0"/>
              <w:ind w:left="-88" w:leftChars="-42"/>
              <w:jc w:val="center"/>
              <w:rPr>
                <w:rFonts w:asciiTheme="minorEastAsia" w:hAnsiTheme="minorEastAsia" w:eastAsiaTheme="minorEastAsia" w:cstheme="minorEastAsia"/>
                <w:color w:val="auto"/>
                <w:szCs w:val="21"/>
              </w:rPr>
            </w:pPr>
          </w:p>
        </w:tc>
        <w:tc>
          <w:tcPr>
            <w:tcW w:w="661" w:type="dxa"/>
            <w:vAlign w:val="center"/>
          </w:tcPr>
          <w:p>
            <w:pPr>
              <w:adjustRightInd w:val="0"/>
              <w:snapToGrid w:val="0"/>
              <w:ind w:left="-88" w:leftChars="-42"/>
              <w:jc w:val="center"/>
              <w:rPr>
                <w:rFonts w:asciiTheme="minorEastAsia" w:hAnsiTheme="minorEastAsia" w:eastAsiaTheme="minorEastAsia" w:cstheme="minorEastAsia"/>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05" w:hRule="atLeast"/>
          <w:jc w:val="center"/>
        </w:trPr>
        <w:tc>
          <w:tcPr>
            <w:tcW w:w="634" w:type="dxa"/>
          </w:tcPr>
          <w:p>
            <w:pPr>
              <w:adjustRightInd w:val="0"/>
              <w:snapToGrid w:val="0"/>
              <w:ind w:left="-88" w:leftChars="-42"/>
              <w:jc w:val="center"/>
              <w:rPr>
                <w:rFonts w:asciiTheme="minorEastAsia" w:hAnsiTheme="minorEastAsia" w:eastAsiaTheme="minorEastAsia" w:cstheme="minorEastAsia"/>
                <w:color w:val="auto"/>
                <w:szCs w:val="21"/>
              </w:rPr>
            </w:pPr>
          </w:p>
        </w:tc>
        <w:tc>
          <w:tcPr>
            <w:tcW w:w="1685" w:type="dxa"/>
            <w:vAlign w:val="center"/>
          </w:tcPr>
          <w:p>
            <w:pPr>
              <w:adjustRightInd w:val="0"/>
              <w:snapToGrid w:val="0"/>
              <w:ind w:left="-88" w:leftChars="-42"/>
              <w:jc w:val="center"/>
              <w:rPr>
                <w:rFonts w:asciiTheme="minorEastAsia" w:hAnsiTheme="minorEastAsia" w:eastAsiaTheme="minorEastAsia" w:cstheme="minorEastAsia"/>
                <w:color w:val="auto"/>
                <w:szCs w:val="21"/>
              </w:rPr>
            </w:pPr>
          </w:p>
        </w:tc>
        <w:tc>
          <w:tcPr>
            <w:tcW w:w="1948" w:type="dxa"/>
            <w:vAlign w:val="center"/>
          </w:tcPr>
          <w:p>
            <w:pPr>
              <w:adjustRightInd w:val="0"/>
              <w:snapToGrid w:val="0"/>
              <w:ind w:left="-88" w:leftChars="-42"/>
              <w:jc w:val="center"/>
              <w:rPr>
                <w:rFonts w:asciiTheme="minorEastAsia" w:hAnsiTheme="minorEastAsia" w:eastAsiaTheme="minorEastAsia" w:cstheme="minorEastAsia"/>
                <w:color w:val="auto"/>
                <w:szCs w:val="21"/>
              </w:rPr>
            </w:pPr>
          </w:p>
        </w:tc>
        <w:tc>
          <w:tcPr>
            <w:tcW w:w="2600" w:type="dxa"/>
            <w:vAlign w:val="center"/>
          </w:tcPr>
          <w:p>
            <w:pPr>
              <w:adjustRightInd w:val="0"/>
              <w:snapToGrid w:val="0"/>
              <w:ind w:left="-88" w:leftChars="-42"/>
              <w:jc w:val="center"/>
              <w:rPr>
                <w:rFonts w:asciiTheme="minorEastAsia" w:hAnsiTheme="minorEastAsia" w:eastAsiaTheme="minorEastAsia" w:cstheme="minorEastAsia"/>
                <w:color w:val="auto"/>
                <w:szCs w:val="21"/>
              </w:rPr>
            </w:pPr>
          </w:p>
        </w:tc>
        <w:tc>
          <w:tcPr>
            <w:tcW w:w="1214" w:type="dxa"/>
            <w:vAlign w:val="center"/>
          </w:tcPr>
          <w:p>
            <w:pPr>
              <w:adjustRightInd w:val="0"/>
              <w:snapToGrid w:val="0"/>
              <w:ind w:left="-88" w:leftChars="-42"/>
              <w:jc w:val="center"/>
              <w:rPr>
                <w:rFonts w:asciiTheme="minorEastAsia" w:hAnsiTheme="minorEastAsia" w:eastAsiaTheme="minorEastAsia" w:cstheme="minorEastAsia"/>
                <w:color w:val="auto"/>
                <w:szCs w:val="21"/>
              </w:rPr>
            </w:pPr>
          </w:p>
        </w:tc>
        <w:tc>
          <w:tcPr>
            <w:tcW w:w="661" w:type="dxa"/>
            <w:vAlign w:val="center"/>
          </w:tcPr>
          <w:p>
            <w:pPr>
              <w:adjustRightInd w:val="0"/>
              <w:snapToGrid w:val="0"/>
              <w:ind w:left="-88" w:leftChars="-42"/>
              <w:jc w:val="center"/>
              <w:rPr>
                <w:rFonts w:asciiTheme="minorEastAsia" w:hAnsiTheme="minorEastAsia" w:eastAsiaTheme="minorEastAsia" w:cstheme="minorEastAsia"/>
                <w:color w:val="auto"/>
                <w:szCs w:val="21"/>
              </w:rPr>
            </w:pPr>
          </w:p>
        </w:tc>
      </w:tr>
    </w:tbl>
    <w:p>
      <w:pPr>
        <w:adjustRightInd w:val="0"/>
        <w:snapToGrid w:val="0"/>
        <w:spacing w:line="360" w:lineRule="auto"/>
        <w:ind w:left="-88" w:leftChars="-42"/>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说明：1、“响应与偏离”应注明“响应”或“偏离”。</w:t>
      </w:r>
    </w:p>
    <w:p>
      <w:pPr>
        <w:adjustRightInd w:val="0"/>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2、属磋商文件规定可能变动的内容在“说明”栏中注明。</w:t>
      </w:r>
    </w:p>
    <w:p>
      <w:pPr>
        <w:pStyle w:val="28"/>
        <w:rPr>
          <w:rFonts w:asciiTheme="minorEastAsia" w:hAnsiTheme="minorEastAsia" w:eastAsiaTheme="minorEastAsia" w:cstheme="minorEastAsia"/>
          <w:color w:val="auto"/>
        </w:rPr>
      </w:pPr>
    </w:p>
    <w:p>
      <w:pPr>
        <w:rPr>
          <w:rFonts w:asciiTheme="minorEastAsia" w:hAnsiTheme="minorEastAsia" w:eastAsiaTheme="minorEastAsia" w:cstheme="minorEastAsia"/>
          <w:color w:val="auto"/>
        </w:rPr>
      </w:pPr>
    </w:p>
    <w:p>
      <w:pPr>
        <w:rPr>
          <w:rFonts w:asciiTheme="minorEastAsia" w:hAnsiTheme="minorEastAsia" w:eastAsiaTheme="minorEastAsia" w:cstheme="minorEastAsia"/>
          <w:color w:val="auto"/>
        </w:rPr>
      </w:pPr>
    </w:p>
    <w:p>
      <w:pPr>
        <w:rPr>
          <w:rFonts w:asciiTheme="minorEastAsia" w:hAnsiTheme="minorEastAsia" w:eastAsiaTheme="minorEastAsia" w:cstheme="minorEastAsia"/>
          <w:color w:val="auto"/>
        </w:rPr>
      </w:pPr>
    </w:p>
    <w:p>
      <w:pPr>
        <w:rPr>
          <w:rFonts w:asciiTheme="minorEastAsia" w:hAnsiTheme="minorEastAsia" w:eastAsiaTheme="minorEastAsia" w:cstheme="minorEastAsia"/>
          <w:color w:val="auto"/>
        </w:rPr>
      </w:pPr>
    </w:p>
    <w:p>
      <w:pPr>
        <w:rPr>
          <w:rFonts w:asciiTheme="minorEastAsia" w:hAnsiTheme="minorEastAsia" w:eastAsiaTheme="minorEastAsia" w:cstheme="minorEastAsia"/>
          <w:color w:val="auto"/>
        </w:rPr>
      </w:pPr>
    </w:p>
    <w:p>
      <w:pPr>
        <w:rPr>
          <w:rFonts w:asciiTheme="minorEastAsia" w:hAnsiTheme="minorEastAsia" w:eastAsiaTheme="minorEastAsia" w:cstheme="minorEastAsia"/>
          <w:color w:val="auto"/>
        </w:rPr>
      </w:pPr>
    </w:p>
    <w:p>
      <w:pP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供应商名称：</w:t>
      </w:r>
    </w:p>
    <w:p>
      <w:pP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法定代表人或其委托代理人(签字)：</w:t>
      </w:r>
    </w:p>
    <w:p>
      <w:pP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日期：年月日</w:t>
      </w:r>
    </w:p>
    <w:p>
      <w:pPr>
        <w:adjustRightInd w:val="0"/>
        <w:snapToGrid w:val="0"/>
        <w:spacing w:line="360" w:lineRule="auto"/>
        <w:rPr>
          <w:rFonts w:asciiTheme="minorEastAsia" w:hAnsiTheme="minorEastAsia" w:eastAsiaTheme="minorEastAsia" w:cstheme="minorEastAsia"/>
          <w:color w:val="auto"/>
          <w:szCs w:val="21"/>
        </w:rPr>
      </w:pPr>
    </w:p>
    <w:p>
      <w:pPr>
        <w:tabs>
          <w:tab w:val="left" w:pos="3600"/>
        </w:tabs>
        <w:adjustRightInd w:val="0"/>
        <w:snapToGrid w:val="0"/>
        <w:jc w:val="center"/>
        <w:rPr>
          <w:rFonts w:asciiTheme="minorEastAsia" w:hAnsiTheme="minorEastAsia" w:eastAsiaTheme="minorEastAsia" w:cstheme="minorEastAsia"/>
          <w:b/>
          <w:color w:val="auto"/>
          <w:sz w:val="32"/>
          <w:szCs w:val="32"/>
        </w:rPr>
      </w:pPr>
    </w:p>
    <w:p>
      <w:pPr>
        <w:tabs>
          <w:tab w:val="left" w:pos="3600"/>
        </w:tabs>
        <w:adjustRightInd w:val="0"/>
        <w:snapToGrid w:val="0"/>
        <w:jc w:val="center"/>
        <w:rPr>
          <w:rFonts w:asciiTheme="minorEastAsia" w:hAnsiTheme="minorEastAsia" w:eastAsiaTheme="minorEastAsia" w:cstheme="minorEastAsia"/>
          <w:b/>
          <w:color w:val="auto"/>
          <w:sz w:val="32"/>
          <w:szCs w:val="32"/>
        </w:rPr>
      </w:pPr>
    </w:p>
    <w:p>
      <w:pPr>
        <w:tabs>
          <w:tab w:val="left" w:pos="3600"/>
        </w:tabs>
        <w:adjustRightInd w:val="0"/>
        <w:snapToGrid w:val="0"/>
        <w:jc w:val="center"/>
        <w:rPr>
          <w:rFonts w:asciiTheme="minorEastAsia" w:hAnsiTheme="minorEastAsia" w:eastAsiaTheme="minorEastAsia" w:cstheme="minorEastAsia"/>
          <w:b/>
          <w:color w:val="auto"/>
          <w:sz w:val="32"/>
          <w:szCs w:val="32"/>
        </w:rPr>
      </w:pPr>
    </w:p>
    <w:p>
      <w:pPr>
        <w:tabs>
          <w:tab w:val="left" w:pos="3600"/>
        </w:tabs>
        <w:adjustRightInd w:val="0"/>
        <w:snapToGrid w:val="0"/>
        <w:jc w:val="center"/>
        <w:rPr>
          <w:rFonts w:asciiTheme="minorEastAsia" w:hAnsiTheme="minorEastAsia" w:eastAsiaTheme="minorEastAsia" w:cstheme="minorEastAsia"/>
          <w:b/>
          <w:color w:val="auto"/>
          <w:sz w:val="32"/>
          <w:szCs w:val="32"/>
        </w:rPr>
      </w:pPr>
    </w:p>
    <w:p>
      <w:pPr>
        <w:tabs>
          <w:tab w:val="left" w:pos="3600"/>
        </w:tabs>
        <w:adjustRightInd w:val="0"/>
        <w:snapToGrid w:val="0"/>
        <w:jc w:val="center"/>
        <w:rPr>
          <w:rFonts w:asciiTheme="minorEastAsia" w:hAnsiTheme="minorEastAsia" w:eastAsiaTheme="minorEastAsia" w:cstheme="minorEastAsia"/>
          <w:b/>
          <w:color w:val="auto"/>
          <w:sz w:val="32"/>
          <w:szCs w:val="32"/>
        </w:rPr>
      </w:pPr>
    </w:p>
    <w:p>
      <w:pPr>
        <w:tabs>
          <w:tab w:val="left" w:pos="3600"/>
        </w:tabs>
        <w:adjustRightInd w:val="0"/>
        <w:snapToGrid w:val="0"/>
        <w:jc w:val="center"/>
        <w:rPr>
          <w:rFonts w:asciiTheme="minorEastAsia" w:hAnsiTheme="minorEastAsia" w:eastAsiaTheme="minorEastAsia" w:cstheme="minorEastAsia"/>
          <w:b/>
          <w:color w:val="auto"/>
          <w:sz w:val="32"/>
          <w:szCs w:val="32"/>
        </w:rPr>
      </w:pPr>
    </w:p>
    <w:p>
      <w:pPr>
        <w:tabs>
          <w:tab w:val="left" w:pos="3600"/>
        </w:tabs>
        <w:adjustRightInd w:val="0"/>
        <w:snapToGrid w:val="0"/>
        <w:jc w:val="center"/>
        <w:rPr>
          <w:rFonts w:asciiTheme="minorEastAsia" w:hAnsiTheme="minorEastAsia" w:eastAsiaTheme="minorEastAsia" w:cstheme="minorEastAsia"/>
          <w:b/>
          <w:color w:val="auto"/>
          <w:sz w:val="32"/>
          <w:szCs w:val="32"/>
        </w:rPr>
      </w:pPr>
    </w:p>
    <w:p>
      <w:pPr>
        <w:tabs>
          <w:tab w:val="left" w:pos="3600"/>
        </w:tabs>
        <w:adjustRightInd w:val="0"/>
        <w:snapToGrid w:val="0"/>
        <w:jc w:val="center"/>
        <w:rPr>
          <w:rFonts w:asciiTheme="minorEastAsia" w:hAnsiTheme="minorEastAsia" w:eastAsiaTheme="minorEastAsia" w:cstheme="minorEastAsia"/>
          <w:b/>
          <w:color w:val="auto"/>
          <w:sz w:val="32"/>
          <w:szCs w:val="32"/>
        </w:rPr>
      </w:pPr>
    </w:p>
    <w:p>
      <w:pPr>
        <w:tabs>
          <w:tab w:val="left" w:pos="3600"/>
        </w:tabs>
        <w:adjustRightInd w:val="0"/>
        <w:snapToGrid w:val="0"/>
        <w:jc w:val="center"/>
        <w:rPr>
          <w:rFonts w:asciiTheme="minorEastAsia" w:hAnsiTheme="minorEastAsia" w:eastAsiaTheme="minorEastAsia" w:cstheme="minorEastAsia"/>
          <w:b/>
          <w:color w:val="auto"/>
          <w:sz w:val="32"/>
          <w:szCs w:val="32"/>
        </w:rPr>
      </w:pPr>
    </w:p>
    <w:p>
      <w:pPr>
        <w:tabs>
          <w:tab w:val="left" w:pos="3600"/>
        </w:tabs>
        <w:adjustRightInd w:val="0"/>
        <w:snapToGrid w:val="0"/>
        <w:jc w:val="center"/>
        <w:rPr>
          <w:rFonts w:asciiTheme="minorEastAsia" w:hAnsiTheme="minorEastAsia" w:eastAsiaTheme="minorEastAsia" w:cstheme="minorEastAsia"/>
          <w:b/>
          <w:color w:val="auto"/>
          <w:sz w:val="32"/>
          <w:szCs w:val="32"/>
        </w:rPr>
      </w:pPr>
    </w:p>
    <w:p>
      <w:pPr>
        <w:tabs>
          <w:tab w:val="left" w:pos="3600"/>
        </w:tabs>
        <w:adjustRightInd w:val="0"/>
        <w:snapToGrid w:val="0"/>
        <w:jc w:val="center"/>
        <w:rPr>
          <w:rFonts w:asciiTheme="minorEastAsia" w:hAnsiTheme="minorEastAsia" w:eastAsiaTheme="minorEastAsia" w:cstheme="minorEastAsia"/>
          <w:b/>
          <w:color w:val="auto"/>
          <w:sz w:val="32"/>
          <w:szCs w:val="32"/>
        </w:rPr>
      </w:pPr>
    </w:p>
    <w:p>
      <w:pPr>
        <w:tabs>
          <w:tab w:val="left" w:pos="3600"/>
        </w:tabs>
        <w:adjustRightInd w:val="0"/>
        <w:snapToGrid w:val="0"/>
        <w:rPr>
          <w:rFonts w:asciiTheme="minorEastAsia" w:hAnsiTheme="minorEastAsia" w:eastAsiaTheme="minorEastAsia" w:cstheme="minorEastAsia"/>
          <w:b/>
          <w:color w:val="auto"/>
          <w:sz w:val="32"/>
          <w:szCs w:val="32"/>
        </w:rPr>
      </w:pPr>
    </w:p>
    <w:p>
      <w:pPr>
        <w:spacing w:line="360" w:lineRule="exact"/>
        <w:jc w:val="center"/>
        <w:outlineLvl w:val="1"/>
        <w:rPr>
          <w:rFonts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br w:type="page"/>
      </w:r>
      <w:bookmarkStart w:id="91" w:name="_Toc26446"/>
      <w:r>
        <w:rPr>
          <w:rFonts w:hint="eastAsia" w:asciiTheme="minorEastAsia" w:hAnsiTheme="minorEastAsia" w:eastAsiaTheme="minorEastAsia" w:cstheme="minorEastAsia"/>
          <w:b/>
          <w:color w:val="auto"/>
          <w:sz w:val="32"/>
          <w:szCs w:val="32"/>
        </w:rPr>
        <w:t>六、提供享受政府采购政策的证明材料和清单表</w:t>
      </w:r>
      <w:bookmarkEnd w:id="91"/>
    </w:p>
    <w:p>
      <w:pPr>
        <w:tabs>
          <w:tab w:val="left" w:pos="3600"/>
        </w:tabs>
        <w:adjustRightInd w:val="0"/>
        <w:snapToGrid w:val="0"/>
        <w:jc w:val="center"/>
        <w:rPr>
          <w:rFonts w:asciiTheme="minorEastAsia" w:hAnsiTheme="minorEastAsia" w:eastAsiaTheme="minorEastAsia" w:cstheme="minorEastAsia"/>
          <w:b/>
          <w:color w:val="auto"/>
          <w:sz w:val="32"/>
          <w:szCs w:val="32"/>
        </w:rPr>
      </w:pPr>
    </w:p>
    <w:p>
      <w:pPr>
        <w:outlineLvl w:val="0"/>
        <w:rPr>
          <w:rFonts w:asciiTheme="minorEastAsia" w:hAnsiTheme="minorEastAsia" w:eastAsiaTheme="minorEastAsia" w:cstheme="minorEastAsia"/>
          <w:b/>
          <w:color w:val="auto"/>
          <w:sz w:val="30"/>
          <w:szCs w:val="30"/>
        </w:rPr>
      </w:pPr>
      <w:bookmarkStart w:id="92" w:name="_Toc3845"/>
      <w:r>
        <w:rPr>
          <w:rFonts w:hint="eastAsia" w:asciiTheme="minorEastAsia" w:hAnsiTheme="minorEastAsia" w:eastAsiaTheme="minorEastAsia" w:cstheme="minorEastAsia"/>
          <w:b/>
          <w:color w:val="auto"/>
          <w:sz w:val="30"/>
          <w:szCs w:val="30"/>
        </w:rPr>
        <w:t>附件8</w:t>
      </w:r>
      <w:bookmarkEnd w:id="92"/>
    </w:p>
    <w:p>
      <w:pPr>
        <w:jc w:val="center"/>
        <w:rPr>
          <w:rFonts w:ascii="宋体" w:hAnsi="宋体" w:cs="宋体"/>
          <w:b/>
          <w:bCs/>
          <w:color w:val="auto"/>
          <w:sz w:val="30"/>
          <w:szCs w:val="30"/>
        </w:rPr>
      </w:pPr>
      <w:r>
        <w:rPr>
          <w:rFonts w:ascii="宋体" w:hAnsi="宋体" w:cs="宋体"/>
          <w:b/>
          <w:bCs/>
          <w:color w:val="auto"/>
          <w:sz w:val="30"/>
          <w:szCs w:val="30"/>
        </w:rPr>
        <w:t>中小企业声明函（工程、服务）</w:t>
      </w:r>
    </w:p>
    <w:p>
      <w:pPr>
        <w:spacing w:line="480" w:lineRule="auto"/>
        <w:ind w:firstLine="420" w:firstLineChars="200"/>
        <w:rPr>
          <w:rFonts w:ascii="宋体" w:hAnsi="宋体" w:cs="宋体"/>
          <w:color w:val="auto"/>
          <w:szCs w:val="21"/>
        </w:rPr>
      </w:pPr>
    </w:p>
    <w:p>
      <w:pPr>
        <w:spacing w:line="480" w:lineRule="auto"/>
        <w:ind w:firstLine="420" w:firstLineChars="200"/>
        <w:rPr>
          <w:rFonts w:ascii="宋体" w:hAnsi="宋体" w:cs="宋体"/>
          <w:color w:val="auto"/>
          <w:szCs w:val="21"/>
        </w:rPr>
      </w:pPr>
      <w:r>
        <w:rPr>
          <w:rFonts w:ascii="宋体" w:hAnsi="宋体" w:cs="宋体"/>
          <w:color w:val="auto"/>
          <w:szCs w:val="21"/>
        </w:rPr>
        <w:t>本公司（联合体）郑重声明，根据《政府采购促进中小企业发展管理办法》（财库﹝2020﹞46 号）的规定，本公司（联合体）参加</w:t>
      </w:r>
      <w:r>
        <w:rPr>
          <w:rFonts w:ascii="宋体" w:hAnsi="宋体" w:cs="宋体"/>
          <w:color w:val="auto"/>
          <w:szCs w:val="21"/>
          <w:u w:val="single"/>
        </w:rPr>
        <w:t>（单位名称）</w:t>
      </w:r>
      <w:r>
        <w:rPr>
          <w:rFonts w:ascii="宋体" w:hAnsi="宋体" w:cs="宋体"/>
          <w:color w:val="auto"/>
          <w:szCs w:val="21"/>
        </w:rPr>
        <w:t>的</w:t>
      </w:r>
      <w:r>
        <w:rPr>
          <w:rFonts w:ascii="宋体" w:hAnsi="宋体" w:cs="宋体"/>
          <w:color w:val="auto"/>
          <w:szCs w:val="21"/>
          <w:u w:val="single"/>
        </w:rPr>
        <w:t>（项目名称）</w:t>
      </w:r>
      <w:r>
        <w:rPr>
          <w:rFonts w:ascii="宋体" w:hAnsi="宋体" w:cs="宋体"/>
          <w:color w:val="auto"/>
          <w:szCs w:val="21"/>
        </w:rPr>
        <w:t xml:space="preserve">采购活动，工程的施工单位全部为符合政策要求的中小企业（或者：服务全部由符合政策要求的中小企业承接）。相关企业（含联合 体中的中小企业、签订分包意向协议的中小企业）的具体情 况如下： </w:t>
      </w:r>
    </w:p>
    <w:p>
      <w:pPr>
        <w:numPr>
          <w:ilvl w:val="0"/>
          <w:numId w:val="6"/>
        </w:numPr>
        <w:spacing w:line="480" w:lineRule="auto"/>
        <w:ind w:firstLine="420" w:firstLineChars="200"/>
        <w:rPr>
          <w:rFonts w:ascii="宋体" w:hAnsi="宋体" w:cs="宋体"/>
          <w:color w:val="auto"/>
          <w:szCs w:val="21"/>
        </w:rPr>
      </w:pPr>
      <w:r>
        <w:rPr>
          <w:rFonts w:ascii="宋体" w:hAnsi="宋体" w:cs="宋体"/>
          <w:color w:val="auto"/>
          <w:szCs w:val="21"/>
          <w:u w:val="single"/>
        </w:rPr>
        <w:t xml:space="preserve">（标的名称） </w:t>
      </w:r>
      <w:r>
        <w:rPr>
          <w:rFonts w:ascii="宋体" w:hAnsi="宋体" w:cs="宋体"/>
          <w:color w:val="auto"/>
          <w:szCs w:val="21"/>
        </w:rPr>
        <w:t>，属于</w:t>
      </w:r>
      <w:r>
        <w:rPr>
          <w:rFonts w:ascii="宋体" w:hAnsi="宋体" w:cs="宋体"/>
          <w:color w:val="auto"/>
          <w:szCs w:val="21"/>
          <w:u w:val="single"/>
        </w:rPr>
        <w:t>（采购文件中明确的所属行业）</w:t>
      </w:r>
      <w:r>
        <w:rPr>
          <w:rFonts w:ascii="宋体" w:hAnsi="宋体" w:cs="宋体"/>
          <w:color w:val="auto"/>
          <w:szCs w:val="21"/>
        </w:rPr>
        <w:t>； 承建（承接）企业为</w:t>
      </w:r>
      <w:r>
        <w:rPr>
          <w:rFonts w:ascii="宋体" w:hAnsi="宋体" w:cs="宋体"/>
          <w:color w:val="auto"/>
          <w:szCs w:val="21"/>
          <w:u w:val="single"/>
        </w:rPr>
        <w:t>（企业名称）</w:t>
      </w:r>
      <w:r>
        <w:rPr>
          <w:rFonts w:ascii="宋体" w:hAnsi="宋体" w:cs="宋体"/>
          <w:color w:val="auto"/>
          <w:szCs w:val="21"/>
        </w:rPr>
        <w:t>，从业人员人，营业 收入为万元，资产总额为万元 ，属于</w:t>
      </w:r>
      <w:r>
        <w:rPr>
          <w:rFonts w:ascii="宋体" w:hAnsi="宋体" w:cs="宋体"/>
          <w:color w:val="auto"/>
          <w:szCs w:val="21"/>
          <w:u w:val="single"/>
        </w:rPr>
        <w:t>（中型企业、 小型企业、微型企业</w:t>
      </w:r>
      <w:r>
        <w:rPr>
          <w:rFonts w:ascii="宋体" w:hAnsi="宋体" w:cs="宋体"/>
          <w:color w:val="auto"/>
          <w:szCs w:val="21"/>
        </w:rPr>
        <w:t xml:space="preserve">）； </w:t>
      </w:r>
    </w:p>
    <w:p>
      <w:pPr>
        <w:numPr>
          <w:ilvl w:val="0"/>
          <w:numId w:val="6"/>
        </w:numPr>
        <w:spacing w:line="480" w:lineRule="auto"/>
        <w:ind w:firstLine="420" w:firstLineChars="200"/>
        <w:rPr>
          <w:rFonts w:ascii="宋体" w:hAnsi="宋体" w:cs="宋体"/>
          <w:color w:val="auto"/>
          <w:szCs w:val="21"/>
        </w:rPr>
      </w:pPr>
      <w:r>
        <w:rPr>
          <w:rFonts w:ascii="宋体" w:hAnsi="宋体" w:cs="宋体"/>
          <w:color w:val="auto"/>
          <w:szCs w:val="21"/>
          <w:u w:val="single"/>
        </w:rPr>
        <w:t>（标的名称）</w:t>
      </w:r>
      <w:r>
        <w:rPr>
          <w:rFonts w:hint="eastAsia" w:ascii="宋体" w:hAnsi="宋体" w:cs="宋体"/>
          <w:color w:val="auto"/>
          <w:szCs w:val="21"/>
        </w:rPr>
        <w:t>，</w:t>
      </w:r>
      <w:r>
        <w:rPr>
          <w:rFonts w:ascii="宋体" w:hAnsi="宋体" w:cs="宋体"/>
          <w:color w:val="auto"/>
          <w:szCs w:val="21"/>
        </w:rPr>
        <w:t>属于</w:t>
      </w:r>
      <w:r>
        <w:rPr>
          <w:rFonts w:ascii="宋体" w:hAnsi="宋体" w:cs="宋体"/>
          <w:color w:val="auto"/>
          <w:szCs w:val="21"/>
          <w:u w:val="single"/>
        </w:rPr>
        <w:t>（采购文件中明确的所属行业）</w:t>
      </w:r>
      <w:r>
        <w:rPr>
          <w:rFonts w:ascii="宋体" w:hAnsi="宋体" w:cs="宋体"/>
          <w:color w:val="auto"/>
          <w:szCs w:val="21"/>
        </w:rPr>
        <w:t>；承建（承接）企业为</w:t>
      </w:r>
      <w:r>
        <w:rPr>
          <w:rFonts w:ascii="宋体" w:hAnsi="宋体" w:cs="宋体"/>
          <w:color w:val="auto"/>
          <w:szCs w:val="21"/>
          <w:u w:val="single"/>
        </w:rPr>
        <w:t>（企业名称）</w:t>
      </w:r>
      <w:r>
        <w:rPr>
          <w:rFonts w:ascii="宋体" w:hAnsi="宋体" w:cs="宋体"/>
          <w:color w:val="auto"/>
          <w:szCs w:val="21"/>
        </w:rPr>
        <w:t>，从业人员人，营业 收入为万元，资产总额为万元，属于</w:t>
      </w:r>
      <w:r>
        <w:rPr>
          <w:rFonts w:ascii="宋体" w:hAnsi="宋体" w:cs="宋体"/>
          <w:color w:val="auto"/>
          <w:szCs w:val="21"/>
          <w:u w:val="single"/>
        </w:rPr>
        <w:t>（中型企业、 小型企业、微型企业）</w:t>
      </w:r>
      <w:r>
        <w:rPr>
          <w:rFonts w:ascii="宋体" w:hAnsi="宋体" w:cs="宋体"/>
          <w:color w:val="auto"/>
          <w:szCs w:val="21"/>
        </w:rPr>
        <w:t xml:space="preserve">； …… </w:t>
      </w:r>
    </w:p>
    <w:p>
      <w:pPr>
        <w:spacing w:line="480" w:lineRule="auto"/>
        <w:ind w:firstLine="420" w:firstLineChars="200"/>
        <w:rPr>
          <w:rFonts w:ascii="宋体" w:hAnsi="宋体" w:cs="宋体"/>
          <w:color w:val="auto"/>
          <w:szCs w:val="21"/>
        </w:rPr>
      </w:pPr>
      <w:r>
        <w:rPr>
          <w:rFonts w:ascii="宋体" w:hAnsi="宋体" w:cs="宋体"/>
          <w:color w:val="auto"/>
          <w:szCs w:val="21"/>
        </w:rPr>
        <w:t>以上企业，不属于大企业的分支机构，不存在控股股东 为大企业的情形，也不存在与大企业的负责人为同一人的情 形。</w:t>
      </w:r>
    </w:p>
    <w:p>
      <w:pPr>
        <w:spacing w:line="480" w:lineRule="auto"/>
        <w:ind w:firstLine="420" w:firstLineChars="200"/>
        <w:rPr>
          <w:rFonts w:ascii="宋体" w:hAnsi="宋体" w:cs="宋体"/>
          <w:color w:val="auto"/>
          <w:szCs w:val="21"/>
        </w:rPr>
      </w:pPr>
      <w:r>
        <w:rPr>
          <w:rFonts w:ascii="宋体" w:hAnsi="宋体" w:cs="宋体"/>
          <w:color w:val="auto"/>
          <w:szCs w:val="21"/>
        </w:rPr>
        <w:t xml:space="preserve"> 本企业对上述声明内容的真实性负责。如有虚假，将依法承担相应责任。 </w:t>
      </w:r>
    </w:p>
    <w:p>
      <w:pPr>
        <w:spacing w:line="480" w:lineRule="auto"/>
        <w:ind w:firstLine="420" w:firstLineChars="200"/>
        <w:rPr>
          <w:rFonts w:ascii="宋体" w:hAnsi="宋体" w:cs="宋体"/>
          <w:color w:val="auto"/>
          <w:szCs w:val="21"/>
        </w:rPr>
      </w:pPr>
    </w:p>
    <w:p>
      <w:pPr>
        <w:spacing w:line="480" w:lineRule="auto"/>
        <w:ind w:firstLine="4620" w:firstLineChars="2200"/>
        <w:rPr>
          <w:rFonts w:ascii="宋体" w:hAnsi="宋体" w:cs="宋体"/>
          <w:color w:val="auto"/>
          <w:szCs w:val="21"/>
        </w:rPr>
      </w:pPr>
      <w:r>
        <w:rPr>
          <w:rFonts w:ascii="宋体" w:hAnsi="宋体" w:cs="宋体"/>
          <w:color w:val="auto"/>
          <w:szCs w:val="21"/>
        </w:rPr>
        <w:t xml:space="preserve">企业名称（盖章）： </w:t>
      </w:r>
    </w:p>
    <w:p>
      <w:pPr>
        <w:spacing w:line="480" w:lineRule="auto"/>
        <w:ind w:firstLine="5460" w:firstLineChars="2600"/>
        <w:rPr>
          <w:rFonts w:ascii="宋体" w:hAnsi="宋体" w:cs="宋体"/>
          <w:color w:val="auto"/>
          <w:szCs w:val="21"/>
        </w:rPr>
      </w:pPr>
      <w:r>
        <w:rPr>
          <w:rFonts w:ascii="宋体" w:hAnsi="宋体" w:cs="宋体"/>
          <w:color w:val="auto"/>
          <w:szCs w:val="21"/>
        </w:rPr>
        <w:t xml:space="preserve">日 期： </w:t>
      </w:r>
    </w:p>
    <w:p>
      <w:pPr>
        <w:spacing w:line="480" w:lineRule="auto"/>
        <w:rPr>
          <w:rFonts w:ascii="宋体" w:hAnsi="宋体" w:cs="宋体"/>
          <w:color w:val="auto"/>
          <w:szCs w:val="21"/>
        </w:rPr>
      </w:pPr>
    </w:p>
    <w:p>
      <w:pPr>
        <w:spacing w:line="480" w:lineRule="auto"/>
        <w:rPr>
          <w:rFonts w:ascii="宋体" w:hAnsi="宋体" w:cs="宋体"/>
          <w:color w:val="auto"/>
          <w:szCs w:val="21"/>
        </w:rPr>
      </w:pPr>
    </w:p>
    <w:p>
      <w:pPr>
        <w:spacing w:line="480" w:lineRule="auto"/>
        <w:ind w:firstLine="420" w:firstLineChars="200"/>
        <w:rPr>
          <w:color w:val="auto"/>
          <w:szCs w:val="21"/>
        </w:rPr>
      </w:pPr>
      <w:r>
        <w:rPr>
          <w:rFonts w:ascii="宋体" w:hAnsi="宋体" w:cs="宋体"/>
          <w:color w:val="auto"/>
          <w:szCs w:val="21"/>
        </w:rPr>
        <w:t>资产总额</w:t>
      </w:r>
      <w:r>
        <w:rPr>
          <w:rFonts w:hint="eastAsia" w:ascii="宋体" w:hAnsi="宋体" w:cs="宋体"/>
          <w:color w:val="auto"/>
          <w:szCs w:val="21"/>
        </w:rPr>
        <w:t>：</w:t>
      </w:r>
      <w:r>
        <w:rPr>
          <w:rFonts w:ascii="宋体" w:hAnsi="宋体" w:cs="宋体"/>
          <w:color w:val="auto"/>
          <w:szCs w:val="21"/>
        </w:rPr>
        <w:t>从业人员、营业收入、资产总额填报上一年度数据，无上一年度数据的新成立企业可不填报。</w:t>
      </w:r>
    </w:p>
    <w:p>
      <w:pPr>
        <w:adjustRightInd w:val="0"/>
        <w:snapToGrid w:val="0"/>
        <w:spacing w:line="360" w:lineRule="auto"/>
        <w:rPr>
          <w:rFonts w:asciiTheme="minorEastAsia" w:hAnsiTheme="minorEastAsia" w:eastAsiaTheme="minorEastAsia" w:cstheme="minorEastAsia"/>
          <w:color w:val="auto"/>
          <w:szCs w:val="21"/>
        </w:rPr>
      </w:pPr>
    </w:p>
    <w:p>
      <w:pPr>
        <w:tabs>
          <w:tab w:val="left" w:pos="3600"/>
        </w:tabs>
        <w:adjustRightInd w:val="0"/>
        <w:snapToGrid w:val="0"/>
        <w:rPr>
          <w:rFonts w:asciiTheme="minorEastAsia" w:hAnsiTheme="minorEastAsia" w:eastAsiaTheme="minorEastAsia" w:cstheme="minorEastAsia"/>
          <w:b/>
          <w:color w:val="auto"/>
          <w:sz w:val="32"/>
          <w:szCs w:val="32"/>
        </w:rPr>
        <w:sectPr>
          <w:pgSz w:w="11906" w:h="16838"/>
          <w:pgMar w:top="1474" w:right="1474" w:bottom="250" w:left="1588" w:header="851" w:footer="992" w:gutter="0"/>
          <w:cols w:space="720" w:num="1"/>
          <w:docGrid w:linePitch="312" w:charSpace="0"/>
        </w:sectPr>
      </w:pPr>
    </w:p>
    <w:p>
      <w:pPr>
        <w:pStyle w:val="223"/>
        <w:adjustRightInd w:val="0"/>
        <w:snapToGrid w:val="0"/>
        <w:spacing w:before="50" w:line="360" w:lineRule="auto"/>
        <w:ind w:firstLine="0" w:firstLineChars="0"/>
        <w:jc w:val="center"/>
        <w:rPr>
          <w:rFonts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七、报价一览表及报价文件</w:t>
      </w:r>
    </w:p>
    <w:p>
      <w:pPr>
        <w:adjustRightInd w:val="0"/>
        <w:snapToGrid w:val="0"/>
        <w:spacing w:before="50" w:line="360" w:lineRule="auto"/>
        <w:jc w:val="left"/>
        <w:outlineLvl w:val="0"/>
        <w:rPr>
          <w:rFonts w:asciiTheme="minorEastAsia" w:hAnsiTheme="minorEastAsia" w:eastAsiaTheme="minorEastAsia" w:cstheme="minorEastAsia"/>
          <w:b/>
          <w:bCs/>
          <w:color w:val="auto"/>
          <w:sz w:val="30"/>
          <w:szCs w:val="30"/>
        </w:rPr>
      </w:pPr>
      <w:bookmarkStart w:id="93" w:name="_Toc15900"/>
      <w:r>
        <w:rPr>
          <w:rFonts w:hint="eastAsia" w:asciiTheme="minorEastAsia" w:hAnsiTheme="minorEastAsia" w:eastAsiaTheme="minorEastAsia" w:cstheme="minorEastAsia"/>
          <w:b/>
          <w:bCs/>
          <w:color w:val="auto"/>
          <w:sz w:val="30"/>
          <w:szCs w:val="30"/>
        </w:rPr>
        <w:t>附件9</w:t>
      </w:r>
      <w:bookmarkEnd w:id="93"/>
    </w:p>
    <w:p>
      <w:pPr>
        <w:pStyle w:val="223"/>
        <w:ind w:left="926" w:leftChars="441" w:firstLine="3092" w:firstLineChars="1100"/>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报价一览表</w:t>
      </w:r>
    </w:p>
    <w:p>
      <w:pPr>
        <w:pStyle w:val="223"/>
        <w:adjustRightInd w:val="0"/>
        <w:snapToGrid w:val="0"/>
        <w:spacing w:before="50" w:line="360" w:lineRule="auto"/>
        <w:ind w:left="927" w:firstLine="0" w:firstLineChars="0"/>
        <w:rPr>
          <w:rFonts w:asciiTheme="minorEastAsia" w:hAnsiTheme="minorEastAsia" w:eastAsiaTheme="minorEastAsia" w:cstheme="minorEastAsia"/>
          <w:b/>
          <w:color w:val="auto"/>
          <w:sz w:val="32"/>
          <w:szCs w:val="32"/>
        </w:rPr>
      </w:pPr>
    </w:p>
    <w:tbl>
      <w:tblPr>
        <w:tblStyle w:val="45"/>
        <w:tblW w:w="9514"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502"/>
        <w:gridCol w:w="3364"/>
        <w:gridCol w:w="1709"/>
        <w:gridCol w:w="193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30" w:hRule="atLeast"/>
          <w:jc w:val="center"/>
        </w:trPr>
        <w:tc>
          <w:tcPr>
            <w:tcW w:w="2502" w:type="dxa"/>
            <w:vMerge w:val="restart"/>
            <w:tcBorders>
              <w:top w:val="double" w:color="auto" w:sz="4" w:space="0"/>
              <w:bottom w:val="single" w:color="auto" w:sz="6" w:space="0"/>
              <w:right w:val="single" w:color="auto" w:sz="6"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项目名称</w:t>
            </w:r>
          </w:p>
        </w:tc>
        <w:tc>
          <w:tcPr>
            <w:tcW w:w="3364" w:type="dxa"/>
            <w:vMerge w:val="restart"/>
            <w:tcBorders>
              <w:top w:val="double" w:color="auto" w:sz="4" w:space="0"/>
              <w:left w:val="single" w:color="auto" w:sz="6" w:space="0"/>
              <w:bottom w:val="single" w:color="auto" w:sz="6" w:space="0"/>
              <w:right w:val="single" w:color="auto" w:sz="6" w:space="0"/>
            </w:tcBorders>
            <w:vAlign w:val="center"/>
          </w:tcPr>
          <w:p>
            <w:pPr>
              <w:jc w:val="center"/>
              <w:rPr>
                <w:rFonts w:asciiTheme="minorEastAsia" w:hAnsiTheme="minorEastAsia" w:eastAsiaTheme="minorEastAsia" w:cstheme="minorEastAsia"/>
                <w:color w:val="auto"/>
                <w:sz w:val="18"/>
                <w:szCs w:val="18"/>
              </w:rPr>
            </w:pPr>
          </w:p>
        </w:tc>
        <w:tc>
          <w:tcPr>
            <w:tcW w:w="1709" w:type="dxa"/>
            <w:tcBorders>
              <w:top w:val="double" w:color="auto" w:sz="4" w:space="0"/>
              <w:left w:val="single" w:color="auto" w:sz="6" w:space="0"/>
              <w:bottom w:val="single" w:color="auto" w:sz="6" w:space="0"/>
              <w:right w:val="single" w:color="auto" w:sz="6"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政府采购编号</w:t>
            </w:r>
          </w:p>
        </w:tc>
        <w:tc>
          <w:tcPr>
            <w:tcW w:w="1939" w:type="dxa"/>
            <w:tcBorders>
              <w:top w:val="double" w:color="auto" w:sz="4" w:space="0"/>
              <w:left w:val="single" w:color="auto" w:sz="6" w:space="0"/>
              <w:bottom w:val="single" w:color="auto" w:sz="6" w:space="0"/>
            </w:tcBorders>
            <w:vAlign w:val="center"/>
          </w:tcPr>
          <w:p>
            <w:pPr>
              <w:jc w:val="center"/>
              <w:rPr>
                <w:rFonts w:asciiTheme="minorEastAsia" w:hAnsiTheme="minorEastAsia" w:eastAsiaTheme="minorEastAsia" w:cstheme="minorEastAsia"/>
                <w:color w:val="auto"/>
                <w:sz w:val="18"/>
                <w:szCs w:val="1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30" w:hRule="atLeast"/>
          <w:jc w:val="center"/>
        </w:trPr>
        <w:tc>
          <w:tcPr>
            <w:tcW w:w="2502" w:type="dxa"/>
            <w:vMerge w:val="continue"/>
            <w:tcBorders>
              <w:top w:val="single" w:color="auto" w:sz="6" w:space="0"/>
              <w:bottom w:val="single" w:color="auto" w:sz="6" w:space="0"/>
              <w:right w:val="single" w:color="auto" w:sz="6" w:space="0"/>
            </w:tcBorders>
            <w:vAlign w:val="center"/>
          </w:tcPr>
          <w:p>
            <w:pPr>
              <w:jc w:val="center"/>
              <w:rPr>
                <w:rFonts w:asciiTheme="minorEastAsia" w:hAnsiTheme="minorEastAsia" w:eastAsiaTheme="minorEastAsia" w:cstheme="minorEastAsia"/>
                <w:color w:val="auto"/>
                <w:sz w:val="18"/>
                <w:szCs w:val="18"/>
              </w:rPr>
            </w:pPr>
          </w:p>
        </w:tc>
        <w:tc>
          <w:tcPr>
            <w:tcW w:w="3364" w:type="dxa"/>
            <w:vMerge w:val="continue"/>
            <w:tcBorders>
              <w:top w:val="single" w:color="auto" w:sz="6" w:space="0"/>
              <w:left w:val="single" w:color="auto" w:sz="6" w:space="0"/>
              <w:bottom w:val="single" w:color="auto" w:sz="6" w:space="0"/>
              <w:right w:val="single" w:color="auto" w:sz="6" w:space="0"/>
            </w:tcBorders>
            <w:vAlign w:val="center"/>
          </w:tcPr>
          <w:p>
            <w:pPr>
              <w:jc w:val="center"/>
              <w:rPr>
                <w:rFonts w:asciiTheme="minorEastAsia" w:hAnsiTheme="minorEastAsia" w:eastAsiaTheme="minorEastAsia" w:cstheme="minorEastAsia"/>
                <w:color w:val="auto"/>
                <w:sz w:val="18"/>
                <w:szCs w:val="18"/>
              </w:rPr>
            </w:pPr>
          </w:p>
        </w:tc>
        <w:tc>
          <w:tcPr>
            <w:tcW w:w="1709" w:type="dxa"/>
            <w:tcBorders>
              <w:top w:val="single" w:color="auto" w:sz="6" w:space="0"/>
              <w:left w:val="single" w:color="auto" w:sz="6" w:space="0"/>
              <w:bottom w:val="single" w:color="auto" w:sz="6" w:space="0"/>
              <w:right w:val="single" w:color="auto" w:sz="6"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采购代理编号</w:t>
            </w:r>
          </w:p>
        </w:tc>
        <w:tc>
          <w:tcPr>
            <w:tcW w:w="1939" w:type="dxa"/>
            <w:tcBorders>
              <w:top w:val="single" w:color="auto" w:sz="6" w:space="0"/>
              <w:left w:val="single" w:color="auto" w:sz="6" w:space="0"/>
              <w:bottom w:val="single" w:color="auto" w:sz="6" w:space="0"/>
            </w:tcBorders>
            <w:vAlign w:val="center"/>
          </w:tcPr>
          <w:p>
            <w:pPr>
              <w:jc w:val="center"/>
              <w:rPr>
                <w:rFonts w:asciiTheme="minorEastAsia" w:hAnsiTheme="minorEastAsia" w:eastAsiaTheme="minorEastAsia" w:cstheme="minorEastAsia"/>
                <w:color w:val="auto"/>
                <w:sz w:val="18"/>
                <w:szCs w:val="1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30" w:hRule="atLeast"/>
          <w:jc w:val="center"/>
        </w:trPr>
        <w:tc>
          <w:tcPr>
            <w:tcW w:w="2502" w:type="dxa"/>
            <w:tcBorders>
              <w:top w:val="single" w:color="auto" w:sz="6" w:space="0"/>
              <w:bottom w:val="single" w:color="auto" w:sz="6"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品目代码</w:t>
            </w:r>
          </w:p>
        </w:tc>
        <w:tc>
          <w:tcPr>
            <w:tcW w:w="7012" w:type="dxa"/>
            <w:gridSpan w:val="3"/>
            <w:tcBorders>
              <w:top w:val="single" w:color="auto" w:sz="6" w:space="0"/>
              <w:bottom w:val="single" w:color="auto" w:sz="6" w:space="0"/>
            </w:tcBorders>
            <w:vAlign w:val="center"/>
          </w:tcPr>
          <w:p>
            <w:pPr>
              <w:rPr>
                <w:rFonts w:asciiTheme="minorEastAsia" w:hAnsiTheme="minorEastAsia" w:eastAsiaTheme="minorEastAsia" w:cstheme="minorEastAsia"/>
                <w:color w:val="auto"/>
                <w:sz w:val="18"/>
                <w:szCs w:val="1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30" w:hRule="atLeast"/>
          <w:jc w:val="center"/>
        </w:trPr>
        <w:tc>
          <w:tcPr>
            <w:tcW w:w="2502" w:type="dxa"/>
            <w:tcBorders>
              <w:top w:val="single" w:color="auto" w:sz="6" w:space="0"/>
              <w:bottom w:val="single" w:color="auto" w:sz="6"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工程总报价</w:t>
            </w:r>
          </w:p>
        </w:tc>
        <w:tc>
          <w:tcPr>
            <w:tcW w:w="7012" w:type="dxa"/>
            <w:gridSpan w:val="3"/>
            <w:tcBorders>
              <w:top w:val="single" w:color="auto" w:sz="6" w:space="0"/>
              <w:bottom w:val="single" w:color="auto" w:sz="6" w:space="0"/>
            </w:tcBorders>
            <w:vAlign w:val="center"/>
          </w:tcPr>
          <w:p>
            <w:pP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大写：</w:t>
            </w:r>
            <w:r>
              <w:rPr>
                <w:rFonts w:hint="eastAsia" w:asciiTheme="minorEastAsia" w:hAnsiTheme="minorEastAsia" w:eastAsiaTheme="minorEastAsia" w:cstheme="minorEastAsia"/>
                <w:color w:val="auto"/>
                <w:sz w:val="18"/>
                <w:szCs w:val="18"/>
                <w:lang w:val="en-US" w:eastAsia="zh-CN"/>
              </w:rPr>
              <w:t xml:space="preserve">    </w:t>
            </w:r>
            <w:r>
              <w:rPr>
                <w:rFonts w:hint="eastAsia" w:asciiTheme="minorEastAsia" w:hAnsiTheme="minorEastAsia" w:eastAsiaTheme="minorEastAsia" w:cstheme="minorEastAsia"/>
                <w:color w:val="auto"/>
                <w:sz w:val="18"/>
                <w:szCs w:val="18"/>
              </w:rPr>
              <w:t>元人民币整</w:t>
            </w:r>
          </w:p>
          <w:p>
            <w:pP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小写：</w:t>
            </w:r>
            <w:r>
              <w:rPr>
                <w:rFonts w:hint="eastAsia" w:asciiTheme="minorEastAsia" w:hAnsiTheme="minorEastAsia" w:eastAsiaTheme="minorEastAsia" w:cstheme="minorEastAsia"/>
                <w:color w:val="auto"/>
                <w:sz w:val="18"/>
                <w:szCs w:val="18"/>
                <w:lang w:val="en-US" w:eastAsia="zh-CN"/>
              </w:rPr>
              <w:t xml:space="preserve">    </w:t>
            </w:r>
            <w:r>
              <w:rPr>
                <w:rFonts w:hint="eastAsia" w:asciiTheme="minorEastAsia" w:hAnsiTheme="minorEastAsia" w:eastAsiaTheme="minorEastAsia" w:cstheme="minorEastAsia"/>
                <w:color w:val="auto"/>
                <w:sz w:val="18"/>
                <w:szCs w:val="18"/>
              </w:rPr>
              <w:t>元人民币整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30" w:hRule="atLeast"/>
          <w:jc w:val="center"/>
        </w:trPr>
        <w:tc>
          <w:tcPr>
            <w:tcW w:w="2502" w:type="dxa"/>
            <w:tcBorders>
              <w:top w:val="single" w:color="auto" w:sz="6" w:space="0"/>
              <w:bottom w:val="single" w:color="auto" w:sz="6"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工期（日历天）</w:t>
            </w:r>
          </w:p>
        </w:tc>
        <w:tc>
          <w:tcPr>
            <w:tcW w:w="7012" w:type="dxa"/>
            <w:gridSpan w:val="3"/>
            <w:tcBorders>
              <w:top w:val="single" w:color="auto" w:sz="6" w:space="0"/>
              <w:bottom w:val="single" w:color="auto" w:sz="6" w:space="0"/>
            </w:tcBorders>
            <w:vAlign w:val="center"/>
          </w:tcPr>
          <w:p>
            <w:pPr>
              <w:jc w:val="center"/>
              <w:rPr>
                <w:rFonts w:asciiTheme="minorEastAsia" w:hAnsiTheme="minorEastAsia" w:eastAsiaTheme="minorEastAsia" w:cstheme="minorEastAsia"/>
                <w:color w:val="auto"/>
                <w:sz w:val="18"/>
                <w:szCs w:val="1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30" w:hRule="atLeast"/>
          <w:jc w:val="center"/>
        </w:trPr>
        <w:tc>
          <w:tcPr>
            <w:tcW w:w="2502" w:type="dxa"/>
            <w:tcBorders>
              <w:top w:val="single" w:color="auto" w:sz="6" w:space="0"/>
              <w:bottom w:val="single" w:color="auto" w:sz="6"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质量等级</w:t>
            </w:r>
          </w:p>
        </w:tc>
        <w:tc>
          <w:tcPr>
            <w:tcW w:w="7012" w:type="dxa"/>
            <w:gridSpan w:val="3"/>
            <w:tcBorders>
              <w:top w:val="single" w:color="auto" w:sz="6" w:space="0"/>
              <w:bottom w:val="single" w:color="auto" w:sz="6" w:space="0"/>
            </w:tcBorders>
            <w:vAlign w:val="center"/>
          </w:tcPr>
          <w:p>
            <w:pPr>
              <w:jc w:val="center"/>
              <w:rPr>
                <w:rFonts w:asciiTheme="minorEastAsia" w:hAnsiTheme="minorEastAsia" w:eastAsiaTheme="minorEastAsia" w:cstheme="minorEastAsia"/>
                <w:color w:val="auto"/>
                <w:sz w:val="18"/>
                <w:szCs w:val="1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30" w:hRule="atLeast"/>
          <w:jc w:val="center"/>
        </w:trPr>
        <w:tc>
          <w:tcPr>
            <w:tcW w:w="2502" w:type="dxa"/>
            <w:tcBorders>
              <w:top w:val="single" w:color="auto" w:sz="6" w:space="0"/>
              <w:bottom w:val="single" w:color="auto" w:sz="6"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保修承诺</w:t>
            </w:r>
          </w:p>
        </w:tc>
        <w:tc>
          <w:tcPr>
            <w:tcW w:w="7012" w:type="dxa"/>
            <w:gridSpan w:val="3"/>
            <w:tcBorders>
              <w:top w:val="single" w:color="auto" w:sz="6" w:space="0"/>
              <w:bottom w:val="single" w:color="auto" w:sz="6" w:space="0"/>
            </w:tcBorders>
            <w:vAlign w:val="center"/>
          </w:tcPr>
          <w:p>
            <w:pPr>
              <w:jc w:val="center"/>
              <w:rPr>
                <w:rFonts w:asciiTheme="minorEastAsia" w:hAnsiTheme="minorEastAsia" w:eastAsiaTheme="minorEastAsia" w:cstheme="minorEastAsia"/>
                <w:color w:val="auto"/>
                <w:sz w:val="18"/>
                <w:szCs w:val="1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30" w:hRule="atLeast"/>
          <w:jc w:val="center"/>
        </w:trPr>
        <w:tc>
          <w:tcPr>
            <w:tcW w:w="2502" w:type="dxa"/>
            <w:tcBorders>
              <w:top w:val="single" w:color="auto" w:sz="6" w:space="0"/>
              <w:bottom w:val="single" w:color="auto" w:sz="6"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项目负责人</w:t>
            </w:r>
          </w:p>
        </w:tc>
        <w:tc>
          <w:tcPr>
            <w:tcW w:w="7012" w:type="dxa"/>
            <w:gridSpan w:val="3"/>
            <w:tcBorders>
              <w:top w:val="single" w:color="auto" w:sz="6" w:space="0"/>
              <w:bottom w:val="single" w:color="auto" w:sz="6" w:space="0"/>
            </w:tcBorders>
            <w:vAlign w:val="center"/>
          </w:tcPr>
          <w:p>
            <w:pPr>
              <w:jc w:val="center"/>
              <w:rPr>
                <w:rFonts w:asciiTheme="minorEastAsia" w:hAnsiTheme="minorEastAsia" w:eastAsiaTheme="minorEastAsia" w:cstheme="minorEastAsia"/>
                <w:color w:val="auto"/>
                <w:sz w:val="18"/>
                <w:szCs w:val="1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30" w:hRule="atLeast"/>
          <w:jc w:val="center"/>
        </w:trPr>
        <w:tc>
          <w:tcPr>
            <w:tcW w:w="2502" w:type="dxa"/>
            <w:tcBorders>
              <w:top w:val="single" w:color="auto" w:sz="6" w:space="0"/>
              <w:bottom w:val="double" w:color="auto" w:sz="4"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备  注</w:t>
            </w:r>
          </w:p>
        </w:tc>
        <w:tc>
          <w:tcPr>
            <w:tcW w:w="7012" w:type="dxa"/>
            <w:gridSpan w:val="3"/>
            <w:tcBorders>
              <w:top w:val="single" w:color="auto" w:sz="6" w:space="0"/>
              <w:bottom w:val="double" w:color="auto" w:sz="4" w:space="0"/>
            </w:tcBorders>
            <w:vAlign w:val="center"/>
          </w:tcPr>
          <w:p>
            <w:pPr>
              <w:jc w:val="center"/>
              <w:rPr>
                <w:rFonts w:asciiTheme="minorEastAsia" w:hAnsiTheme="minorEastAsia" w:eastAsiaTheme="minorEastAsia" w:cstheme="minorEastAsia"/>
                <w:color w:val="auto"/>
                <w:sz w:val="18"/>
                <w:szCs w:val="18"/>
              </w:rPr>
            </w:pPr>
          </w:p>
        </w:tc>
      </w:tr>
    </w:tbl>
    <w:p>
      <w:pPr>
        <w:adjustRightInd w:val="0"/>
        <w:snapToGrid w:val="0"/>
        <w:spacing w:line="360" w:lineRule="auto"/>
        <w:rPr>
          <w:rFonts w:asciiTheme="minorEastAsia" w:hAnsiTheme="minorEastAsia" w:eastAsiaTheme="minorEastAsia" w:cstheme="minorEastAsia"/>
          <w:color w:val="auto"/>
          <w:sz w:val="20"/>
          <w:szCs w:val="21"/>
        </w:rPr>
      </w:pPr>
    </w:p>
    <w:p>
      <w:pPr>
        <w:adjustRightInd w:val="0"/>
        <w:snapToGrid w:val="0"/>
        <w:spacing w:line="360" w:lineRule="auto"/>
        <w:rPr>
          <w:rFonts w:asciiTheme="minorEastAsia" w:hAnsiTheme="minorEastAsia" w:eastAsiaTheme="minorEastAsia" w:cstheme="minorEastAsia"/>
          <w:color w:val="auto"/>
          <w:sz w:val="20"/>
          <w:szCs w:val="21"/>
        </w:rPr>
      </w:pPr>
      <w:r>
        <w:rPr>
          <w:rFonts w:hint="eastAsia" w:asciiTheme="minorEastAsia" w:hAnsiTheme="minorEastAsia" w:eastAsiaTheme="minorEastAsia" w:cstheme="minorEastAsia"/>
          <w:color w:val="auto"/>
          <w:sz w:val="20"/>
          <w:szCs w:val="21"/>
        </w:rPr>
        <w:t>说明：“品目代码”栏按《政府采购品目分类目录》规定填写，如B0303拆除工程。</w:t>
      </w:r>
    </w:p>
    <w:p>
      <w:pPr>
        <w:adjustRightInd w:val="0"/>
        <w:snapToGrid w:val="0"/>
        <w:spacing w:line="360" w:lineRule="auto"/>
        <w:rPr>
          <w:rFonts w:asciiTheme="minorEastAsia" w:hAnsiTheme="minorEastAsia" w:eastAsiaTheme="minorEastAsia" w:cstheme="minorEastAsia"/>
          <w:color w:val="auto"/>
          <w:sz w:val="20"/>
        </w:rPr>
      </w:pPr>
    </w:p>
    <w:p>
      <w:pPr>
        <w:adjustRightInd w:val="0"/>
        <w:snapToGrid w:val="0"/>
        <w:spacing w:line="360" w:lineRule="auto"/>
        <w:rPr>
          <w:rFonts w:asciiTheme="minorEastAsia" w:hAnsiTheme="minorEastAsia" w:eastAsiaTheme="minorEastAsia" w:cstheme="minorEastAsia"/>
          <w:color w:val="auto"/>
          <w:sz w:val="20"/>
        </w:rPr>
      </w:pPr>
    </w:p>
    <w:p>
      <w:pPr>
        <w:pStyle w:val="27"/>
        <w:adjustRightInd w:val="0"/>
        <w:snapToGrid w:val="0"/>
        <w:spacing w:line="480" w:lineRule="auto"/>
        <w:outlineLvl w:val="0"/>
        <w:rPr>
          <w:rFonts w:asciiTheme="minorEastAsia" w:hAnsiTheme="minorEastAsia" w:eastAsiaTheme="minorEastAsia" w:cstheme="minorEastAsia"/>
          <w:color w:val="auto"/>
          <w:sz w:val="21"/>
          <w:szCs w:val="21"/>
        </w:rPr>
      </w:pPr>
      <w:bookmarkStart w:id="94" w:name="_Toc31889"/>
      <w:r>
        <w:rPr>
          <w:rFonts w:hint="eastAsia" w:asciiTheme="minorEastAsia" w:hAnsiTheme="minorEastAsia" w:eastAsiaTheme="minorEastAsia" w:cstheme="minorEastAsia"/>
          <w:color w:val="auto"/>
          <w:sz w:val="21"/>
          <w:szCs w:val="21"/>
        </w:rPr>
        <w:t>供应商（盖单位章）：</w:t>
      </w:r>
      <w:bookmarkEnd w:id="94"/>
    </w:p>
    <w:p>
      <w:pPr>
        <w:pStyle w:val="27"/>
        <w:adjustRightInd w:val="0"/>
        <w:snapToGrid w:val="0"/>
        <w:spacing w:line="480" w:lineRule="auto"/>
        <w:outlineLvl w:val="0"/>
        <w:rPr>
          <w:rFonts w:asciiTheme="minorEastAsia" w:hAnsiTheme="minorEastAsia" w:eastAsiaTheme="minorEastAsia" w:cstheme="minorEastAsia"/>
          <w:color w:val="auto"/>
          <w:sz w:val="21"/>
          <w:szCs w:val="21"/>
        </w:rPr>
      </w:pPr>
      <w:bookmarkStart w:id="95" w:name="_Toc25270"/>
      <w:r>
        <w:rPr>
          <w:rFonts w:hint="eastAsia" w:asciiTheme="minorEastAsia" w:hAnsiTheme="minorEastAsia" w:eastAsiaTheme="minorEastAsia" w:cstheme="minorEastAsia"/>
          <w:color w:val="auto"/>
          <w:sz w:val="21"/>
          <w:szCs w:val="21"/>
        </w:rPr>
        <w:t>法定代表人或其委托代理人签字：</w:t>
      </w:r>
      <w:bookmarkEnd w:id="95"/>
    </w:p>
    <w:p>
      <w:pPr>
        <w:pStyle w:val="27"/>
        <w:adjustRightInd w:val="0"/>
        <w:snapToGrid w:val="0"/>
        <w:spacing w:line="480" w:lineRule="auto"/>
        <w:outlineLvl w:val="0"/>
        <w:rPr>
          <w:rFonts w:asciiTheme="minorEastAsia" w:hAnsiTheme="minorEastAsia" w:eastAsiaTheme="minorEastAsia" w:cstheme="minorEastAsia"/>
          <w:color w:val="auto"/>
          <w:sz w:val="21"/>
          <w:szCs w:val="21"/>
        </w:rPr>
      </w:pPr>
      <w:bookmarkStart w:id="96" w:name="_Toc32170"/>
      <w:r>
        <w:rPr>
          <w:rFonts w:hint="eastAsia" w:asciiTheme="minorEastAsia" w:hAnsiTheme="minorEastAsia" w:eastAsiaTheme="minorEastAsia" w:cstheme="minorEastAsia"/>
          <w:color w:val="auto"/>
          <w:sz w:val="21"/>
          <w:szCs w:val="21"/>
        </w:rPr>
        <w:t>日      期：     年    月   日</w:t>
      </w:r>
      <w:bookmarkEnd w:id="96"/>
    </w:p>
    <w:p>
      <w:pPr>
        <w:adjustRightInd w:val="0"/>
        <w:snapToGrid w:val="0"/>
        <w:rPr>
          <w:rFonts w:asciiTheme="minorEastAsia" w:hAnsiTheme="minorEastAsia" w:eastAsiaTheme="minorEastAsia" w:cstheme="minorEastAsia"/>
          <w:color w:val="auto"/>
          <w:sz w:val="30"/>
          <w:szCs w:val="30"/>
        </w:rPr>
      </w:pPr>
    </w:p>
    <w:p>
      <w:pPr>
        <w:adjustRightInd w:val="0"/>
        <w:snapToGrid w:val="0"/>
        <w:jc w:val="center"/>
        <w:rPr>
          <w:rFonts w:asciiTheme="minorEastAsia" w:hAnsiTheme="minorEastAsia" w:eastAsiaTheme="minorEastAsia" w:cstheme="minorEastAsia"/>
          <w:color w:val="auto"/>
          <w:sz w:val="28"/>
          <w:szCs w:val="28"/>
        </w:rPr>
      </w:pPr>
    </w:p>
    <w:p>
      <w:pPr>
        <w:adjustRightInd w:val="0"/>
        <w:snapToGrid w:val="0"/>
        <w:jc w:val="center"/>
        <w:rPr>
          <w:rFonts w:asciiTheme="minorEastAsia" w:hAnsiTheme="minorEastAsia" w:eastAsiaTheme="minorEastAsia" w:cstheme="minorEastAsia"/>
          <w:color w:val="auto"/>
          <w:sz w:val="28"/>
          <w:szCs w:val="28"/>
        </w:rPr>
      </w:pPr>
    </w:p>
    <w:p>
      <w:pPr>
        <w:adjustRightInd w:val="0"/>
        <w:snapToGrid w:val="0"/>
        <w:jc w:val="center"/>
        <w:rPr>
          <w:rFonts w:asciiTheme="minorEastAsia" w:hAnsiTheme="minorEastAsia" w:eastAsiaTheme="minorEastAsia" w:cstheme="minorEastAsia"/>
          <w:color w:val="auto"/>
          <w:sz w:val="28"/>
          <w:szCs w:val="28"/>
        </w:rPr>
      </w:pPr>
    </w:p>
    <w:p>
      <w:pPr>
        <w:adjustRightInd w:val="0"/>
        <w:snapToGrid w:val="0"/>
        <w:jc w:val="center"/>
        <w:rPr>
          <w:rFonts w:asciiTheme="minorEastAsia" w:hAnsiTheme="minorEastAsia" w:eastAsiaTheme="minorEastAsia" w:cstheme="minorEastAsia"/>
          <w:color w:val="auto"/>
          <w:sz w:val="28"/>
          <w:szCs w:val="28"/>
        </w:rPr>
      </w:pPr>
    </w:p>
    <w:p>
      <w:pPr>
        <w:adjustRightInd w:val="0"/>
        <w:snapToGrid w:val="0"/>
        <w:jc w:val="center"/>
        <w:rPr>
          <w:rFonts w:asciiTheme="minorEastAsia" w:hAnsiTheme="minorEastAsia" w:eastAsiaTheme="minorEastAsia" w:cstheme="minorEastAsia"/>
          <w:color w:val="auto"/>
          <w:sz w:val="28"/>
          <w:szCs w:val="28"/>
        </w:rPr>
      </w:pPr>
    </w:p>
    <w:p>
      <w:pPr>
        <w:adjustRightInd w:val="0"/>
        <w:snapToGrid w:val="0"/>
        <w:jc w:val="center"/>
        <w:rPr>
          <w:rFonts w:asciiTheme="minorEastAsia" w:hAnsiTheme="minorEastAsia" w:eastAsiaTheme="minorEastAsia" w:cstheme="minorEastAsia"/>
          <w:color w:val="auto"/>
          <w:sz w:val="28"/>
          <w:szCs w:val="28"/>
        </w:rPr>
      </w:pPr>
    </w:p>
    <w:p>
      <w:pPr>
        <w:adjustRightInd w:val="0"/>
        <w:snapToGrid w:val="0"/>
        <w:jc w:val="center"/>
        <w:rPr>
          <w:rFonts w:asciiTheme="minorEastAsia" w:hAnsiTheme="minorEastAsia" w:eastAsiaTheme="minorEastAsia" w:cstheme="minorEastAsia"/>
          <w:color w:val="auto"/>
          <w:sz w:val="28"/>
          <w:szCs w:val="28"/>
        </w:rPr>
      </w:pPr>
    </w:p>
    <w:p>
      <w:pPr>
        <w:adjustRightInd w:val="0"/>
        <w:snapToGrid w:val="0"/>
        <w:jc w:val="center"/>
        <w:rPr>
          <w:rFonts w:asciiTheme="minorEastAsia" w:hAnsiTheme="minorEastAsia" w:eastAsiaTheme="minorEastAsia" w:cstheme="minorEastAsia"/>
          <w:color w:val="auto"/>
          <w:sz w:val="28"/>
          <w:szCs w:val="28"/>
        </w:rPr>
      </w:pPr>
    </w:p>
    <w:p>
      <w:pPr>
        <w:adjustRightInd w:val="0"/>
        <w:snapToGrid w:val="0"/>
        <w:jc w:val="center"/>
        <w:rPr>
          <w:rFonts w:asciiTheme="minorEastAsia" w:hAnsiTheme="minorEastAsia" w:eastAsiaTheme="minorEastAsia" w:cstheme="minorEastAsia"/>
          <w:color w:val="auto"/>
          <w:sz w:val="28"/>
          <w:szCs w:val="28"/>
        </w:rPr>
      </w:pPr>
    </w:p>
    <w:p>
      <w:pPr>
        <w:adjustRightInd w:val="0"/>
        <w:snapToGrid w:val="0"/>
        <w:jc w:val="center"/>
        <w:rPr>
          <w:rFonts w:asciiTheme="minorEastAsia" w:hAnsiTheme="minorEastAsia" w:eastAsiaTheme="minorEastAsia" w:cstheme="minorEastAsia"/>
          <w:color w:val="auto"/>
          <w:sz w:val="28"/>
          <w:szCs w:val="28"/>
        </w:rPr>
      </w:pPr>
    </w:p>
    <w:p>
      <w:pPr>
        <w:adjustRightInd w:val="0"/>
        <w:snapToGrid w:val="0"/>
        <w:spacing w:before="50" w:line="360" w:lineRule="auto"/>
        <w:jc w:val="left"/>
        <w:outlineLvl w:val="0"/>
        <w:rPr>
          <w:rFonts w:asciiTheme="minorEastAsia" w:hAnsiTheme="minorEastAsia" w:eastAsiaTheme="minorEastAsia" w:cstheme="minorEastAsia"/>
          <w:b/>
          <w:bCs/>
          <w:color w:val="auto"/>
          <w:sz w:val="30"/>
          <w:szCs w:val="30"/>
        </w:rPr>
      </w:pPr>
      <w:bookmarkStart w:id="97" w:name="_Toc12619_WPSOffice_Level1"/>
      <w:bookmarkStart w:id="98" w:name="_Toc28368"/>
      <w:r>
        <w:rPr>
          <w:rFonts w:hint="eastAsia" w:asciiTheme="minorEastAsia" w:hAnsiTheme="minorEastAsia" w:eastAsiaTheme="minorEastAsia" w:cstheme="minorEastAsia"/>
          <w:b/>
          <w:bCs/>
          <w:color w:val="auto"/>
          <w:sz w:val="30"/>
          <w:szCs w:val="30"/>
        </w:rPr>
        <w:t>附件9-1</w:t>
      </w:r>
      <w:bookmarkEnd w:id="97"/>
      <w:bookmarkEnd w:id="98"/>
    </w:p>
    <w:p>
      <w:pPr>
        <w:adjustRightInd w:val="0"/>
        <w:snapToGrid w:val="0"/>
        <w:jc w:val="center"/>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 xml:space="preserve">分项价格表 </w:t>
      </w:r>
    </w:p>
    <w:p>
      <w:pPr>
        <w:spacing w:line="360" w:lineRule="exact"/>
        <w:ind w:firstLine="201" w:firstLineChars="100"/>
        <w:rPr>
          <w:rFonts w:asciiTheme="minorEastAsia" w:hAnsiTheme="minorEastAsia" w:eastAsiaTheme="minorEastAsia" w:cstheme="minorEastAsia"/>
          <w:b/>
          <w:color w:val="auto"/>
          <w:sz w:val="20"/>
        </w:rPr>
      </w:pP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按磋商文件提供的工程量清单报价。</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注：1、“工程量清单表”排序须与“工程量清单表（附件）”内容保持一致。</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p>
    <w:p>
      <w:pPr>
        <w:adjustRightInd w:val="0"/>
        <w:snapToGrid w:val="0"/>
        <w:spacing w:line="360" w:lineRule="auto"/>
        <w:ind w:firstLine="420" w:firstLineChars="200"/>
        <w:rPr>
          <w:rFonts w:asciiTheme="minorEastAsia" w:hAnsiTheme="minorEastAsia" w:eastAsiaTheme="minorEastAsia" w:cstheme="minorEastAsia"/>
          <w:color w:val="auto"/>
          <w:szCs w:val="21"/>
        </w:rPr>
      </w:pPr>
    </w:p>
    <w:p>
      <w:pPr>
        <w:adjustRightInd w:val="0"/>
        <w:snapToGrid w:val="0"/>
        <w:spacing w:line="360" w:lineRule="auto"/>
        <w:ind w:firstLine="420" w:firstLineChars="200"/>
        <w:rPr>
          <w:rFonts w:asciiTheme="minorEastAsia" w:hAnsiTheme="minorEastAsia" w:eastAsiaTheme="minorEastAsia" w:cstheme="minorEastAsia"/>
          <w:color w:val="auto"/>
          <w:szCs w:val="21"/>
        </w:rPr>
      </w:pPr>
    </w:p>
    <w:p>
      <w:pPr>
        <w:adjustRightInd w:val="0"/>
        <w:snapToGrid w:val="0"/>
        <w:spacing w:line="360" w:lineRule="auto"/>
        <w:ind w:firstLine="420" w:firstLineChars="200"/>
        <w:rPr>
          <w:rFonts w:asciiTheme="minorEastAsia" w:hAnsiTheme="minorEastAsia" w:eastAsiaTheme="minorEastAsia" w:cstheme="minorEastAsia"/>
          <w:color w:val="auto"/>
          <w:szCs w:val="21"/>
        </w:rPr>
      </w:pPr>
    </w:p>
    <w:p>
      <w:pPr>
        <w:adjustRightInd w:val="0"/>
        <w:snapToGrid w:val="0"/>
        <w:spacing w:line="360" w:lineRule="auto"/>
        <w:ind w:firstLine="420" w:firstLineChars="200"/>
        <w:rPr>
          <w:rFonts w:asciiTheme="minorEastAsia" w:hAnsiTheme="minorEastAsia" w:eastAsiaTheme="minorEastAsia" w:cstheme="minorEastAsia"/>
          <w:color w:val="auto"/>
          <w:szCs w:val="21"/>
        </w:rPr>
      </w:pPr>
    </w:p>
    <w:p>
      <w:pPr>
        <w:adjustRightInd w:val="0"/>
        <w:snapToGrid w:val="0"/>
        <w:rPr>
          <w:rFonts w:asciiTheme="minorEastAsia" w:hAnsiTheme="minorEastAsia" w:eastAsiaTheme="minorEastAsia" w:cstheme="minorEastAsia"/>
          <w:color w:val="auto"/>
          <w:szCs w:val="21"/>
        </w:rPr>
      </w:pPr>
    </w:p>
    <w:p>
      <w:pPr>
        <w:adjustRightInd w:val="0"/>
        <w:snapToGrid w:val="0"/>
        <w:rPr>
          <w:rFonts w:asciiTheme="minorEastAsia" w:hAnsiTheme="minorEastAsia" w:eastAsiaTheme="minorEastAsia" w:cstheme="minorEastAsia"/>
          <w:color w:val="auto"/>
          <w:sz w:val="20"/>
          <w:szCs w:val="21"/>
        </w:rPr>
      </w:pPr>
    </w:p>
    <w:p>
      <w:pPr>
        <w:adjustRightInd w:val="0"/>
        <w:snapToGrid w:val="0"/>
        <w:jc w:val="center"/>
        <w:rPr>
          <w:rFonts w:asciiTheme="minorEastAsia" w:hAnsiTheme="minorEastAsia" w:eastAsiaTheme="minorEastAsia" w:cstheme="minorEastAsia"/>
          <w:color w:val="auto"/>
          <w:sz w:val="28"/>
          <w:szCs w:val="28"/>
        </w:rPr>
      </w:pPr>
    </w:p>
    <w:p>
      <w:pPr>
        <w:adjustRightInd w:val="0"/>
        <w:snapToGrid w:val="0"/>
        <w:rPr>
          <w:rFonts w:asciiTheme="minorEastAsia" w:hAnsiTheme="minorEastAsia" w:eastAsiaTheme="minorEastAsia" w:cstheme="minorEastAsia"/>
          <w:color w:val="auto"/>
          <w:sz w:val="28"/>
          <w:szCs w:val="28"/>
        </w:rPr>
      </w:pPr>
    </w:p>
    <w:p>
      <w:pPr>
        <w:adjustRightInd w:val="0"/>
        <w:snapToGrid w:val="0"/>
        <w:rPr>
          <w:rFonts w:asciiTheme="minorEastAsia" w:hAnsiTheme="minorEastAsia" w:eastAsiaTheme="minorEastAsia" w:cstheme="minorEastAsia"/>
          <w:color w:val="auto"/>
          <w:sz w:val="28"/>
          <w:szCs w:val="28"/>
        </w:rPr>
      </w:pPr>
    </w:p>
    <w:p>
      <w:pPr>
        <w:adjustRightInd w:val="0"/>
        <w:snapToGrid w:val="0"/>
        <w:rPr>
          <w:rFonts w:asciiTheme="minorEastAsia" w:hAnsiTheme="minorEastAsia" w:eastAsiaTheme="minorEastAsia" w:cstheme="minorEastAsia"/>
          <w:color w:val="auto"/>
          <w:sz w:val="28"/>
          <w:szCs w:val="28"/>
        </w:rPr>
      </w:pPr>
    </w:p>
    <w:p>
      <w:pPr>
        <w:adjustRightInd w:val="0"/>
        <w:snapToGrid w:val="0"/>
        <w:rPr>
          <w:rFonts w:asciiTheme="minorEastAsia" w:hAnsiTheme="minorEastAsia" w:eastAsiaTheme="minorEastAsia" w:cstheme="minorEastAsia"/>
          <w:color w:val="auto"/>
          <w:sz w:val="28"/>
          <w:szCs w:val="28"/>
        </w:rPr>
      </w:pPr>
    </w:p>
    <w:p>
      <w:pPr>
        <w:adjustRightInd w:val="0"/>
        <w:snapToGrid w:val="0"/>
        <w:rPr>
          <w:rFonts w:asciiTheme="minorEastAsia" w:hAnsiTheme="minorEastAsia" w:eastAsiaTheme="minorEastAsia" w:cstheme="minorEastAsia"/>
          <w:color w:val="auto"/>
          <w:sz w:val="28"/>
          <w:szCs w:val="28"/>
        </w:rPr>
      </w:pPr>
    </w:p>
    <w:p>
      <w:pPr>
        <w:adjustRightInd w:val="0"/>
        <w:snapToGrid w:val="0"/>
        <w:rPr>
          <w:rFonts w:asciiTheme="minorEastAsia" w:hAnsiTheme="minorEastAsia" w:eastAsiaTheme="minorEastAsia" w:cstheme="minorEastAsia"/>
          <w:color w:val="auto"/>
          <w:sz w:val="28"/>
          <w:szCs w:val="28"/>
        </w:rPr>
      </w:pPr>
    </w:p>
    <w:p>
      <w:pPr>
        <w:adjustRightInd w:val="0"/>
        <w:snapToGrid w:val="0"/>
        <w:rPr>
          <w:rFonts w:asciiTheme="minorEastAsia" w:hAnsiTheme="minorEastAsia" w:eastAsiaTheme="minorEastAsia" w:cstheme="minorEastAsia"/>
          <w:color w:val="auto"/>
          <w:sz w:val="28"/>
          <w:szCs w:val="28"/>
        </w:rPr>
      </w:pPr>
    </w:p>
    <w:p>
      <w:pPr>
        <w:adjustRightInd w:val="0"/>
        <w:snapToGrid w:val="0"/>
        <w:rPr>
          <w:rFonts w:asciiTheme="minorEastAsia" w:hAnsiTheme="minorEastAsia" w:eastAsiaTheme="minorEastAsia" w:cstheme="minorEastAsia"/>
          <w:color w:val="auto"/>
          <w:sz w:val="28"/>
          <w:szCs w:val="28"/>
        </w:rPr>
      </w:pPr>
    </w:p>
    <w:p>
      <w:pPr>
        <w:adjustRightInd w:val="0"/>
        <w:snapToGrid w:val="0"/>
        <w:rPr>
          <w:rFonts w:asciiTheme="minorEastAsia" w:hAnsiTheme="minorEastAsia" w:eastAsiaTheme="minorEastAsia" w:cstheme="minorEastAsia"/>
          <w:color w:val="auto"/>
          <w:sz w:val="28"/>
          <w:szCs w:val="28"/>
        </w:rPr>
      </w:pPr>
    </w:p>
    <w:p>
      <w:pPr>
        <w:adjustRightInd w:val="0"/>
        <w:snapToGrid w:val="0"/>
        <w:rPr>
          <w:rFonts w:asciiTheme="minorEastAsia" w:hAnsiTheme="minorEastAsia" w:eastAsiaTheme="minorEastAsia" w:cstheme="minorEastAsia"/>
          <w:color w:val="auto"/>
          <w:sz w:val="28"/>
          <w:szCs w:val="28"/>
        </w:rPr>
      </w:pPr>
    </w:p>
    <w:p>
      <w:pPr>
        <w:adjustRightInd w:val="0"/>
        <w:snapToGrid w:val="0"/>
        <w:rPr>
          <w:rFonts w:asciiTheme="minorEastAsia" w:hAnsiTheme="minorEastAsia" w:eastAsiaTheme="minorEastAsia" w:cstheme="minorEastAsia"/>
          <w:color w:val="auto"/>
          <w:sz w:val="28"/>
          <w:szCs w:val="28"/>
        </w:rPr>
      </w:pPr>
    </w:p>
    <w:p>
      <w:pPr>
        <w:adjustRightInd w:val="0"/>
        <w:snapToGrid w:val="0"/>
        <w:rPr>
          <w:rFonts w:asciiTheme="minorEastAsia" w:hAnsiTheme="minorEastAsia" w:eastAsiaTheme="minorEastAsia" w:cstheme="minorEastAsia"/>
          <w:color w:val="auto"/>
          <w:sz w:val="28"/>
          <w:szCs w:val="28"/>
        </w:rPr>
      </w:pPr>
    </w:p>
    <w:p>
      <w:pPr>
        <w:adjustRightInd w:val="0"/>
        <w:snapToGrid w:val="0"/>
        <w:rPr>
          <w:rFonts w:asciiTheme="minorEastAsia" w:hAnsiTheme="minorEastAsia" w:eastAsiaTheme="minorEastAsia" w:cstheme="minorEastAsia"/>
          <w:color w:val="auto"/>
          <w:sz w:val="28"/>
          <w:szCs w:val="28"/>
        </w:rPr>
      </w:pPr>
    </w:p>
    <w:p>
      <w:pPr>
        <w:adjustRightInd w:val="0"/>
        <w:snapToGrid w:val="0"/>
        <w:rPr>
          <w:rFonts w:asciiTheme="minorEastAsia" w:hAnsiTheme="minorEastAsia" w:eastAsiaTheme="minorEastAsia" w:cstheme="minorEastAsia"/>
          <w:color w:val="auto"/>
          <w:sz w:val="28"/>
          <w:szCs w:val="28"/>
        </w:rPr>
      </w:pPr>
    </w:p>
    <w:p>
      <w:pPr>
        <w:adjustRightInd w:val="0"/>
        <w:snapToGrid w:val="0"/>
        <w:rPr>
          <w:rFonts w:asciiTheme="minorEastAsia" w:hAnsiTheme="minorEastAsia" w:eastAsiaTheme="minorEastAsia" w:cstheme="minorEastAsia"/>
          <w:color w:val="auto"/>
          <w:sz w:val="28"/>
          <w:szCs w:val="28"/>
        </w:rPr>
      </w:pPr>
    </w:p>
    <w:p>
      <w:pPr>
        <w:adjustRightInd w:val="0"/>
        <w:snapToGrid w:val="0"/>
        <w:rPr>
          <w:rFonts w:asciiTheme="minorEastAsia" w:hAnsiTheme="minorEastAsia" w:eastAsiaTheme="minorEastAsia" w:cstheme="minorEastAsia"/>
          <w:color w:val="auto"/>
          <w:sz w:val="28"/>
          <w:szCs w:val="28"/>
        </w:rPr>
      </w:pPr>
    </w:p>
    <w:p>
      <w:pPr>
        <w:adjustRightInd w:val="0"/>
        <w:snapToGrid w:val="0"/>
        <w:rPr>
          <w:rFonts w:asciiTheme="minorEastAsia" w:hAnsiTheme="minorEastAsia" w:eastAsiaTheme="minorEastAsia" w:cstheme="minorEastAsia"/>
          <w:color w:val="auto"/>
          <w:sz w:val="28"/>
          <w:szCs w:val="28"/>
        </w:rPr>
      </w:pPr>
    </w:p>
    <w:p>
      <w:pPr>
        <w:adjustRightInd w:val="0"/>
        <w:snapToGrid w:val="0"/>
        <w:rPr>
          <w:rFonts w:asciiTheme="minorEastAsia" w:hAnsiTheme="minorEastAsia" w:eastAsiaTheme="minorEastAsia" w:cstheme="minorEastAsia"/>
          <w:color w:val="auto"/>
          <w:sz w:val="28"/>
          <w:szCs w:val="28"/>
        </w:rPr>
      </w:pPr>
    </w:p>
    <w:p>
      <w:pPr>
        <w:adjustRightInd w:val="0"/>
        <w:snapToGrid w:val="0"/>
        <w:rPr>
          <w:rFonts w:asciiTheme="minorEastAsia" w:hAnsiTheme="minorEastAsia" w:eastAsiaTheme="minorEastAsia" w:cstheme="minorEastAsia"/>
          <w:color w:val="auto"/>
          <w:sz w:val="28"/>
          <w:szCs w:val="28"/>
        </w:rPr>
      </w:pPr>
    </w:p>
    <w:p>
      <w:pPr>
        <w:adjustRightInd w:val="0"/>
        <w:snapToGrid w:val="0"/>
        <w:rPr>
          <w:rFonts w:asciiTheme="minorEastAsia" w:hAnsiTheme="minorEastAsia" w:eastAsiaTheme="minorEastAsia" w:cstheme="minorEastAsia"/>
          <w:color w:val="auto"/>
          <w:sz w:val="28"/>
          <w:szCs w:val="28"/>
        </w:rPr>
      </w:pPr>
    </w:p>
    <w:p>
      <w:pPr>
        <w:adjustRightInd w:val="0"/>
        <w:snapToGrid w:val="0"/>
        <w:rPr>
          <w:rFonts w:asciiTheme="minorEastAsia" w:hAnsiTheme="minorEastAsia" w:eastAsiaTheme="minorEastAsia" w:cstheme="minorEastAsia"/>
          <w:color w:val="auto"/>
          <w:sz w:val="28"/>
          <w:szCs w:val="28"/>
        </w:rPr>
      </w:pPr>
    </w:p>
    <w:p>
      <w:pPr>
        <w:adjustRightInd w:val="0"/>
        <w:snapToGrid w:val="0"/>
        <w:rPr>
          <w:rFonts w:asciiTheme="minorEastAsia" w:hAnsiTheme="minorEastAsia" w:eastAsiaTheme="minorEastAsia" w:cstheme="minorEastAsia"/>
          <w:color w:val="auto"/>
          <w:sz w:val="28"/>
          <w:szCs w:val="28"/>
        </w:rPr>
      </w:pPr>
    </w:p>
    <w:p>
      <w:pPr>
        <w:adjustRightInd w:val="0"/>
        <w:snapToGrid w:val="0"/>
        <w:rPr>
          <w:rFonts w:asciiTheme="minorEastAsia" w:hAnsiTheme="minorEastAsia" w:eastAsiaTheme="minorEastAsia" w:cstheme="minorEastAsia"/>
          <w:color w:val="auto"/>
          <w:sz w:val="28"/>
          <w:szCs w:val="28"/>
        </w:rPr>
      </w:pPr>
    </w:p>
    <w:p>
      <w:pPr>
        <w:adjustRightInd w:val="0"/>
        <w:snapToGrid w:val="0"/>
        <w:rPr>
          <w:rFonts w:asciiTheme="minorEastAsia" w:hAnsiTheme="minorEastAsia" w:eastAsiaTheme="minorEastAsia" w:cstheme="minorEastAsia"/>
          <w:color w:val="auto"/>
          <w:sz w:val="28"/>
          <w:szCs w:val="28"/>
        </w:rPr>
      </w:pPr>
    </w:p>
    <w:p>
      <w:pPr>
        <w:adjustRightInd w:val="0"/>
        <w:snapToGrid w:val="0"/>
        <w:rPr>
          <w:rFonts w:asciiTheme="minorEastAsia" w:hAnsiTheme="minorEastAsia" w:eastAsiaTheme="minorEastAsia" w:cstheme="minorEastAsia"/>
          <w:color w:val="auto"/>
          <w:sz w:val="28"/>
          <w:szCs w:val="28"/>
        </w:rPr>
      </w:pPr>
    </w:p>
    <w:p>
      <w:pPr>
        <w:spacing w:line="360" w:lineRule="exact"/>
        <w:jc w:val="center"/>
        <w:rPr>
          <w:rFonts w:asciiTheme="minorEastAsia" w:hAnsiTheme="minorEastAsia" w:eastAsiaTheme="minorEastAsia" w:cstheme="minorEastAsia"/>
          <w:b/>
          <w:color w:val="auto"/>
          <w:sz w:val="32"/>
          <w:szCs w:val="32"/>
        </w:rPr>
      </w:pPr>
    </w:p>
    <w:p>
      <w:pPr>
        <w:spacing w:line="360" w:lineRule="exact"/>
        <w:jc w:val="center"/>
        <w:outlineLvl w:val="1"/>
        <w:rPr>
          <w:rFonts w:asciiTheme="minorEastAsia" w:hAnsiTheme="minorEastAsia" w:eastAsiaTheme="minorEastAsia" w:cstheme="minorEastAsia"/>
          <w:b/>
          <w:color w:val="auto"/>
          <w:sz w:val="32"/>
          <w:szCs w:val="32"/>
        </w:rPr>
      </w:pPr>
      <w:bookmarkStart w:id="99" w:name="_Toc5834"/>
      <w:r>
        <w:rPr>
          <w:rFonts w:hint="eastAsia" w:asciiTheme="minorEastAsia" w:hAnsiTheme="minorEastAsia" w:eastAsiaTheme="minorEastAsia" w:cstheme="minorEastAsia"/>
          <w:b/>
          <w:color w:val="auto"/>
          <w:sz w:val="32"/>
          <w:szCs w:val="32"/>
        </w:rPr>
        <w:t>八、供应商认为需要提供的其它资料</w:t>
      </w:r>
      <w:bookmarkEnd w:id="99"/>
    </w:p>
    <w:p>
      <w:pPr>
        <w:adjustRightInd w:val="0"/>
        <w:snapToGrid w:val="0"/>
        <w:ind w:firstLine="3780" w:firstLineChars="135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br w:type="page"/>
      </w:r>
    </w:p>
    <w:p>
      <w:pPr>
        <w:adjustRightInd w:val="0"/>
        <w:snapToGrid w:val="0"/>
        <w:jc w:val="center"/>
        <w:rPr>
          <w:rFonts w:hint="eastAsia" w:asciiTheme="minorEastAsia" w:hAnsiTheme="minorEastAsia" w:eastAsiaTheme="minorEastAsia" w:cstheme="minorEastAsia"/>
          <w:color w:val="auto"/>
          <w:sz w:val="28"/>
          <w:szCs w:val="28"/>
        </w:rPr>
      </w:pPr>
    </w:p>
    <w:p>
      <w:pPr>
        <w:adjustRightInd w:val="0"/>
        <w:snapToGrid w:val="0"/>
        <w:jc w:val="center"/>
        <w:rPr>
          <w:rFonts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九、</w:t>
      </w:r>
      <w:r>
        <w:rPr>
          <w:rFonts w:hint="eastAsia" w:asciiTheme="minorEastAsia" w:hAnsiTheme="minorEastAsia" w:eastAsiaTheme="minorEastAsia" w:cstheme="minorEastAsia"/>
          <w:b/>
          <w:color w:val="auto"/>
          <w:sz w:val="32"/>
          <w:szCs w:val="32"/>
          <w:lang w:eastAsia="zh-CN"/>
        </w:rPr>
        <w:t>最终</w:t>
      </w:r>
      <w:r>
        <w:rPr>
          <w:rFonts w:hint="eastAsia" w:asciiTheme="minorEastAsia" w:hAnsiTheme="minorEastAsia" w:eastAsiaTheme="minorEastAsia" w:cstheme="minorEastAsia"/>
          <w:b/>
          <w:color w:val="auto"/>
          <w:sz w:val="32"/>
          <w:szCs w:val="32"/>
        </w:rPr>
        <w:t>报价</w:t>
      </w:r>
    </w:p>
    <w:p>
      <w:pPr>
        <w:adjustRightInd w:val="0"/>
        <w:snapToGrid w:val="0"/>
        <w:ind w:left="-88" w:leftChars="-42"/>
        <w:rPr>
          <w:rFonts w:asciiTheme="minorEastAsia" w:hAnsiTheme="minorEastAsia" w:eastAsiaTheme="minorEastAsia" w:cstheme="minorEastAsia"/>
          <w:color w:val="auto"/>
          <w:szCs w:val="21"/>
        </w:rPr>
      </w:pPr>
    </w:p>
    <w:p>
      <w:pPr>
        <w:adjustRightInd w:val="0"/>
        <w:snapToGrid w:val="0"/>
        <w:ind w:left="-88" w:leftChars="-42"/>
        <w:rPr>
          <w:rFonts w:hint="eastAsia" w:asciiTheme="minorEastAsia" w:hAnsiTheme="minorEastAsia" w:eastAsiaTheme="minorEastAsia" w:cstheme="minorEastAsia"/>
          <w:color w:val="auto"/>
          <w:szCs w:val="21"/>
        </w:rPr>
      </w:pPr>
    </w:p>
    <w:p>
      <w:pPr>
        <w:pStyle w:val="20"/>
        <w:rPr>
          <w:color w:val="auto"/>
        </w:rPr>
      </w:pPr>
      <w:r>
        <w:rPr>
          <w:rFonts w:hint="eastAsia" w:asciiTheme="minorEastAsia" w:hAnsiTheme="minorEastAsia" w:eastAsiaTheme="minorEastAsia" w:cstheme="minorEastAsia"/>
          <w:b w:val="0"/>
          <w:bCs w:val="0"/>
          <w:color w:val="auto"/>
          <w:szCs w:val="21"/>
          <w:lang w:val="en-US" w:eastAsia="zh-CN"/>
        </w:rPr>
        <w:t xml:space="preserve">    </w:t>
      </w:r>
    </w:p>
    <w:tbl>
      <w:tblPr>
        <w:tblStyle w:val="45"/>
        <w:tblW w:w="9546"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382"/>
        <w:gridCol w:w="3201"/>
        <w:gridCol w:w="1627"/>
        <w:gridCol w:w="233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30" w:hRule="atLeast"/>
          <w:jc w:val="center"/>
        </w:trPr>
        <w:tc>
          <w:tcPr>
            <w:tcW w:w="2382" w:type="dxa"/>
            <w:vMerge w:val="restart"/>
            <w:vAlign w:val="center"/>
          </w:tcPr>
          <w:p>
            <w:pPr>
              <w:jc w:val="center"/>
              <w:rPr>
                <w:rFonts w:ascii="宋体" w:hAnsi="宋体" w:cs="宋体"/>
                <w:color w:val="auto"/>
                <w:szCs w:val="21"/>
              </w:rPr>
            </w:pPr>
            <w:r>
              <w:rPr>
                <w:rFonts w:hint="eastAsia" w:ascii="宋体" w:hAnsi="宋体" w:cs="宋体"/>
                <w:color w:val="auto"/>
                <w:szCs w:val="21"/>
              </w:rPr>
              <w:t>项目名称</w:t>
            </w:r>
          </w:p>
        </w:tc>
        <w:tc>
          <w:tcPr>
            <w:tcW w:w="3201" w:type="dxa"/>
            <w:vMerge w:val="restart"/>
            <w:vAlign w:val="center"/>
          </w:tcPr>
          <w:p>
            <w:pPr>
              <w:jc w:val="center"/>
              <w:rPr>
                <w:rFonts w:ascii="宋体" w:hAnsi="宋体" w:cs="宋体"/>
                <w:color w:val="auto"/>
                <w:szCs w:val="21"/>
              </w:rPr>
            </w:pPr>
          </w:p>
        </w:tc>
        <w:tc>
          <w:tcPr>
            <w:tcW w:w="1627" w:type="dxa"/>
            <w:vAlign w:val="center"/>
          </w:tcPr>
          <w:p>
            <w:pPr>
              <w:jc w:val="center"/>
              <w:rPr>
                <w:rFonts w:ascii="宋体" w:hAnsi="宋体" w:cs="宋体"/>
                <w:color w:val="auto"/>
                <w:szCs w:val="21"/>
              </w:rPr>
            </w:pPr>
            <w:r>
              <w:rPr>
                <w:rFonts w:hint="eastAsia" w:ascii="宋体" w:hAnsi="宋体" w:cs="宋体"/>
                <w:color w:val="auto"/>
                <w:szCs w:val="21"/>
              </w:rPr>
              <w:t>政府采购编号</w:t>
            </w:r>
          </w:p>
        </w:tc>
        <w:tc>
          <w:tcPr>
            <w:tcW w:w="2336" w:type="dxa"/>
            <w:vAlign w:val="center"/>
          </w:tcPr>
          <w:p>
            <w:pPr>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30" w:hRule="atLeast"/>
          <w:jc w:val="center"/>
        </w:trPr>
        <w:tc>
          <w:tcPr>
            <w:tcW w:w="2382" w:type="dxa"/>
            <w:vMerge w:val="continue"/>
            <w:vAlign w:val="center"/>
          </w:tcPr>
          <w:p>
            <w:pPr>
              <w:jc w:val="center"/>
              <w:rPr>
                <w:rFonts w:ascii="宋体" w:hAnsi="宋体" w:cs="宋体"/>
                <w:color w:val="auto"/>
                <w:szCs w:val="21"/>
              </w:rPr>
            </w:pPr>
          </w:p>
        </w:tc>
        <w:tc>
          <w:tcPr>
            <w:tcW w:w="3201" w:type="dxa"/>
            <w:vMerge w:val="continue"/>
            <w:vAlign w:val="center"/>
          </w:tcPr>
          <w:p>
            <w:pPr>
              <w:jc w:val="center"/>
              <w:rPr>
                <w:rFonts w:ascii="宋体" w:hAnsi="宋体" w:cs="宋体"/>
                <w:color w:val="auto"/>
                <w:szCs w:val="21"/>
              </w:rPr>
            </w:pPr>
          </w:p>
        </w:tc>
        <w:tc>
          <w:tcPr>
            <w:tcW w:w="1627" w:type="dxa"/>
            <w:vAlign w:val="center"/>
          </w:tcPr>
          <w:p>
            <w:pPr>
              <w:jc w:val="center"/>
              <w:rPr>
                <w:rFonts w:ascii="宋体" w:hAnsi="宋体" w:cs="宋体"/>
                <w:color w:val="auto"/>
                <w:szCs w:val="21"/>
              </w:rPr>
            </w:pPr>
            <w:r>
              <w:rPr>
                <w:rFonts w:hint="eastAsia" w:ascii="宋体" w:hAnsi="宋体" w:cs="宋体"/>
                <w:color w:val="auto"/>
                <w:szCs w:val="21"/>
              </w:rPr>
              <w:t>采购代理编号</w:t>
            </w:r>
          </w:p>
        </w:tc>
        <w:tc>
          <w:tcPr>
            <w:tcW w:w="2336" w:type="dxa"/>
            <w:vAlign w:val="center"/>
          </w:tcPr>
          <w:p>
            <w:pPr>
              <w:jc w:val="center"/>
              <w:rPr>
                <w:rFonts w:ascii="宋体" w:hAnsi="宋体" w:cs="宋体"/>
                <w:color w:val="auto"/>
                <w:szCs w:val="21"/>
              </w:rPr>
            </w:pPr>
            <w:r>
              <w:rPr>
                <w:rFonts w:hint="eastAsia" w:ascii="宋体" w:hAnsi="宋体" w:cs="宋体"/>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542" w:hRule="atLeast"/>
          <w:jc w:val="center"/>
        </w:trPr>
        <w:tc>
          <w:tcPr>
            <w:tcW w:w="2382" w:type="dxa"/>
            <w:vAlign w:val="center"/>
          </w:tcPr>
          <w:p>
            <w:pPr>
              <w:jc w:val="center"/>
              <w:rPr>
                <w:rFonts w:hint="default" w:ascii="宋体" w:hAnsi="宋体" w:eastAsia="宋体"/>
                <w:b w:val="0"/>
                <w:bCs/>
                <w:color w:val="auto"/>
                <w:szCs w:val="21"/>
                <w:lang w:val="en-US" w:eastAsia="zh-CN"/>
              </w:rPr>
            </w:pPr>
            <w:r>
              <w:rPr>
                <w:rFonts w:hint="eastAsia" w:ascii="宋体" w:hAnsi="宋体"/>
                <w:b w:val="0"/>
                <w:bCs/>
                <w:color w:val="auto"/>
                <w:szCs w:val="21"/>
                <w:lang w:val="en-US" w:eastAsia="zh-CN"/>
              </w:rPr>
              <w:t>投标报价总金额</w:t>
            </w:r>
          </w:p>
        </w:tc>
        <w:tc>
          <w:tcPr>
            <w:tcW w:w="7164" w:type="dxa"/>
            <w:gridSpan w:val="3"/>
            <w:vAlign w:val="center"/>
          </w:tcPr>
          <w:p>
            <w:pPr>
              <w:rPr>
                <w:rFonts w:ascii="宋体" w:hAnsi="宋体" w:cs="宋体"/>
                <w:color w:val="auto"/>
                <w:szCs w:val="21"/>
              </w:rPr>
            </w:pPr>
            <w:r>
              <w:rPr>
                <w:rFonts w:hint="eastAsia" w:ascii="宋体" w:hAnsi="宋体" w:cs="宋体"/>
                <w:color w:val="auto"/>
                <w:szCs w:val="21"/>
              </w:rPr>
              <w:t>大写：</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rPr>
              <w:t>元人民币整</w:t>
            </w:r>
          </w:p>
          <w:p>
            <w:pPr>
              <w:rPr>
                <w:rFonts w:hint="eastAsia" w:ascii="宋体" w:hAnsi="宋体" w:cs="宋体"/>
                <w:color w:val="auto"/>
                <w:szCs w:val="21"/>
              </w:rPr>
            </w:pPr>
          </w:p>
          <w:p>
            <w:pPr>
              <w:rPr>
                <w:rFonts w:hint="eastAsia" w:ascii="宋体" w:hAnsi="宋体" w:cs="宋体"/>
                <w:color w:val="auto"/>
                <w:szCs w:val="21"/>
              </w:rPr>
            </w:pPr>
            <w:r>
              <w:rPr>
                <w:rFonts w:hint="eastAsia" w:ascii="宋体" w:hAnsi="宋体" w:cs="宋体"/>
                <w:color w:val="auto"/>
                <w:szCs w:val="21"/>
              </w:rPr>
              <w:t>小写：</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rPr>
              <w:t>元人民币整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257" w:hRule="atLeast"/>
          <w:jc w:val="center"/>
        </w:trPr>
        <w:tc>
          <w:tcPr>
            <w:tcW w:w="2382" w:type="dxa"/>
            <w:vAlign w:val="center"/>
          </w:tcPr>
          <w:p>
            <w:pPr>
              <w:jc w:val="center"/>
              <w:rPr>
                <w:rFonts w:hint="eastAsia" w:ascii="宋体" w:hAnsi="宋体"/>
                <w:b w:val="0"/>
                <w:bCs/>
                <w:color w:val="auto"/>
                <w:szCs w:val="21"/>
                <w:lang w:val="en-US" w:eastAsia="zh-CN"/>
              </w:rPr>
            </w:pPr>
            <w:r>
              <w:rPr>
                <w:rFonts w:hint="eastAsia" w:ascii="宋体" w:hAnsi="宋体"/>
                <w:b w:val="0"/>
                <w:bCs/>
                <w:color w:val="auto"/>
                <w:szCs w:val="21"/>
                <w:lang w:val="en-US" w:eastAsia="zh-CN"/>
              </w:rPr>
              <w:t>项目负责人</w:t>
            </w:r>
          </w:p>
        </w:tc>
        <w:tc>
          <w:tcPr>
            <w:tcW w:w="7164" w:type="dxa"/>
            <w:gridSpan w:val="3"/>
            <w:vAlign w:val="center"/>
          </w:tcPr>
          <w:p>
            <w:pP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41" w:hRule="atLeast"/>
          <w:jc w:val="center"/>
        </w:trPr>
        <w:tc>
          <w:tcPr>
            <w:tcW w:w="2382" w:type="dxa"/>
            <w:vAlign w:val="center"/>
          </w:tcPr>
          <w:p>
            <w:pPr>
              <w:jc w:val="center"/>
              <w:rPr>
                <w:rFonts w:ascii="宋体" w:hAnsi="宋体"/>
                <w:b w:val="0"/>
                <w:bCs/>
                <w:color w:val="auto"/>
                <w:szCs w:val="21"/>
              </w:rPr>
            </w:pPr>
            <w:r>
              <w:rPr>
                <w:rFonts w:hint="eastAsia" w:ascii="宋体" w:hAnsi="宋体"/>
                <w:b w:val="0"/>
                <w:bCs/>
                <w:color w:val="auto"/>
                <w:szCs w:val="21"/>
              </w:rPr>
              <w:t>是否为最终报价</w:t>
            </w:r>
          </w:p>
        </w:tc>
        <w:tc>
          <w:tcPr>
            <w:tcW w:w="7164" w:type="dxa"/>
            <w:gridSpan w:val="3"/>
            <w:vAlign w:val="center"/>
          </w:tcPr>
          <w:p>
            <w:pPr>
              <w:rPr>
                <w:rFonts w:ascii="宋体" w:hAnsi="宋体" w:cs="宋体"/>
                <w:color w:val="auto"/>
                <w:szCs w:val="21"/>
              </w:rPr>
            </w:pPr>
          </w:p>
        </w:tc>
      </w:tr>
    </w:tbl>
    <w:p>
      <w:pPr>
        <w:adjustRightInd w:val="0"/>
        <w:snapToGrid w:val="0"/>
        <w:spacing w:line="360" w:lineRule="auto"/>
        <w:ind w:firstLine="630" w:firstLineChars="300"/>
        <w:rPr>
          <w:rFonts w:ascii="宋体" w:hAnsi="宋体" w:cs="宋体"/>
          <w:color w:val="auto"/>
          <w:szCs w:val="21"/>
        </w:rPr>
      </w:pPr>
    </w:p>
    <w:p>
      <w:pPr>
        <w:adjustRightInd w:val="0"/>
        <w:snapToGrid w:val="0"/>
        <w:spacing w:line="360" w:lineRule="auto"/>
        <w:ind w:firstLine="630" w:firstLineChars="300"/>
        <w:rPr>
          <w:rFonts w:ascii="宋体" w:hAnsi="宋体" w:cs="宋体"/>
          <w:color w:val="auto"/>
          <w:szCs w:val="21"/>
        </w:rPr>
      </w:pPr>
    </w:p>
    <w:p>
      <w:pPr>
        <w:adjustRightInd w:val="0"/>
        <w:snapToGrid w:val="0"/>
        <w:spacing w:line="360" w:lineRule="auto"/>
        <w:rPr>
          <w:rFonts w:hint="eastAsia" w:ascii="宋体" w:hAnsi="宋体" w:cs="宋体"/>
          <w:color w:val="auto"/>
          <w:szCs w:val="21"/>
        </w:rPr>
      </w:pPr>
    </w:p>
    <w:p>
      <w:pPr>
        <w:adjustRightInd w:val="0"/>
        <w:snapToGrid w:val="0"/>
        <w:spacing w:line="360" w:lineRule="auto"/>
        <w:ind w:firstLine="630" w:firstLineChars="300"/>
        <w:rPr>
          <w:rFonts w:ascii="宋体" w:hAnsi="宋体" w:cs="宋体"/>
          <w:color w:val="auto"/>
          <w:szCs w:val="21"/>
        </w:rPr>
      </w:pPr>
      <w:r>
        <w:rPr>
          <w:rFonts w:hint="eastAsia" w:ascii="宋体" w:hAnsi="宋体" w:cs="宋体"/>
          <w:color w:val="auto"/>
          <w:szCs w:val="21"/>
        </w:rPr>
        <w:t>供应商（盖单位章）：</w:t>
      </w:r>
    </w:p>
    <w:p>
      <w:pPr>
        <w:adjustRightInd w:val="0"/>
        <w:snapToGrid w:val="0"/>
        <w:spacing w:line="360" w:lineRule="auto"/>
        <w:ind w:firstLine="630" w:firstLineChars="300"/>
        <w:rPr>
          <w:rFonts w:hint="eastAsia" w:ascii="宋体" w:hAnsi="宋体" w:cs="宋体"/>
          <w:color w:val="auto"/>
          <w:szCs w:val="21"/>
        </w:rPr>
      </w:pPr>
    </w:p>
    <w:p>
      <w:pPr>
        <w:adjustRightInd w:val="0"/>
        <w:snapToGrid w:val="0"/>
        <w:spacing w:line="360" w:lineRule="auto"/>
        <w:ind w:firstLine="630" w:firstLineChars="300"/>
        <w:rPr>
          <w:rFonts w:ascii="宋体" w:hAnsi="宋体" w:cs="宋体"/>
          <w:color w:val="auto"/>
          <w:szCs w:val="21"/>
        </w:rPr>
      </w:pPr>
      <w:r>
        <w:rPr>
          <w:rFonts w:hint="eastAsia" w:ascii="宋体" w:hAnsi="宋体" w:cs="宋体"/>
          <w:color w:val="auto"/>
          <w:szCs w:val="21"/>
        </w:rPr>
        <w:t>法定代表人或其委托代理人签字：</w:t>
      </w:r>
      <w:r>
        <w:rPr>
          <w:rFonts w:hint="eastAsia" w:ascii="宋体" w:hAnsi="宋体" w:cs="宋体"/>
          <w:color w:val="auto"/>
          <w:szCs w:val="21"/>
          <w:u w:val="single"/>
        </w:rPr>
        <w:t xml:space="preserve">       </w:t>
      </w:r>
    </w:p>
    <w:p>
      <w:pPr>
        <w:adjustRightInd w:val="0"/>
        <w:snapToGrid w:val="0"/>
        <w:spacing w:line="360" w:lineRule="auto"/>
        <w:ind w:firstLine="630" w:firstLineChars="300"/>
        <w:rPr>
          <w:rFonts w:hint="eastAsia" w:ascii="宋体" w:hAnsi="宋体" w:cs="宋体"/>
          <w:color w:val="auto"/>
          <w:szCs w:val="21"/>
        </w:rPr>
      </w:pPr>
    </w:p>
    <w:p>
      <w:pPr>
        <w:adjustRightInd w:val="0"/>
        <w:snapToGrid w:val="0"/>
        <w:spacing w:line="360" w:lineRule="auto"/>
        <w:ind w:firstLine="630" w:firstLineChars="300"/>
        <w:rPr>
          <w:rFonts w:ascii="宋体" w:hAnsi="宋体" w:cs="宋体"/>
          <w:color w:val="auto"/>
          <w:szCs w:val="21"/>
        </w:rPr>
      </w:pPr>
      <w:r>
        <w:rPr>
          <w:rFonts w:hint="eastAsia" w:ascii="宋体" w:hAnsi="宋体" w:cs="宋体"/>
          <w:color w:val="auto"/>
          <w:szCs w:val="21"/>
        </w:rPr>
        <w:t>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rPr>
        <w:t>日</w:t>
      </w:r>
    </w:p>
    <w:p>
      <w:pPr>
        <w:adjustRightInd w:val="0"/>
        <w:snapToGrid w:val="0"/>
        <w:spacing w:line="360" w:lineRule="auto"/>
        <w:rPr>
          <w:rFonts w:ascii="宋体" w:hAnsi="宋体" w:cs="宋体"/>
          <w:color w:val="auto"/>
          <w:szCs w:val="21"/>
        </w:rPr>
      </w:pP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说明：</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表最后报价响应文件中无需提供，请供应商单独准备一份加盖公章及签字的空白表格备用。本表格涉及的报价部分可以在磋商开始后在规定的时间内现场填写递交，须加盖单位公章且有法定代表人签字或盖章及委托代理人签字。</w:t>
      </w:r>
    </w:p>
    <w:sectPr>
      <w:headerReference r:id="rId8" w:type="default"/>
      <w:footerReference r:id="rId9" w:type="default"/>
      <w:pgSz w:w="11906" w:h="16838"/>
      <w:pgMar w:top="1077" w:right="1304" w:bottom="1077"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Arail">
    <w:altName w:val="Times New Roman"/>
    <w:panose1 w:val="00000000000000000000"/>
    <w:charset w:val="00"/>
    <w:family w:val="roman"/>
    <w:pitch w:val="default"/>
    <w:sig w:usb0="00000000" w:usb1="00000000" w:usb2="00000000"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长城仿宋">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0"/>
                            <w:rPr>
                              <w:rStyle w:val="49"/>
                            </w:rPr>
                          </w:pPr>
                          <w:r>
                            <w:fldChar w:fldCharType="begin"/>
                          </w:r>
                          <w:r>
                            <w:rPr>
                              <w:rStyle w:val="49"/>
                            </w:rPr>
                            <w:instrText xml:space="preserve">PAGE  </w:instrText>
                          </w:r>
                          <w:r>
                            <w:fldChar w:fldCharType="separate"/>
                          </w:r>
                          <w:r>
                            <w:rPr>
                              <w:rStyle w:val="49"/>
                            </w:rP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MCCkPYbAgAAIgQAAA4A&#10;AAAAAAAAAQAgAAAAHwEAAGRycy9lMm9Eb2MueG1sUEsFBgAAAAAGAAYAWQEAAKwFAAAAAA==&#10;">
              <v:fill on="f" focussize="0,0"/>
              <v:stroke on="f" weight="0.5pt"/>
              <v:imagedata o:title=""/>
              <o:lock v:ext="edit" aspectratio="f"/>
              <v:textbox inset="0mm,0mm,0mm,0mm" style="mso-fit-shape-to-text:t;">
                <w:txbxContent>
                  <w:p>
                    <w:pPr>
                      <w:pStyle w:val="30"/>
                      <w:rPr>
                        <w:rStyle w:val="49"/>
                      </w:rPr>
                    </w:pPr>
                    <w:r>
                      <w:fldChar w:fldCharType="begin"/>
                    </w:r>
                    <w:r>
                      <w:rPr>
                        <w:rStyle w:val="49"/>
                      </w:rPr>
                      <w:instrText xml:space="preserve">PAGE  </w:instrText>
                    </w:r>
                    <w:r>
                      <w:fldChar w:fldCharType="separate"/>
                    </w:r>
                    <w:r>
                      <w:rPr>
                        <w:rStyle w:val="49"/>
                      </w:rP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6" name="文本框 102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9525">
                        <a:noFill/>
                      </a:ln>
                      <a:effectLst/>
                    </wps:spPr>
                    <wps:txbx>
                      <w:txbxContent>
                        <w:p>
                          <w:pPr>
                            <w:pStyle w:val="30"/>
                          </w:pPr>
                          <w:r>
                            <w:fldChar w:fldCharType="begin"/>
                          </w:r>
                          <w:r>
                            <w:instrText xml:space="preserve"> PAGE  \* MERGEFORMAT </w:instrText>
                          </w:r>
                          <w:r>
                            <w:fldChar w:fldCharType="separate"/>
                          </w:r>
                          <w:r>
                            <w:t>48</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Q+V+SdAAAAADAQAADwAAAAAAAAABACAAAAAiAAAAZHJzL2Rvd25yZXYueG1sUEsB&#10;AhQAFAAAAAgAh07iQIawdRjEAQAAZAMAAA4AAAAAAAAAAQAgAAAAHwEAAGRycy9lMm9Eb2MueG1s&#10;UEsFBgAAAAAGAAYAWQEAAFUFAAAAAA==&#10;">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49"/>
      </w:rPr>
    </w:pPr>
    <w:r>
      <w:fldChar w:fldCharType="begin"/>
    </w:r>
    <w:r>
      <w:rPr>
        <w:rStyle w:val="49"/>
      </w:rPr>
      <w:instrText xml:space="preserve">PAGE  </w:instrText>
    </w:r>
    <w:r>
      <w:fldChar w:fldCharType="end"/>
    </w:r>
  </w:p>
  <w:p>
    <w:pPr>
      <w:pStyle w:val="3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27" name="文本框 102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9525">
                        <a:noFill/>
                      </a:ln>
                      <a:effectLst/>
                    </wps:spPr>
                    <wps:txbx>
                      <w:txbxContent>
                        <w:p>
                          <w:pPr>
                            <w:pStyle w:val="30"/>
                          </w:pPr>
                          <w:r>
                            <w:fldChar w:fldCharType="begin"/>
                          </w:r>
                          <w:r>
                            <w:instrText xml:space="preserve"> PAGE  \* MERGEFORMAT </w:instrText>
                          </w:r>
                          <w:r>
                            <w:fldChar w:fldCharType="separate"/>
                          </w:r>
                          <w:r>
                            <w:t>52</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Q+V+SdAAAAADAQAADwAAAAAAAAABACAAAAAiAAAAZHJzL2Rvd25yZXYueG1sUEsB&#10;AhQAFAAAAAgAh07iQCioFlnEAQAAZAMAAA4AAAAAAAAAAQAgAAAAHwEAAGRycy9lMm9Eb2MueG1s&#10;UEsFBgAAAAAGAAYAWQEAAFUFAAAAAA==&#10;">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52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jc w:val="both"/>
      <w:rPr>
        <w:u w:val="single"/>
      </w:rPr>
    </w:pPr>
    <w:r>
      <w:rPr>
        <w:rFonts w:hint="eastAsia" w:asciiTheme="minorEastAsia" w:hAnsiTheme="minorEastAsia" w:eastAsiaTheme="minorEastAsia" w:cstheme="minorEastAsia"/>
        <w:szCs w:val="21"/>
        <w:u w:val="single"/>
        <w:lang w:eastAsia="zh-CN"/>
      </w:rPr>
      <w:t>临湘高新区化工园水系改造（四期）工程项目</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lang w:val="en-US" w:eastAsia="zh-CN"/>
      </w:rPr>
      <w:t xml:space="preserve">                    </w:t>
    </w:r>
    <w:r>
      <w:rPr>
        <w:rFonts w:hint="eastAsia" w:asciiTheme="minorEastAsia" w:hAnsiTheme="minorEastAsia" w:eastAsiaTheme="minorEastAsia" w:cstheme="minorEastAsia"/>
        <w:szCs w:val="21"/>
        <w:u w:val="single"/>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jc w:val="both"/>
    </w:pPr>
    <w:r>
      <w:rPr>
        <w:rFonts w:hint="eastAsia" w:asciiTheme="minorEastAsia" w:hAnsiTheme="minorEastAsia" w:eastAsiaTheme="minorEastAsia" w:cstheme="minorEastAsia"/>
        <w:szCs w:val="21"/>
        <w:u w:val="single"/>
        <w:lang w:eastAsia="zh-CN"/>
      </w:rPr>
      <w:t>临湘高新区化工园水系改造（四期）工程项目</w:t>
    </w:r>
    <w:r>
      <w:rPr>
        <w:rFonts w:hint="eastAsia" w:asciiTheme="minorEastAsia" w:hAnsiTheme="minorEastAsia" w:eastAsiaTheme="minorEastAsia" w:cstheme="minorEastAsia"/>
        <w:szCs w:val="21"/>
        <w:u w:val="single"/>
        <w:lang w:val="en-US" w:eastAsia="zh-CN"/>
      </w:rPr>
      <w:t xml:space="preserve">                      </w:t>
    </w:r>
    <w:r>
      <w:rPr>
        <w:rFonts w:hint="eastAsia" w:asciiTheme="minorEastAsia" w:hAnsiTheme="minorEastAsia" w:eastAsiaTheme="minorEastAsia" w:cstheme="minorEastAsia"/>
        <w:szCs w:val="21"/>
        <w:u w:val="single"/>
      </w:rPr>
      <w:t xml:space="preserve">         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rFonts w:ascii="仿宋_GB2312" w:eastAsia="仿宋_GB2312"/>
        <w:b/>
        <w:sz w:val="18"/>
        <w:szCs w:val="18"/>
      </w:rPr>
    </w:pPr>
    <w:r>
      <w:rPr>
        <w:rFonts w:hint="eastAsia" w:asciiTheme="minorEastAsia" w:hAnsiTheme="minorEastAsia" w:eastAsiaTheme="minorEastAsia" w:cstheme="minorEastAsia"/>
        <w:sz w:val="18"/>
        <w:szCs w:val="18"/>
        <w:u w:val="single"/>
        <w:lang w:eastAsia="zh-CN"/>
      </w:rPr>
      <w:t>临湘高新区化工园水系改造（四期）工程项目</w:t>
    </w:r>
    <w:r>
      <w:rPr>
        <w:rFonts w:hint="eastAsia" w:asciiTheme="minorEastAsia" w:hAnsiTheme="minorEastAsia" w:eastAsiaTheme="minorEastAsia" w:cstheme="minorEastAsia"/>
        <w:sz w:val="18"/>
        <w:szCs w:val="18"/>
        <w:u w:val="single"/>
        <w:lang w:val="en-US" w:eastAsia="zh-CN"/>
      </w:rPr>
      <w:t xml:space="preserve"> </w:t>
    </w:r>
    <w:r>
      <w:rPr>
        <w:rFonts w:hint="eastAsia" w:asciiTheme="minorEastAsia" w:hAnsiTheme="minorEastAsia" w:eastAsiaTheme="minorEastAsia" w:cstheme="minorEastAsia"/>
        <w:sz w:val="18"/>
        <w:szCs w:val="18"/>
        <w:u w:val="single"/>
      </w:rPr>
      <w:t xml:space="preserve">    </w:t>
    </w:r>
    <w:r>
      <w:rPr>
        <w:rFonts w:hint="eastAsia" w:asciiTheme="minorEastAsia" w:hAnsiTheme="minorEastAsia" w:eastAsiaTheme="minorEastAsia" w:cstheme="minorEastAsia"/>
        <w:sz w:val="18"/>
        <w:szCs w:val="18"/>
        <w:u w:val="single"/>
        <w:lang w:val="en-US" w:eastAsia="zh-CN"/>
      </w:rPr>
      <w:t xml:space="preserve">                             </w:t>
    </w:r>
    <w:r>
      <w:rPr>
        <w:rFonts w:hint="eastAsia" w:asciiTheme="minorEastAsia" w:hAnsiTheme="minorEastAsia" w:eastAsiaTheme="minorEastAsia" w:cstheme="minorEastAsia"/>
        <w:sz w:val="18"/>
        <w:szCs w:val="18"/>
        <w:u w:val="single"/>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09FB15"/>
    <w:multiLevelType w:val="singleLevel"/>
    <w:tmpl w:val="8E09FB15"/>
    <w:lvl w:ilvl="0" w:tentative="0">
      <w:start w:val="1"/>
      <w:numFmt w:val="decimal"/>
      <w:suff w:val="space"/>
      <w:lvlText w:val="%1."/>
      <w:lvlJc w:val="left"/>
    </w:lvl>
  </w:abstractNum>
  <w:abstractNum w:abstractNumId="1">
    <w:nsid w:val="ECE8D054"/>
    <w:multiLevelType w:val="singleLevel"/>
    <w:tmpl w:val="ECE8D054"/>
    <w:lvl w:ilvl="0" w:tentative="0">
      <w:start w:val="5"/>
      <w:numFmt w:val="chineseCounting"/>
      <w:suff w:val="space"/>
      <w:lvlText w:val="第%1章"/>
      <w:lvlJc w:val="left"/>
      <w:rPr>
        <w:rFonts w:hint="eastAsia"/>
      </w:rPr>
    </w:lvl>
  </w:abstractNum>
  <w:abstractNum w:abstractNumId="2">
    <w:nsid w:val="4437798E"/>
    <w:multiLevelType w:val="singleLevel"/>
    <w:tmpl w:val="4437798E"/>
    <w:lvl w:ilvl="0" w:tentative="0">
      <w:start w:val="4"/>
      <w:numFmt w:val="chineseCounting"/>
      <w:suff w:val="space"/>
      <w:lvlText w:val="第%1章"/>
      <w:lvlJc w:val="left"/>
      <w:rPr>
        <w:rFonts w:hint="eastAsia"/>
      </w:rPr>
    </w:lvl>
  </w:abstractNum>
  <w:abstractNum w:abstractNumId="3">
    <w:nsid w:val="5F8C9E84"/>
    <w:multiLevelType w:val="singleLevel"/>
    <w:tmpl w:val="5F8C9E84"/>
    <w:lvl w:ilvl="0" w:tentative="0">
      <w:start w:val="1"/>
      <w:numFmt w:val="decimal"/>
      <w:suff w:val="nothing"/>
      <w:lvlText w:val="%1、"/>
      <w:lvlJc w:val="left"/>
    </w:lvl>
  </w:abstractNum>
  <w:abstractNum w:abstractNumId="4">
    <w:nsid w:val="679B66BA"/>
    <w:multiLevelType w:val="singleLevel"/>
    <w:tmpl w:val="679B66BA"/>
    <w:lvl w:ilvl="0" w:tentative="0">
      <w:start w:val="1"/>
      <w:numFmt w:val="decimal"/>
      <w:suff w:val="nothing"/>
      <w:lvlText w:val="%1、"/>
      <w:lvlJc w:val="left"/>
    </w:lvl>
  </w:abstractNum>
  <w:abstractNum w:abstractNumId="5">
    <w:nsid w:val="78040342"/>
    <w:multiLevelType w:val="multilevel"/>
    <w:tmpl w:val="78040342"/>
    <w:lvl w:ilvl="0" w:tentative="0">
      <w:start w:val="2"/>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5YjU0YTk4MTVkZWQ5NmVlYmI4YzVmZjJiNWRiNmMifQ=="/>
  </w:docVars>
  <w:rsids>
    <w:rsidRoot w:val="00496D5A"/>
    <w:rsid w:val="000156E2"/>
    <w:rsid w:val="000240B9"/>
    <w:rsid w:val="00024344"/>
    <w:rsid w:val="00025986"/>
    <w:rsid w:val="00026B4C"/>
    <w:rsid w:val="00026FD7"/>
    <w:rsid w:val="00027406"/>
    <w:rsid w:val="0002779F"/>
    <w:rsid w:val="00027D5B"/>
    <w:rsid w:val="000313EC"/>
    <w:rsid w:val="00034641"/>
    <w:rsid w:val="00037E98"/>
    <w:rsid w:val="00040D86"/>
    <w:rsid w:val="000441C7"/>
    <w:rsid w:val="00051E2A"/>
    <w:rsid w:val="00053DE3"/>
    <w:rsid w:val="000629E6"/>
    <w:rsid w:val="000640EC"/>
    <w:rsid w:val="000641A5"/>
    <w:rsid w:val="00074700"/>
    <w:rsid w:val="000818D8"/>
    <w:rsid w:val="00081FA6"/>
    <w:rsid w:val="00086A97"/>
    <w:rsid w:val="000952E7"/>
    <w:rsid w:val="000A25F2"/>
    <w:rsid w:val="000A2941"/>
    <w:rsid w:val="000A3E58"/>
    <w:rsid w:val="000A604E"/>
    <w:rsid w:val="000A7150"/>
    <w:rsid w:val="000B422C"/>
    <w:rsid w:val="000B6963"/>
    <w:rsid w:val="000C2B71"/>
    <w:rsid w:val="000C3661"/>
    <w:rsid w:val="000C5109"/>
    <w:rsid w:val="000C5BDA"/>
    <w:rsid w:val="000D4C09"/>
    <w:rsid w:val="000E1E33"/>
    <w:rsid w:val="000E4167"/>
    <w:rsid w:val="000E430C"/>
    <w:rsid w:val="000F23B9"/>
    <w:rsid w:val="000F6CDC"/>
    <w:rsid w:val="00100878"/>
    <w:rsid w:val="00105DDE"/>
    <w:rsid w:val="00106CB3"/>
    <w:rsid w:val="00107232"/>
    <w:rsid w:val="0011494C"/>
    <w:rsid w:val="001256EF"/>
    <w:rsid w:val="00127819"/>
    <w:rsid w:val="00131074"/>
    <w:rsid w:val="001324C6"/>
    <w:rsid w:val="0013430F"/>
    <w:rsid w:val="001344E3"/>
    <w:rsid w:val="00134600"/>
    <w:rsid w:val="001361CA"/>
    <w:rsid w:val="001364C1"/>
    <w:rsid w:val="00137DF6"/>
    <w:rsid w:val="001416D5"/>
    <w:rsid w:val="00142746"/>
    <w:rsid w:val="0014700D"/>
    <w:rsid w:val="00147E27"/>
    <w:rsid w:val="00154ED0"/>
    <w:rsid w:val="00157E73"/>
    <w:rsid w:val="00160437"/>
    <w:rsid w:val="001652A3"/>
    <w:rsid w:val="00167D4D"/>
    <w:rsid w:val="00167E36"/>
    <w:rsid w:val="0017108F"/>
    <w:rsid w:val="00172007"/>
    <w:rsid w:val="00172683"/>
    <w:rsid w:val="00172AC1"/>
    <w:rsid w:val="00174093"/>
    <w:rsid w:val="00174AD2"/>
    <w:rsid w:val="0017639C"/>
    <w:rsid w:val="00176706"/>
    <w:rsid w:val="001849D2"/>
    <w:rsid w:val="0018787D"/>
    <w:rsid w:val="00190F87"/>
    <w:rsid w:val="00194E27"/>
    <w:rsid w:val="00197DB3"/>
    <w:rsid w:val="001A0051"/>
    <w:rsid w:val="001A27C7"/>
    <w:rsid w:val="001A6A2C"/>
    <w:rsid w:val="001B229F"/>
    <w:rsid w:val="001B50BA"/>
    <w:rsid w:val="001B56C9"/>
    <w:rsid w:val="001B6E2A"/>
    <w:rsid w:val="001B7F3D"/>
    <w:rsid w:val="001C30E6"/>
    <w:rsid w:val="001C598A"/>
    <w:rsid w:val="001C6863"/>
    <w:rsid w:val="001C7DB0"/>
    <w:rsid w:val="001C7EEC"/>
    <w:rsid w:val="001D1504"/>
    <w:rsid w:val="001D23F4"/>
    <w:rsid w:val="001D6192"/>
    <w:rsid w:val="001E0AF2"/>
    <w:rsid w:val="001F0E77"/>
    <w:rsid w:val="001F2E45"/>
    <w:rsid w:val="001F3061"/>
    <w:rsid w:val="00200EA4"/>
    <w:rsid w:val="0020200C"/>
    <w:rsid w:val="002037B4"/>
    <w:rsid w:val="002037DB"/>
    <w:rsid w:val="00205190"/>
    <w:rsid w:val="002068F3"/>
    <w:rsid w:val="00206968"/>
    <w:rsid w:val="00206FCE"/>
    <w:rsid w:val="00207162"/>
    <w:rsid w:val="00211C0E"/>
    <w:rsid w:val="002131F5"/>
    <w:rsid w:val="0021675C"/>
    <w:rsid w:val="00220F7C"/>
    <w:rsid w:val="002223E0"/>
    <w:rsid w:val="00223AAF"/>
    <w:rsid w:val="00226977"/>
    <w:rsid w:val="002270C6"/>
    <w:rsid w:val="0023455F"/>
    <w:rsid w:val="00234E98"/>
    <w:rsid w:val="002355BB"/>
    <w:rsid w:val="00237E61"/>
    <w:rsid w:val="00242EFF"/>
    <w:rsid w:val="00243709"/>
    <w:rsid w:val="002444AB"/>
    <w:rsid w:val="00245A92"/>
    <w:rsid w:val="002502DD"/>
    <w:rsid w:val="00260F02"/>
    <w:rsid w:val="00266E91"/>
    <w:rsid w:val="00271164"/>
    <w:rsid w:val="002723DE"/>
    <w:rsid w:val="00281493"/>
    <w:rsid w:val="00282EDF"/>
    <w:rsid w:val="00285665"/>
    <w:rsid w:val="002859F6"/>
    <w:rsid w:val="00285C9D"/>
    <w:rsid w:val="0029027F"/>
    <w:rsid w:val="00290F35"/>
    <w:rsid w:val="00291946"/>
    <w:rsid w:val="00291C33"/>
    <w:rsid w:val="002930B4"/>
    <w:rsid w:val="002942E2"/>
    <w:rsid w:val="00295E49"/>
    <w:rsid w:val="002A03CB"/>
    <w:rsid w:val="002A41F5"/>
    <w:rsid w:val="002A6ED0"/>
    <w:rsid w:val="002B4521"/>
    <w:rsid w:val="002B469E"/>
    <w:rsid w:val="002B5F66"/>
    <w:rsid w:val="002B7325"/>
    <w:rsid w:val="002B7BD5"/>
    <w:rsid w:val="002C79BB"/>
    <w:rsid w:val="002D54FC"/>
    <w:rsid w:val="002E04A9"/>
    <w:rsid w:val="002E2AB7"/>
    <w:rsid w:val="002E2BB7"/>
    <w:rsid w:val="002E356B"/>
    <w:rsid w:val="002E6042"/>
    <w:rsid w:val="002F0EFC"/>
    <w:rsid w:val="002F42D5"/>
    <w:rsid w:val="00301B5A"/>
    <w:rsid w:val="003072D6"/>
    <w:rsid w:val="00311078"/>
    <w:rsid w:val="003136E5"/>
    <w:rsid w:val="00313BC8"/>
    <w:rsid w:val="0031417B"/>
    <w:rsid w:val="00316527"/>
    <w:rsid w:val="00317CD3"/>
    <w:rsid w:val="00321C75"/>
    <w:rsid w:val="00327240"/>
    <w:rsid w:val="003303DC"/>
    <w:rsid w:val="00331A2E"/>
    <w:rsid w:val="00332937"/>
    <w:rsid w:val="003333D7"/>
    <w:rsid w:val="00333943"/>
    <w:rsid w:val="00336155"/>
    <w:rsid w:val="00340105"/>
    <w:rsid w:val="003412D4"/>
    <w:rsid w:val="00342089"/>
    <w:rsid w:val="0034572F"/>
    <w:rsid w:val="003469E4"/>
    <w:rsid w:val="0035131B"/>
    <w:rsid w:val="0035295E"/>
    <w:rsid w:val="0035331E"/>
    <w:rsid w:val="00357B2A"/>
    <w:rsid w:val="003610D2"/>
    <w:rsid w:val="0037058A"/>
    <w:rsid w:val="0037162D"/>
    <w:rsid w:val="003723D3"/>
    <w:rsid w:val="00372BD6"/>
    <w:rsid w:val="00374E53"/>
    <w:rsid w:val="00376191"/>
    <w:rsid w:val="00382374"/>
    <w:rsid w:val="003914B4"/>
    <w:rsid w:val="00391A73"/>
    <w:rsid w:val="00393F10"/>
    <w:rsid w:val="003948FD"/>
    <w:rsid w:val="00395A22"/>
    <w:rsid w:val="003A6117"/>
    <w:rsid w:val="003B0AFE"/>
    <w:rsid w:val="003B1744"/>
    <w:rsid w:val="003B4B9C"/>
    <w:rsid w:val="003B5E4B"/>
    <w:rsid w:val="003B6A76"/>
    <w:rsid w:val="003B780B"/>
    <w:rsid w:val="003C3A5C"/>
    <w:rsid w:val="003C3EAB"/>
    <w:rsid w:val="003C448B"/>
    <w:rsid w:val="003C454A"/>
    <w:rsid w:val="003C57EF"/>
    <w:rsid w:val="003C6100"/>
    <w:rsid w:val="003C7959"/>
    <w:rsid w:val="003C7B08"/>
    <w:rsid w:val="003D1521"/>
    <w:rsid w:val="003E18E1"/>
    <w:rsid w:val="003E1EFA"/>
    <w:rsid w:val="003E62E2"/>
    <w:rsid w:val="003E7B33"/>
    <w:rsid w:val="003F472F"/>
    <w:rsid w:val="003F4843"/>
    <w:rsid w:val="003F4E1C"/>
    <w:rsid w:val="003F6A20"/>
    <w:rsid w:val="003F7BE0"/>
    <w:rsid w:val="003F7D02"/>
    <w:rsid w:val="00410033"/>
    <w:rsid w:val="0041158C"/>
    <w:rsid w:val="004117F0"/>
    <w:rsid w:val="00411C9F"/>
    <w:rsid w:val="004149E4"/>
    <w:rsid w:val="00427DBC"/>
    <w:rsid w:val="00430191"/>
    <w:rsid w:val="0043107F"/>
    <w:rsid w:val="00431725"/>
    <w:rsid w:val="00432850"/>
    <w:rsid w:val="004409B2"/>
    <w:rsid w:val="00440D7E"/>
    <w:rsid w:val="00441209"/>
    <w:rsid w:val="0044199B"/>
    <w:rsid w:val="00460C83"/>
    <w:rsid w:val="00465ED5"/>
    <w:rsid w:val="00476DA5"/>
    <w:rsid w:val="00477642"/>
    <w:rsid w:val="004808F3"/>
    <w:rsid w:val="004836CC"/>
    <w:rsid w:val="00483C76"/>
    <w:rsid w:val="00483D0A"/>
    <w:rsid w:val="00485D13"/>
    <w:rsid w:val="00485D3C"/>
    <w:rsid w:val="00486663"/>
    <w:rsid w:val="0048677F"/>
    <w:rsid w:val="004934D5"/>
    <w:rsid w:val="004937F7"/>
    <w:rsid w:val="00494277"/>
    <w:rsid w:val="0049529F"/>
    <w:rsid w:val="00496D5A"/>
    <w:rsid w:val="004A0502"/>
    <w:rsid w:val="004A5608"/>
    <w:rsid w:val="004A7B3D"/>
    <w:rsid w:val="004B299A"/>
    <w:rsid w:val="004B7380"/>
    <w:rsid w:val="004C3F73"/>
    <w:rsid w:val="004D1DC5"/>
    <w:rsid w:val="004E26FE"/>
    <w:rsid w:val="004E735E"/>
    <w:rsid w:val="004F46DF"/>
    <w:rsid w:val="004F5E12"/>
    <w:rsid w:val="00504192"/>
    <w:rsid w:val="00504385"/>
    <w:rsid w:val="00507DC4"/>
    <w:rsid w:val="00510199"/>
    <w:rsid w:val="0051402F"/>
    <w:rsid w:val="00515059"/>
    <w:rsid w:val="005218A6"/>
    <w:rsid w:val="00522A24"/>
    <w:rsid w:val="0052705B"/>
    <w:rsid w:val="00530025"/>
    <w:rsid w:val="005325DA"/>
    <w:rsid w:val="005327B1"/>
    <w:rsid w:val="00540AA0"/>
    <w:rsid w:val="005426AC"/>
    <w:rsid w:val="00542ECB"/>
    <w:rsid w:val="00546417"/>
    <w:rsid w:val="00550DB2"/>
    <w:rsid w:val="00553640"/>
    <w:rsid w:val="00554044"/>
    <w:rsid w:val="00554C89"/>
    <w:rsid w:val="0056199A"/>
    <w:rsid w:val="00561B44"/>
    <w:rsid w:val="00563F1D"/>
    <w:rsid w:val="00566DDF"/>
    <w:rsid w:val="005718EB"/>
    <w:rsid w:val="00571AB3"/>
    <w:rsid w:val="00574D73"/>
    <w:rsid w:val="00575C2F"/>
    <w:rsid w:val="00575F19"/>
    <w:rsid w:val="00576E30"/>
    <w:rsid w:val="005770DF"/>
    <w:rsid w:val="00582329"/>
    <w:rsid w:val="00583097"/>
    <w:rsid w:val="00586507"/>
    <w:rsid w:val="00596362"/>
    <w:rsid w:val="00596918"/>
    <w:rsid w:val="005A10FE"/>
    <w:rsid w:val="005A22A2"/>
    <w:rsid w:val="005A2A0F"/>
    <w:rsid w:val="005A3897"/>
    <w:rsid w:val="005A7DD1"/>
    <w:rsid w:val="005B1A4E"/>
    <w:rsid w:val="005B38E7"/>
    <w:rsid w:val="005B6E25"/>
    <w:rsid w:val="005C02DC"/>
    <w:rsid w:val="005C23A1"/>
    <w:rsid w:val="005D3F38"/>
    <w:rsid w:val="005D7ECA"/>
    <w:rsid w:val="005E4458"/>
    <w:rsid w:val="005F1351"/>
    <w:rsid w:val="005F23F3"/>
    <w:rsid w:val="005F5268"/>
    <w:rsid w:val="005F5575"/>
    <w:rsid w:val="005F6857"/>
    <w:rsid w:val="00601F43"/>
    <w:rsid w:val="006032E0"/>
    <w:rsid w:val="00604017"/>
    <w:rsid w:val="00605A59"/>
    <w:rsid w:val="00612E59"/>
    <w:rsid w:val="0061371E"/>
    <w:rsid w:val="00615D25"/>
    <w:rsid w:val="00616D05"/>
    <w:rsid w:val="00621D98"/>
    <w:rsid w:val="00621E4F"/>
    <w:rsid w:val="00622F0C"/>
    <w:rsid w:val="006246A7"/>
    <w:rsid w:val="0063170F"/>
    <w:rsid w:val="006328FF"/>
    <w:rsid w:val="00633421"/>
    <w:rsid w:val="00635DFA"/>
    <w:rsid w:val="006365A2"/>
    <w:rsid w:val="0063686A"/>
    <w:rsid w:val="00636A24"/>
    <w:rsid w:val="0064250B"/>
    <w:rsid w:val="00650AFD"/>
    <w:rsid w:val="0065196E"/>
    <w:rsid w:val="006525B1"/>
    <w:rsid w:val="00654F84"/>
    <w:rsid w:val="00654FCD"/>
    <w:rsid w:val="006564CF"/>
    <w:rsid w:val="00657A60"/>
    <w:rsid w:val="00657D26"/>
    <w:rsid w:val="00660C14"/>
    <w:rsid w:val="006627D5"/>
    <w:rsid w:val="006650B1"/>
    <w:rsid w:val="00672F09"/>
    <w:rsid w:val="00673AC8"/>
    <w:rsid w:val="006751BE"/>
    <w:rsid w:val="00677930"/>
    <w:rsid w:val="006804D3"/>
    <w:rsid w:val="00682494"/>
    <w:rsid w:val="00682EB1"/>
    <w:rsid w:val="00682FA0"/>
    <w:rsid w:val="00687880"/>
    <w:rsid w:val="00687C90"/>
    <w:rsid w:val="00692D3C"/>
    <w:rsid w:val="006931C3"/>
    <w:rsid w:val="00693615"/>
    <w:rsid w:val="00693CB4"/>
    <w:rsid w:val="00695533"/>
    <w:rsid w:val="006956F6"/>
    <w:rsid w:val="006A095E"/>
    <w:rsid w:val="006A1FCD"/>
    <w:rsid w:val="006A2A23"/>
    <w:rsid w:val="006A4B81"/>
    <w:rsid w:val="006B0A67"/>
    <w:rsid w:val="006B1413"/>
    <w:rsid w:val="006C1E31"/>
    <w:rsid w:val="006C5BCC"/>
    <w:rsid w:val="006C6DB0"/>
    <w:rsid w:val="006D1534"/>
    <w:rsid w:val="006D2B6F"/>
    <w:rsid w:val="006D7616"/>
    <w:rsid w:val="006D7E6E"/>
    <w:rsid w:val="006E5CF1"/>
    <w:rsid w:val="006E6E9D"/>
    <w:rsid w:val="006F1452"/>
    <w:rsid w:val="006F6654"/>
    <w:rsid w:val="006F7F14"/>
    <w:rsid w:val="00705812"/>
    <w:rsid w:val="00710D5A"/>
    <w:rsid w:val="0071222D"/>
    <w:rsid w:val="007145A9"/>
    <w:rsid w:val="007145DE"/>
    <w:rsid w:val="00715886"/>
    <w:rsid w:val="00721C4F"/>
    <w:rsid w:val="0072365F"/>
    <w:rsid w:val="00725169"/>
    <w:rsid w:val="00725B82"/>
    <w:rsid w:val="00725F9F"/>
    <w:rsid w:val="00733079"/>
    <w:rsid w:val="00733841"/>
    <w:rsid w:val="007352B2"/>
    <w:rsid w:val="007410F1"/>
    <w:rsid w:val="00741768"/>
    <w:rsid w:val="0074301E"/>
    <w:rsid w:val="00745F3E"/>
    <w:rsid w:val="0075074F"/>
    <w:rsid w:val="00752992"/>
    <w:rsid w:val="00754BFA"/>
    <w:rsid w:val="00754D46"/>
    <w:rsid w:val="007576C6"/>
    <w:rsid w:val="00762A46"/>
    <w:rsid w:val="007637D7"/>
    <w:rsid w:val="00763F0D"/>
    <w:rsid w:val="00767A67"/>
    <w:rsid w:val="0077024A"/>
    <w:rsid w:val="007706BA"/>
    <w:rsid w:val="007708C1"/>
    <w:rsid w:val="00771233"/>
    <w:rsid w:val="007749B5"/>
    <w:rsid w:val="00776B96"/>
    <w:rsid w:val="0078006E"/>
    <w:rsid w:val="007856CC"/>
    <w:rsid w:val="00786EE8"/>
    <w:rsid w:val="00786F67"/>
    <w:rsid w:val="00793F05"/>
    <w:rsid w:val="007940D5"/>
    <w:rsid w:val="00794207"/>
    <w:rsid w:val="00795612"/>
    <w:rsid w:val="007970D6"/>
    <w:rsid w:val="007A2780"/>
    <w:rsid w:val="007A49E7"/>
    <w:rsid w:val="007A6607"/>
    <w:rsid w:val="007A780F"/>
    <w:rsid w:val="007B0AD1"/>
    <w:rsid w:val="007B0B37"/>
    <w:rsid w:val="007C01D7"/>
    <w:rsid w:val="007C0604"/>
    <w:rsid w:val="007C0A90"/>
    <w:rsid w:val="007C29EF"/>
    <w:rsid w:val="007C5020"/>
    <w:rsid w:val="007C504D"/>
    <w:rsid w:val="007D6AEC"/>
    <w:rsid w:val="007E397C"/>
    <w:rsid w:val="007E5C36"/>
    <w:rsid w:val="007E6442"/>
    <w:rsid w:val="007E72DD"/>
    <w:rsid w:val="007F3167"/>
    <w:rsid w:val="007F34A8"/>
    <w:rsid w:val="007F769F"/>
    <w:rsid w:val="00800C3F"/>
    <w:rsid w:val="00801BA0"/>
    <w:rsid w:val="00803C70"/>
    <w:rsid w:val="00805DF3"/>
    <w:rsid w:val="00805FC3"/>
    <w:rsid w:val="00807CE3"/>
    <w:rsid w:val="008109A2"/>
    <w:rsid w:val="00817C22"/>
    <w:rsid w:val="00820B50"/>
    <w:rsid w:val="008262E8"/>
    <w:rsid w:val="0083151A"/>
    <w:rsid w:val="00833F9F"/>
    <w:rsid w:val="008358F5"/>
    <w:rsid w:val="008424A4"/>
    <w:rsid w:val="00842ACB"/>
    <w:rsid w:val="0084421C"/>
    <w:rsid w:val="00845C9E"/>
    <w:rsid w:val="008572CB"/>
    <w:rsid w:val="00861C90"/>
    <w:rsid w:val="00862398"/>
    <w:rsid w:val="008631CD"/>
    <w:rsid w:val="008632AC"/>
    <w:rsid w:val="008708E7"/>
    <w:rsid w:val="00870E11"/>
    <w:rsid w:val="008717C0"/>
    <w:rsid w:val="00880173"/>
    <w:rsid w:val="008827A6"/>
    <w:rsid w:val="008842E6"/>
    <w:rsid w:val="00893F57"/>
    <w:rsid w:val="00894431"/>
    <w:rsid w:val="00895459"/>
    <w:rsid w:val="00897135"/>
    <w:rsid w:val="008A393D"/>
    <w:rsid w:val="008A4DF5"/>
    <w:rsid w:val="008A638A"/>
    <w:rsid w:val="008A7CC6"/>
    <w:rsid w:val="008B3AFA"/>
    <w:rsid w:val="008B6DC9"/>
    <w:rsid w:val="008C53E1"/>
    <w:rsid w:val="008C594B"/>
    <w:rsid w:val="008D0766"/>
    <w:rsid w:val="008D37A6"/>
    <w:rsid w:val="008D6372"/>
    <w:rsid w:val="008E0FD8"/>
    <w:rsid w:val="008E4EE3"/>
    <w:rsid w:val="008F07F0"/>
    <w:rsid w:val="008F0AD3"/>
    <w:rsid w:val="008F4153"/>
    <w:rsid w:val="008F588B"/>
    <w:rsid w:val="00900000"/>
    <w:rsid w:val="009022CB"/>
    <w:rsid w:val="00902444"/>
    <w:rsid w:val="00905608"/>
    <w:rsid w:val="00907F19"/>
    <w:rsid w:val="009115DA"/>
    <w:rsid w:val="00914B0C"/>
    <w:rsid w:val="00914CDC"/>
    <w:rsid w:val="009214D1"/>
    <w:rsid w:val="00927AE0"/>
    <w:rsid w:val="009324A1"/>
    <w:rsid w:val="00934080"/>
    <w:rsid w:val="00934EC2"/>
    <w:rsid w:val="00935D10"/>
    <w:rsid w:val="009446CE"/>
    <w:rsid w:val="009447CB"/>
    <w:rsid w:val="00945FD8"/>
    <w:rsid w:val="009523FD"/>
    <w:rsid w:val="009532D2"/>
    <w:rsid w:val="0095494C"/>
    <w:rsid w:val="00955E56"/>
    <w:rsid w:val="009562F0"/>
    <w:rsid w:val="00956526"/>
    <w:rsid w:val="00956A8A"/>
    <w:rsid w:val="0095726E"/>
    <w:rsid w:val="00957320"/>
    <w:rsid w:val="00967FB4"/>
    <w:rsid w:val="00971556"/>
    <w:rsid w:val="00973502"/>
    <w:rsid w:val="00976258"/>
    <w:rsid w:val="00980F91"/>
    <w:rsid w:val="00981256"/>
    <w:rsid w:val="00984576"/>
    <w:rsid w:val="00984D12"/>
    <w:rsid w:val="009864CB"/>
    <w:rsid w:val="009874F9"/>
    <w:rsid w:val="00991273"/>
    <w:rsid w:val="009914BD"/>
    <w:rsid w:val="0099340D"/>
    <w:rsid w:val="009A13E7"/>
    <w:rsid w:val="009A41E9"/>
    <w:rsid w:val="009A5828"/>
    <w:rsid w:val="009A590C"/>
    <w:rsid w:val="009A5BF8"/>
    <w:rsid w:val="009A751B"/>
    <w:rsid w:val="009B1053"/>
    <w:rsid w:val="009B1107"/>
    <w:rsid w:val="009B129A"/>
    <w:rsid w:val="009B4D48"/>
    <w:rsid w:val="009B630B"/>
    <w:rsid w:val="009B7D14"/>
    <w:rsid w:val="009C0915"/>
    <w:rsid w:val="009C1C6C"/>
    <w:rsid w:val="009C2C09"/>
    <w:rsid w:val="009C50E0"/>
    <w:rsid w:val="009C6E82"/>
    <w:rsid w:val="009D2117"/>
    <w:rsid w:val="009D3302"/>
    <w:rsid w:val="009D52D1"/>
    <w:rsid w:val="009D5A8E"/>
    <w:rsid w:val="009E51AA"/>
    <w:rsid w:val="009F2A1B"/>
    <w:rsid w:val="009F2B85"/>
    <w:rsid w:val="009F3049"/>
    <w:rsid w:val="009F588C"/>
    <w:rsid w:val="009F6488"/>
    <w:rsid w:val="009F64B9"/>
    <w:rsid w:val="00A026F0"/>
    <w:rsid w:val="00A04145"/>
    <w:rsid w:val="00A125C0"/>
    <w:rsid w:val="00A135C2"/>
    <w:rsid w:val="00A16084"/>
    <w:rsid w:val="00A17285"/>
    <w:rsid w:val="00A23A01"/>
    <w:rsid w:val="00A27EAB"/>
    <w:rsid w:val="00A316DA"/>
    <w:rsid w:val="00A332E1"/>
    <w:rsid w:val="00A375C1"/>
    <w:rsid w:val="00A40014"/>
    <w:rsid w:val="00A40CB1"/>
    <w:rsid w:val="00A42E55"/>
    <w:rsid w:val="00A44026"/>
    <w:rsid w:val="00A4677E"/>
    <w:rsid w:val="00A47F15"/>
    <w:rsid w:val="00A55375"/>
    <w:rsid w:val="00A62BE8"/>
    <w:rsid w:val="00A64DD9"/>
    <w:rsid w:val="00A65CC0"/>
    <w:rsid w:val="00A73333"/>
    <w:rsid w:val="00A74A2F"/>
    <w:rsid w:val="00A81FC6"/>
    <w:rsid w:val="00A84EB2"/>
    <w:rsid w:val="00A91454"/>
    <w:rsid w:val="00A952D4"/>
    <w:rsid w:val="00A97BF2"/>
    <w:rsid w:val="00A97EE9"/>
    <w:rsid w:val="00AA1061"/>
    <w:rsid w:val="00AA232A"/>
    <w:rsid w:val="00AA3B30"/>
    <w:rsid w:val="00AA5262"/>
    <w:rsid w:val="00AA5990"/>
    <w:rsid w:val="00AA5C6A"/>
    <w:rsid w:val="00AB10B3"/>
    <w:rsid w:val="00AB22F3"/>
    <w:rsid w:val="00AB2C4F"/>
    <w:rsid w:val="00AB3800"/>
    <w:rsid w:val="00AB5B42"/>
    <w:rsid w:val="00AB6907"/>
    <w:rsid w:val="00AB7D38"/>
    <w:rsid w:val="00AC06D6"/>
    <w:rsid w:val="00AC3E7C"/>
    <w:rsid w:val="00AC542B"/>
    <w:rsid w:val="00AC56AC"/>
    <w:rsid w:val="00AC70FF"/>
    <w:rsid w:val="00AC7D43"/>
    <w:rsid w:val="00AC7D59"/>
    <w:rsid w:val="00AD0E2F"/>
    <w:rsid w:val="00AE77E6"/>
    <w:rsid w:val="00AE7FA6"/>
    <w:rsid w:val="00AF0FF0"/>
    <w:rsid w:val="00AF1518"/>
    <w:rsid w:val="00AF19A1"/>
    <w:rsid w:val="00AF24AE"/>
    <w:rsid w:val="00AF4888"/>
    <w:rsid w:val="00B10E7A"/>
    <w:rsid w:val="00B11E3E"/>
    <w:rsid w:val="00B15ACE"/>
    <w:rsid w:val="00B17CED"/>
    <w:rsid w:val="00B210CD"/>
    <w:rsid w:val="00B248F8"/>
    <w:rsid w:val="00B2517F"/>
    <w:rsid w:val="00B26B9C"/>
    <w:rsid w:val="00B273FE"/>
    <w:rsid w:val="00B3052D"/>
    <w:rsid w:val="00B308C9"/>
    <w:rsid w:val="00B30C84"/>
    <w:rsid w:val="00B3336F"/>
    <w:rsid w:val="00B34456"/>
    <w:rsid w:val="00B369DC"/>
    <w:rsid w:val="00B40087"/>
    <w:rsid w:val="00B428A4"/>
    <w:rsid w:val="00B55645"/>
    <w:rsid w:val="00B57BDF"/>
    <w:rsid w:val="00B63832"/>
    <w:rsid w:val="00B66CC1"/>
    <w:rsid w:val="00B728A0"/>
    <w:rsid w:val="00B812C2"/>
    <w:rsid w:val="00B82290"/>
    <w:rsid w:val="00B83F92"/>
    <w:rsid w:val="00B841F8"/>
    <w:rsid w:val="00B850DE"/>
    <w:rsid w:val="00B93134"/>
    <w:rsid w:val="00B94CA9"/>
    <w:rsid w:val="00BA0304"/>
    <w:rsid w:val="00BA1D6B"/>
    <w:rsid w:val="00BA221A"/>
    <w:rsid w:val="00BA2C52"/>
    <w:rsid w:val="00BA4F58"/>
    <w:rsid w:val="00BA5499"/>
    <w:rsid w:val="00BB1202"/>
    <w:rsid w:val="00BB3D55"/>
    <w:rsid w:val="00BB403C"/>
    <w:rsid w:val="00BB4140"/>
    <w:rsid w:val="00BB4701"/>
    <w:rsid w:val="00BB75B7"/>
    <w:rsid w:val="00BC0183"/>
    <w:rsid w:val="00BC21EC"/>
    <w:rsid w:val="00BC33E0"/>
    <w:rsid w:val="00BC55C8"/>
    <w:rsid w:val="00BC55F7"/>
    <w:rsid w:val="00BC6FB5"/>
    <w:rsid w:val="00BD22C9"/>
    <w:rsid w:val="00BD4483"/>
    <w:rsid w:val="00BD4AA2"/>
    <w:rsid w:val="00BD4E66"/>
    <w:rsid w:val="00BD5625"/>
    <w:rsid w:val="00BD6233"/>
    <w:rsid w:val="00BD79AE"/>
    <w:rsid w:val="00BE01C4"/>
    <w:rsid w:val="00BE2D5E"/>
    <w:rsid w:val="00BE3D6A"/>
    <w:rsid w:val="00BE6F2A"/>
    <w:rsid w:val="00BE7979"/>
    <w:rsid w:val="00BF2EA9"/>
    <w:rsid w:val="00BF3B2D"/>
    <w:rsid w:val="00BF463D"/>
    <w:rsid w:val="00BF69A1"/>
    <w:rsid w:val="00C0044D"/>
    <w:rsid w:val="00C060F5"/>
    <w:rsid w:val="00C1377A"/>
    <w:rsid w:val="00C13B20"/>
    <w:rsid w:val="00C15122"/>
    <w:rsid w:val="00C21AFB"/>
    <w:rsid w:val="00C23032"/>
    <w:rsid w:val="00C2392D"/>
    <w:rsid w:val="00C25F04"/>
    <w:rsid w:val="00C260B7"/>
    <w:rsid w:val="00C33117"/>
    <w:rsid w:val="00C373CF"/>
    <w:rsid w:val="00C41F91"/>
    <w:rsid w:val="00C42477"/>
    <w:rsid w:val="00C44A49"/>
    <w:rsid w:val="00C468AF"/>
    <w:rsid w:val="00C522DF"/>
    <w:rsid w:val="00C5342B"/>
    <w:rsid w:val="00C53721"/>
    <w:rsid w:val="00C56C51"/>
    <w:rsid w:val="00C57C3C"/>
    <w:rsid w:val="00C60CEB"/>
    <w:rsid w:val="00C61250"/>
    <w:rsid w:val="00C62431"/>
    <w:rsid w:val="00C636D6"/>
    <w:rsid w:val="00C65B62"/>
    <w:rsid w:val="00C712A7"/>
    <w:rsid w:val="00C7679B"/>
    <w:rsid w:val="00C778B3"/>
    <w:rsid w:val="00C81ABB"/>
    <w:rsid w:val="00C83481"/>
    <w:rsid w:val="00C852BE"/>
    <w:rsid w:val="00C92ECE"/>
    <w:rsid w:val="00CA084D"/>
    <w:rsid w:val="00CA1109"/>
    <w:rsid w:val="00CA41FC"/>
    <w:rsid w:val="00CA455D"/>
    <w:rsid w:val="00CA46B8"/>
    <w:rsid w:val="00CB46B9"/>
    <w:rsid w:val="00CC03CB"/>
    <w:rsid w:val="00CC248F"/>
    <w:rsid w:val="00CC315C"/>
    <w:rsid w:val="00CC3BE6"/>
    <w:rsid w:val="00CC4D47"/>
    <w:rsid w:val="00CD0E59"/>
    <w:rsid w:val="00CE14C1"/>
    <w:rsid w:val="00CE7E88"/>
    <w:rsid w:val="00CF349B"/>
    <w:rsid w:val="00CF3704"/>
    <w:rsid w:val="00CF6AD7"/>
    <w:rsid w:val="00D013F6"/>
    <w:rsid w:val="00D01C2F"/>
    <w:rsid w:val="00D05F96"/>
    <w:rsid w:val="00D06BB5"/>
    <w:rsid w:val="00D13454"/>
    <w:rsid w:val="00D16841"/>
    <w:rsid w:val="00D16B05"/>
    <w:rsid w:val="00D208D1"/>
    <w:rsid w:val="00D20F37"/>
    <w:rsid w:val="00D2381F"/>
    <w:rsid w:val="00D23CD8"/>
    <w:rsid w:val="00D24208"/>
    <w:rsid w:val="00D25042"/>
    <w:rsid w:val="00D34318"/>
    <w:rsid w:val="00D352E7"/>
    <w:rsid w:val="00D363F3"/>
    <w:rsid w:val="00D37F48"/>
    <w:rsid w:val="00D4038E"/>
    <w:rsid w:val="00D41A53"/>
    <w:rsid w:val="00D42453"/>
    <w:rsid w:val="00D46B61"/>
    <w:rsid w:val="00D47185"/>
    <w:rsid w:val="00D501B5"/>
    <w:rsid w:val="00D57AE7"/>
    <w:rsid w:val="00D64D31"/>
    <w:rsid w:val="00D65F4C"/>
    <w:rsid w:val="00D660DE"/>
    <w:rsid w:val="00D67805"/>
    <w:rsid w:val="00D72DDF"/>
    <w:rsid w:val="00D734A0"/>
    <w:rsid w:val="00D739BE"/>
    <w:rsid w:val="00D8155D"/>
    <w:rsid w:val="00D81E99"/>
    <w:rsid w:val="00D87130"/>
    <w:rsid w:val="00D90BFB"/>
    <w:rsid w:val="00D90CEE"/>
    <w:rsid w:val="00D91DF3"/>
    <w:rsid w:val="00D97374"/>
    <w:rsid w:val="00D97FB8"/>
    <w:rsid w:val="00DA00DE"/>
    <w:rsid w:val="00DA5406"/>
    <w:rsid w:val="00DA5ED4"/>
    <w:rsid w:val="00DB4FC9"/>
    <w:rsid w:val="00DB591E"/>
    <w:rsid w:val="00DB753F"/>
    <w:rsid w:val="00DC1B7E"/>
    <w:rsid w:val="00DC35CA"/>
    <w:rsid w:val="00DC3616"/>
    <w:rsid w:val="00DC3754"/>
    <w:rsid w:val="00DC4295"/>
    <w:rsid w:val="00DC448F"/>
    <w:rsid w:val="00DC5D3F"/>
    <w:rsid w:val="00DC612D"/>
    <w:rsid w:val="00DD07D9"/>
    <w:rsid w:val="00DD2ACC"/>
    <w:rsid w:val="00DD2D55"/>
    <w:rsid w:val="00DD2D71"/>
    <w:rsid w:val="00DD534A"/>
    <w:rsid w:val="00DD71E2"/>
    <w:rsid w:val="00DD7982"/>
    <w:rsid w:val="00DE2A57"/>
    <w:rsid w:val="00DE3DE8"/>
    <w:rsid w:val="00DE70C9"/>
    <w:rsid w:val="00DF1A93"/>
    <w:rsid w:val="00DF5EEE"/>
    <w:rsid w:val="00DF6442"/>
    <w:rsid w:val="00E01D63"/>
    <w:rsid w:val="00E05E12"/>
    <w:rsid w:val="00E11B41"/>
    <w:rsid w:val="00E15F46"/>
    <w:rsid w:val="00E237A4"/>
    <w:rsid w:val="00E2441B"/>
    <w:rsid w:val="00E25A4D"/>
    <w:rsid w:val="00E266D6"/>
    <w:rsid w:val="00E2722A"/>
    <w:rsid w:val="00E30E6B"/>
    <w:rsid w:val="00E33411"/>
    <w:rsid w:val="00E3428B"/>
    <w:rsid w:val="00E37A52"/>
    <w:rsid w:val="00E407B4"/>
    <w:rsid w:val="00E408B8"/>
    <w:rsid w:val="00E429CE"/>
    <w:rsid w:val="00E433B8"/>
    <w:rsid w:val="00E4489A"/>
    <w:rsid w:val="00E4608F"/>
    <w:rsid w:val="00E46FE9"/>
    <w:rsid w:val="00E50550"/>
    <w:rsid w:val="00E60E3D"/>
    <w:rsid w:val="00E6289C"/>
    <w:rsid w:val="00E6314B"/>
    <w:rsid w:val="00E71D13"/>
    <w:rsid w:val="00E75528"/>
    <w:rsid w:val="00E80736"/>
    <w:rsid w:val="00E871D1"/>
    <w:rsid w:val="00E8777E"/>
    <w:rsid w:val="00E91F92"/>
    <w:rsid w:val="00E9215C"/>
    <w:rsid w:val="00E95E80"/>
    <w:rsid w:val="00E965C5"/>
    <w:rsid w:val="00EA02F3"/>
    <w:rsid w:val="00EA3A50"/>
    <w:rsid w:val="00EA5BB4"/>
    <w:rsid w:val="00EA5F90"/>
    <w:rsid w:val="00EA7928"/>
    <w:rsid w:val="00EB441B"/>
    <w:rsid w:val="00EB6998"/>
    <w:rsid w:val="00EB6A3C"/>
    <w:rsid w:val="00EC358A"/>
    <w:rsid w:val="00EC3DD9"/>
    <w:rsid w:val="00EC73E2"/>
    <w:rsid w:val="00ED0EAD"/>
    <w:rsid w:val="00ED0F8F"/>
    <w:rsid w:val="00ED3E23"/>
    <w:rsid w:val="00EE0379"/>
    <w:rsid w:val="00EE04A0"/>
    <w:rsid w:val="00EE1CAC"/>
    <w:rsid w:val="00EE48CF"/>
    <w:rsid w:val="00EE5FF0"/>
    <w:rsid w:val="00EE6864"/>
    <w:rsid w:val="00EE692B"/>
    <w:rsid w:val="00EE796F"/>
    <w:rsid w:val="00EF0DCF"/>
    <w:rsid w:val="00EF16E9"/>
    <w:rsid w:val="00EF3179"/>
    <w:rsid w:val="00EF6B61"/>
    <w:rsid w:val="00F008A6"/>
    <w:rsid w:val="00F056B0"/>
    <w:rsid w:val="00F06375"/>
    <w:rsid w:val="00F07586"/>
    <w:rsid w:val="00F076A2"/>
    <w:rsid w:val="00F11A54"/>
    <w:rsid w:val="00F12723"/>
    <w:rsid w:val="00F13587"/>
    <w:rsid w:val="00F146A1"/>
    <w:rsid w:val="00F156A1"/>
    <w:rsid w:val="00F2096E"/>
    <w:rsid w:val="00F20AF0"/>
    <w:rsid w:val="00F22952"/>
    <w:rsid w:val="00F22CF7"/>
    <w:rsid w:val="00F24C96"/>
    <w:rsid w:val="00F25602"/>
    <w:rsid w:val="00F27C91"/>
    <w:rsid w:val="00F32D01"/>
    <w:rsid w:val="00F40707"/>
    <w:rsid w:val="00F4072F"/>
    <w:rsid w:val="00F40F33"/>
    <w:rsid w:val="00F4215A"/>
    <w:rsid w:val="00F4629B"/>
    <w:rsid w:val="00F463BD"/>
    <w:rsid w:val="00F52B9E"/>
    <w:rsid w:val="00F52E4A"/>
    <w:rsid w:val="00F57737"/>
    <w:rsid w:val="00F57B52"/>
    <w:rsid w:val="00F60ADE"/>
    <w:rsid w:val="00F620DD"/>
    <w:rsid w:val="00F70AAC"/>
    <w:rsid w:val="00F71C06"/>
    <w:rsid w:val="00F724DF"/>
    <w:rsid w:val="00F730D1"/>
    <w:rsid w:val="00F735A7"/>
    <w:rsid w:val="00F75F80"/>
    <w:rsid w:val="00F855E0"/>
    <w:rsid w:val="00F85688"/>
    <w:rsid w:val="00F857EE"/>
    <w:rsid w:val="00F901DE"/>
    <w:rsid w:val="00F902AA"/>
    <w:rsid w:val="00F90AEF"/>
    <w:rsid w:val="00F942F9"/>
    <w:rsid w:val="00F94D3D"/>
    <w:rsid w:val="00FA10A5"/>
    <w:rsid w:val="00FA1877"/>
    <w:rsid w:val="00FA3041"/>
    <w:rsid w:val="00FA58BB"/>
    <w:rsid w:val="00FB31BF"/>
    <w:rsid w:val="00FB3A4E"/>
    <w:rsid w:val="00FB747D"/>
    <w:rsid w:val="00FB76EB"/>
    <w:rsid w:val="00FB7B9F"/>
    <w:rsid w:val="00FC1685"/>
    <w:rsid w:val="00FC1687"/>
    <w:rsid w:val="00FC6B39"/>
    <w:rsid w:val="00FD019B"/>
    <w:rsid w:val="00FD04F4"/>
    <w:rsid w:val="00FD397D"/>
    <w:rsid w:val="00FD7EB6"/>
    <w:rsid w:val="00FE05AD"/>
    <w:rsid w:val="00FE0768"/>
    <w:rsid w:val="00FE1CF8"/>
    <w:rsid w:val="00FE2A2C"/>
    <w:rsid w:val="00FE397A"/>
    <w:rsid w:val="00FE7F23"/>
    <w:rsid w:val="00FF56B6"/>
    <w:rsid w:val="01104906"/>
    <w:rsid w:val="01151599"/>
    <w:rsid w:val="01561100"/>
    <w:rsid w:val="015F2D03"/>
    <w:rsid w:val="019E0F71"/>
    <w:rsid w:val="01B2654C"/>
    <w:rsid w:val="01B33D52"/>
    <w:rsid w:val="01B53850"/>
    <w:rsid w:val="01CA51A7"/>
    <w:rsid w:val="01D717A4"/>
    <w:rsid w:val="01FC0E89"/>
    <w:rsid w:val="021606EB"/>
    <w:rsid w:val="02200DE9"/>
    <w:rsid w:val="02342468"/>
    <w:rsid w:val="02373CC9"/>
    <w:rsid w:val="024041AC"/>
    <w:rsid w:val="0243085C"/>
    <w:rsid w:val="02561C7A"/>
    <w:rsid w:val="02644F77"/>
    <w:rsid w:val="02B46CC3"/>
    <w:rsid w:val="02C6234A"/>
    <w:rsid w:val="035B3596"/>
    <w:rsid w:val="0373146F"/>
    <w:rsid w:val="037F66EA"/>
    <w:rsid w:val="038D70A1"/>
    <w:rsid w:val="03963C1C"/>
    <w:rsid w:val="03AA620B"/>
    <w:rsid w:val="03CD548B"/>
    <w:rsid w:val="03D6791D"/>
    <w:rsid w:val="03DF77F6"/>
    <w:rsid w:val="03E86937"/>
    <w:rsid w:val="0415139C"/>
    <w:rsid w:val="04516F6F"/>
    <w:rsid w:val="045522F6"/>
    <w:rsid w:val="047B3A10"/>
    <w:rsid w:val="04887B2C"/>
    <w:rsid w:val="04F274B7"/>
    <w:rsid w:val="053533A1"/>
    <w:rsid w:val="053D20B1"/>
    <w:rsid w:val="05DC558F"/>
    <w:rsid w:val="05EB3079"/>
    <w:rsid w:val="05ED3D58"/>
    <w:rsid w:val="05F63558"/>
    <w:rsid w:val="06072E99"/>
    <w:rsid w:val="06086E53"/>
    <w:rsid w:val="06157BFC"/>
    <w:rsid w:val="06222EA1"/>
    <w:rsid w:val="06345B2B"/>
    <w:rsid w:val="065A6CBE"/>
    <w:rsid w:val="066A61BA"/>
    <w:rsid w:val="067A31A4"/>
    <w:rsid w:val="0685094E"/>
    <w:rsid w:val="069D10FA"/>
    <w:rsid w:val="06AD77DB"/>
    <w:rsid w:val="06BD30DE"/>
    <w:rsid w:val="06C01D71"/>
    <w:rsid w:val="06EA0FCB"/>
    <w:rsid w:val="06FE26EE"/>
    <w:rsid w:val="070954F2"/>
    <w:rsid w:val="074006DE"/>
    <w:rsid w:val="0763769A"/>
    <w:rsid w:val="076802A4"/>
    <w:rsid w:val="07911631"/>
    <w:rsid w:val="07E96341"/>
    <w:rsid w:val="07ED09BB"/>
    <w:rsid w:val="08242AC3"/>
    <w:rsid w:val="08763B20"/>
    <w:rsid w:val="089D0424"/>
    <w:rsid w:val="08B35665"/>
    <w:rsid w:val="08B56A0B"/>
    <w:rsid w:val="08BB21F2"/>
    <w:rsid w:val="08C06411"/>
    <w:rsid w:val="08C81D70"/>
    <w:rsid w:val="08CB7D45"/>
    <w:rsid w:val="08CF198E"/>
    <w:rsid w:val="09427C85"/>
    <w:rsid w:val="09437144"/>
    <w:rsid w:val="094B4967"/>
    <w:rsid w:val="09531ECE"/>
    <w:rsid w:val="09582589"/>
    <w:rsid w:val="095B16CC"/>
    <w:rsid w:val="09890DA3"/>
    <w:rsid w:val="09C60C9A"/>
    <w:rsid w:val="09D259C0"/>
    <w:rsid w:val="09DA2F89"/>
    <w:rsid w:val="0A0F767B"/>
    <w:rsid w:val="0A143B89"/>
    <w:rsid w:val="0A1A07ED"/>
    <w:rsid w:val="0A335B59"/>
    <w:rsid w:val="0A3450A8"/>
    <w:rsid w:val="0A385631"/>
    <w:rsid w:val="0A467AE8"/>
    <w:rsid w:val="0A555B1C"/>
    <w:rsid w:val="0AAC09BD"/>
    <w:rsid w:val="0ACA37F5"/>
    <w:rsid w:val="0AD71808"/>
    <w:rsid w:val="0B0E5846"/>
    <w:rsid w:val="0B1371C5"/>
    <w:rsid w:val="0B1F2938"/>
    <w:rsid w:val="0B1F72D2"/>
    <w:rsid w:val="0B40681A"/>
    <w:rsid w:val="0B681F25"/>
    <w:rsid w:val="0B73484A"/>
    <w:rsid w:val="0B7C08DA"/>
    <w:rsid w:val="0B827ECD"/>
    <w:rsid w:val="0BD56FDB"/>
    <w:rsid w:val="0BDD307C"/>
    <w:rsid w:val="0BE83F1A"/>
    <w:rsid w:val="0C58135B"/>
    <w:rsid w:val="0C9641D9"/>
    <w:rsid w:val="0CA65C2A"/>
    <w:rsid w:val="0CD72474"/>
    <w:rsid w:val="0CE30DA6"/>
    <w:rsid w:val="0D2C7FFA"/>
    <w:rsid w:val="0D342345"/>
    <w:rsid w:val="0D665D5D"/>
    <w:rsid w:val="0D7465CA"/>
    <w:rsid w:val="0D756C3B"/>
    <w:rsid w:val="0D892B1E"/>
    <w:rsid w:val="0DBF5E27"/>
    <w:rsid w:val="0DC0167C"/>
    <w:rsid w:val="0DEE2FB8"/>
    <w:rsid w:val="0DFB2E75"/>
    <w:rsid w:val="0E027362"/>
    <w:rsid w:val="0E480705"/>
    <w:rsid w:val="0E583F26"/>
    <w:rsid w:val="0E981F41"/>
    <w:rsid w:val="0EB320F5"/>
    <w:rsid w:val="0EC86F86"/>
    <w:rsid w:val="0ECC4955"/>
    <w:rsid w:val="0EFD3F63"/>
    <w:rsid w:val="0F217A50"/>
    <w:rsid w:val="0F721C74"/>
    <w:rsid w:val="0F790400"/>
    <w:rsid w:val="0F7F617C"/>
    <w:rsid w:val="0F807D7F"/>
    <w:rsid w:val="0F88759C"/>
    <w:rsid w:val="10250528"/>
    <w:rsid w:val="102745C3"/>
    <w:rsid w:val="102E7EC9"/>
    <w:rsid w:val="104A461D"/>
    <w:rsid w:val="108C5D09"/>
    <w:rsid w:val="10926F7A"/>
    <w:rsid w:val="10AA795D"/>
    <w:rsid w:val="10AF5BC7"/>
    <w:rsid w:val="10CB43C4"/>
    <w:rsid w:val="11207494"/>
    <w:rsid w:val="11331647"/>
    <w:rsid w:val="114107C1"/>
    <w:rsid w:val="11470014"/>
    <w:rsid w:val="119921F4"/>
    <w:rsid w:val="11E94E26"/>
    <w:rsid w:val="122659EB"/>
    <w:rsid w:val="122C5912"/>
    <w:rsid w:val="12501530"/>
    <w:rsid w:val="125F307F"/>
    <w:rsid w:val="126626E8"/>
    <w:rsid w:val="126E65D5"/>
    <w:rsid w:val="12BF6A83"/>
    <w:rsid w:val="12CE578F"/>
    <w:rsid w:val="13130A8E"/>
    <w:rsid w:val="13190D41"/>
    <w:rsid w:val="134B779F"/>
    <w:rsid w:val="136710A2"/>
    <w:rsid w:val="13740839"/>
    <w:rsid w:val="13776D63"/>
    <w:rsid w:val="137E2A3C"/>
    <w:rsid w:val="138B42E9"/>
    <w:rsid w:val="13917C54"/>
    <w:rsid w:val="139D788F"/>
    <w:rsid w:val="13BD5AA2"/>
    <w:rsid w:val="13EA7DC3"/>
    <w:rsid w:val="13EC424C"/>
    <w:rsid w:val="13F324C3"/>
    <w:rsid w:val="140B631F"/>
    <w:rsid w:val="14270A27"/>
    <w:rsid w:val="143E7FE1"/>
    <w:rsid w:val="144105DB"/>
    <w:rsid w:val="14896D87"/>
    <w:rsid w:val="14E27D0B"/>
    <w:rsid w:val="14F609AF"/>
    <w:rsid w:val="15093202"/>
    <w:rsid w:val="15264492"/>
    <w:rsid w:val="155D2116"/>
    <w:rsid w:val="156F5864"/>
    <w:rsid w:val="158577B1"/>
    <w:rsid w:val="15B4614F"/>
    <w:rsid w:val="15BB17F8"/>
    <w:rsid w:val="15CF1123"/>
    <w:rsid w:val="15D80B09"/>
    <w:rsid w:val="15E22BF9"/>
    <w:rsid w:val="15E3400A"/>
    <w:rsid w:val="16762BC7"/>
    <w:rsid w:val="1679202F"/>
    <w:rsid w:val="167C2DB8"/>
    <w:rsid w:val="168159A4"/>
    <w:rsid w:val="16B76C3C"/>
    <w:rsid w:val="16FE79FF"/>
    <w:rsid w:val="17005140"/>
    <w:rsid w:val="1725173F"/>
    <w:rsid w:val="173402D2"/>
    <w:rsid w:val="174B1711"/>
    <w:rsid w:val="17566B17"/>
    <w:rsid w:val="178D711B"/>
    <w:rsid w:val="17926680"/>
    <w:rsid w:val="17BE64CA"/>
    <w:rsid w:val="17DF7B99"/>
    <w:rsid w:val="17EF3C77"/>
    <w:rsid w:val="18180D0E"/>
    <w:rsid w:val="181C2DEC"/>
    <w:rsid w:val="182B630C"/>
    <w:rsid w:val="185C1C5D"/>
    <w:rsid w:val="186659AC"/>
    <w:rsid w:val="188C75DC"/>
    <w:rsid w:val="18F50E6A"/>
    <w:rsid w:val="190941C3"/>
    <w:rsid w:val="19141A17"/>
    <w:rsid w:val="191A07F0"/>
    <w:rsid w:val="192A70F6"/>
    <w:rsid w:val="19435121"/>
    <w:rsid w:val="19744E81"/>
    <w:rsid w:val="19843232"/>
    <w:rsid w:val="19AC1B7E"/>
    <w:rsid w:val="19DA1629"/>
    <w:rsid w:val="1A6B00B6"/>
    <w:rsid w:val="1A7F7B84"/>
    <w:rsid w:val="1A8C6194"/>
    <w:rsid w:val="1A994C86"/>
    <w:rsid w:val="1A9B1602"/>
    <w:rsid w:val="1ACC1BE8"/>
    <w:rsid w:val="1ACD7599"/>
    <w:rsid w:val="1ACF7FE9"/>
    <w:rsid w:val="1B0007E9"/>
    <w:rsid w:val="1B627F92"/>
    <w:rsid w:val="1B69612F"/>
    <w:rsid w:val="1B724A47"/>
    <w:rsid w:val="1B7C07E0"/>
    <w:rsid w:val="1BA861DD"/>
    <w:rsid w:val="1BC9422E"/>
    <w:rsid w:val="1BCF45C9"/>
    <w:rsid w:val="1BD82643"/>
    <w:rsid w:val="1BE56805"/>
    <w:rsid w:val="1BF26B22"/>
    <w:rsid w:val="1BF40932"/>
    <w:rsid w:val="1BF604BF"/>
    <w:rsid w:val="1C1E31D2"/>
    <w:rsid w:val="1C270459"/>
    <w:rsid w:val="1C3E24F0"/>
    <w:rsid w:val="1C572679"/>
    <w:rsid w:val="1C6D7E83"/>
    <w:rsid w:val="1C9E78AD"/>
    <w:rsid w:val="1CA47886"/>
    <w:rsid w:val="1D0F6BA4"/>
    <w:rsid w:val="1D357F83"/>
    <w:rsid w:val="1D5656D7"/>
    <w:rsid w:val="1D5804C5"/>
    <w:rsid w:val="1DAF241A"/>
    <w:rsid w:val="1DEA3D13"/>
    <w:rsid w:val="1E1F1C56"/>
    <w:rsid w:val="1E616C8B"/>
    <w:rsid w:val="1E7C5F45"/>
    <w:rsid w:val="1E9B7436"/>
    <w:rsid w:val="1EF51D0C"/>
    <w:rsid w:val="1F221C2B"/>
    <w:rsid w:val="1F5A727D"/>
    <w:rsid w:val="1F915D66"/>
    <w:rsid w:val="1FD353E2"/>
    <w:rsid w:val="1FE4711E"/>
    <w:rsid w:val="200C7898"/>
    <w:rsid w:val="20127824"/>
    <w:rsid w:val="20151901"/>
    <w:rsid w:val="20317BA4"/>
    <w:rsid w:val="20A7453F"/>
    <w:rsid w:val="20AB0B34"/>
    <w:rsid w:val="20B75CEB"/>
    <w:rsid w:val="212649E2"/>
    <w:rsid w:val="21430C37"/>
    <w:rsid w:val="216F6170"/>
    <w:rsid w:val="2174312C"/>
    <w:rsid w:val="21770F46"/>
    <w:rsid w:val="219A46AE"/>
    <w:rsid w:val="21AC2255"/>
    <w:rsid w:val="21C963D8"/>
    <w:rsid w:val="21D621FD"/>
    <w:rsid w:val="21E81DE9"/>
    <w:rsid w:val="229D4603"/>
    <w:rsid w:val="22C2236D"/>
    <w:rsid w:val="22C5598B"/>
    <w:rsid w:val="22CA16F9"/>
    <w:rsid w:val="22FD04DC"/>
    <w:rsid w:val="230C7D79"/>
    <w:rsid w:val="230E49CF"/>
    <w:rsid w:val="23A1343B"/>
    <w:rsid w:val="23A86502"/>
    <w:rsid w:val="23C22B40"/>
    <w:rsid w:val="23C50DD1"/>
    <w:rsid w:val="23C74781"/>
    <w:rsid w:val="23CD79B2"/>
    <w:rsid w:val="23D57E2B"/>
    <w:rsid w:val="23D8623B"/>
    <w:rsid w:val="23FA197A"/>
    <w:rsid w:val="241E24A7"/>
    <w:rsid w:val="249A106E"/>
    <w:rsid w:val="249A48DF"/>
    <w:rsid w:val="24E174A4"/>
    <w:rsid w:val="250D1C86"/>
    <w:rsid w:val="25287D17"/>
    <w:rsid w:val="254135F9"/>
    <w:rsid w:val="25593693"/>
    <w:rsid w:val="259B3A37"/>
    <w:rsid w:val="25AA108C"/>
    <w:rsid w:val="25AA60BB"/>
    <w:rsid w:val="25E47139"/>
    <w:rsid w:val="25E920A9"/>
    <w:rsid w:val="25EA33FF"/>
    <w:rsid w:val="26022C07"/>
    <w:rsid w:val="260C383F"/>
    <w:rsid w:val="2628542C"/>
    <w:rsid w:val="26327518"/>
    <w:rsid w:val="26511283"/>
    <w:rsid w:val="265809A8"/>
    <w:rsid w:val="265C7C7F"/>
    <w:rsid w:val="266D6DC0"/>
    <w:rsid w:val="26736B76"/>
    <w:rsid w:val="268C34BE"/>
    <w:rsid w:val="26CD417A"/>
    <w:rsid w:val="26F85DFF"/>
    <w:rsid w:val="270606A4"/>
    <w:rsid w:val="27060916"/>
    <w:rsid w:val="27581C34"/>
    <w:rsid w:val="276352C7"/>
    <w:rsid w:val="27886506"/>
    <w:rsid w:val="279E7CFC"/>
    <w:rsid w:val="27B629A0"/>
    <w:rsid w:val="27DD3388"/>
    <w:rsid w:val="28197A8A"/>
    <w:rsid w:val="281F1482"/>
    <w:rsid w:val="282870F1"/>
    <w:rsid w:val="285606B3"/>
    <w:rsid w:val="287103DB"/>
    <w:rsid w:val="287E3D9B"/>
    <w:rsid w:val="28AD4609"/>
    <w:rsid w:val="28CA56E8"/>
    <w:rsid w:val="291114AB"/>
    <w:rsid w:val="292E490B"/>
    <w:rsid w:val="2932479F"/>
    <w:rsid w:val="29434313"/>
    <w:rsid w:val="29797455"/>
    <w:rsid w:val="2985496B"/>
    <w:rsid w:val="298B4864"/>
    <w:rsid w:val="29963CEC"/>
    <w:rsid w:val="29A2225F"/>
    <w:rsid w:val="29A91D28"/>
    <w:rsid w:val="29B0648B"/>
    <w:rsid w:val="29C51DDB"/>
    <w:rsid w:val="29CD5749"/>
    <w:rsid w:val="2A0259DF"/>
    <w:rsid w:val="2A050C0C"/>
    <w:rsid w:val="2A245CD1"/>
    <w:rsid w:val="2A373237"/>
    <w:rsid w:val="2A5D7A7A"/>
    <w:rsid w:val="2A5E02E4"/>
    <w:rsid w:val="2A986A14"/>
    <w:rsid w:val="2B070C1B"/>
    <w:rsid w:val="2B2A28E3"/>
    <w:rsid w:val="2B2C4D0A"/>
    <w:rsid w:val="2B331151"/>
    <w:rsid w:val="2B3B547E"/>
    <w:rsid w:val="2B4848C2"/>
    <w:rsid w:val="2B493592"/>
    <w:rsid w:val="2B5A52E5"/>
    <w:rsid w:val="2B622EFE"/>
    <w:rsid w:val="2B6616A5"/>
    <w:rsid w:val="2BBB1ACB"/>
    <w:rsid w:val="2BC27CBC"/>
    <w:rsid w:val="2BCA405F"/>
    <w:rsid w:val="2BCD6745"/>
    <w:rsid w:val="2C035892"/>
    <w:rsid w:val="2C193C5E"/>
    <w:rsid w:val="2C2754B0"/>
    <w:rsid w:val="2C3F7F1C"/>
    <w:rsid w:val="2C4C77A3"/>
    <w:rsid w:val="2C7B5C51"/>
    <w:rsid w:val="2C803977"/>
    <w:rsid w:val="2C9A4F6D"/>
    <w:rsid w:val="2CA4486B"/>
    <w:rsid w:val="2CC64D5A"/>
    <w:rsid w:val="2CCC31D6"/>
    <w:rsid w:val="2D5D1AF5"/>
    <w:rsid w:val="2D756C95"/>
    <w:rsid w:val="2D827C8C"/>
    <w:rsid w:val="2D921CAF"/>
    <w:rsid w:val="2DAB7305"/>
    <w:rsid w:val="2DCE5A86"/>
    <w:rsid w:val="2DDB2D8A"/>
    <w:rsid w:val="2E091B03"/>
    <w:rsid w:val="2E265BB1"/>
    <w:rsid w:val="2E3A71F6"/>
    <w:rsid w:val="2E5C2508"/>
    <w:rsid w:val="2E63292B"/>
    <w:rsid w:val="2E882305"/>
    <w:rsid w:val="2EDB61E0"/>
    <w:rsid w:val="2EF54658"/>
    <w:rsid w:val="2F036359"/>
    <w:rsid w:val="2F150C37"/>
    <w:rsid w:val="2F2369C4"/>
    <w:rsid w:val="2F40603F"/>
    <w:rsid w:val="2F460984"/>
    <w:rsid w:val="2F536325"/>
    <w:rsid w:val="2F611AF4"/>
    <w:rsid w:val="2F733C4C"/>
    <w:rsid w:val="2F8B4B55"/>
    <w:rsid w:val="2FC1630B"/>
    <w:rsid w:val="2FC2569D"/>
    <w:rsid w:val="2FDD4AE9"/>
    <w:rsid w:val="2FE81265"/>
    <w:rsid w:val="2FF70F74"/>
    <w:rsid w:val="2FF8225E"/>
    <w:rsid w:val="304E67A2"/>
    <w:rsid w:val="30950684"/>
    <w:rsid w:val="30D07264"/>
    <w:rsid w:val="30D81F82"/>
    <w:rsid w:val="30EE4EE4"/>
    <w:rsid w:val="30F83A3F"/>
    <w:rsid w:val="30FF4565"/>
    <w:rsid w:val="31124610"/>
    <w:rsid w:val="31166567"/>
    <w:rsid w:val="31264A2D"/>
    <w:rsid w:val="31854510"/>
    <w:rsid w:val="31996909"/>
    <w:rsid w:val="319C7A3A"/>
    <w:rsid w:val="31A34CEA"/>
    <w:rsid w:val="31C31E94"/>
    <w:rsid w:val="31F933AB"/>
    <w:rsid w:val="321E5274"/>
    <w:rsid w:val="322C3DBA"/>
    <w:rsid w:val="324D3A4A"/>
    <w:rsid w:val="327B5BE8"/>
    <w:rsid w:val="327D4226"/>
    <w:rsid w:val="32DF16B4"/>
    <w:rsid w:val="32E10EFC"/>
    <w:rsid w:val="32F735C0"/>
    <w:rsid w:val="33395512"/>
    <w:rsid w:val="33496826"/>
    <w:rsid w:val="33582931"/>
    <w:rsid w:val="335B6985"/>
    <w:rsid w:val="33777F81"/>
    <w:rsid w:val="33B35D03"/>
    <w:rsid w:val="33F870C0"/>
    <w:rsid w:val="34306B21"/>
    <w:rsid w:val="34380747"/>
    <w:rsid w:val="34462D49"/>
    <w:rsid w:val="346A2ECF"/>
    <w:rsid w:val="34721A00"/>
    <w:rsid w:val="34861A07"/>
    <w:rsid w:val="348870B4"/>
    <w:rsid w:val="34AE39B1"/>
    <w:rsid w:val="34D754F0"/>
    <w:rsid w:val="34E77CC6"/>
    <w:rsid w:val="352A5DFE"/>
    <w:rsid w:val="354028ED"/>
    <w:rsid w:val="35435D2D"/>
    <w:rsid w:val="35503462"/>
    <w:rsid w:val="35690E38"/>
    <w:rsid w:val="356B4020"/>
    <w:rsid w:val="357A7580"/>
    <w:rsid w:val="35821B17"/>
    <w:rsid w:val="358F5E34"/>
    <w:rsid w:val="35CE55AF"/>
    <w:rsid w:val="35D34B8D"/>
    <w:rsid w:val="35DE0A6C"/>
    <w:rsid w:val="360A568E"/>
    <w:rsid w:val="3625529B"/>
    <w:rsid w:val="3659741F"/>
    <w:rsid w:val="366E64C1"/>
    <w:rsid w:val="366F1A8E"/>
    <w:rsid w:val="368F12BC"/>
    <w:rsid w:val="36D13D79"/>
    <w:rsid w:val="36D45E7C"/>
    <w:rsid w:val="36EF371B"/>
    <w:rsid w:val="37677ABE"/>
    <w:rsid w:val="3780137B"/>
    <w:rsid w:val="37847709"/>
    <w:rsid w:val="37B02594"/>
    <w:rsid w:val="37B544F4"/>
    <w:rsid w:val="37E17AB5"/>
    <w:rsid w:val="37F52DB1"/>
    <w:rsid w:val="37F618E4"/>
    <w:rsid w:val="380B2ECB"/>
    <w:rsid w:val="381F738E"/>
    <w:rsid w:val="382A76B3"/>
    <w:rsid w:val="385D4999"/>
    <w:rsid w:val="385F6E45"/>
    <w:rsid w:val="38CA671C"/>
    <w:rsid w:val="38ED339B"/>
    <w:rsid w:val="38F51115"/>
    <w:rsid w:val="38F63AD7"/>
    <w:rsid w:val="39003EA9"/>
    <w:rsid w:val="394D4C2B"/>
    <w:rsid w:val="396E12E8"/>
    <w:rsid w:val="39A33662"/>
    <w:rsid w:val="39E00D11"/>
    <w:rsid w:val="39E836B7"/>
    <w:rsid w:val="3A0E6389"/>
    <w:rsid w:val="3A15498F"/>
    <w:rsid w:val="3A6E091A"/>
    <w:rsid w:val="3A6E434B"/>
    <w:rsid w:val="3A8671CA"/>
    <w:rsid w:val="3AA90587"/>
    <w:rsid w:val="3AB16CDC"/>
    <w:rsid w:val="3AE03696"/>
    <w:rsid w:val="3AF0714C"/>
    <w:rsid w:val="3B3B0D55"/>
    <w:rsid w:val="3B4857EA"/>
    <w:rsid w:val="3B4942D0"/>
    <w:rsid w:val="3B5544EA"/>
    <w:rsid w:val="3B690772"/>
    <w:rsid w:val="3B9A5AA3"/>
    <w:rsid w:val="3BA44580"/>
    <w:rsid w:val="3BDB582F"/>
    <w:rsid w:val="3BE9735A"/>
    <w:rsid w:val="3BED322B"/>
    <w:rsid w:val="3C21221A"/>
    <w:rsid w:val="3C2263FF"/>
    <w:rsid w:val="3CE868D9"/>
    <w:rsid w:val="3CF91BA3"/>
    <w:rsid w:val="3D0D6B4A"/>
    <w:rsid w:val="3D150B4F"/>
    <w:rsid w:val="3D463C2C"/>
    <w:rsid w:val="3D582A8F"/>
    <w:rsid w:val="3D71227F"/>
    <w:rsid w:val="3D73520B"/>
    <w:rsid w:val="3D8077C7"/>
    <w:rsid w:val="3DA33D56"/>
    <w:rsid w:val="3DA9225C"/>
    <w:rsid w:val="3DAE15C3"/>
    <w:rsid w:val="3E024573"/>
    <w:rsid w:val="3E193AE1"/>
    <w:rsid w:val="3E196FB1"/>
    <w:rsid w:val="3E7F4344"/>
    <w:rsid w:val="3E80730F"/>
    <w:rsid w:val="3E827835"/>
    <w:rsid w:val="3E9253D0"/>
    <w:rsid w:val="3E92782C"/>
    <w:rsid w:val="3E9E7ECE"/>
    <w:rsid w:val="3EA95792"/>
    <w:rsid w:val="3EAC5FB7"/>
    <w:rsid w:val="3EB9632B"/>
    <w:rsid w:val="3ED76137"/>
    <w:rsid w:val="3EDA273A"/>
    <w:rsid w:val="3EE316B6"/>
    <w:rsid w:val="3EF87478"/>
    <w:rsid w:val="3F12212C"/>
    <w:rsid w:val="3F1B290A"/>
    <w:rsid w:val="3F330BF1"/>
    <w:rsid w:val="3F6A6F06"/>
    <w:rsid w:val="3F94594A"/>
    <w:rsid w:val="3F99792B"/>
    <w:rsid w:val="3FBD00E6"/>
    <w:rsid w:val="3FC63468"/>
    <w:rsid w:val="402E75A5"/>
    <w:rsid w:val="40717952"/>
    <w:rsid w:val="407916AB"/>
    <w:rsid w:val="409C1D0D"/>
    <w:rsid w:val="40A6100E"/>
    <w:rsid w:val="40AA0BA0"/>
    <w:rsid w:val="40D932EF"/>
    <w:rsid w:val="40E72721"/>
    <w:rsid w:val="40F87AAA"/>
    <w:rsid w:val="4101367C"/>
    <w:rsid w:val="410670AB"/>
    <w:rsid w:val="41071B04"/>
    <w:rsid w:val="413A66DF"/>
    <w:rsid w:val="418600EC"/>
    <w:rsid w:val="41A1420E"/>
    <w:rsid w:val="41DF4285"/>
    <w:rsid w:val="41F66F78"/>
    <w:rsid w:val="41FC0611"/>
    <w:rsid w:val="42601E73"/>
    <w:rsid w:val="427050EE"/>
    <w:rsid w:val="42E46F2F"/>
    <w:rsid w:val="42EB4BAE"/>
    <w:rsid w:val="433729DC"/>
    <w:rsid w:val="435C4452"/>
    <w:rsid w:val="436E4688"/>
    <w:rsid w:val="43841945"/>
    <w:rsid w:val="43E01CA1"/>
    <w:rsid w:val="43E30679"/>
    <w:rsid w:val="43E4039E"/>
    <w:rsid w:val="44197CC5"/>
    <w:rsid w:val="443A1A8D"/>
    <w:rsid w:val="44406AE0"/>
    <w:rsid w:val="447C59C8"/>
    <w:rsid w:val="44CA1C82"/>
    <w:rsid w:val="44CD11BF"/>
    <w:rsid w:val="44EB0142"/>
    <w:rsid w:val="44F52503"/>
    <w:rsid w:val="44FC61F2"/>
    <w:rsid w:val="450A0780"/>
    <w:rsid w:val="450E54D9"/>
    <w:rsid w:val="45172E66"/>
    <w:rsid w:val="452677C1"/>
    <w:rsid w:val="45405BCF"/>
    <w:rsid w:val="45713259"/>
    <w:rsid w:val="45A031CF"/>
    <w:rsid w:val="45FE1AB6"/>
    <w:rsid w:val="46130C22"/>
    <w:rsid w:val="461C3A83"/>
    <w:rsid w:val="467A6E06"/>
    <w:rsid w:val="4689102D"/>
    <w:rsid w:val="46A52284"/>
    <w:rsid w:val="46B24036"/>
    <w:rsid w:val="46FF786A"/>
    <w:rsid w:val="47257D00"/>
    <w:rsid w:val="472A4B84"/>
    <w:rsid w:val="47305093"/>
    <w:rsid w:val="4761529C"/>
    <w:rsid w:val="47731D29"/>
    <w:rsid w:val="478655A6"/>
    <w:rsid w:val="478F3ED0"/>
    <w:rsid w:val="47A40679"/>
    <w:rsid w:val="48103773"/>
    <w:rsid w:val="48120D12"/>
    <w:rsid w:val="484F7EAA"/>
    <w:rsid w:val="485C4020"/>
    <w:rsid w:val="4883355F"/>
    <w:rsid w:val="488E2C2D"/>
    <w:rsid w:val="48AD01E5"/>
    <w:rsid w:val="48D304D7"/>
    <w:rsid w:val="48E80B77"/>
    <w:rsid w:val="48ED4932"/>
    <w:rsid w:val="491F0A97"/>
    <w:rsid w:val="49301A0C"/>
    <w:rsid w:val="49345BB8"/>
    <w:rsid w:val="49870EBD"/>
    <w:rsid w:val="498859B1"/>
    <w:rsid w:val="49963D7D"/>
    <w:rsid w:val="499C47B5"/>
    <w:rsid w:val="49A02699"/>
    <w:rsid w:val="49B860FF"/>
    <w:rsid w:val="49C80E54"/>
    <w:rsid w:val="49C966A1"/>
    <w:rsid w:val="49DC2A23"/>
    <w:rsid w:val="4A4C04BE"/>
    <w:rsid w:val="4A4D5967"/>
    <w:rsid w:val="4A5D1278"/>
    <w:rsid w:val="4A5D5139"/>
    <w:rsid w:val="4A6224E2"/>
    <w:rsid w:val="4A734EDD"/>
    <w:rsid w:val="4A8549A3"/>
    <w:rsid w:val="4A975B4A"/>
    <w:rsid w:val="4AC42711"/>
    <w:rsid w:val="4ACC6D75"/>
    <w:rsid w:val="4AD36A27"/>
    <w:rsid w:val="4ADD4E47"/>
    <w:rsid w:val="4AE32279"/>
    <w:rsid w:val="4AE97A03"/>
    <w:rsid w:val="4B0A0E23"/>
    <w:rsid w:val="4B38778F"/>
    <w:rsid w:val="4B8F5CFF"/>
    <w:rsid w:val="4BC05DA6"/>
    <w:rsid w:val="4BC747D5"/>
    <w:rsid w:val="4BCD730C"/>
    <w:rsid w:val="4BF3380C"/>
    <w:rsid w:val="4C150113"/>
    <w:rsid w:val="4C285035"/>
    <w:rsid w:val="4C35165A"/>
    <w:rsid w:val="4C3517E1"/>
    <w:rsid w:val="4C3E7B55"/>
    <w:rsid w:val="4C4F6C54"/>
    <w:rsid w:val="4C535508"/>
    <w:rsid w:val="4C9966B2"/>
    <w:rsid w:val="4CBB5127"/>
    <w:rsid w:val="4CDF0AE0"/>
    <w:rsid w:val="4D2746AE"/>
    <w:rsid w:val="4D701CF7"/>
    <w:rsid w:val="4D8210E5"/>
    <w:rsid w:val="4D8D6A5B"/>
    <w:rsid w:val="4DAD7A29"/>
    <w:rsid w:val="4E194270"/>
    <w:rsid w:val="4E19530A"/>
    <w:rsid w:val="4E2D2B01"/>
    <w:rsid w:val="4E2F5300"/>
    <w:rsid w:val="4E451A8F"/>
    <w:rsid w:val="4E864108"/>
    <w:rsid w:val="4E873FD0"/>
    <w:rsid w:val="4E8A23C4"/>
    <w:rsid w:val="4EBD0788"/>
    <w:rsid w:val="4EC22EFE"/>
    <w:rsid w:val="4ECD497C"/>
    <w:rsid w:val="4ED370B2"/>
    <w:rsid w:val="4ED5290C"/>
    <w:rsid w:val="4EE77256"/>
    <w:rsid w:val="4F094239"/>
    <w:rsid w:val="4F201611"/>
    <w:rsid w:val="4F247360"/>
    <w:rsid w:val="4F252832"/>
    <w:rsid w:val="4F346466"/>
    <w:rsid w:val="4F9562AC"/>
    <w:rsid w:val="4FA67566"/>
    <w:rsid w:val="4FAC1734"/>
    <w:rsid w:val="4FC000B2"/>
    <w:rsid w:val="4FE11632"/>
    <w:rsid w:val="50021F21"/>
    <w:rsid w:val="50374BD7"/>
    <w:rsid w:val="505608A3"/>
    <w:rsid w:val="50582EC8"/>
    <w:rsid w:val="505A5126"/>
    <w:rsid w:val="50636045"/>
    <w:rsid w:val="50872172"/>
    <w:rsid w:val="50AD3931"/>
    <w:rsid w:val="50C5058D"/>
    <w:rsid w:val="50D51E0C"/>
    <w:rsid w:val="50D71B5A"/>
    <w:rsid w:val="50DF2BBC"/>
    <w:rsid w:val="50F65B97"/>
    <w:rsid w:val="510819DD"/>
    <w:rsid w:val="512E1F8E"/>
    <w:rsid w:val="51315798"/>
    <w:rsid w:val="515D12FA"/>
    <w:rsid w:val="51601643"/>
    <w:rsid w:val="516B556D"/>
    <w:rsid w:val="51942178"/>
    <w:rsid w:val="51A40357"/>
    <w:rsid w:val="51A736F6"/>
    <w:rsid w:val="51CE354B"/>
    <w:rsid w:val="51DC6918"/>
    <w:rsid w:val="51DE12B3"/>
    <w:rsid w:val="51F327B1"/>
    <w:rsid w:val="520C1CF2"/>
    <w:rsid w:val="520E2E28"/>
    <w:rsid w:val="521F6AE3"/>
    <w:rsid w:val="52367651"/>
    <w:rsid w:val="524B3576"/>
    <w:rsid w:val="526401A8"/>
    <w:rsid w:val="526A04B7"/>
    <w:rsid w:val="52783577"/>
    <w:rsid w:val="52A86761"/>
    <w:rsid w:val="52B0057A"/>
    <w:rsid w:val="52DC42FF"/>
    <w:rsid w:val="52DF6585"/>
    <w:rsid w:val="52FC5E25"/>
    <w:rsid w:val="52FF4E77"/>
    <w:rsid w:val="53236A6C"/>
    <w:rsid w:val="532B3763"/>
    <w:rsid w:val="53500DE4"/>
    <w:rsid w:val="53A96087"/>
    <w:rsid w:val="53F67DE7"/>
    <w:rsid w:val="543054B6"/>
    <w:rsid w:val="54576230"/>
    <w:rsid w:val="545F2967"/>
    <w:rsid w:val="54790A23"/>
    <w:rsid w:val="548F747E"/>
    <w:rsid w:val="54960112"/>
    <w:rsid w:val="54A95224"/>
    <w:rsid w:val="54B74E87"/>
    <w:rsid w:val="54E52533"/>
    <w:rsid w:val="54EA1F8B"/>
    <w:rsid w:val="551E1E64"/>
    <w:rsid w:val="55243A90"/>
    <w:rsid w:val="55621CEF"/>
    <w:rsid w:val="55636EF5"/>
    <w:rsid w:val="556E06E6"/>
    <w:rsid w:val="556F4D27"/>
    <w:rsid w:val="5573351B"/>
    <w:rsid w:val="558B3011"/>
    <w:rsid w:val="55BA79A2"/>
    <w:rsid w:val="55CD3571"/>
    <w:rsid w:val="55DC686E"/>
    <w:rsid w:val="561172AB"/>
    <w:rsid w:val="562435A8"/>
    <w:rsid w:val="56EF3078"/>
    <w:rsid w:val="573230A3"/>
    <w:rsid w:val="57405208"/>
    <w:rsid w:val="575E1213"/>
    <w:rsid w:val="57602676"/>
    <w:rsid w:val="579769E3"/>
    <w:rsid w:val="57A2481B"/>
    <w:rsid w:val="57B77F3F"/>
    <w:rsid w:val="57C6549F"/>
    <w:rsid w:val="57C820EC"/>
    <w:rsid w:val="580B3251"/>
    <w:rsid w:val="589B4428"/>
    <w:rsid w:val="58A006B8"/>
    <w:rsid w:val="58D23F15"/>
    <w:rsid w:val="58D77AA2"/>
    <w:rsid w:val="591A75C4"/>
    <w:rsid w:val="592C5B9B"/>
    <w:rsid w:val="59300998"/>
    <w:rsid w:val="596F099C"/>
    <w:rsid w:val="59784F8F"/>
    <w:rsid w:val="597D6FAF"/>
    <w:rsid w:val="598A4F8F"/>
    <w:rsid w:val="59953D2D"/>
    <w:rsid w:val="5998429F"/>
    <w:rsid w:val="59E664D8"/>
    <w:rsid w:val="59EF5A03"/>
    <w:rsid w:val="5A190505"/>
    <w:rsid w:val="5A2253A5"/>
    <w:rsid w:val="5A6E70E2"/>
    <w:rsid w:val="5A76133A"/>
    <w:rsid w:val="5A805F82"/>
    <w:rsid w:val="5AB2339B"/>
    <w:rsid w:val="5ACB7453"/>
    <w:rsid w:val="5ACD0F21"/>
    <w:rsid w:val="5AD21F88"/>
    <w:rsid w:val="5B027FD6"/>
    <w:rsid w:val="5B13345D"/>
    <w:rsid w:val="5B2F1EC5"/>
    <w:rsid w:val="5B4465C8"/>
    <w:rsid w:val="5B4C65DB"/>
    <w:rsid w:val="5B5F22DA"/>
    <w:rsid w:val="5B6A208A"/>
    <w:rsid w:val="5B90273F"/>
    <w:rsid w:val="5BB82927"/>
    <w:rsid w:val="5BBA15A1"/>
    <w:rsid w:val="5C3E2F43"/>
    <w:rsid w:val="5C461C3B"/>
    <w:rsid w:val="5C7B0D07"/>
    <w:rsid w:val="5C8C3AB6"/>
    <w:rsid w:val="5C8F78DC"/>
    <w:rsid w:val="5CCC3220"/>
    <w:rsid w:val="5CE749A2"/>
    <w:rsid w:val="5D5019BC"/>
    <w:rsid w:val="5D994B4A"/>
    <w:rsid w:val="5DA74E2E"/>
    <w:rsid w:val="5DA83618"/>
    <w:rsid w:val="5DE97AB8"/>
    <w:rsid w:val="5E100FD9"/>
    <w:rsid w:val="5E322113"/>
    <w:rsid w:val="5E39366B"/>
    <w:rsid w:val="5E3E280A"/>
    <w:rsid w:val="5E975A38"/>
    <w:rsid w:val="5ED32E7B"/>
    <w:rsid w:val="5EE7515D"/>
    <w:rsid w:val="5F0A08D8"/>
    <w:rsid w:val="5F155B8D"/>
    <w:rsid w:val="5F196F0D"/>
    <w:rsid w:val="5F533F65"/>
    <w:rsid w:val="5F6A2DAA"/>
    <w:rsid w:val="5F800450"/>
    <w:rsid w:val="5F925BCE"/>
    <w:rsid w:val="5FB55488"/>
    <w:rsid w:val="5FEB5622"/>
    <w:rsid w:val="5FEF649F"/>
    <w:rsid w:val="5FFF42E9"/>
    <w:rsid w:val="60046DD4"/>
    <w:rsid w:val="609541B7"/>
    <w:rsid w:val="6098191D"/>
    <w:rsid w:val="60D3784E"/>
    <w:rsid w:val="60DF19E5"/>
    <w:rsid w:val="6150358F"/>
    <w:rsid w:val="615E566A"/>
    <w:rsid w:val="617E4B22"/>
    <w:rsid w:val="61A8193A"/>
    <w:rsid w:val="61B83AFF"/>
    <w:rsid w:val="61C156F4"/>
    <w:rsid w:val="61C6470F"/>
    <w:rsid w:val="61DC49CE"/>
    <w:rsid w:val="61EE7E79"/>
    <w:rsid w:val="622E2315"/>
    <w:rsid w:val="622E4AF2"/>
    <w:rsid w:val="624177F6"/>
    <w:rsid w:val="628A6949"/>
    <w:rsid w:val="62A806F9"/>
    <w:rsid w:val="62D268AE"/>
    <w:rsid w:val="62D44C49"/>
    <w:rsid w:val="631D379E"/>
    <w:rsid w:val="632A1619"/>
    <w:rsid w:val="632B5314"/>
    <w:rsid w:val="635B0D3A"/>
    <w:rsid w:val="638B5374"/>
    <w:rsid w:val="638B649E"/>
    <w:rsid w:val="640B3C87"/>
    <w:rsid w:val="643100D9"/>
    <w:rsid w:val="643E50C3"/>
    <w:rsid w:val="6451417A"/>
    <w:rsid w:val="64620EED"/>
    <w:rsid w:val="647F33AE"/>
    <w:rsid w:val="64845EBA"/>
    <w:rsid w:val="649A4963"/>
    <w:rsid w:val="64D02477"/>
    <w:rsid w:val="64EE6A1D"/>
    <w:rsid w:val="650A4C35"/>
    <w:rsid w:val="65217BE5"/>
    <w:rsid w:val="653843AA"/>
    <w:rsid w:val="6551633E"/>
    <w:rsid w:val="65627D93"/>
    <w:rsid w:val="656940DE"/>
    <w:rsid w:val="65A9144E"/>
    <w:rsid w:val="65E83BDA"/>
    <w:rsid w:val="65FB74B2"/>
    <w:rsid w:val="66080726"/>
    <w:rsid w:val="66095ED1"/>
    <w:rsid w:val="662A5A80"/>
    <w:rsid w:val="666E30E9"/>
    <w:rsid w:val="66C538C1"/>
    <w:rsid w:val="66CB32BF"/>
    <w:rsid w:val="6745660E"/>
    <w:rsid w:val="674D1E15"/>
    <w:rsid w:val="67C43A7C"/>
    <w:rsid w:val="67C65AA6"/>
    <w:rsid w:val="67D304B3"/>
    <w:rsid w:val="67E86251"/>
    <w:rsid w:val="67F8785B"/>
    <w:rsid w:val="681F08B4"/>
    <w:rsid w:val="68240002"/>
    <w:rsid w:val="68311993"/>
    <w:rsid w:val="6850243F"/>
    <w:rsid w:val="686B001A"/>
    <w:rsid w:val="686E5ACD"/>
    <w:rsid w:val="68D91CC3"/>
    <w:rsid w:val="68F84F76"/>
    <w:rsid w:val="690A75E6"/>
    <w:rsid w:val="693C3012"/>
    <w:rsid w:val="69561AAB"/>
    <w:rsid w:val="69681171"/>
    <w:rsid w:val="69A40294"/>
    <w:rsid w:val="69AC109B"/>
    <w:rsid w:val="69C37F06"/>
    <w:rsid w:val="69CD187A"/>
    <w:rsid w:val="69E17BE6"/>
    <w:rsid w:val="69EA265A"/>
    <w:rsid w:val="6A035297"/>
    <w:rsid w:val="6A32120A"/>
    <w:rsid w:val="6A3C3D88"/>
    <w:rsid w:val="6A3F63BB"/>
    <w:rsid w:val="6A463D8E"/>
    <w:rsid w:val="6A55795F"/>
    <w:rsid w:val="6A5C5C28"/>
    <w:rsid w:val="6A5F4E3C"/>
    <w:rsid w:val="6A7D5D84"/>
    <w:rsid w:val="6A8948DB"/>
    <w:rsid w:val="6AC06150"/>
    <w:rsid w:val="6AC81B91"/>
    <w:rsid w:val="6ACA5748"/>
    <w:rsid w:val="6ACB533C"/>
    <w:rsid w:val="6ACE3983"/>
    <w:rsid w:val="6AE323C0"/>
    <w:rsid w:val="6B073AF4"/>
    <w:rsid w:val="6B226171"/>
    <w:rsid w:val="6B4E66EB"/>
    <w:rsid w:val="6B82587B"/>
    <w:rsid w:val="6B8D406A"/>
    <w:rsid w:val="6BDE386B"/>
    <w:rsid w:val="6BF9239C"/>
    <w:rsid w:val="6C127448"/>
    <w:rsid w:val="6C1B663F"/>
    <w:rsid w:val="6C25373D"/>
    <w:rsid w:val="6C365751"/>
    <w:rsid w:val="6C4A65BD"/>
    <w:rsid w:val="6C890033"/>
    <w:rsid w:val="6C9F6765"/>
    <w:rsid w:val="6CAB1467"/>
    <w:rsid w:val="6CBA77D1"/>
    <w:rsid w:val="6CBD0217"/>
    <w:rsid w:val="6CE61A11"/>
    <w:rsid w:val="6CFD0894"/>
    <w:rsid w:val="6D15396E"/>
    <w:rsid w:val="6DC5493B"/>
    <w:rsid w:val="6DDC5AC3"/>
    <w:rsid w:val="6DEA0B02"/>
    <w:rsid w:val="6DEC34D9"/>
    <w:rsid w:val="6E2D246E"/>
    <w:rsid w:val="6E5B01F7"/>
    <w:rsid w:val="6E8F14EA"/>
    <w:rsid w:val="6EBE49E5"/>
    <w:rsid w:val="6EDE2563"/>
    <w:rsid w:val="6EE74589"/>
    <w:rsid w:val="6F172B59"/>
    <w:rsid w:val="6F197624"/>
    <w:rsid w:val="6F2D21F5"/>
    <w:rsid w:val="6F323685"/>
    <w:rsid w:val="6F5F4865"/>
    <w:rsid w:val="6F605B0E"/>
    <w:rsid w:val="6F8E6BF5"/>
    <w:rsid w:val="6FAA41EF"/>
    <w:rsid w:val="6FF11238"/>
    <w:rsid w:val="6FF97999"/>
    <w:rsid w:val="6FFC4577"/>
    <w:rsid w:val="70003D9D"/>
    <w:rsid w:val="70112119"/>
    <w:rsid w:val="701952B9"/>
    <w:rsid w:val="7044390C"/>
    <w:rsid w:val="705B09C0"/>
    <w:rsid w:val="706A7716"/>
    <w:rsid w:val="70745510"/>
    <w:rsid w:val="70A81087"/>
    <w:rsid w:val="70B3290F"/>
    <w:rsid w:val="70B663BF"/>
    <w:rsid w:val="70B836C6"/>
    <w:rsid w:val="70DA44C7"/>
    <w:rsid w:val="71520C85"/>
    <w:rsid w:val="71546E53"/>
    <w:rsid w:val="716853A3"/>
    <w:rsid w:val="7173622D"/>
    <w:rsid w:val="71987B48"/>
    <w:rsid w:val="719D7D25"/>
    <w:rsid w:val="71A25F4D"/>
    <w:rsid w:val="71B83FCA"/>
    <w:rsid w:val="71EF1A3F"/>
    <w:rsid w:val="72014203"/>
    <w:rsid w:val="723C4CE6"/>
    <w:rsid w:val="72412902"/>
    <w:rsid w:val="72A12A8B"/>
    <w:rsid w:val="72A42658"/>
    <w:rsid w:val="72B40725"/>
    <w:rsid w:val="72B76787"/>
    <w:rsid w:val="72BC18DB"/>
    <w:rsid w:val="72D84306"/>
    <w:rsid w:val="72E41470"/>
    <w:rsid w:val="72E673A6"/>
    <w:rsid w:val="72F95EC3"/>
    <w:rsid w:val="731E33D1"/>
    <w:rsid w:val="7324340A"/>
    <w:rsid w:val="732C6CCF"/>
    <w:rsid w:val="732D4F25"/>
    <w:rsid w:val="734448AB"/>
    <w:rsid w:val="739C3CD9"/>
    <w:rsid w:val="73CA47F0"/>
    <w:rsid w:val="74011256"/>
    <w:rsid w:val="740F4099"/>
    <w:rsid w:val="742220D1"/>
    <w:rsid w:val="74462616"/>
    <w:rsid w:val="747B272F"/>
    <w:rsid w:val="74880A8D"/>
    <w:rsid w:val="74884DE0"/>
    <w:rsid w:val="74AB01B0"/>
    <w:rsid w:val="74B7523C"/>
    <w:rsid w:val="750142E9"/>
    <w:rsid w:val="75037588"/>
    <w:rsid w:val="75127D05"/>
    <w:rsid w:val="752B0828"/>
    <w:rsid w:val="752E31DA"/>
    <w:rsid w:val="753973A8"/>
    <w:rsid w:val="755E1977"/>
    <w:rsid w:val="75B766D6"/>
    <w:rsid w:val="75C25D71"/>
    <w:rsid w:val="75DF46CD"/>
    <w:rsid w:val="75EF7DCE"/>
    <w:rsid w:val="75F0057D"/>
    <w:rsid w:val="762E0629"/>
    <w:rsid w:val="76423EC0"/>
    <w:rsid w:val="76664740"/>
    <w:rsid w:val="76904D21"/>
    <w:rsid w:val="76B25166"/>
    <w:rsid w:val="76BA4459"/>
    <w:rsid w:val="76D235FB"/>
    <w:rsid w:val="76D43BFD"/>
    <w:rsid w:val="76F17D65"/>
    <w:rsid w:val="76FD0FB4"/>
    <w:rsid w:val="7734129D"/>
    <w:rsid w:val="77492AAF"/>
    <w:rsid w:val="77733A28"/>
    <w:rsid w:val="77A317DE"/>
    <w:rsid w:val="77C13E31"/>
    <w:rsid w:val="77D73E21"/>
    <w:rsid w:val="77DE5FC4"/>
    <w:rsid w:val="77DE6163"/>
    <w:rsid w:val="77FB22DA"/>
    <w:rsid w:val="77FC40B7"/>
    <w:rsid w:val="781A2C75"/>
    <w:rsid w:val="787114F0"/>
    <w:rsid w:val="78716C1B"/>
    <w:rsid w:val="788D1B4B"/>
    <w:rsid w:val="78986EA2"/>
    <w:rsid w:val="790677C7"/>
    <w:rsid w:val="794A1AFD"/>
    <w:rsid w:val="79683A9B"/>
    <w:rsid w:val="79690928"/>
    <w:rsid w:val="797B36AB"/>
    <w:rsid w:val="798527DE"/>
    <w:rsid w:val="79865565"/>
    <w:rsid w:val="799B47F3"/>
    <w:rsid w:val="799F18A4"/>
    <w:rsid w:val="79F95C96"/>
    <w:rsid w:val="7A2F0F67"/>
    <w:rsid w:val="7A4F13CE"/>
    <w:rsid w:val="7A4F3A05"/>
    <w:rsid w:val="7A593DD9"/>
    <w:rsid w:val="7A7A2049"/>
    <w:rsid w:val="7A80384C"/>
    <w:rsid w:val="7AAB3047"/>
    <w:rsid w:val="7AAC4F5C"/>
    <w:rsid w:val="7AC025D1"/>
    <w:rsid w:val="7AD73516"/>
    <w:rsid w:val="7B244CA7"/>
    <w:rsid w:val="7B3F0EF3"/>
    <w:rsid w:val="7B685014"/>
    <w:rsid w:val="7B6948B0"/>
    <w:rsid w:val="7B78187E"/>
    <w:rsid w:val="7B7B6EC1"/>
    <w:rsid w:val="7B8B5A44"/>
    <w:rsid w:val="7B8F1B87"/>
    <w:rsid w:val="7BEE52B7"/>
    <w:rsid w:val="7BF52FA8"/>
    <w:rsid w:val="7C0E7892"/>
    <w:rsid w:val="7C29375A"/>
    <w:rsid w:val="7C2E5F70"/>
    <w:rsid w:val="7C473680"/>
    <w:rsid w:val="7C4F1FDC"/>
    <w:rsid w:val="7C52297F"/>
    <w:rsid w:val="7C5513BE"/>
    <w:rsid w:val="7C5A3508"/>
    <w:rsid w:val="7C68109F"/>
    <w:rsid w:val="7C727EC9"/>
    <w:rsid w:val="7C9732A3"/>
    <w:rsid w:val="7C992611"/>
    <w:rsid w:val="7CC338B4"/>
    <w:rsid w:val="7D21780B"/>
    <w:rsid w:val="7D37025A"/>
    <w:rsid w:val="7D3A3036"/>
    <w:rsid w:val="7D642CF9"/>
    <w:rsid w:val="7D6701BA"/>
    <w:rsid w:val="7D9559D0"/>
    <w:rsid w:val="7DA80591"/>
    <w:rsid w:val="7DAE5195"/>
    <w:rsid w:val="7DCD7CF0"/>
    <w:rsid w:val="7E0F428A"/>
    <w:rsid w:val="7E445E2F"/>
    <w:rsid w:val="7E4A3DAF"/>
    <w:rsid w:val="7E6D7F6F"/>
    <w:rsid w:val="7E7F156E"/>
    <w:rsid w:val="7EB93DC6"/>
    <w:rsid w:val="7EBA468C"/>
    <w:rsid w:val="7F305C3B"/>
    <w:rsid w:val="7F3968DD"/>
    <w:rsid w:val="7F5D5982"/>
    <w:rsid w:val="7F7B0176"/>
    <w:rsid w:val="7F87384C"/>
    <w:rsid w:val="7F8B0740"/>
    <w:rsid w:val="7F9112C0"/>
    <w:rsid w:val="7FB4744C"/>
    <w:rsid w:val="7FBF7212"/>
    <w:rsid w:val="7FF30A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21"/>
    <w:qFormat/>
    <w:uiPriority w:val="0"/>
    <w:pPr>
      <w:keepNext/>
      <w:jc w:val="center"/>
      <w:outlineLvl w:val="0"/>
    </w:pPr>
    <w:rPr>
      <w:b/>
      <w:bCs/>
      <w:sz w:val="24"/>
      <w:szCs w:val="20"/>
    </w:rPr>
  </w:style>
  <w:style w:type="paragraph" w:styleId="5">
    <w:name w:val="heading 2"/>
    <w:basedOn w:val="1"/>
    <w:next w:val="1"/>
    <w:link w:val="87"/>
    <w:qFormat/>
    <w:uiPriority w:val="0"/>
    <w:pPr>
      <w:keepNext/>
      <w:keepLines/>
      <w:spacing w:line="360" w:lineRule="auto"/>
      <w:outlineLvl w:val="1"/>
    </w:pPr>
    <w:rPr>
      <w:rFonts w:ascii="Arial" w:hAnsi="Arial"/>
      <w:b/>
      <w:bCs/>
      <w:sz w:val="24"/>
      <w:szCs w:val="32"/>
    </w:rPr>
  </w:style>
  <w:style w:type="paragraph" w:styleId="6">
    <w:name w:val="heading 3"/>
    <w:basedOn w:val="1"/>
    <w:next w:val="1"/>
    <w:link w:val="101"/>
    <w:qFormat/>
    <w:uiPriority w:val="0"/>
    <w:pPr>
      <w:keepNext/>
      <w:keepLines/>
      <w:spacing w:before="260" w:after="260" w:line="416" w:lineRule="auto"/>
      <w:outlineLvl w:val="2"/>
    </w:pPr>
    <w:rPr>
      <w:b/>
      <w:bCs/>
      <w:sz w:val="32"/>
      <w:szCs w:val="32"/>
    </w:rPr>
  </w:style>
  <w:style w:type="paragraph" w:styleId="7">
    <w:name w:val="heading 4"/>
    <w:basedOn w:val="1"/>
    <w:next w:val="1"/>
    <w:link w:val="150"/>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136"/>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9">
    <w:name w:val="heading 6"/>
    <w:basedOn w:val="1"/>
    <w:next w:val="1"/>
    <w:link w:val="73"/>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10">
    <w:name w:val="heading 7"/>
    <w:basedOn w:val="1"/>
    <w:next w:val="1"/>
    <w:link w:val="77"/>
    <w:qFormat/>
    <w:uiPriority w:val="0"/>
    <w:pPr>
      <w:keepNext/>
      <w:keepLines/>
      <w:adjustRightInd w:val="0"/>
      <w:spacing w:before="240" w:after="64" w:line="320" w:lineRule="atLeast"/>
      <w:jc w:val="left"/>
      <w:textAlignment w:val="baseline"/>
      <w:outlineLvl w:val="6"/>
    </w:pPr>
    <w:rPr>
      <w:b/>
      <w:bCs/>
      <w:kern w:val="0"/>
      <w:sz w:val="24"/>
    </w:rPr>
  </w:style>
  <w:style w:type="paragraph" w:styleId="11">
    <w:name w:val="heading 8"/>
    <w:basedOn w:val="1"/>
    <w:next w:val="1"/>
    <w:link w:val="85"/>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2">
    <w:name w:val="heading 9"/>
    <w:basedOn w:val="1"/>
    <w:next w:val="1"/>
    <w:link w:val="89"/>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1"/>
    <w:qFormat/>
    <w:uiPriority w:val="0"/>
    <w:pPr>
      <w:ind w:firstLine="420" w:firstLineChars="100"/>
    </w:pPr>
  </w:style>
  <w:style w:type="paragraph" w:styleId="13">
    <w:name w:val="toc 7"/>
    <w:basedOn w:val="1"/>
    <w:next w:val="1"/>
    <w:qFormat/>
    <w:uiPriority w:val="0"/>
    <w:pPr>
      <w:ind w:left="2520" w:leftChars="1200"/>
    </w:pPr>
    <w:rPr>
      <w:rFonts w:ascii="Calibri" w:hAnsi="Calibri"/>
      <w:szCs w:val="22"/>
    </w:rPr>
  </w:style>
  <w:style w:type="paragraph" w:styleId="14">
    <w:name w:val="Normal Indent"/>
    <w:basedOn w:val="1"/>
    <w:qFormat/>
    <w:uiPriority w:val="0"/>
    <w:pPr>
      <w:widowControl/>
      <w:ind w:firstLine="420"/>
      <w:jc w:val="left"/>
    </w:pPr>
    <w:rPr>
      <w:kern w:val="0"/>
      <w:sz w:val="20"/>
      <w:szCs w:val="20"/>
    </w:rPr>
  </w:style>
  <w:style w:type="paragraph" w:styleId="15">
    <w:name w:val="Document Map"/>
    <w:basedOn w:val="1"/>
    <w:semiHidden/>
    <w:qFormat/>
    <w:uiPriority w:val="0"/>
    <w:pPr>
      <w:shd w:val="clear" w:color="auto" w:fill="000080"/>
    </w:pPr>
  </w:style>
  <w:style w:type="paragraph" w:styleId="16">
    <w:name w:val="annotation text"/>
    <w:basedOn w:val="1"/>
    <w:link w:val="122"/>
    <w:semiHidden/>
    <w:qFormat/>
    <w:uiPriority w:val="0"/>
    <w:pPr>
      <w:jc w:val="left"/>
    </w:pPr>
  </w:style>
  <w:style w:type="paragraph" w:styleId="17">
    <w:name w:val="Salutation"/>
    <w:basedOn w:val="1"/>
    <w:next w:val="1"/>
    <w:qFormat/>
    <w:uiPriority w:val="0"/>
    <w:rPr>
      <w:rFonts w:ascii="仿宋_GB2312" w:eastAsia="仿宋_GB2312"/>
      <w:sz w:val="24"/>
    </w:rPr>
  </w:style>
  <w:style w:type="paragraph" w:styleId="18">
    <w:name w:val="Body Text 3"/>
    <w:basedOn w:val="1"/>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Indent"/>
    <w:basedOn w:val="1"/>
    <w:next w:val="20"/>
    <w:link w:val="91"/>
    <w:qFormat/>
    <w:uiPriority w:val="0"/>
    <w:pPr>
      <w:spacing w:after="120"/>
      <w:ind w:left="420" w:leftChars="200"/>
    </w:pPr>
  </w:style>
  <w:style w:type="paragraph" w:styleId="20">
    <w:name w:val="Body Text First Indent 2"/>
    <w:basedOn w:val="19"/>
    <w:next w:val="21"/>
    <w:qFormat/>
    <w:uiPriority w:val="0"/>
    <w:pPr>
      <w:ind w:firstLine="420" w:firstLineChars="200"/>
    </w:pPr>
  </w:style>
  <w:style w:type="paragraph" w:customStyle="1" w:styleId="21">
    <w:name w:val="正文1"/>
    <w:basedOn w:val="1"/>
    <w:qFormat/>
    <w:uiPriority w:val="0"/>
    <w:pPr>
      <w:spacing w:line="360" w:lineRule="auto"/>
      <w:ind w:firstLine="480" w:firstLineChars="200"/>
    </w:pPr>
    <w:rPr>
      <w:sz w:val="24"/>
    </w:rPr>
  </w:style>
  <w:style w:type="paragraph" w:styleId="22">
    <w:name w:val="Block Text"/>
    <w:basedOn w:val="1"/>
    <w:qFormat/>
    <w:uiPriority w:val="0"/>
    <w:pPr>
      <w:ind w:left="1171" w:right="91" w:hanging="1080"/>
    </w:pPr>
    <w:rPr>
      <w:rFonts w:eastAsia="楷体_GB2312"/>
      <w:szCs w:val="20"/>
    </w:rPr>
  </w:style>
  <w:style w:type="paragraph" w:styleId="23">
    <w:name w:val="toc 5"/>
    <w:basedOn w:val="1"/>
    <w:next w:val="1"/>
    <w:qFormat/>
    <w:uiPriority w:val="0"/>
    <w:pPr>
      <w:ind w:left="1680" w:leftChars="800"/>
    </w:pPr>
    <w:rPr>
      <w:rFonts w:ascii="Calibri" w:hAnsi="Calibri"/>
      <w:szCs w:val="22"/>
    </w:rPr>
  </w:style>
  <w:style w:type="paragraph" w:styleId="24">
    <w:name w:val="toc 3"/>
    <w:basedOn w:val="1"/>
    <w:next w:val="1"/>
    <w:qFormat/>
    <w:uiPriority w:val="0"/>
    <w:pPr>
      <w:ind w:left="840" w:leftChars="400"/>
    </w:pPr>
  </w:style>
  <w:style w:type="paragraph" w:styleId="25">
    <w:name w:val="Plain Text"/>
    <w:basedOn w:val="1"/>
    <w:link w:val="146"/>
    <w:qFormat/>
    <w:uiPriority w:val="0"/>
    <w:rPr>
      <w:rFonts w:ascii="宋体" w:hAnsi="Courier New" w:cs="Courier New"/>
      <w:szCs w:val="21"/>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78"/>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link w:val="128"/>
    <w:qFormat/>
    <w:uiPriority w:val="0"/>
    <w:rPr>
      <w:rFonts w:ascii="Calibri" w:hAnsi="Calibri"/>
      <w:sz w:val="18"/>
      <w:szCs w:val="18"/>
    </w:rPr>
  </w:style>
  <w:style w:type="paragraph" w:styleId="30">
    <w:name w:val="footer"/>
    <w:basedOn w:val="1"/>
    <w:link w:val="154"/>
    <w:qFormat/>
    <w:uiPriority w:val="0"/>
    <w:pPr>
      <w:tabs>
        <w:tab w:val="center" w:pos="4153"/>
        <w:tab w:val="right" w:pos="8306"/>
      </w:tabs>
      <w:snapToGrid w:val="0"/>
      <w:jc w:val="left"/>
    </w:pPr>
    <w:rPr>
      <w:sz w:val="18"/>
      <w:szCs w:val="18"/>
    </w:rPr>
  </w:style>
  <w:style w:type="paragraph" w:styleId="31">
    <w:name w:val="header"/>
    <w:basedOn w:val="1"/>
    <w:link w:val="104"/>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rPr>
      <w:rFonts w:ascii="华文中宋" w:eastAsia="华文中宋"/>
      <w:b/>
      <w:sz w:val="28"/>
      <w:szCs w:val="28"/>
    </w:rPr>
  </w:style>
  <w:style w:type="paragraph" w:styleId="33">
    <w:name w:val="toc 4"/>
    <w:basedOn w:val="1"/>
    <w:next w:val="1"/>
    <w:qFormat/>
    <w:uiPriority w:val="0"/>
    <w:pPr>
      <w:ind w:left="1260" w:leftChars="600"/>
    </w:pPr>
  </w:style>
  <w:style w:type="paragraph" w:styleId="34">
    <w:name w:val="Subtitle"/>
    <w:basedOn w:val="1"/>
    <w:next w:val="1"/>
    <w:qFormat/>
    <w:uiPriority w:val="0"/>
    <w:pPr>
      <w:spacing w:before="240" w:after="60" w:line="312" w:lineRule="auto"/>
      <w:jc w:val="center"/>
      <w:outlineLvl w:val="1"/>
    </w:pPr>
    <w:rPr>
      <w:rFonts w:ascii="Calibri Light" w:hAnsi="Calibri Light"/>
      <w:b/>
      <w:bCs/>
      <w:kern w:val="28"/>
      <w:sz w:val="32"/>
      <w:szCs w:val="32"/>
    </w:rPr>
  </w:style>
  <w:style w:type="paragraph" w:styleId="35">
    <w:name w:val="toc 6"/>
    <w:basedOn w:val="1"/>
    <w:next w:val="1"/>
    <w:qFormat/>
    <w:uiPriority w:val="0"/>
    <w:pPr>
      <w:ind w:left="2100" w:leftChars="1000"/>
    </w:pPr>
    <w:rPr>
      <w:rFonts w:ascii="Calibri" w:hAnsi="Calibri"/>
      <w:szCs w:val="22"/>
    </w:rPr>
  </w:style>
  <w:style w:type="paragraph" w:styleId="36">
    <w:name w:val="Body Text Indent 3"/>
    <w:basedOn w:val="1"/>
    <w:link w:val="113"/>
    <w:qFormat/>
    <w:uiPriority w:val="0"/>
    <w:pPr>
      <w:spacing w:after="120"/>
      <w:ind w:left="420" w:leftChars="200"/>
    </w:pPr>
    <w:rPr>
      <w:sz w:val="16"/>
      <w:szCs w:val="16"/>
    </w:rPr>
  </w:style>
  <w:style w:type="paragraph" w:styleId="37">
    <w:name w:val="toc 2"/>
    <w:basedOn w:val="1"/>
    <w:next w:val="1"/>
    <w:qFormat/>
    <w:uiPriority w:val="0"/>
    <w:pPr>
      <w:ind w:left="420" w:leftChars="200"/>
    </w:pPr>
  </w:style>
  <w:style w:type="paragraph" w:styleId="38">
    <w:name w:val="toc 9"/>
    <w:basedOn w:val="1"/>
    <w:next w:val="1"/>
    <w:qFormat/>
    <w:uiPriority w:val="0"/>
    <w:pPr>
      <w:ind w:left="3360" w:leftChars="1600"/>
    </w:pPr>
    <w:rPr>
      <w:rFonts w:ascii="Calibri" w:hAnsi="Calibri"/>
      <w:szCs w:val="22"/>
    </w:rPr>
  </w:style>
  <w:style w:type="paragraph" w:styleId="39">
    <w:name w:val="Body Text 2"/>
    <w:basedOn w:val="1"/>
    <w:qFormat/>
    <w:uiPriority w:val="0"/>
    <w:pPr>
      <w:spacing w:after="120" w:line="480" w:lineRule="auto"/>
    </w:p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qFormat/>
    <w:uiPriority w:val="0"/>
    <w:pPr>
      <w:spacing w:before="240" w:after="60"/>
      <w:jc w:val="center"/>
      <w:outlineLvl w:val="0"/>
    </w:pPr>
    <w:rPr>
      <w:rFonts w:ascii="Cambria" w:hAnsi="Cambria"/>
      <w:b/>
      <w:sz w:val="32"/>
    </w:rPr>
  </w:style>
  <w:style w:type="paragraph" w:styleId="44">
    <w:name w:val="annotation subject"/>
    <w:basedOn w:val="16"/>
    <w:next w:val="16"/>
    <w:link w:val="81"/>
    <w:qFormat/>
    <w:uiPriority w:val="0"/>
    <w:rPr>
      <w:b/>
      <w:bCs/>
    </w:rPr>
  </w:style>
  <w:style w:type="table" w:styleId="46">
    <w:name w:val="Table Grid"/>
    <w:basedOn w:val="4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8">
    <w:name w:val="Strong"/>
    <w:qFormat/>
    <w:uiPriority w:val="0"/>
    <w:rPr>
      <w:b/>
      <w:bCs/>
    </w:rPr>
  </w:style>
  <w:style w:type="character" w:styleId="49">
    <w:name w:val="page number"/>
    <w:basedOn w:val="47"/>
    <w:qFormat/>
    <w:uiPriority w:val="0"/>
  </w:style>
  <w:style w:type="character" w:styleId="50">
    <w:name w:val="FollowedHyperlink"/>
    <w:basedOn w:val="47"/>
    <w:qFormat/>
    <w:uiPriority w:val="0"/>
    <w:rPr>
      <w:color w:val="5C5C5C"/>
      <w:u w:val="none"/>
    </w:rPr>
  </w:style>
  <w:style w:type="character" w:styleId="51">
    <w:name w:val="Emphasis"/>
    <w:qFormat/>
    <w:uiPriority w:val="0"/>
    <w:rPr>
      <w:rFonts w:ascii="Times New Roman" w:hAnsi="Times New Roman" w:eastAsia="宋体"/>
    </w:rPr>
  </w:style>
  <w:style w:type="character" w:styleId="52">
    <w:name w:val="HTML Definition"/>
    <w:qFormat/>
    <w:uiPriority w:val="0"/>
    <w:rPr>
      <w:rFonts w:ascii="Times New Roman" w:hAnsi="Times New Roman" w:eastAsia="宋体"/>
    </w:rPr>
  </w:style>
  <w:style w:type="character" w:styleId="53">
    <w:name w:val="HTML Typewriter"/>
    <w:basedOn w:val="47"/>
    <w:qFormat/>
    <w:uiPriority w:val="0"/>
    <w:rPr>
      <w:rFonts w:hint="default" w:ascii="monospace" w:hAnsi="monospace" w:eastAsia="monospace" w:cs="monospace"/>
      <w:sz w:val="20"/>
    </w:rPr>
  </w:style>
  <w:style w:type="character" w:styleId="54">
    <w:name w:val="HTML Acronym"/>
    <w:basedOn w:val="47"/>
    <w:qFormat/>
    <w:uiPriority w:val="0"/>
  </w:style>
  <w:style w:type="character" w:styleId="55">
    <w:name w:val="HTML Variable"/>
    <w:qFormat/>
    <w:uiPriority w:val="0"/>
    <w:rPr>
      <w:rFonts w:ascii="Times New Roman" w:hAnsi="Times New Roman" w:eastAsia="宋体"/>
    </w:rPr>
  </w:style>
  <w:style w:type="character" w:styleId="56">
    <w:name w:val="Hyperlink"/>
    <w:qFormat/>
    <w:uiPriority w:val="0"/>
    <w:rPr>
      <w:color w:val="136EC2"/>
      <w:u w:val="single"/>
    </w:rPr>
  </w:style>
  <w:style w:type="character" w:styleId="57">
    <w:name w:val="HTML Code"/>
    <w:qFormat/>
    <w:uiPriority w:val="0"/>
    <w:rPr>
      <w:rFonts w:ascii="Courier New" w:hAnsi="Courier New" w:eastAsia="Courier New" w:cs="Courier New"/>
      <w:sz w:val="20"/>
    </w:rPr>
  </w:style>
  <w:style w:type="character" w:styleId="58">
    <w:name w:val="annotation reference"/>
    <w:qFormat/>
    <w:uiPriority w:val="0"/>
    <w:rPr>
      <w:sz w:val="21"/>
      <w:szCs w:val="21"/>
    </w:rPr>
  </w:style>
  <w:style w:type="character" w:styleId="59">
    <w:name w:val="HTML Cite"/>
    <w:qFormat/>
    <w:uiPriority w:val="0"/>
    <w:rPr>
      <w:rFonts w:ascii="Times New Roman" w:hAnsi="Times New Roman" w:eastAsia="宋体"/>
    </w:rPr>
  </w:style>
  <w:style w:type="character" w:styleId="60">
    <w:name w:val="HTML Keyboard"/>
    <w:qFormat/>
    <w:uiPriority w:val="0"/>
    <w:rPr>
      <w:rFonts w:ascii="Courier New" w:hAnsi="Courier New" w:eastAsia="Courier New" w:cs="Courier New"/>
      <w:sz w:val="20"/>
    </w:rPr>
  </w:style>
  <w:style w:type="character" w:styleId="61">
    <w:name w:val="HTML Sample"/>
    <w:qFormat/>
    <w:uiPriority w:val="0"/>
    <w:rPr>
      <w:rFonts w:ascii="Courier New" w:hAnsi="Courier New" w:eastAsia="Courier New" w:cs="Courier New"/>
    </w:rPr>
  </w:style>
  <w:style w:type="paragraph" w:customStyle="1" w:styleId="62">
    <w:name w:val="正文格式"/>
    <w:basedOn w:val="2"/>
    <w:next w:val="2"/>
    <w:qFormat/>
    <w:uiPriority w:val="0"/>
    <w:pPr>
      <w:widowControl/>
      <w:adjustRightInd w:val="0"/>
      <w:snapToGrid w:val="0"/>
      <w:spacing w:line="400" w:lineRule="atLeast"/>
      <w:ind w:firstLine="482"/>
      <w:textAlignment w:val="baseline"/>
    </w:pPr>
    <w:rPr>
      <w:kern w:val="0"/>
      <w:sz w:val="24"/>
    </w:rPr>
  </w:style>
  <w:style w:type="paragraph" w:customStyle="1" w:styleId="6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64">
    <w:name w:val="正文首行缩进1"/>
    <w:basedOn w:val="1"/>
    <w:qFormat/>
    <w:uiPriority w:val="99"/>
    <w:pPr>
      <w:spacing w:after="120"/>
      <w:ind w:firstLine="420" w:firstLineChars="100"/>
    </w:pPr>
  </w:style>
  <w:style w:type="paragraph" w:customStyle="1" w:styleId="65">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66">
    <w:name w:val="目录 81"/>
    <w:basedOn w:val="1"/>
    <w:next w:val="1"/>
    <w:qFormat/>
    <w:uiPriority w:val="0"/>
    <w:pPr>
      <w:ind w:left="2940"/>
    </w:pPr>
    <w:rPr>
      <w:rFonts w:ascii="Calibri"/>
    </w:rPr>
  </w:style>
  <w:style w:type="character" w:customStyle="1" w:styleId="67">
    <w:name w:val="页眉 Char"/>
    <w:qFormat/>
    <w:uiPriority w:val="0"/>
    <w:rPr>
      <w:kern w:val="2"/>
      <w:sz w:val="18"/>
      <w:szCs w:val="18"/>
    </w:rPr>
  </w:style>
  <w:style w:type="character" w:customStyle="1" w:styleId="68">
    <w:name w:val="页脚 Char"/>
    <w:qFormat/>
    <w:uiPriority w:val="99"/>
    <w:rPr>
      <w:kern w:val="2"/>
      <w:sz w:val="18"/>
      <w:szCs w:val="18"/>
    </w:rPr>
  </w:style>
  <w:style w:type="character" w:customStyle="1" w:styleId="69">
    <w:name w:val="bds_nopic1"/>
    <w:qFormat/>
    <w:uiPriority w:val="0"/>
    <w:rPr>
      <w:rFonts w:ascii="Times New Roman" w:hAnsi="Times New Roman" w:eastAsia="宋体"/>
    </w:rPr>
  </w:style>
  <w:style w:type="character" w:customStyle="1" w:styleId="70">
    <w:name w:val="Font Style86"/>
    <w:unhideWhenUsed/>
    <w:qFormat/>
    <w:uiPriority w:val="0"/>
    <w:rPr>
      <w:rFonts w:hint="eastAsia" w:ascii="黑体" w:hAnsi="黑体" w:eastAsia="黑体"/>
      <w:spacing w:val="10"/>
      <w:sz w:val="30"/>
    </w:rPr>
  </w:style>
  <w:style w:type="character" w:customStyle="1" w:styleId="71">
    <w:name w:val="Char Char15"/>
    <w:qFormat/>
    <w:uiPriority w:val="0"/>
    <w:rPr>
      <w:b/>
      <w:bCs/>
      <w:sz w:val="24"/>
      <w:szCs w:val="24"/>
    </w:rPr>
  </w:style>
  <w:style w:type="character" w:customStyle="1" w:styleId="72">
    <w:name w:val="Font Style125"/>
    <w:unhideWhenUsed/>
    <w:qFormat/>
    <w:uiPriority w:val="0"/>
    <w:rPr>
      <w:rFonts w:hint="eastAsia" w:ascii="宋体" w:hAnsi="宋体" w:eastAsia="宋体"/>
      <w:b/>
      <w:sz w:val="26"/>
    </w:rPr>
  </w:style>
  <w:style w:type="character" w:customStyle="1" w:styleId="73">
    <w:name w:val="标题 6 Char1"/>
    <w:link w:val="9"/>
    <w:qFormat/>
    <w:uiPriority w:val="0"/>
    <w:rPr>
      <w:rFonts w:ascii="Arial" w:hAnsi="Arial" w:eastAsia="黑体"/>
      <w:b/>
      <w:bCs/>
      <w:sz w:val="24"/>
      <w:szCs w:val="24"/>
      <w:lang w:val="en-US" w:eastAsia="zh-CN" w:bidi="ar-SA"/>
    </w:rPr>
  </w:style>
  <w:style w:type="character" w:customStyle="1" w:styleId="74">
    <w:name w:val="标题 5 Char"/>
    <w:qFormat/>
    <w:uiPriority w:val="0"/>
    <w:rPr>
      <w:b/>
      <w:bCs/>
      <w:kern w:val="2"/>
      <w:sz w:val="28"/>
      <w:szCs w:val="28"/>
    </w:rPr>
  </w:style>
  <w:style w:type="character" w:customStyle="1" w:styleId="75">
    <w:name w:val="Font Style126"/>
    <w:unhideWhenUsed/>
    <w:qFormat/>
    <w:uiPriority w:val="0"/>
    <w:rPr>
      <w:rFonts w:hint="eastAsia" w:ascii="宋体" w:hAnsi="宋体" w:eastAsia="宋体"/>
      <w:b/>
      <w:spacing w:val="-30"/>
      <w:sz w:val="28"/>
    </w:rPr>
  </w:style>
  <w:style w:type="character" w:customStyle="1" w:styleId="76">
    <w:name w:val="Font Style116"/>
    <w:unhideWhenUsed/>
    <w:qFormat/>
    <w:uiPriority w:val="0"/>
    <w:rPr>
      <w:rFonts w:hint="eastAsia" w:ascii="宋体" w:hAnsi="宋体" w:eastAsia="宋体"/>
      <w:spacing w:val="-20"/>
      <w:sz w:val="24"/>
    </w:rPr>
  </w:style>
  <w:style w:type="character" w:customStyle="1" w:styleId="77">
    <w:name w:val="标题 7 Char1"/>
    <w:link w:val="10"/>
    <w:qFormat/>
    <w:uiPriority w:val="0"/>
    <w:rPr>
      <w:rFonts w:eastAsia="宋体"/>
      <w:b/>
      <w:bCs/>
      <w:sz w:val="24"/>
      <w:szCs w:val="24"/>
      <w:lang w:val="en-US" w:eastAsia="zh-CN" w:bidi="ar-SA"/>
    </w:rPr>
  </w:style>
  <w:style w:type="character" w:customStyle="1" w:styleId="78">
    <w:name w:val="日期 Char1"/>
    <w:link w:val="27"/>
    <w:qFormat/>
    <w:uiPriority w:val="0"/>
    <w:rPr>
      <w:rFonts w:eastAsia="宋体"/>
      <w:kern w:val="2"/>
      <w:sz w:val="24"/>
      <w:lang w:val="en-US" w:eastAsia="zh-CN" w:bidi="ar-SA"/>
    </w:rPr>
  </w:style>
  <w:style w:type="character" w:customStyle="1" w:styleId="79">
    <w:name w:val="标题 8 Char"/>
    <w:qFormat/>
    <w:uiPriority w:val="0"/>
    <w:rPr>
      <w:rFonts w:ascii="Arial" w:hAnsi="Arial" w:eastAsia="黑体"/>
      <w:sz w:val="24"/>
      <w:szCs w:val="24"/>
    </w:rPr>
  </w:style>
  <w:style w:type="character" w:customStyle="1" w:styleId="80">
    <w:name w:val="标题 2 Char1"/>
    <w:link w:val="5"/>
    <w:qFormat/>
    <w:uiPriority w:val="0"/>
    <w:rPr>
      <w:rFonts w:ascii="Arial" w:hAnsi="Arial" w:eastAsia="宋体"/>
      <w:b/>
      <w:bCs/>
      <w:kern w:val="2"/>
      <w:sz w:val="24"/>
      <w:szCs w:val="32"/>
      <w:lang w:val="en-US" w:eastAsia="zh-CN" w:bidi="ar-SA"/>
    </w:rPr>
  </w:style>
  <w:style w:type="character" w:customStyle="1" w:styleId="81">
    <w:name w:val="批注主题 Char1"/>
    <w:link w:val="44"/>
    <w:qFormat/>
    <w:uiPriority w:val="0"/>
    <w:rPr>
      <w:rFonts w:eastAsia="宋体"/>
      <w:b/>
      <w:bCs/>
      <w:kern w:val="2"/>
      <w:sz w:val="21"/>
      <w:szCs w:val="24"/>
      <w:lang w:val="en-US" w:eastAsia="zh-CN" w:bidi="ar-SA"/>
    </w:rPr>
  </w:style>
  <w:style w:type="character" w:customStyle="1" w:styleId="82">
    <w:name w:val="标题 3 Char"/>
    <w:qFormat/>
    <w:uiPriority w:val="0"/>
    <w:rPr>
      <w:b/>
      <w:bCs/>
      <w:sz w:val="24"/>
      <w:szCs w:val="24"/>
    </w:rPr>
  </w:style>
  <w:style w:type="character" w:customStyle="1" w:styleId="83">
    <w:name w:val="标题 1 Char"/>
    <w:qFormat/>
    <w:uiPriority w:val="0"/>
    <w:rPr>
      <w:rFonts w:ascii="Cambria" w:hAnsi="Cambria"/>
      <w:b/>
      <w:bCs/>
      <w:kern w:val="32"/>
      <w:sz w:val="32"/>
      <w:szCs w:val="32"/>
    </w:rPr>
  </w:style>
  <w:style w:type="character" w:customStyle="1" w:styleId="84">
    <w:name w:val="Font Style119"/>
    <w:unhideWhenUsed/>
    <w:qFormat/>
    <w:uiPriority w:val="0"/>
    <w:rPr>
      <w:rFonts w:hint="eastAsia" w:ascii="宋体" w:hAnsi="宋体" w:eastAsia="宋体"/>
      <w:sz w:val="24"/>
    </w:rPr>
  </w:style>
  <w:style w:type="character" w:customStyle="1" w:styleId="85">
    <w:name w:val="标题 8 Char1"/>
    <w:link w:val="11"/>
    <w:qFormat/>
    <w:uiPriority w:val="0"/>
    <w:rPr>
      <w:rFonts w:ascii="Arial" w:hAnsi="Arial" w:eastAsia="黑体"/>
      <w:sz w:val="24"/>
      <w:szCs w:val="24"/>
      <w:lang w:val="en-US" w:eastAsia="zh-CN" w:bidi="ar-SA"/>
    </w:rPr>
  </w:style>
  <w:style w:type="character" w:customStyle="1" w:styleId="86">
    <w:name w:val="Font Style127"/>
    <w:unhideWhenUsed/>
    <w:qFormat/>
    <w:uiPriority w:val="0"/>
    <w:rPr>
      <w:rFonts w:hint="eastAsia" w:ascii="Times New Roman" w:hAnsi="Times New Roman" w:eastAsia="Times New Roman"/>
      <w:sz w:val="20"/>
    </w:rPr>
  </w:style>
  <w:style w:type="character" w:customStyle="1" w:styleId="87">
    <w:name w:val="标题 2 Char"/>
    <w:link w:val="5"/>
    <w:qFormat/>
    <w:uiPriority w:val="0"/>
    <w:rPr>
      <w:rFonts w:ascii="Cambria" w:hAnsi="Cambria" w:eastAsia="宋体" w:cs="Times New Roman"/>
      <w:b/>
      <w:bCs/>
      <w:kern w:val="2"/>
      <w:sz w:val="32"/>
      <w:szCs w:val="32"/>
    </w:rPr>
  </w:style>
  <w:style w:type="character" w:customStyle="1" w:styleId="88">
    <w:name w:val="polysemyred"/>
    <w:qFormat/>
    <w:uiPriority w:val="0"/>
    <w:rPr>
      <w:rFonts w:ascii="Times New Roman" w:hAnsi="Times New Roman" w:eastAsia="宋体"/>
      <w:color w:val="FF6666"/>
      <w:sz w:val="18"/>
      <w:szCs w:val="18"/>
    </w:rPr>
  </w:style>
  <w:style w:type="character" w:customStyle="1" w:styleId="89">
    <w:name w:val="标题 9 Char1"/>
    <w:link w:val="12"/>
    <w:qFormat/>
    <w:uiPriority w:val="0"/>
    <w:rPr>
      <w:rFonts w:ascii="Arial" w:hAnsi="Arial" w:eastAsia="黑体"/>
      <w:sz w:val="21"/>
      <w:szCs w:val="21"/>
      <w:lang w:val="en-US" w:eastAsia="zh-CN" w:bidi="ar-SA"/>
    </w:rPr>
  </w:style>
  <w:style w:type="character" w:customStyle="1" w:styleId="90">
    <w:name w:val="sidecatalog-index2"/>
    <w:qFormat/>
    <w:uiPriority w:val="0"/>
    <w:rPr>
      <w:rFonts w:ascii="Arail" w:hAnsi="Arail" w:eastAsia="Arail" w:cs="Arail"/>
      <w:color w:val="999999"/>
      <w:sz w:val="21"/>
      <w:szCs w:val="21"/>
    </w:rPr>
  </w:style>
  <w:style w:type="character" w:customStyle="1" w:styleId="91">
    <w:name w:val="正文文本缩进 Char"/>
    <w:link w:val="19"/>
    <w:qFormat/>
    <w:uiPriority w:val="0"/>
    <w:rPr>
      <w:rFonts w:eastAsia="宋体"/>
      <w:kern w:val="2"/>
      <w:sz w:val="21"/>
      <w:szCs w:val="24"/>
      <w:lang w:val="en-US" w:eastAsia="zh-CN" w:bidi="ar-SA"/>
    </w:rPr>
  </w:style>
  <w:style w:type="character" w:customStyle="1" w:styleId="92">
    <w:name w:val="Char Char14"/>
    <w:qFormat/>
    <w:uiPriority w:val="0"/>
    <w:rPr>
      <w:rFonts w:ascii="Arial" w:hAnsi="Arial" w:eastAsia="黑体"/>
      <w:b/>
      <w:bCs/>
      <w:sz w:val="28"/>
      <w:szCs w:val="28"/>
      <w:lang w:val="en-US" w:eastAsia="zh-CN" w:bidi="ar-SA"/>
    </w:rPr>
  </w:style>
  <w:style w:type="character" w:customStyle="1" w:styleId="93">
    <w:name w:val="lemmatitleh12"/>
    <w:qFormat/>
    <w:uiPriority w:val="0"/>
    <w:rPr>
      <w:rFonts w:ascii="Times New Roman" w:hAnsi="Times New Roman" w:eastAsia="宋体"/>
    </w:rPr>
  </w:style>
  <w:style w:type="character" w:customStyle="1" w:styleId="94">
    <w:name w:val="标题 4 Char Char"/>
    <w:qFormat/>
    <w:uiPriority w:val="0"/>
    <w:rPr>
      <w:rFonts w:ascii="Arial" w:hAnsi="Arial" w:eastAsia="宋体"/>
      <w:b/>
      <w:bCs/>
      <w:kern w:val="2"/>
      <w:sz w:val="21"/>
      <w:szCs w:val="28"/>
      <w:lang w:val="en-US" w:eastAsia="zh-CN" w:bidi="ar-SA"/>
    </w:rPr>
  </w:style>
  <w:style w:type="character" w:customStyle="1" w:styleId="95">
    <w:name w:val="sidecatalog-dot"/>
    <w:qFormat/>
    <w:uiPriority w:val="0"/>
    <w:rPr>
      <w:rFonts w:ascii="Times New Roman" w:hAnsi="Times New Roman" w:eastAsia="宋体"/>
    </w:rPr>
  </w:style>
  <w:style w:type="character" w:customStyle="1" w:styleId="96">
    <w:name w:val="Font Style122"/>
    <w:unhideWhenUsed/>
    <w:qFormat/>
    <w:uiPriority w:val="0"/>
    <w:rPr>
      <w:rFonts w:hint="eastAsia" w:ascii="宋体" w:hAnsi="宋体" w:eastAsia="宋体"/>
      <w:spacing w:val="20"/>
      <w:sz w:val="24"/>
    </w:rPr>
  </w:style>
  <w:style w:type="character" w:customStyle="1" w:styleId="97">
    <w:name w:val="plus"/>
    <w:qFormat/>
    <w:uiPriority w:val="0"/>
    <w:rPr>
      <w:rFonts w:ascii="Times New Roman" w:hAnsi="Times New Roman" w:eastAsia="宋体"/>
      <w:b/>
      <w:vanish/>
      <w:color w:val="1F8DEF"/>
      <w:sz w:val="24"/>
      <w:szCs w:val="24"/>
    </w:rPr>
  </w:style>
  <w:style w:type="character" w:customStyle="1" w:styleId="98">
    <w:name w:val="Font Style121"/>
    <w:unhideWhenUsed/>
    <w:qFormat/>
    <w:uiPriority w:val="0"/>
    <w:rPr>
      <w:rFonts w:hint="eastAsia" w:ascii="宋体" w:hAnsi="宋体" w:eastAsia="宋体"/>
      <w:spacing w:val="-10"/>
      <w:sz w:val="30"/>
    </w:rPr>
  </w:style>
  <w:style w:type="character" w:customStyle="1" w:styleId="99">
    <w:name w:val="标题 6 Char"/>
    <w:qFormat/>
    <w:uiPriority w:val="0"/>
    <w:rPr>
      <w:rFonts w:ascii="Arial" w:hAnsi="Arial" w:eastAsia="黑体"/>
      <w:b/>
      <w:bCs/>
      <w:sz w:val="24"/>
      <w:szCs w:val="24"/>
    </w:rPr>
  </w:style>
  <w:style w:type="character" w:customStyle="1" w:styleId="100">
    <w:name w:val="纯文本 Char2"/>
    <w:qFormat/>
    <w:uiPriority w:val="0"/>
    <w:rPr>
      <w:rFonts w:ascii="宋体" w:hAnsi="Courier New" w:eastAsia="宋体"/>
      <w:kern w:val="2"/>
      <w:sz w:val="21"/>
      <w:szCs w:val="21"/>
      <w:lang w:val="en-US" w:eastAsia="zh-CN" w:bidi="ar-SA"/>
    </w:rPr>
  </w:style>
  <w:style w:type="character" w:customStyle="1" w:styleId="101">
    <w:name w:val="标题 3 Char1"/>
    <w:link w:val="6"/>
    <w:qFormat/>
    <w:uiPriority w:val="0"/>
    <w:rPr>
      <w:rFonts w:eastAsia="宋体"/>
      <w:b/>
      <w:bCs/>
      <w:kern w:val="2"/>
      <w:sz w:val="32"/>
      <w:szCs w:val="32"/>
      <w:lang w:val="en-US" w:eastAsia="zh-CN" w:bidi="ar-SA"/>
    </w:rPr>
  </w:style>
  <w:style w:type="character" w:customStyle="1" w:styleId="102">
    <w:name w:val="正文文本缩进 3 Char"/>
    <w:qFormat/>
    <w:uiPriority w:val="0"/>
    <w:rPr>
      <w:rFonts w:ascii="宋体" w:hAnsi="MS Sans Serif"/>
      <w:color w:val="000000"/>
      <w:sz w:val="24"/>
    </w:rPr>
  </w:style>
  <w:style w:type="character" w:customStyle="1" w:styleId="103">
    <w:name w:val="Char Char16"/>
    <w:qFormat/>
    <w:uiPriority w:val="0"/>
    <w:rPr>
      <w:rFonts w:ascii="宋体" w:hAnsi="Times New Roman" w:eastAsia="宋体"/>
      <w:b/>
      <w:sz w:val="24"/>
      <w:lang w:val="en-US" w:eastAsia="zh-CN" w:bidi="ar-SA"/>
    </w:rPr>
  </w:style>
  <w:style w:type="character" w:customStyle="1" w:styleId="104">
    <w:name w:val="页眉 Char1"/>
    <w:link w:val="31"/>
    <w:qFormat/>
    <w:uiPriority w:val="0"/>
    <w:rPr>
      <w:rFonts w:eastAsia="宋体"/>
      <w:kern w:val="2"/>
      <w:sz w:val="18"/>
      <w:szCs w:val="18"/>
      <w:lang w:val="en-US" w:eastAsia="zh-CN" w:bidi="ar-SA"/>
    </w:rPr>
  </w:style>
  <w:style w:type="character" w:customStyle="1" w:styleId="105">
    <w:name w:val="polysemyexp"/>
    <w:qFormat/>
    <w:uiPriority w:val="0"/>
    <w:rPr>
      <w:rFonts w:ascii="Times New Roman" w:hAnsi="Times New Roman" w:eastAsia="宋体"/>
      <w:color w:val="AAAAAA"/>
      <w:sz w:val="18"/>
      <w:szCs w:val="18"/>
    </w:rPr>
  </w:style>
  <w:style w:type="character" w:customStyle="1" w:styleId="106">
    <w:name w:val="Font Style124"/>
    <w:unhideWhenUsed/>
    <w:qFormat/>
    <w:uiPriority w:val="0"/>
    <w:rPr>
      <w:rFonts w:hint="eastAsia" w:ascii="宋体" w:hAnsi="宋体" w:eastAsia="宋体"/>
      <w:spacing w:val="30"/>
      <w:sz w:val="24"/>
    </w:rPr>
  </w:style>
  <w:style w:type="character" w:customStyle="1" w:styleId="107">
    <w:name w:val="p0 Char Char"/>
    <w:qFormat/>
    <w:uiPriority w:val="0"/>
    <w:rPr>
      <w:rFonts w:eastAsia="宋体"/>
      <w:kern w:val="2"/>
      <w:sz w:val="21"/>
      <w:szCs w:val="21"/>
      <w:lang w:val="en-US" w:eastAsia="zh-CN" w:bidi="ar-SA"/>
    </w:rPr>
  </w:style>
  <w:style w:type="character" w:customStyle="1" w:styleId="108">
    <w:name w:val="标题 Char"/>
    <w:qFormat/>
    <w:uiPriority w:val="0"/>
    <w:rPr>
      <w:rFonts w:ascii="Cambria" w:hAnsi="Cambria"/>
      <w:b/>
      <w:kern w:val="2"/>
      <w:sz w:val="32"/>
      <w:szCs w:val="24"/>
    </w:rPr>
  </w:style>
  <w:style w:type="character" w:customStyle="1" w:styleId="109">
    <w:name w:val="sidecatalog-dot1"/>
    <w:qFormat/>
    <w:uiPriority w:val="0"/>
    <w:rPr>
      <w:rFonts w:ascii="Times New Roman" w:hAnsi="Times New Roman" w:eastAsia="宋体"/>
    </w:rPr>
  </w:style>
  <w:style w:type="character" w:customStyle="1" w:styleId="110">
    <w:name w:val="标题 9 Char"/>
    <w:qFormat/>
    <w:uiPriority w:val="0"/>
    <w:rPr>
      <w:rFonts w:ascii="Arial" w:hAnsi="Arial" w:eastAsia="黑体"/>
      <w:sz w:val="21"/>
      <w:szCs w:val="21"/>
    </w:rPr>
  </w:style>
  <w:style w:type="character" w:customStyle="1" w:styleId="111">
    <w:name w:val="日期 Char"/>
    <w:qFormat/>
    <w:uiPriority w:val="0"/>
    <w:rPr>
      <w:kern w:val="2"/>
      <w:sz w:val="21"/>
      <w:szCs w:val="24"/>
    </w:rPr>
  </w:style>
  <w:style w:type="character" w:customStyle="1" w:styleId="112">
    <w:name w:val="bds_more7"/>
    <w:qFormat/>
    <w:uiPriority w:val="0"/>
    <w:rPr>
      <w:rFonts w:ascii="Times New Roman" w:hAnsi="Times New Roman" w:eastAsia="宋体"/>
    </w:rPr>
  </w:style>
  <w:style w:type="character" w:customStyle="1" w:styleId="113">
    <w:name w:val="正文文本缩进 3 Char1"/>
    <w:link w:val="36"/>
    <w:qFormat/>
    <w:uiPriority w:val="0"/>
    <w:rPr>
      <w:rFonts w:eastAsia="宋体"/>
      <w:kern w:val="2"/>
      <w:sz w:val="16"/>
      <w:szCs w:val="16"/>
      <w:lang w:val="en-US" w:eastAsia="zh-CN" w:bidi="ar-SA"/>
    </w:rPr>
  </w:style>
  <w:style w:type="character" w:customStyle="1" w:styleId="114">
    <w:name w:val="sort"/>
    <w:qFormat/>
    <w:uiPriority w:val="0"/>
    <w:rPr>
      <w:rFonts w:ascii="Times New Roman" w:hAnsi="Times New Roman" w:eastAsia="宋体"/>
      <w:color w:val="FFFFFF"/>
      <w:bdr w:val="single" w:color="auto" w:sz="24" w:space="0"/>
    </w:rPr>
  </w:style>
  <w:style w:type="character" w:customStyle="1" w:styleId="115">
    <w:name w:val="Font Style123"/>
    <w:unhideWhenUsed/>
    <w:qFormat/>
    <w:uiPriority w:val="0"/>
    <w:rPr>
      <w:rFonts w:hint="eastAsia" w:ascii="宋体" w:hAnsi="宋体" w:eastAsia="宋体"/>
      <w:b/>
      <w:sz w:val="32"/>
    </w:rPr>
  </w:style>
  <w:style w:type="character" w:customStyle="1" w:styleId="116">
    <w:name w:val="标题 7 Char"/>
    <w:qFormat/>
    <w:uiPriority w:val="0"/>
    <w:rPr>
      <w:b/>
      <w:bCs/>
      <w:sz w:val="24"/>
      <w:szCs w:val="24"/>
    </w:rPr>
  </w:style>
  <w:style w:type="character" w:customStyle="1" w:styleId="117">
    <w:name w:val="Font Style94"/>
    <w:unhideWhenUsed/>
    <w:qFormat/>
    <w:uiPriority w:val="0"/>
    <w:rPr>
      <w:rFonts w:hint="eastAsia" w:ascii="Times New Roman" w:hAnsi="Times New Roman" w:eastAsia="Times New Roman"/>
      <w:sz w:val="28"/>
    </w:rPr>
  </w:style>
  <w:style w:type="character" w:customStyle="1" w:styleId="118">
    <w:name w:val="标题 4 Char"/>
    <w:qFormat/>
    <w:uiPriority w:val="0"/>
    <w:rPr>
      <w:rFonts w:ascii="Arial" w:hAnsi="Arial" w:eastAsia="宋体" w:cs="Times New Roman"/>
      <w:b/>
      <w:bCs/>
      <w:szCs w:val="28"/>
    </w:rPr>
  </w:style>
  <w:style w:type="character" w:customStyle="1" w:styleId="119">
    <w:name w:val="Font Style133"/>
    <w:unhideWhenUsed/>
    <w:qFormat/>
    <w:uiPriority w:val="0"/>
    <w:rPr>
      <w:rFonts w:hint="eastAsia" w:ascii="宋体" w:hAnsi="宋体" w:eastAsia="宋体"/>
      <w:spacing w:val="30"/>
      <w:sz w:val="24"/>
    </w:rPr>
  </w:style>
  <w:style w:type="character" w:customStyle="1" w:styleId="120">
    <w:name w:val="bds_more9"/>
    <w:qFormat/>
    <w:uiPriority w:val="0"/>
    <w:rPr>
      <w:rFonts w:ascii="Times New Roman" w:hAnsi="Times New Roman" w:eastAsia="宋体"/>
    </w:rPr>
  </w:style>
  <w:style w:type="character" w:customStyle="1" w:styleId="121">
    <w:name w:val="标题 1 Char1"/>
    <w:link w:val="4"/>
    <w:qFormat/>
    <w:uiPriority w:val="0"/>
    <w:rPr>
      <w:rFonts w:eastAsia="宋体"/>
      <w:b/>
      <w:bCs/>
      <w:kern w:val="2"/>
      <w:sz w:val="24"/>
      <w:lang w:val="en-US" w:eastAsia="zh-CN" w:bidi="ar-SA"/>
    </w:rPr>
  </w:style>
  <w:style w:type="character" w:customStyle="1" w:styleId="122">
    <w:name w:val="批注文字 Char1"/>
    <w:link w:val="16"/>
    <w:qFormat/>
    <w:uiPriority w:val="0"/>
    <w:rPr>
      <w:rFonts w:eastAsia="宋体"/>
      <w:kern w:val="2"/>
      <w:sz w:val="21"/>
      <w:szCs w:val="24"/>
      <w:lang w:val="en-US" w:eastAsia="zh-CN" w:bidi="ar-SA"/>
    </w:rPr>
  </w:style>
  <w:style w:type="character" w:customStyle="1" w:styleId="123">
    <w:name w:val="Char Char17"/>
    <w:qFormat/>
    <w:uiPriority w:val="0"/>
    <w:rPr>
      <w:rFonts w:ascii="宋体" w:hAnsi="Times New Roman" w:eastAsia="宋体"/>
      <w:b/>
      <w:sz w:val="28"/>
      <w:lang w:val="en-US" w:eastAsia="zh-CN" w:bidi="ar-SA"/>
    </w:rPr>
  </w:style>
  <w:style w:type="character" w:customStyle="1" w:styleId="124">
    <w:name w:val="morelink-item"/>
    <w:qFormat/>
    <w:uiPriority w:val="0"/>
    <w:rPr>
      <w:rFonts w:ascii="Times New Roman" w:hAnsi="Times New Roman" w:eastAsia="宋体"/>
    </w:rPr>
  </w:style>
  <w:style w:type="character" w:customStyle="1" w:styleId="125">
    <w:name w:val="Font Style128"/>
    <w:unhideWhenUsed/>
    <w:qFormat/>
    <w:uiPriority w:val="0"/>
    <w:rPr>
      <w:rFonts w:hint="eastAsia" w:ascii="Times New Roman" w:hAnsi="Times New Roman" w:eastAsia="Times New Roman"/>
      <w:sz w:val="16"/>
    </w:rPr>
  </w:style>
  <w:style w:type="character" w:customStyle="1" w:styleId="126">
    <w:name w:val="Font Style117"/>
    <w:unhideWhenUsed/>
    <w:qFormat/>
    <w:uiPriority w:val="0"/>
    <w:rPr>
      <w:rFonts w:hint="eastAsia" w:ascii="宋体" w:hAnsi="宋体" w:eastAsia="宋体"/>
      <w:spacing w:val="20"/>
      <w:sz w:val="24"/>
    </w:rPr>
  </w:style>
  <w:style w:type="character" w:customStyle="1" w:styleId="127">
    <w:name w:val="批注框文本 Char"/>
    <w:qFormat/>
    <w:uiPriority w:val="0"/>
    <w:rPr>
      <w:kern w:val="2"/>
      <w:sz w:val="18"/>
      <w:szCs w:val="18"/>
    </w:rPr>
  </w:style>
  <w:style w:type="character" w:customStyle="1" w:styleId="128">
    <w:name w:val="批注框文本 Char1"/>
    <w:link w:val="29"/>
    <w:semiHidden/>
    <w:qFormat/>
    <w:locked/>
    <w:uiPriority w:val="0"/>
    <w:rPr>
      <w:rFonts w:ascii="Calibri" w:hAnsi="Calibri" w:eastAsia="宋体"/>
      <w:kern w:val="2"/>
      <w:sz w:val="18"/>
      <w:szCs w:val="18"/>
      <w:lang w:val="en-US" w:eastAsia="zh-CN" w:bidi="ar-SA"/>
    </w:rPr>
  </w:style>
  <w:style w:type="character" w:customStyle="1" w:styleId="129">
    <w:name w:val="sort1"/>
    <w:qFormat/>
    <w:uiPriority w:val="0"/>
    <w:rPr>
      <w:rFonts w:ascii="Times New Roman" w:hAnsi="Times New Roman" w:eastAsia="宋体"/>
    </w:rPr>
  </w:style>
  <w:style w:type="character" w:customStyle="1" w:styleId="130">
    <w:name w:val="bds_more6"/>
    <w:qFormat/>
    <w:uiPriority w:val="0"/>
    <w:rPr>
      <w:rFonts w:hint="eastAsia" w:ascii="宋体" w:hAnsi="宋体" w:eastAsia="宋体" w:cs="宋体"/>
    </w:rPr>
  </w:style>
  <w:style w:type="character" w:customStyle="1" w:styleId="131">
    <w:name w:val="sidecatalog-index1"/>
    <w:qFormat/>
    <w:uiPriority w:val="0"/>
    <w:rPr>
      <w:rFonts w:ascii="Arial" w:hAnsi="Arial" w:eastAsia="宋体" w:cs="Arial"/>
      <w:b/>
      <w:color w:val="999999"/>
      <w:sz w:val="21"/>
      <w:szCs w:val="21"/>
    </w:rPr>
  </w:style>
  <w:style w:type="character" w:customStyle="1" w:styleId="132">
    <w:name w:val="p0 Char"/>
    <w:link w:val="133"/>
    <w:qFormat/>
    <w:uiPriority w:val="0"/>
    <w:rPr>
      <w:rFonts w:eastAsia="宋体"/>
      <w:sz w:val="21"/>
      <w:szCs w:val="21"/>
      <w:lang w:val="en-US" w:eastAsia="zh-CN" w:bidi="ar-SA"/>
    </w:rPr>
  </w:style>
  <w:style w:type="paragraph" w:customStyle="1" w:styleId="133">
    <w:name w:val="p0"/>
    <w:basedOn w:val="1"/>
    <w:link w:val="132"/>
    <w:qFormat/>
    <w:uiPriority w:val="0"/>
    <w:pPr>
      <w:widowControl/>
    </w:pPr>
    <w:rPr>
      <w:kern w:val="0"/>
      <w:szCs w:val="21"/>
    </w:rPr>
  </w:style>
  <w:style w:type="character" w:customStyle="1" w:styleId="134">
    <w:name w:val="Font Style104"/>
    <w:unhideWhenUsed/>
    <w:qFormat/>
    <w:uiPriority w:val="0"/>
    <w:rPr>
      <w:rFonts w:hint="eastAsia" w:ascii="宋体" w:hAnsi="宋体" w:eastAsia="宋体"/>
      <w:spacing w:val="30"/>
      <w:sz w:val="18"/>
    </w:rPr>
  </w:style>
  <w:style w:type="character" w:customStyle="1" w:styleId="135">
    <w:name w:val="desc"/>
    <w:qFormat/>
    <w:uiPriority w:val="0"/>
    <w:rPr>
      <w:rFonts w:ascii="Times New Roman" w:hAnsi="Times New Roman" w:eastAsia="宋体"/>
      <w:color w:val="000000"/>
      <w:sz w:val="18"/>
      <w:szCs w:val="18"/>
    </w:rPr>
  </w:style>
  <w:style w:type="character" w:customStyle="1" w:styleId="136">
    <w:name w:val="标题 5 Char1"/>
    <w:link w:val="8"/>
    <w:qFormat/>
    <w:uiPriority w:val="0"/>
    <w:rPr>
      <w:rFonts w:eastAsia="宋体"/>
      <w:b/>
      <w:bCs/>
      <w:sz w:val="28"/>
      <w:szCs w:val="28"/>
      <w:lang w:val="en-US" w:eastAsia="zh-CN" w:bidi="ar-SA"/>
    </w:rPr>
  </w:style>
  <w:style w:type="character" w:customStyle="1" w:styleId="137">
    <w:name w:val="bds_more10"/>
    <w:qFormat/>
    <w:uiPriority w:val="0"/>
    <w:rPr>
      <w:rFonts w:ascii="Times New Roman" w:hAnsi="Times New Roman" w:eastAsia="宋体"/>
    </w:rPr>
  </w:style>
  <w:style w:type="character" w:customStyle="1" w:styleId="138">
    <w:name w:val="Font Style131"/>
    <w:unhideWhenUsed/>
    <w:qFormat/>
    <w:uiPriority w:val="0"/>
    <w:rPr>
      <w:rFonts w:hint="eastAsia" w:ascii="Times New Roman" w:hAnsi="Times New Roman" w:eastAsia="Times New Roman"/>
      <w:sz w:val="18"/>
    </w:rPr>
  </w:style>
  <w:style w:type="character" w:customStyle="1" w:styleId="139">
    <w:name w:val="批注文字 Char"/>
    <w:qFormat/>
    <w:uiPriority w:val="0"/>
    <w:rPr>
      <w:kern w:val="2"/>
      <w:sz w:val="21"/>
      <w:szCs w:val="24"/>
    </w:rPr>
  </w:style>
  <w:style w:type="character" w:customStyle="1" w:styleId="140">
    <w:name w:val="bds_more8"/>
    <w:qFormat/>
    <w:uiPriority w:val="0"/>
    <w:rPr>
      <w:rFonts w:ascii="Times New Roman" w:hAnsi="Times New Roman" w:eastAsia="宋体"/>
    </w:rPr>
  </w:style>
  <w:style w:type="character" w:customStyle="1" w:styleId="141">
    <w:name w:val="批注文字 Char Char"/>
    <w:qFormat/>
    <w:uiPriority w:val="0"/>
    <w:rPr>
      <w:kern w:val="2"/>
      <w:sz w:val="21"/>
      <w:szCs w:val="24"/>
      <w:lang w:bidi="ar-SA"/>
    </w:rPr>
  </w:style>
  <w:style w:type="character" w:customStyle="1" w:styleId="142">
    <w:name w:val="Font Style115"/>
    <w:unhideWhenUsed/>
    <w:qFormat/>
    <w:uiPriority w:val="0"/>
    <w:rPr>
      <w:rFonts w:hint="eastAsia" w:ascii="Times New Roman" w:hAnsi="Times New Roman" w:eastAsia="Times New Roman"/>
      <w:sz w:val="16"/>
    </w:rPr>
  </w:style>
  <w:style w:type="character" w:customStyle="1" w:styleId="143">
    <w:name w:val="bds_nopic"/>
    <w:qFormat/>
    <w:uiPriority w:val="0"/>
    <w:rPr>
      <w:rFonts w:ascii="Times New Roman" w:hAnsi="Times New Roman" w:eastAsia="宋体"/>
    </w:rPr>
  </w:style>
  <w:style w:type="character" w:customStyle="1" w:styleId="144">
    <w:name w:val="Font Style105"/>
    <w:unhideWhenUsed/>
    <w:qFormat/>
    <w:uiPriority w:val="0"/>
    <w:rPr>
      <w:rFonts w:hint="eastAsia" w:ascii="Times New Roman" w:hAnsi="Times New Roman" w:eastAsia="Times New Roman"/>
      <w:w w:val="60"/>
      <w:sz w:val="26"/>
    </w:rPr>
  </w:style>
  <w:style w:type="character" w:customStyle="1" w:styleId="145">
    <w:name w:val="标题 Char1"/>
    <w:qFormat/>
    <w:uiPriority w:val="0"/>
    <w:rPr>
      <w:rFonts w:ascii="Cambria" w:hAnsi="Cambria" w:eastAsia="宋体" w:cs="Times New Roman"/>
      <w:b/>
      <w:bCs/>
      <w:sz w:val="32"/>
      <w:szCs w:val="32"/>
    </w:rPr>
  </w:style>
  <w:style w:type="character" w:customStyle="1" w:styleId="146">
    <w:name w:val="纯文本 Char"/>
    <w:link w:val="25"/>
    <w:qFormat/>
    <w:locked/>
    <w:uiPriority w:val="0"/>
    <w:rPr>
      <w:rFonts w:ascii="宋体" w:hAnsi="Courier New" w:eastAsia="宋体" w:cs="Courier New"/>
      <w:kern w:val="2"/>
      <w:sz w:val="21"/>
      <w:szCs w:val="21"/>
      <w:lang w:val="en-US" w:eastAsia="zh-CN" w:bidi="ar-SA"/>
    </w:rPr>
  </w:style>
  <w:style w:type="character" w:customStyle="1" w:styleId="147">
    <w:name w:val="Font Style90"/>
    <w:unhideWhenUsed/>
    <w:qFormat/>
    <w:uiPriority w:val="0"/>
    <w:rPr>
      <w:rFonts w:hint="eastAsia" w:ascii="宋体" w:hAnsi="宋体" w:eastAsia="宋体"/>
      <w:b/>
      <w:spacing w:val="-20"/>
      <w:sz w:val="40"/>
    </w:rPr>
  </w:style>
  <w:style w:type="character" w:customStyle="1" w:styleId="148">
    <w:name w:val="Font Style134"/>
    <w:unhideWhenUsed/>
    <w:qFormat/>
    <w:uiPriority w:val="0"/>
    <w:rPr>
      <w:rFonts w:hint="eastAsia" w:ascii="宋体" w:hAnsi="宋体" w:eastAsia="宋体"/>
      <w:spacing w:val="20"/>
      <w:sz w:val="22"/>
    </w:rPr>
  </w:style>
  <w:style w:type="character" w:customStyle="1" w:styleId="149">
    <w:name w:val="Char Char6"/>
    <w:qFormat/>
    <w:uiPriority w:val="0"/>
    <w:rPr>
      <w:rFonts w:ascii="Arial" w:hAnsi="Arial" w:eastAsia="黑体"/>
      <w:sz w:val="24"/>
      <w:szCs w:val="24"/>
      <w:lang w:val="en-US" w:eastAsia="zh-CN" w:bidi="ar-SA"/>
    </w:rPr>
  </w:style>
  <w:style w:type="character" w:customStyle="1" w:styleId="150">
    <w:name w:val="标题 4 Char1"/>
    <w:link w:val="7"/>
    <w:qFormat/>
    <w:uiPriority w:val="0"/>
    <w:rPr>
      <w:rFonts w:ascii="Arial" w:hAnsi="Arial" w:eastAsia="黑体"/>
      <w:b/>
      <w:bCs/>
      <w:kern w:val="2"/>
      <w:sz w:val="28"/>
      <w:szCs w:val="28"/>
      <w:lang w:val="en-US" w:eastAsia="zh-CN" w:bidi="ar-SA"/>
    </w:rPr>
  </w:style>
  <w:style w:type="character" w:customStyle="1" w:styleId="151">
    <w:name w:val="批注主题 Char"/>
    <w:qFormat/>
    <w:uiPriority w:val="0"/>
    <w:rPr>
      <w:b/>
      <w:bCs/>
      <w:kern w:val="2"/>
      <w:sz w:val="21"/>
      <w:szCs w:val="24"/>
    </w:rPr>
  </w:style>
  <w:style w:type="character" w:customStyle="1" w:styleId="152">
    <w:name w:val="样式2 Char Char"/>
    <w:qFormat/>
    <w:uiPriority w:val="0"/>
    <w:rPr>
      <w:rFonts w:eastAsia="宋体"/>
      <w:kern w:val="2"/>
      <w:sz w:val="18"/>
      <w:szCs w:val="18"/>
      <w:lang w:val="en-US" w:eastAsia="zh-CN" w:bidi="ar-SA"/>
    </w:rPr>
  </w:style>
  <w:style w:type="character" w:customStyle="1" w:styleId="153">
    <w:name w:val="bds_nopic2"/>
    <w:qFormat/>
    <w:uiPriority w:val="0"/>
    <w:rPr>
      <w:rFonts w:ascii="Times New Roman" w:hAnsi="Times New Roman" w:eastAsia="宋体"/>
    </w:rPr>
  </w:style>
  <w:style w:type="character" w:customStyle="1" w:styleId="154">
    <w:name w:val="页脚 Char1"/>
    <w:link w:val="30"/>
    <w:qFormat/>
    <w:uiPriority w:val="0"/>
    <w:rPr>
      <w:rFonts w:eastAsia="宋体"/>
      <w:kern w:val="2"/>
      <w:sz w:val="18"/>
      <w:szCs w:val="18"/>
      <w:lang w:val="en-US" w:eastAsia="zh-CN" w:bidi="ar-SA"/>
    </w:rPr>
  </w:style>
  <w:style w:type="paragraph" w:customStyle="1" w:styleId="155">
    <w:name w:val="列出段落1"/>
    <w:basedOn w:val="1"/>
    <w:qFormat/>
    <w:uiPriority w:val="34"/>
    <w:pPr>
      <w:ind w:firstLine="420" w:firstLineChars="200"/>
    </w:pPr>
  </w:style>
  <w:style w:type="paragraph" w:customStyle="1" w:styleId="156">
    <w:name w:val="Style54"/>
    <w:basedOn w:val="1"/>
    <w:unhideWhenUsed/>
    <w:qFormat/>
    <w:uiPriority w:val="0"/>
  </w:style>
  <w:style w:type="paragraph" w:customStyle="1" w:styleId="157">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5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59">
    <w:name w:val="Style50"/>
    <w:basedOn w:val="1"/>
    <w:unhideWhenUsed/>
    <w:qFormat/>
    <w:uiPriority w:val="0"/>
  </w:style>
  <w:style w:type="paragraph" w:customStyle="1" w:styleId="160">
    <w:name w:val="Char Char1 Char Char Char Char Char1 Char Char Char Char"/>
    <w:basedOn w:val="15"/>
    <w:qFormat/>
    <w:uiPriority w:val="0"/>
    <w:rPr>
      <w:rFonts w:ascii="Tahoma" w:hAnsi="Tahoma"/>
    </w:rPr>
  </w:style>
  <w:style w:type="paragraph" w:customStyle="1" w:styleId="161">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Style21"/>
    <w:basedOn w:val="1"/>
    <w:unhideWhenUsed/>
    <w:qFormat/>
    <w:uiPriority w:val="0"/>
    <w:pPr>
      <w:spacing w:line="566" w:lineRule="exact"/>
      <w:ind w:firstLine="682"/>
    </w:pPr>
  </w:style>
  <w:style w:type="paragraph" w:customStyle="1" w:styleId="163">
    <w:name w:val="Style42"/>
    <w:basedOn w:val="1"/>
    <w:unhideWhenUsed/>
    <w:qFormat/>
    <w:uiPriority w:val="0"/>
    <w:pPr>
      <w:spacing w:line="542" w:lineRule="exact"/>
      <w:ind w:firstLine="547"/>
    </w:pPr>
  </w:style>
  <w:style w:type="paragraph" w:customStyle="1" w:styleId="164">
    <w:name w:val="Style34"/>
    <w:basedOn w:val="1"/>
    <w:unhideWhenUsed/>
    <w:qFormat/>
    <w:uiPriority w:val="0"/>
    <w:pPr>
      <w:spacing w:line="375" w:lineRule="exact"/>
    </w:pPr>
  </w:style>
  <w:style w:type="paragraph" w:customStyle="1" w:styleId="165">
    <w:name w:val="Style56"/>
    <w:basedOn w:val="1"/>
    <w:unhideWhenUsed/>
    <w:qFormat/>
    <w:uiPriority w:val="0"/>
  </w:style>
  <w:style w:type="paragraph" w:customStyle="1" w:styleId="166">
    <w:name w:val="Style9"/>
    <w:basedOn w:val="1"/>
    <w:unhideWhenUsed/>
    <w:qFormat/>
    <w:uiPriority w:val="0"/>
  </w:style>
  <w:style w:type="paragraph" w:customStyle="1" w:styleId="16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68">
    <w:name w:val="样式 标题 2 + 宋体 五号 行距: 单倍行距"/>
    <w:basedOn w:val="5"/>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169">
    <w:name w:val="Style48"/>
    <w:basedOn w:val="1"/>
    <w:unhideWhenUsed/>
    <w:qFormat/>
    <w:uiPriority w:val="0"/>
    <w:pPr>
      <w:spacing w:line="542" w:lineRule="exact"/>
      <w:jc w:val="right"/>
    </w:pPr>
  </w:style>
  <w:style w:type="paragraph" w:customStyle="1" w:styleId="170">
    <w:name w:val="Char Char1 Char Char Char Char Char Char Char"/>
    <w:basedOn w:val="1"/>
    <w:qFormat/>
    <w:uiPriority w:val="0"/>
    <w:pPr>
      <w:widowControl/>
      <w:spacing w:after="160" w:line="240" w:lineRule="exact"/>
      <w:jc w:val="left"/>
    </w:pPr>
  </w:style>
  <w:style w:type="paragraph" w:customStyle="1" w:styleId="171">
    <w:name w:val="Style26"/>
    <w:basedOn w:val="1"/>
    <w:unhideWhenUsed/>
    <w:qFormat/>
    <w:uiPriority w:val="0"/>
  </w:style>
  <w:style w:type="paragraph" w:customStyle="1" w:styleId="172">
    <w:name w:val="Style62"/>
    <w:basedOn w:val="1"/>
    <w:unhideWhenUsed/>
    <w:qFormat/>
    <w:uiPriority w:val="0"/>
  </w:style>
  <w:style w:type="paragraph" w:customStyle="1" w:styleId="173">
    <w:name w:val="Style76"/>
    <w:basedOn w:val="1"/>
    <w:unhideWhenUsed/>
    <w:qFormat/>
    <w:uiPriority w:val="0"/>
  </w:style>
  <w:style w:type="paragraph" w:customStyle="1" w:styleId="174">
    <w:name w:val="Style64"/>
    <w:basedOn w:val="1"/>
    <w:unhideWhenUsed/>
    <w:qFormat/>
    <w:uiPriority w:val="0"/>
  </w:style>
  <w:style w:type="paragraph" w:customStyle="1" w:styleId="175">
    <w:name w:val="Style16"/>
    <w:basedOn w:val="1"/>
    <w:unhideWhenUsed/>
    <w:qFormat/>
    <w:uiPriority w:val="0"/>
    <w:pPr>
      <w:jc w:val="right"/>
    </w:pPr>
  </w:style>
  <w:style w:type="paragraph" w:customStyle="1" w:styleId="176">
    <w:name w:val="1"/>
    <w:basedOn w:val="1"/>
    <w:qFormat/>
    <w:uiPriority w:val="0"/>
    <w:pPr>
      <w:spacing w:afterLines="50" w:line="360" w:lineRule="auto"/>
    </w:pPr>
    <w:rPr>
      <w:rFonts w:ascii="宋体" w:hAnsi="宋体"/>
      <w:b/>
      <w:sz w:val="30"/>
      <w:szCs w:val="21"/>
    </w:rPr>
  </w:style>
  <w:style w:type="paragraph" w:customStyle="1" w:styleId="177">
    <w:name w:val="Style60"/>
    <w:basedOn w:val="1"/>
    <w:unhideWhenUsed/>
    <w:qFormat/>
    <w:uiPriority w:val="0"/>
    <w:pPr>
      <w:spacing w:line="566" w:lineRule="exact"/>
    </w:pPr>
  </w:style>
  <w:style w:type="paragraph" w:customStyle="1" w:styleId="178">
    <w:name w:val="Style71"/>
    <w:basedOn w:val="1"/>
    <w:unhideWhenUsed/>
    <w:qFormat/>
    <w:uiPriority w:val="0"/>
    <w:pPr>
      <w:spacing w:line="538" w:lineRule="exact"/>
      <w:ind w:firstLine="101"/>
    </w:pPr>
  </w:style>
  <w:style w:type="paragraph" w:customStyle="1" w:styleId="179">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80">
    <w:name w:val="正文文本缩进 3 New New"/>
    <w:basedOn w:val="1"/>
    <w:qFormat/>
    <w:uiPriority w:val="0"/>
    <w:pPr>
      <w:spacing w:line="400" w:lineRule="exact"/>
      <w:ind w:left="2" w:leftChars="1"/>
    </w:pPr>
    <w:rPr>
      <w:rFonts w:ascii="宋体" w:hAnsi="宋体"/>
    </w:rPr>
  </w:style>
  <w:style w:type="paragraph" w:customStyle="1" w:styleId="181">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2">
    <w:name w:val="Style11"/>
    <w:basedOn w:val="1"/>
    <w:unhideWhenUsed/>
    <w:qFormat/>
    <w:uiPriority w:val="0"/>
    <w:pPr>
      <w:spacing w:line="559" w:lineRule="exact"/>
      <w:ind w:firstLine="590"/>
    </w:pPr>
  </w:style>
  <w:style w:type="paragraph" w:customStyle="1" w:styleId="183">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4">
    <w:name w:val="附录标识"/>
    <w:basedOn w:val="185"/>
    <w:qFormat/>
    <w:uiPriority w:val="0"/>
    <w:pPr>
      <w:tabs>
        <w:tab w:val="left" w:pos="360"/>
        <w:tab w:val="left" w:pos="720"/>
        <w:tab w:val="left" w:pos="6405"/>
      </w:tabs>
      <w:spacing w:after="200"/>
    </w:pPr>
    <w:rPr>
      <w:sz w:val="21"/>
    </w:rPr>
  </w:style>
  <w:style w:type="paragraph" w:customStyle="1" w:styleId="185">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186">
    <w:name w:val="默认段落字体 Para Char Char Char Char Char Char Char Char Char Char Char Char Char Char Char Char Char Char Char"/>
    <w:basedOn w:val="1"/>
    <w:qFormat/>
    <w:uiPriority w:val="0"/>
  </w:style>
  <w:style w:type="paragraph" w:customStyle="1" w:styleId="187">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8">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9">
    <w:name w:val="Style15"/>
    <w:basedOn w:val="1"/>
    <w:unhideWhenUsed/>
    <w:qFormat/>
    <w:uiPriority w:val="0"/>
    <w:pPr>
      <w:spacing w:line="557" w:lineRule="exact"/>
      <w:ind w:firstLine="672"/>
    </w:pPr>
  </w:style>
  <w:style w:type="paragraph" w:customStyle="1" w:styleId="190">
    <w:name w:val="Style8"/>
    <w:basedOn w:val="1"/>
    <w:unhideWhenUsed/>
    <w:qFormat/>
    <w:uiPriority w:val="0"/>
    <w:pPr>
      <w:spacing w:line="566" w:lineRule="exact"/>
      <w:jc w:val="center"/>
    </w:pPr>
  </w:style>
  <w:style w:type="paragraph" w:customStyle="1" w:styleId="191">
    <w:name w:val="Style13"/>
    <w:basedOn w:val="1"/>
    <w:unhideWhenUsed/>
    <w:qFormat/>
    <w:uiPriority w:val="0"/>
  </w:style>
  <w:style w:type="paragraph" w:customStyle="1" w:styleId="192">
    <w:name w:val="Style52"/>
    <w:basedOn w:val="1"/>
    <w:unhideWhenUsed/>
    <w:qFormat/>
    <w:uiPriority w:val="0"/>
    <w:pPr>
      <w:spacing w:line="682" w:lineRule="exact"/>
      <w:ind w:firstLine="557"/>
    </w:pPr>
  </w:style>
  <w:style w:type="paragraph" w:customStyle="1" w:styleId="193">
    <w:name w:val="Style28"/>
    <w:basedOn w:val="1"/>
    <w:unhideWhenUsed/>
    <w:qFormat/>
    <w:uiPriority w:val="0"/>
    <w:pPr>
      <w:spacing w:line="552" w:lineRule="exact"/>
      <w:ind w:firstLine="547"/>
    </w:pPr>
  </w:style>
  <w:style w:type="paragraph" w:customStyle="1" w:styleId="194">
    <w:name w:val="Style27"/>
    <w:basedOn w:val="1"/>
    <w:unhideWhenUsed/>
    <w:qFormat/>
    <w:uiPriority w:val="0"/>
  </w:style>
  <w:style w:type="paragraph" w:customStyle="1" w:styleId="195">
    <w:name w:val="Style70"/>
    <w:basedOn w:val="1"/>
    <w:unhideWhenUsed/>
    <w:qFormat/>
    <w:uiPriority w:val="0"/>
    <w:pPr>
      <w:spacing w:line="549" w:lineRule="exact"/>
      <w:ind w:firstLine="686"/>
    </w:pPr>
  </w:style>
  <w:style w:type="paragraph" w:customStyle="1" w:styleId="196">
    <w:name w:val="表格内容"/>
    <w:basedOn w:val="2"/>
    <w:qFormat/>
    <w:uiPriority w:val="0"/>
    <w:pPr>
      <w:suppressLineNumbers/>
      <w:suppressAutoHyphens/>
      <w:jc w:val="left"/>
    </w:pPr>
    <w:rPr>
      <w:rFonts w:cs="Tahoma"/>
      <w:kern w:val="0"/>
      <w:sz w:val="24"/>
    </w:rPr>
  </w:style>
  <w:style w:type="paragraph" w:customStyle="1" w:styleId="197">
    <w:name w:val="Style23"/>
    <w:basedOn w:val="1"/>
    <w:unhideWhenUsed/>
    <w:qFormat/>
    <w:uiPriority w:val="0"/>
  </w:style>
  <w:style w:type="paragraph" w:customStyle="1" w:styleId="198">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Char1 Char Char Char 字元 Char Char 字元 Char 字元 Char1 Char Char Char"/>
    <w:basedOn w:val="1"/>
    <w:qFormat/>
    <w:uiPriority w:val="0"/>
    <w:rPr>
      <w:szCs w:val="20"/>
    </w:rPr>
  </w:style>
  <w:style w:type="paragraph" w:customStyle="1" w:styleId="200">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201">
    <w:name w:val="Style58"/>
    <w:basedOn w:val="1"/>
    <w:unhideWhenUsed/>
    <w:qFormat/>
    <w:uiPriority w:val="0"/>
    <w:pPr>
      <w:spacing w:line="413" w:lineRule="exact"/>
    </w:pPr>
  </w:style>
  <w:style w:type="paragraph" w:customStyle="1" w:styleId="202">
    <w:name w:val="Style36"/>
    <w:basedOn w:val="1"/>
    <w:unhideWhenUsed/>
    <w:qFormat/>
    <w:uiPriority w:val="0"/>
  </w:style>
  <w:style w:type="paragraph" w:customStyle="1" w:styleId="203">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04">
    <w:name w:val="Style81"/>
    <w:basedOn w:val="1"/>
    <w:unhideWhenUsed/>
    <w:qFormat/>
    <w:uiPriority w:val="0"/>
    <w:pPr>
      <w:spacing w:line="547" w:lineRule="exact"/>
    </w:pPr>
  </w:style>
  <w:style w:type="paragraph" w:customStyle="1" w:styleId="205">
    <w:name w:val="Style72"/>
    <w:basedOn w:val="1"/>
    <w:unhideWhenUsed/>
    <w:qFormat/>
    <w:uiPriority w:val="0"/>
  </w:style>
  <w:style w:type="paragraph" w:customStyle="1" w:styleId="206">
    <w:name w:val="Style4"/>
    <w:basedOn w:val="1"/>
    <w:unhideWhenUsed/>
    <w:qFormat/>
    <w:uiPriority w:val="0"/>
  </w:style>
  <w:style w:type="paragraph" w:customStyle="1" w:styleId="207">
    <w:name w:val="Style74"/>
    <w:basedOn w:val="1"/>
    <w:unhideWhenUsed/>
    <w:qFormat/>
    <w:uiPriority w:val="0"/>
    <w:pPr>
      <w:spacing w:line="437" w:lineRule="exact"/>
    </w:pPr>
  </w:style>
  <w:style w:type="paragraph" w:customStyle="1" w:styleId="208">
    <w:name w:val="Style78"/>
    <w:basedOn w:val="1"/>
    <w:unhideWhenUsed/>
    <w:qFormat/>
    <w:uiPriority w:val="0"/>
  </w:style>
  <w:style w:type="paragraph" w:customStyle="1" w:styleId="209">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210">
    <w:name w:val="Style45"/>
    <w:basedOn w:val="1"/>
    <w:unhideWhenUsed/>
    <w:qFormat/>
    <w:uiPriority w:val="0"/>
  </w:style>
  <w:style w:type="paragraph" w:customStyle="1" w:styleId="211">
    <w:name w:val="Style24"/>
    <w:basedOn w:val="1"/>
    <w:unhideWhenUsed/>
    <w:qFormat/>
    <w:uiPriority w:val="0"/>
  </w:style>
  <w:style w:type="paragraph" w:customStyle="1" w:styleId="212">
    <w:name w:val="Style41"/>
    <w:basedOn w:val="1"/>
    <w:unhideWhenUsed/>
    <w:qFormat/>
    <w:uiPriority w:val="0"/>
    <w:pPr>
      <w:spacing w:line="542" w:lineRule="exact"/>
      <w:ind w:firstLine="125"/>
    </w:pPr>
  </w:style>
  <w:style w:type="paragraph" w:customStyle="1" w:styleId="213">
    <w:name w:val="Style10"/>
    <w:basedOn w:val="1"/>
    <w:unhideWhenUsed/>
    <w:qFormat/>
    <w:uiPriority w:val="0"/>
    <w:pPr>
      <w:spacing w:line="538" w:lineRule="exact"/>
    </w:pPr>
  </w:style>
  <w:style w:type="paragraph" w:customStyle="1" w:styleId="214">
    <w:name w:val="Char1 Char Char Char Char Char Char Char Char Char"/>
    <w:basedOn w:val="1"/>
    <w:qFormat/>
    <w:uiPriority w:val="0"/>
    <w:rPr>
      <w:szCs w:val="20"/>
    </w:rPr>
  </w:style>
  <w:style w:type="paragraph" w:customStyle="1" w:styleId="215">
    <w:name w:val="修订1"/>
    <w:qFormat/>
    <w:uiPriority w:val="0"/>
    <w:rPr>
      <w:rFonts w:ascii="Times New Roman" w:hAnsi="Times New Roman" w:eastAsia="宋体" w:cs="Times New Roman"/>
      <w:kern w:val="2"/>
      <w:sz w:val="21"/>
      <w:szCs w:val="24"/>
      <w:lang w:val="en-US" w:eastAsia="zh-CN" w:bidi="ar-SA"/>
    </w:rPr>
  </w:style>
  <w:style w:type="paragraph" w:customStyle="1" w:styleId="216">
    <w:name w:val="Style63"/>
    <w:basedOn w:val="1"/>
    <w:unhideWhenUsed/>
    <w:qFormat/>
    <w:uiPriority w:val="0"/>
    <w:pPr>
      <w:spacing w:line="564" w:lineRule="exact"/>
      <w:ind w:firstLine="682"/>
    </w:pPr>
  </w:style>
  <w:style w:type="paragraph" w:customStyle="1" w:styleId="217">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18">
    <w:name w:val="Style77"/>
    <w:basedOn w:val="1"/>
    <w:unhideWhenUsed/>
    <w:qFormat/>
    <w:uiPriority w:val="0"/>
  </w:style>
  <w:style w:type="paragraph" w:customStyle="1" w:styleId="219">
    <w:name w:val="Char Char1 Char Char Char"/>
    <w:basedOn w:val="1"/>
    <w:qFormat/>
    <w:uiPriority w:val="0"/>
    <w:rPr>
      <w:kern w:val="0"/>
      <w:sz w:val="20"/>
      <w:szCs w:val="20"/>
    </w:rPr>
  </w:style>
  <w:style w:type="paragraph" w:customStyle="1" w:styleId="220">
    <w:name w:val="列出段落2"/>
    <w:basedOn w:val="1"/>
    <w:qFormat/>
    <w:uiPriority w:val="0"/>
    <w:pPr>
      <w:ind w:firstLine="420" w:firstLineChars="200"/>
    </w:pPr>
    <w:rPr>
      <w:rFonts w:ascii="Calibri" w:hAnsi="Calibri" w:cs="Calibri"/>
      <w:szCs w:val="21"/>
    </w:rPr>
  </w:style>
  <w:style w:type="paragraph" w:customStyle="1" w:styleId="221">
    <w:name w:val="Style59"/>
    <w:basedOn w:val="1"/>
    <w:unhideWhenUsed/>
    <w:qFormat/>
    <w:uiPriority w:val="0"/>
  </w:style>
  <w:style w:type="paragraph" w:customStyle="1" w:styleId="222">
    <w:name w:val="Style73"/>
    <w:basedOn w:val="1"/>
    <w:unhideWhenUsed/>
    <w:qFormat/>
    <w:uiPriority w:val="0"/>
    <w:pPr>
      <w:spacing w:line="538" w:lineRule="exact"/>
      <w:ind w:firstLine="533"/>
    </w:pPr>
  </w:style>
  <w:style w:type="paragraph" w:customStyle="1" w:styleId="223">
    <w:name w:val="列出段落3"/>
    <w:basedOn w:val="1"/>
    <w:qFormat/>
    <w:uiPriority w:val="34"/>
    <w:pPr>
      <w:ind w:firstLine="420" w:firstLineChars="200"/>
    </w:pPr>
    <w:rPr>
      <w:rFonts w:ascii="Calibri" w:hAnsi="Calibri"/>
      <w:szCs w:val="22"/>
    </w:rPr>
  </w:style>
  <w:style w:type="paragraph" w:customStyle="1" w:styleId="224">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25">
    <w:name w:val="Style44"/>
    <w:basedOn w:val="1"/>
    <w:unhideWhenUsed/>
    <w:qFormat/>
    <w:uiPriority w:val="0"/>
  </w:style>
  <w:style w:type="paragraph" w:customStyle="1" w:styleId="226">
    <w:name w:val="Style5"/>
    <w:basedOn w:val="1"/>
    <w:unhideWhenUsed/>
    <w:qFormat/>
    <w:uiPriority w:val="0"/>
  </w:style>
  <w:style w:type="paragraph" w:customStyle="1" w:styleId="227">
    <w:name w:val="Char Char Char"/>
    <w:basedOn w:val="1"/>
    <w:qFormat/>
    <w:uiPriority w:val="0"/>
    <w:rPr>
      <w:rFonts w:ascii="宋体" w:hAnsi="宋体"/>
      <w:b/>
      <w:sz w:val="28"/>
      <w:szCs w:val="28"/>
    </w:rPr>
  </w:style>
  <w:style w:type="paragraph" w:customStyle="1" w:styleId="228">
    <w:name w:val="Style46"/>
    <w:basedOn w:val="1"/>
    <w:unhideWhenUsed/>
    <w:qFormat/>
    <w:uiPriority w:val="0"/>
    <w:pPr>
      <w:spacing w:line="672" w:lineRule="exact"/>
    </w:pPr>
  </w:style>
  <w:style w:type="paragraph" w:customStyle="1" w:styleId="229">
    <w:name w:val="Style29"/>
    <w:basedOn w:val="1"/>
    <w:unhideWhenUsed/>
    <w:qFormat/>
    <w:uiPriority w:val="0"/>
    <w:pPr>
      <w:spacing w:line="547" w:lineRule="exact"/>
      <w:ind w:firstLine="547"/>
    </w:pPr>
  </w:style>
  <w:style w:type="paragraph" w:customStyle="1" w:styleId="230">
    <w:name w:val="Char1 Char Char Char"/>
    <w:basedOn w:val="1"/>
    <w:qFormat/>
    <w:uiPriority w:val="0"/>
    <w:pPr>
      <w:widowControl/>
      <w:spacing w:after="160" w:line="240" w:lineRule="exact"/>
      <w:jc w:val="left"/>
    </w:pPr>
    <w:rPr>
      <w:kern w:val="0"/>
      <w:sz w:val="24"/>
      <w:szCs w:val="20"/>
    </w:rPr>
  </w:style>
  <w:style w:type="paragraph" w:customStyle="1" w:styleId="231">
    <w:name w:val="Style47"/>
    <w:basedOn w:val="1"/>
    <w:unhideWhenUsed/>
    <w:qFormat/>
    <w:uiPriority w:val="0"/>
  </w:style>
  <w:style w:type="paragraph" w:customStyle="1" w:styleId="232">
    <w:name w:val="Style80"/>
    <w:basedOn w:val="1"/>
    <w:unhideWhenUsed/>
    <w:qFormat/>
    <w:uiPriority w:val="0"/>
  </w:style>
  <w:style w:type="paragraph" w:customStyle="1" w:styleId="233">
    <w:name w:val="Style67"/>
    <w:basedOn w:val="1"/>
    <w:unhideWhenUsed/>
    <w:qFormat/>
    <w:uiPriority w:val="0"/>
    <w:pPr>
      <w:spacing w:line="566" w:lineRule="exact"/>
      <w:ind w:firstLine="552"/>
    </w:pPr>
  </w:style>
  <w:style w:type="paragraph" w:customStyle="1" w:styleId="234">
    <w:name w:val="Style53"/>
    <w:basedOn w:val="1"/>
    <w:unhideWhenUsed/>
    <w:qFormat/>
    <w:uiPriority w:val="0"/>
    <w:pPr>
      <w:spacing w:line="533" w:lineRule="exact"/>
      <w:ind w:firstLine="581"/>
    </w:pPr>
  </w:style>
  <w:style w:type="paragraph" w:customStyle="1" w:styleId="235">
    <w:name w:val="标题3"/>
    <w:basedOn w:val="4"/>
    <w:qFormat/>
    <w:uiPriority w:val="0"/>
    <w:pPr>
      <w:spacing w:beforeLines="50" w:afterLines="50" w:line="400" w:lineRule="exact"/>
      <w:jc w:val="both"/>
    </w:pPr>
    <w:rPr>
      <w:rFonts w:ascii="宋体" w:hAnsi="宋体"/>
      <w:kern w:val="32"/>
      <w:szCs w:val="32"/>
    </w:rPr>
  </w:style>
  <w:style w:type="paragraph" w:customStyle="1" w:styleId="236">
    <w:name w:val="1 Char Char Char Char"/>
    <w:basedOn w:val="1"/>
    <w:qFormat/>
    <w:uiPriority w:val="0"/>
  </w:style>
  <w:style w:type="paragraph" w:customStyle="1" w:styleId="237">
    <w:name w:val="Style65"/>
    <w:basedOn w:val="1"/>
    <w:unhideWhenUsed/>
    <w:qFormat/>
    <w:uiPriority w:val="0"/>
  </w:style>
  <w:style w:type="paragraph" w:customStyle="1" w:styleId="238">
    <w:name w:val="NO3"/>
    <w:basedOn w:val="1"/>
    <w:qFormat/>
    <w:uiPriority w:val="0"/>
    <w:pPr>
      <w:tabs>
        <w:tab w:val="left" w:pos="907"/>
      </w:tabs>
      <w:spacing w:line="360" w:lineRule="auto"/>
    </w:pPr>
    <w:rPr>
      <w:rFonts w:ascii="宋体" w:hAnsi="宋体"/>
      <w:sz w:val="24"/>
    </w:rPr>
  </w:style>
  <w:style w:type="paragraph" w:customStyle="1" w:styleId="239">
    <w:name w:val="_Style 39"/>
    <w:basedOn w:val="198"/>
    <w:qFormat/>
    <w:uiPriority w:val="0"/>
  </w:style>
  <w:style w:type="paragraph" w:customStyle="1" w:styleId="240">
    <w:name w:val="Char2"/>
    <w:basedOn w:val="1"/>
    <w:qFormat/>
    <w:uiPriority w:val="0"/>
    <w:pPr>
      <w:tabs>
        <w:tab w:val="left" w:pos="360"/>
      </w:tabs>
      <w:ind w:left="360" w:hanging="360" w:hangingChars="200"/>
    </w:pPr>
    <w:rPr>
      <w:sz w:val="24"/>
    </w:rPr>
  </w:style>
  <w:style w:type="paragraph" w:customStyle="1" w:styleId="241">
    <w:name w:val="p16"/>
    <w:basedOn w:val="1"/>
    <w:qFormat/>
    <w:uiPriority w:val="0"/>
    <w:pPr>
      <w:widowControl/>
      <w:jc w:val="left"/>
    </w:pPr>
    <w:rPr>
      <w:kern w:val="0"/>
      <w:szCs w:val="21"/>
    </w:rPr>
  </w:style>
  <w:style w:type="paragraph" w:customStyle="1" w:styleId="24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43">
    <w:name w:val="样式 标题 2 + Times New Roman 四号 非加粗 段前: 5 磅 段后: 0 磅 行距: 固定值 20..."/>
    <w:basedOn w:val="5"/>
    <w:qFormat/>
    <w:uiPriority w:val="0"/>
    <w:pPr>
      <w:spacing w:before="100" w:line="400" w:lineRule="exact"/>
    </w:pPr>
    <w:rPr>
      <w:rFonts w:ascii="Times New Roman" w:hAnsi="Times New Roman" w:eastAsia="黑体"/>
      <w:b w:val="0"/>
      <w:bCs w:val="0"/>
      <w:sz w:val="28"/>
      <w:szCs w:val="20"/>
    </w:rPr>
  </w:style>
  <w:style w:type="paragraph" w:customStyle="1" w:styleId="244">
    <w:name w:val="Style69"/>
    <w:basedOn w:val="1"/>
    <w:unhideWhenUsed/>
    <w:qFormat/>
    <w:uiPriority w:val="0"/>
    <w:pPr>
      <w:spacing w:line="557" w:lineRule="exact"/>
      <w:ind w:firstLine="1666"/>
    </w:pPr>
  </w:style>
  <w:style w:type="paragraph" w:customStyle="1" w:styleId="245">
    <w:name w:val="Style12"/>
    <w:basedOn w:val="1"/>
    <w:unhideWhenUsed/>
    <w:qFormat/>
    <w:uiPriority w:val="0"/>
    <w:pPr>
      <w:spacing w:line="564" w:lineRule="exact"/>
      <w:ind w:hanging="115"/>
    </w:pPr>
  </w:style>
  <w:style w:type="paragraph" w:customStyle="1" w:styleId="246">
    <w:name w:val="Style61"/>
    <w:basedOn w:val="1"/>
    <w:unhideWhenUsed/>
    <w:qFormat/>
    <w:uiPriority w:val="0"/>
  </w:style>
  <w:style w:type="paragraph" w:customStyle="1" w:styleId="247">
    <w:name w:val="标题2"/>
    <w:basedOn w:val="43"/>
    <w:qFormat/>
    <w:uiPriority w:val="0"/>
    <w:pPr>
      <w:spacing w:after="240"/>
      <w:jc w:val="left"/>
    </w:pPr>
    <w:rPr>
      <w:sz w:val="30"/>
    </w:rPr>
  </w:style>
  <w:style w:type="paragraph" w:customStyle="1" w:styleId="248">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49">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50">
    <w:name w:val="Style68"/>
    <w:basedOn w:val="1"/>
    <w:unhideWhenUsed/>
    <w:qFormat/>
    <w:uiPriority w:val="0"/>
    <w:pPr>
      <w:spacing w:line="547" w:lineRule="exact"/>
    </w:pPr>
  </w:style>
  <w:style w:type="paragraph" w:customStyle="1" w:styleId="251">
    <w:name w:val="标题 1 +"/>
    <w:basedOn w:val="4"/>
    <w:next w:val="1"/>
    <w:qFormat/>
    <w:uiPriority w:val="0"/>
    <w:pPr>
      <w:keepLines/>
      <w:spacing w:line="600" w:lineRule="auto"/>
    </w:pPr>
    <w:rPr>
      <w:rFonts w:eastAsia="黑体"/>
      <w:kern w:val="0"/>
      <w:sz w:val="32"/>
      <w:szCs w:val="32"/>
    </w:rPr>
  </w:style>
  <w:style w:type="character" w:customStyle="1" w:styleId="252">
    <w:name w:val="纯文本 Char1"/>
    <w:semiHidden/>
    <w:qFormat/>
    <w:locked/>
    <w:uiPriority w:val="0"/>
    <w:rPr>
      <w:rFonts w:ascii="宋体" w:hAnsi="Courier New" w:eastAsia="宋体" w:cs="Courier New"/>
      <w:kern w:val="2"/>
      <w:sz w:val="21"/>
      <w:szCs w:val="21"/>
      <w:lang w:val="en-US" w:eastAsia="zh-CN" w:bidi="ar-SA"/>
    </w:rPr>
  </w:style>
  <w:style w:type="character" w:customStyle="1" w:styleId="253">
    <w:name w:val="font112"/>
    <w:basedOn w:val="47"/>
    <w:qFormat/>
    <w:uiPriority w:val="0"/>
    <w:rPr>
      <w:rFonts w:hint="default" w:ascii="Times New Roman" w:hAnsi="Times New Roman" w:cs="Times New Roman"/>
      <w:i/>
      <w:color w:val="000000"/>
      <w:sz w:val="20"/>
      <w:szCs w:val="20"/>
      <w:u w:val="none"/>
    </w:rPr>
  </w:style>
  <w:style w:type="character" w:customStyle="1" w:styleId="254">
    <w:name w:val="font101"/>
    <w:basedOn w:val="47"/>
    <w:qFormat/>
    <w:uiPriority w:val="0"/>
    <w:rPr>
      <w:rFonts w:hint="default" w:ascii="Times New Roman" w:hAnsi="Times New Roman" w:cs="Times New Roman"/>
      <w:color w:val="000000"/>
      <w:sz w:val="20"/>
      <w:szCs w:val="20"/>
      <w:u w:val="none"/>
    </w:rPr>
  </w:style>
  <w:style w:type="character" w:customStyle="1" w:styleId="255">
    <w:name w:val="font91"/>
    <w:basedOn w:val="47"/>
    <w:qFormat/>
    <w:uiPriority w:val="0"/>
    <w:rPr>
      <w:rFonts w:hint="eastAsia" w:ascii="宋体" w:hAnsi="宋体" w:eastAsia="宋体" w:cs="宋体"/>
      <w:color w:val="000000"/>
      <w:sz w:val="20"/>
      <w:szCs w:val="20"/>
      <w:u w:val="none"/>
    </w:rPr>
  </w:style>
  <w:style w:type="character" w:customStyle="1" w:styleId="256">
    <w:name w:val="l-btn-left"/>
    <w:basedOn w:val="47"/>
    <w:qFormat/>
    <w:uiPriority w:val="0"/>
  </w:style>
  <w:style w:type="character" w:customStyle="1" w:styleId="257">
    <w:name w:val="l-btn-left1"/>
    <w:basedOn w:val="47"/>
    <w:qFormat/>
    <w:uiPriority w:val="0"/>
  </w:style>
  <w:style w:type="character" w:customStyle="1" w:styleId="258">
    <w:name w:val="l-btn-left2"/>
    <w:basedOn w:val="47"/>
    <w:qFormat/>
    <w:uiPriority w:val="0"/>
  </w:style>
  <w:style w:type="character" w:customStyle="1" w:styleId="259">
    <w:name w:val="l-btn-left3"/>
    <w:basedOn w:val="47"/>
    <w:qFormat/>
    <w:uiPriority w:val="0"/>
  </w:style>
  <w:style w:type="character" w:customStyle="1" w:styleId="260">
    <w:name w:val="l-btn-text"/>
    <w:basedOn w:val="47"/>
    <w:qFormat/>
    <w:uiPriority w:val="0"/>
    <w:rPr>
      <w:sz w:val="18"/>
      <w:szCs w:val="18"/>
      <w:vertAlign w:val="baseline"/>
    </w:rPr>
  </w:style>
  <w:style w:type="character" w:customStyle="1" w:styleId="261">
    <w:name w:val="l-btn-icon-left"/>
    <w:basedOn w:val="47"/>
    <w:qFormat/>
    <w:uiPriority w:val="0"/>
  </w:style>
  <w:style w:type="character" w:customStyle="1" w:styleId="262">
    <w:name w:val="l-btn-icon-right"/>
    <w:basedOn w:val="47"/>
    <w:qFormat/>
    <w:uiPriority w:val="0"/>
  </w:style>
  <w:style w:type="character" w:customStyle="1" w:styleId="263">
    <w:name w:val="l-btn-empty"/>
    <w:basedOn w:val="47"/>
    <w:qFormat/>
    <w:uiPriority w:val="0"/>
  </w:style>
  <w:style w:type="character" w:customStyle="1" w:styleId="264">
    <w:name w:val="resizedivclass"/>
    <w:basedOn w:val="47"/>
    <w:qFormat/>
    <w:uiPriority w:val="0"/>
  </w:style>
  <w:style w:type="character" w:customStyle="1" w:styleId="265">
    <w:name w:val="no-border"/>
    <w:basedOn w:val="47"/>
    <w:qFormat/>
    <w:uiPriority w:val="0"/>
  </w:style>
  <w:style w:type="character" w:customStyle="1" w:styleId="266">
    <w:name w:val="textlabel"/>
    <w:basedOn w:val="47"/>
    <w:qFormat/>
    <w:uiPriority w:val="0"/>
  </w:style>
  <w:style w:type="character" w:customStyle="1" w:styleId="267">
    <w:name w:val="textcontent"/>
    <w:basedOn w:val="47"/>
    <w:qFormat/>
    <w:uiPriority w:val="0"/>
  </w:style>
  <w:style w:type="character" w:customStyle="1" w:styleId="268">
    <w:name w:val="must"/>
    <w:basedOn w:val="47"/>
    <w:qFormat/>
    <w:uiPriority w:val="0"/>
    <w:rPr>
      <w:color w:val="FF0000"/>
    </w:rPr>
  </w:style>
  <w:style w:type="character" w:customStyle="1" w:styleId="269">
    <w:name w:val="tablecontent2"/>
    <w:basedOn w:val="47"/>
    <w:qFormat/>
    <w:uiPriority w:val="0"/>
    <w:rPr>
      <w:shd w:val="clear" w:color="auto" w:fill="FFFFFF"/>
    </w:rPr>
  </w:style>
  <w:style w:type="character" w:customStyle="1" w:styleId="270">
    <w:name w:val="header-ico"/>
    <w:basedOn w:val="47"/>
    <w:qFormat/>
    <w:uiPriority w:val="0"/>
    <w:rPr>
      <w:sz w:val="21"/>
      <w:szCs w:val="21"/>
    </w:rPr>
  </w:style>
  <w:style w:type="paragraph" w:customStyle="1" w:styleId="271">
    <w:name w:val="样式2"/>
    <w:basedOn w:val="1"/>
    <w:next w:val="1"/>
    <w:qFormat/>
    <w:uiPriority w:val="0"/>
  </w:style>
  <w:style w:type="paragraph" w:customStyle="1" w:styleId="272">
    <w:name w:val="WPSOffice手动目录 1"/>
    <w:qFormat/>
    <w:uiPriority w:val="0"/>
    <w:rPr>
      <w:rFonts w:ascii="Times New Roman" w:hAnsi="Times New Roman" w:eastAsia="宋体" w:cs="Times New Roman"/>
      <w:lang w:val="en-US" w:eastAsia="zh-CN" w:bidi="ar-SA"/>
    </w:rPr>
  </w:style>
  <w:style w:type="paragraph" w:customStyle="1" w:styleId="273">
    <w:name w:val="WPSOffice手动目录 2"/>
    <w:qFormat/>
    <w:uiPriority w:val="0"/>
    <w:pPr>
      <w:ind w:left="200" w:leftChars="200"/>
    </w:pPr>
    <w:rPr>
      <w:rFonts w:ascii="Calibri" w:hAnsi="Calibri" w:eastAsia="宋体" w:cs="Times New Roman"/>
      <w:lang w:val="en-US" w:eastAsia="zh-CN" w:bidi="ar-SA"/>
    </w:rPr>
  </w:style>
  <w:style w:type="character" w:customStyle="1" w:styleId="274">
    <w:name w:val="wx-space"/>
    <w:basedOn w:val="47"/>
    <w:qFormat/>
    <w:uiPriority w:val="0"/>
  </w:style>
  <w:style w:type="character" w:customStyle="1" w:styleId="275">
    <w:name w:val="wx-space1"/>
    <w:basedOn w:val="47"/>
    <w:qFormat/>
    <w:uiPriority w:val="0"/>
  </w:style>
  <w:style w:type="character" w:customStyle="1" w:styleId="276">
    <w:name w:val="hover6"/>
    <w:basedOn w:val="47"/>
    <w:qFormat/>
    <w:uiPriority w:val="0"/>
    <w:rPr>
      <w:color w:val="000000"/>
      <w:shd w:val="clear" w:color="auto" w:fill="FFFFFF"/>
    </w:rPr>
  </w:style>
  <w:style w:type="character" w:customStyle="1" w:styleId="277">
    <w:name w:val="hover5"/>
    <w:basedOn w:val="47"/>
    <w:qFormat/>
    <w:uiPriority w:val="0"/>
    <w:rPr>
      <w:color w:val="000000"/>
      <w:shd w:val="clear" w:color="auto" w:fill="FFFFFF"/>
    </w:rPr>
  </w:style>
  <w:style w:type="character" w:customStyle="1" w:styleId="278">
    <w:name w:val="15"/>
    <w:basedOn w:val="47"/>
    <w:qFormat/>
    <w:uiPriority w:val="0"/>
    <w:rPr>
      <w:rFonts w:hint="default" w:ascii="Times New Roman" w:hAnsi="Times New Roman" w:cs="Times New Roman"/>
      <w:color w:val="0563C1"/>
      <w:sz w:val="20"/>
      <w:szCs w:val="20"/>
      <w:u w:val="single"/>
    </w:rPr>
  </w:style>
  <w:style w:type="paragraph" w:customStyle="1" w:styleId="279">
    <w:name w:val="Normal_0"/>
    <w:qFormat/>
    <w:uiPriority w:val="0"/>
    <w:rPr>
      <w:rFonts w:ascii="Times New Roman" w:hAnsi="Times New Roman" w:eastAsia="Times New Roman" w:cs="Times New Roman"/>
      <w:sz w:val="24"/>
      <w:szCs w:val="24"/>
      <w:lang w:val="en-US" w:eastAsia="zh-CN" w:bidi="ar-SA"/>
    </w:rPr>
  </w:style>
  <w:style w:type="paragraph" w:customStyle="1" w:styleId="280">
    <w:name w:val="首行缩进"/>
    <w:basedOn w:val="1"/>
    <w:qFormat/>
    <w:uiPriority w:val="0"/>
    <w:pPr>
      <w:ind w:firstLine="720"/>
      <w:jc w:val="left"/>
    </w:pPr>
    <w:rPr>
      <w:sz w:val="24"/>
    </w:rPr>
  </w:style>
  <w:style w:type="paragraph" w:customStyle="1" w:styleId="281">
    <w:name w:val="Normal_39"/>
    <w:qFormat/>
    <w:uiPriority w:val="0"/>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wmf"/><Relationship Id="rId12" Type="http://schemas.openxmlformats.org/officeDocument/2006/relationships/image" Target="media/image2.wmf"/><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55</Pages>
  <Words>6669</Words>
  <Characters>7326</Characters>
  <Lines>37</Lines>
  <Paragraphs>60</Paragraphs>
  <TotalTime>8</TotalTime>
  <ScaleCrop>false</ScaleCrop>
  <LinksUpToDate>false</LinksUpToDate>
  <CharactersWithSpaces>7537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2019-02-22T03:27:00Z</dcterms:created>
  <dc:creator>admin</dc:creator>
  <cp:lastModifiedBy>Administrator</cp:lastModifiedBy>
  <cp:lastPrinted>2025-12-22T04:18:00Z</cp:lastPrinted>
  <dcterms:modified xsi:type="dcterms:W3CDTF">2026-07-07T03:19:53Z</dcterms:modified>
  <dc:title>附件十一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1113367568284EF9B467F6EA6AD197E1</vt:lpwstr>
  </property>
  <property fmtid="{D5CDD505-2E9C-101B-9397-08002B2CF9AE}" pid="4" name="commondata">
    <vt:lpwstr>eyJoZGlkIjoiMDgyMjU5MzI3NTdlNGRjZmJmYjYzNjg5YjEyN2Y0NzIifQ==</vt:lpwstr>
  </property>
  <property fmtid="{D5CDD505-2E9C-101B-9397-08002B2CF9AE}" pid="5" name="KSOTemplateDocerSaveRecord">
    <vt:lpwstr>eyJoZGlkIjoiMTA3OGVkNjc4ZWExYTA1MmZkZDkwYjJlM2RkODE5YjUiLCJ1c2VySWQiOiI0MzI5OTUwMDEifQ==</vt:lpwstr>
  </property>
</Properties>
</file>