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DB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bookmarkStart w:id="0" w:name="_Toc20384570"/>
      <w:r>
        <w:rPr>
          <w:rFonts w:hint="eastAsia" w:ascii="仿宋" w:hAnsi="仿宋" w:eastAsia="仿宋" w:cs="仿宋"/>
          <w:i w:val="0"/>
          <w:iCs w:val="0"/>
          <w:caps w:val="0"/>
          <w:color w:val="000000"/>
          <w:spacing w:val="0"/>
          <w:kern w:val="0"/>
          <w:sz w:val="27"/>
          <w:szCs w:val="27"/>
          <w:u w:val="none"/>
          <w:lang w:val="en-US" w:eastAsia="zh-CN" w:bidi="ar"/>
        </w:rPr>
        <w:t>附件1</w:t>
      </w:r>
      <w:bookmarkEnd w:id="0"/>
    </w:p>
    <w:p w14:paraId="5B6E0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政府采购项目</w:t>
      </w:r>
    </w:p>
    <w:p w14:paraId="2BA4CD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采 购 需 求</w:t>
      </w:r>
    </w:p>
    <w:p w14:paraId="2A61EC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 </w:t>
      </w:r>
    </w:p>
    <w:p w14:paraId="0045D8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项目名称：</w:t>
      </w:r>
      <w:r>
        <w:rPr>
          <w:rFonts w:hint="eastAsia" w:ascii="仿宋" w:hAnsi="仿宋" w:eastAsia="仿宋" w:cs="仿宋"/>
          <w:i w:val="0"/>
          <w:iCs w:val="0"/>
          <w:caps w:val="0"/>
          <w:color w:val="000000"/>
          <w:spacing w:val="0"/>
          <w:kern w:val="0"/>
          <w:sz w:val="27"/>
          <w:szCs w:val="27"/>
          <w:u w:val="single"/>
          <w:lang w:val="en-US" w:eastAsia="zh-CN" w:bidi="ar"/>
        </w:rPr>
        <w:t>涟源市不动产登记信息“一库一平台”建设项目</w:t>
      </w:r>
    </w:p>
    <w:p w14:paraId="3EAAA0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采购单位： </w:t>
      </w:r>
      <w:r>
        <w:rPr>
          <w:rFonts w:hint="eastAsia" w:ascii="仿宋" w:hAnsi="仿宋" w:eastAsia="仿宋" w:cs="仿宋"/>
          <w:i w:val="0"/>
          <w:iCs w:val="0"/>
          <w:caps w:val="0"/>
          <w:color w:val="000000"/>
          <w:spacing w:val="0"/>
          <w:kern w:val="0"/>
          <w:sz w:val="27"/>
          <w:szCs w:val="27"/>
          <w:u w:val="single"/>
          <w:lang w:val="en-US" w:eastAsia="zh-CN" w:bidi="ar"/>
        </w:rPr>
        <w:t> 涟源市自然资源局</w:t>
      </w:r>
      <w:r>
        <w:rPr>
          <w:rFonts w:hint="eastAsia" w:ascii="仿宋" w:hAnsi="仿宋" w:eastAsia="仿宋" w:cs="仿宋"/>
          <w:i w:val="0"/>
          <w:iCs w:val="0"/>
          <w:caps w:val="0"/>
          <w:color w:val="000000"/>
          <w:spacing w:val="0"/>
          <w:kern w:val="0"/>
          <w:sz w:val="27"/>
          <w:szCs w:val="27"/>
          <w:lang w:val="en-US" w:eastAsia="zh-CN" w:bidi="ar"/>
        </w:rPr>
        <w:t>  </w:t>
      </w:r>
    </w:p>
    <w:p w14:paraId="2F276B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编制单位： </w:t>
      </w:r>
      <w:r>
        <w:rPr>
          <w:rFonts w:hint="eastAsia" w:ascii="仿宋" w:hAnsi="仿宋" w:eastAsia="仿宋" w:cs="仿宋"/>
          <w:i w:val="0"/>
          <w:iCs w:val="0"/>
          <w:caps w:val="0"/>
          <w:color w:val="000000"/>
          <w:spacing w:val="0"/>
          <w:kern w:val="0"/>
          <w:sz w:val="27"/>
          <w:szCs w:val="27"/>
          <w:u w:val="single"/>
          <w:lang w:val="en-US" w:eastAsia="zh-CN" w:bidi="ar"/>
        </w:rPr>
        <w:t> 涟源市自然资源局</w:t>
      </w:r>
    </w:p>
    <w:p w14:paraId="1D7168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 xml:space="preserve">编制时间： </w:t>
      </w:r>
      <w:r>
        <w:rPr>
          <w:rFonts w:hint="eastAsia" w:ascii="仿宋" w:hAnsi="仿宋" w:eastAsia="仿宋" w:cs="仿宋"/>
          <w:i w:val="0"/>
          <w:iCs w:val="0"/>
          <w:caps w:val="0"/>
          <w:color w:val="000000"/>
          <w:spacing w:val="0"/>
          <w:kern w:val="0"/>
          <w:sz w:val="27"/>
          <w:szCs w:val="27"/>
          <w:u w:val="single"/>
          <w:lang w:val="en-US" w:eastAsia="zh-CN" w:bidi="ar"/>
        </w:rPr>
        <w:t> 2026年7月 </w:t>
      </w:r>
      <w:r>
        <w:rPr>
          <w:rFonts w:hint="eastAsia" w:ascii="仿宋" w:hAnsi="仿宋" w:eastAsia="仿宋" w:cs="仿宋"/>
          <w:i w:val="0"/>
          <w:iCs w:val="0"/>
          <w:caps w:val="0"/>
          <w:color w:val="000000"/>
          <w:spacing w:val="0"/>
          <w:kern w:val="0"/>
          <w:sz w:val="27"/>
          <w:szCs w:val="27"/>
          <w:lang w:val="en-US" w:eastAsia="zh-CN" w:bidi="ar"/>
        </w:rPr>
        <w:t>     </w:t>
      </w:r>
    </w:p>
    <w:p w14:paraId="69BC4D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r>
        <w:rPr>
          <w:rFonts w:hint="eastAsia" w:ascii="仿宋" w:hAnsi="仿宋" w:eastAsia="仿宋" w:cs="仿宋"/>
          <w:i w:val="0"/>
          <w:iCs w:val="0"/>
          <w:caps w:val="0"/>
          <w:color w:val="000000"/>
          <w:spacing w:val="0"/>
          <w:kern w:val="0"/>
          <w:sz w:val="27"/>
          <w:szCs w:val="27"/>
          <w:lang w:val="en-US" w:eastAsia="zh-CN" w:bidi="ar"/>
        </w:rPr>
        <w:t> </w:t>
      </w:r>
    </w:p>
    <w:p w14:paraId="01490C28">
      <w:pPr>
        <w:keepNext w:val="0"/>
        <w:keepLines w:val="0"/>
        <w:widowControl/>
        <w:suppressLineNumbers w:val="0"/>
        <w:spacing w:before="0" w:beforeAutospacing="0" w:after="0" w:afterAutospacing="0"/>
        <w:ind w:left="0" w:right="0"/>
        <w:jc w:val="left"/>
      </w:pPr>
    </w:p>
    <w:p w14:paraId="56ABB9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2BF7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EA5B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2DC63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335E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38A30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7E0B6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365B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96816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5F903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311326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5E1E3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19C35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9E50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编 制 说 明</w:t>
      </w:r>
    </w:p>
    <w:p w14:paraId="7B41D9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 </w:t>
      </w:r>
    </w:p>
    <w:p w14:paraId="16C09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一、采购单位可以自行组织编制采购需求，也可以委托采购代理机构或者其他第三方机构编制。</w:t>
      </w:r>
    </w:p>
    <w:p w14:paraId="23C942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二、编制的采购需求应当符合《财政部关于印发政府采购需求管理办法的通知》（财库〔2021〕22号）要求及政府采购的相关规定。</w:t>
      </w:r>
    </w:p>
    <w:p w14:paraId="6E9A8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三、斜体字部分属于提醒内容，编制时应删除。</w:t>
      </w:r>
    </w:p>
    <w:p w14:paraId="2F604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四、对不适用的内容应删除，并调整相应序号。</w:t>
      </w:r>
    </w:p>
    <w:p w14:paraId="10859D2B">
      <w:pPr>
        <w:keepNext w:val="0"/>
        <w:keepLines w:val="0"/>
        <w:widowControl/>
        <w:suppressLineNumbers w:val="0"/>
        <w:spacing w:before="0" w:beforeAutospacing="0" w:after="0" w:afterAutospacing="0"/>
        <w:ind w:left="0" w:right="0"/>
        <w:jc w:val="left"/>
      </w:pPr>
    </w:p>
    <w:p w14:paraId="295D6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3360D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464E91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F913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5A6E9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1763D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0B418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7D1B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032E6A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37DA5E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232C0758">
      <w:pPr>
        <w:pStyle w:val="13"/>
        <w:rPr>
          <w:rFonts w:hint="eastAsia" w:ascii="仿宋" w:hAnsi="仿宋" w:eastAsia="仿宋" w:cs="仿宋"/>
          <w:i w:val="0"/>
          <w:iCs w:val="0"/>
          <w:caps w:val="0"/>
          <w:color w:val="000000"/>
          <w:spacing w:val="0"/>
          <w:kern w:val="0"/>
          <w:sz w:val="27"/>
          <w:szCs w:val="27"/>
          <w:lang w:val="en-US" w:eastAsia="zh-CN" w:bidi="ar"/>
        </w:rPr>
      </w:pPr>
    </w:p>
    <w:p w14:paraId="1418D0CF">
      <w:pPr>
        <w:pStyle w:val="4"/>
        <w:rPr>
          <w:rFonts w:hint="eastAsia"/>
          <w:lang w:val="en-US" w:eastAsia="zh-CN"/>
        </w:rPr>
      </w:pPr>
    </w:p>
    <w:p w14:paraId="18353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D227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4484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一、需求调查情况</w:t>
      </w:r>
    </w:p>
    <w:p w14:paraId="2BE104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（一）是否开展需求调查</w:t>
      </w:r>
    </w:p>
    <w:p w14:paraId="3EBCC2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olor w:val="000000"/>
          <w:spacing w:val="0"/>
          <w:kern w:val="0"/>
          <w:sz w:val="27"/>
          <w:szCs w:val="27"/>
          <w:u w:val="single"/>
          <w:lang w:val="en-US" w:eastAsia="zh-CN" w:bidi="ar"/>
        </w:rPr>
        <w:t>/</w:t>
      </w:r>
      <w:r>
        <w:rPr>
          <w:rFonts w:hint="eastAsia" w:ascii="仿宋" w:hAnsi="仿宋" w:eastAsia="仿宋" w:cs="仿宋"/>
          <w:i/>
          <w:iCs/>
          <w:caps w:val="0"/>
          <w:color w:val="000000"/>
          <w:spacing w:val="0"/>
          <w:kern w:val="0"/>
          <w:sz w:val="27"/>
          <w:szCs w:val="27"/>
          <w:u w:val="single"/>
          <w:lang w:val="en-US" w:eastAsia="zh-CN" w:bidi="ar"/>
        </w:rPr>
        <w:t>。</w:t>
      </w:r>
    </w:p>
    <w:p w14:paraId="5DFE4C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（二）需求调查方式</w:t>
      </w:r>
    </w:p>
    <w:p w14:paraId="219F4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aps w:val="0"/>
          <w:color w:val="000000"/>
          <w:spacing w:val="0"/>
          <w:kern w:val="0"/>
          <w:sz w:val="27"/>
          <w:szCs w:val="27"/>
          <w:u w:val="single"/>
          <w:lang w:val="en-US" w:eastAsia="zh-CN" w:bidi="ar"/>
        </w:rPr>
        <w:t>/。</w:t>
      </w:r>
    </w:p>
    <w:p w14:paraId="7F48AE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（三）需求调查对象</w:t>
      </w:r>
    </w:p>
    <w:p w14:paraId="6D913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aps w:val="0"/>
          <w:color w:val="000000"/>
          <w:spacing w:val="0"/>
          <w:kern w:val="0"/>
          <w:sz w:val="27"/>
          <w:szCs w:val="27"/>
          <w:u w:val="single"/>
          <w:lang w:val="en-US" w:eastAsia="zh-CN" w:bidi="ar"/>
        </w:rPr>
        <w:t>/。</w:t>
      </w:r>
    </w:p>
    <w:p w14:paraId="031F70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（四）需求调查结果</w:t>
      </w:r>
    </w:p>
    <w:p w14:paraId="6B360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w:t>
      </w:r>
    </w:p>
    <w:p w14:paraId="45EE3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二、需求清单（或工程量清单）</w:t>
      </w:r>
    </w:p>
    <w:p w14:paraId="1C0D2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（一）项目概况</w:t>
      </w:r>
    </w:p>
    <w:p w14:paraId="39CFFD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u w:val="single"/>
          <w:lang w:val="en-US" w:eastAsia="zh-CN" w:bidi="ar"/>
        </w:rPr>
        <w:t>本项目为涟源市不动产登记信息“一库一平台”建设项目。采购项目预算：1800000元</w:t>
      </w:r>
    </w:p>
    <w:p w14:paraId="0A4CC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（二）采购项目预（概）算</w:t>
      </w:r>
    </w:p>
    <w:p w14:paraId="43AF9A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总 预 算：</w:t>
      </w:r>
      <w:r>
        <w:rPr>
          <w:rFonts w:hint="eastAsia" w:ascii="仿宋" w:hAnsi="仿宋" w:eastAsia="仿宋" w:cs="仿宋"/>
          <w:i w:val="0"/>
          <w:iCs w:val="0"/>
          <w:caps w:val="0"/>
          <w:color w:val="000000"/>
          <w:spacing w:val="0"/>
          <w:kern w:val="0"/>
          <w:sz w:val="27"/>
          <w:szCs w:val="27"/>
          <w:u w:val="single"/>
          <w:lang w:val="en-US" w:eastAsia="zh-CN" w:bidi="ar"/>
        </w:rPr>
        <w:t>  1800000元  </w:t>
      </w:r>
    </w:p>
    <w:p w14:paraId="6D011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包1预算：</w:t>
      </w:r>
      <w:r>
        <w:rPr>
          <w:rFonts w:hint="eastAsia" w:ascii="仿宋" w:hAnsi="仿宋" w:eastAsia="仿宋" w:cs="仿宋"/>
          <w:i w:val="0"/>
          <w:iCs w:val="0"/>
          <w:caps w:val="0"/>
          <w:color w:val="000000"/>
          <w:spacing w:val="0"/>
          <w:kern w:val="0"/>
          <w:sz w:val="27"/>
          <w:szCs w:val="27"/>
          <w:u w:val="single"/>
          <w:lang w:val="en-US" w:eastAsia="zh-CN" w:bidi="ar"/>
        </w:rPr>
        <w:t>  1800000元  </w:t>
      </w:r>
    </w:p>
    <w:p w14:paraId="77858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（三）采购标的汇总表</w:t>
      </w:r>
    </w:p>
    <w:tbl>
      <w:tblPr>
        <w:tblStyle w:val="14"/>
        <w:tblW w:w="82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0"/>
        <w:gridCol w:w="849"/>
        <w:gridCol w:w="1835"/>
        <w:gridCol w:w="1431"/>
        <w:gridCol w:w="1272"/>
        <w:gridCol w:w="991"/>
        <w:gridCol w:w="992"/>
      </w:tblGrid>
      <w:tr w14:paraId="6969ED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63" w:hRule="atLeast"/>
          <w:jc w:val="center"/>
        </w:trPr>
        <w:tc>
          <w:tcPr>
            <w:tcW w:w="850" w:type="dxa"/>
            <w:tcBorders>
              <w:top w:val="single" w:color="auto" w:sz="8" w:space="0"/>
              <w:left w:val="single" w:color="auto" w:sz="8" w:space="0"/>
              <w:bottom w:val="single" w:color="auto" w:sz="4" w:space="0"/>
              <w:right w:val="single" w:color="auto" w:sz="8" w:space="0"/>
            </w:tcBorders>
            <w:shd w:val="clear" w:color="auto" w:fill="auto"/>
            <w:tcMar>
              <w:left w:w="108" w:type="dxa"/>
              <w:right w:w="108" w:type="dxa"/>
            </w:tcMar>
            <w:vAlign w:val="center"/>
          </w:tcPr>
          <w:p w14:paraId="3A4F8A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包号</w:t>
            </w:r>
          </w:p>
        </w:tc>
        <w:tc>
          <w:tcPr>
            <w:tcW w:w="849"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E9A90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序号</w:t>
            </w:r>
          </w:p>
        </w:tc>
        <w:tc>
          <w:tcPr>
            <w:tcW w:w="1835"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7D0442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标的名称</w:t>
            </w:r>
          </w:p>
        </w:tc>
        <w:tc>
          <w:tcPr>
            <w:tcW w:w="1431"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B8FD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品目</w:t>
            </w:r>
          </w:p>
          <w:p w14:paraId="6407BB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分类编码</w:t>
            </w:r>
          </w:p>
        </w:tc>
        <w:tc>
          <w:tcPr>
            <w:tcW w:w="1272"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3CE40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计量</w:t>
            </w:r>
          </w:p>
          <w:p w14:paraId="556603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单位</w:t>
            </w:r>
          </w:p>
        </w:tc>
        <w:tc>
          <w:tcPr>
            <w:tcW w:w="991"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EC10D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数量</w:t>
            </w:r>
          </w:p>
        </w:tc>
        <w:tc>
          <w:tcPr>
            <w:tcW w:w="992"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3A7275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是否进口</w:t>
            </w:r>
          </w:p>
        </w:tc>
      </w:tr>
      <w:tr w14:paraId="3ED2B5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FB5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lang w:val="en-US"/>
              </w:rPr>
            </w:pPr>
            <w:r>
              <w:rPr>
                <w:rFonts w:hint="eastAsia" w:ascii="仿宋" w:hAnsi="仿宋" w:eastAsia="仿宋" w:cs="仿宋"/>
                <w:kern w:val="0"/>
                <w:sz w:val="27"/>
                <w:szCs w:val="27"/>
                <w:lang w:val="en-US" w:eastAsia="zh-CN" w:bidi="ar"/>
              </w:rPr>
              <w:t> 1</w:t>
            </w: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7A6E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lang w:val="en-US"/>
              </w:rPr>
            </w:pPr>
            <w:r>
              <w:rPr>
                <w:rFonts w:hint="eastAsia" w:ascii="仿宋" w:hAnsi="仿宋" w:eastAsia="仿宋" w:cs="仿宋"/>
                <w:kern w:val="0"/>
                <w:sz w:val="27"/>
                <w:szCs w:val="27"/>
                <w:lang w:val="en-US" w:eastAsia="zh-CN" w:bidi="ar"/>
              </w:rPr>
              <w:t> 1</w:t>
            </w:r>
          </w:p>
        </w:tc>
        <w:tc>
          <w:tcPr>
            <w:tcW w:w="18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79D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宋体" w:hAnsi="宋体" w:eastAsia="宋体" w:cs="宋体"/>
                <w:i w:val="0"/>
                <w:iCs w:val="0"/>
                <w:caps w:val="0"/>
                <w:color w:val="000000"/>
                <w:spacing w:val="0"/>
                <w:sz w:val="21"/>
                <w:szCs w:val="21"/>
                <w:lang w:eastAsia="zh-CN"/>
              </w:rPr>
              <w:t>涟源市不动产登记信息“一库一平台”建设项目</w:t>
            </w:r>
          </w:p>
        </w:tc>
        <w:tc>
          <w:tcPr>
            <w:tcW w:w="14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46D1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rPr>
              <w:t>C160</w:t>
            </w:r>
            <w:r>
              <w:rPr>
                <w:rFonts w:hint="eastAsia"/>
                <w:lang w:val="en-US" w:eastAsia="zh-CN"/>
              </w:rPr>
              <w:t>20</w:t>
            </w:r>
            <w:r>
              <w:rPr>
                <w:rFonts w:hint="eastAsia"/>
              </w:rPr>
              <w:t>300软件</w:t>
            </w:r>
            <w:r>
              <w:rPr>
                <w:rFonts w:hint="eastAsia"/>
                <w:lang w:val="en-US" w:eastAsia="zh-CN"/>
              </w:rPr>
              <w:t>集成实施</w:t>
            </w:r>
            <w:r>
              <w:rPr>
                <w:rFonts w:hint="eastAsia"/>
              </w:rPr>
              <w:t>服务</w:t>
            </w:r>
          </w:p>
        </w:tc>
        <w:tc>
          <w:tcPr>
            <w:tcW w:w="127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3A7EB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 批</w:t>
            </w:r>
          </w:p>
        </w:tc>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81B7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1 </w:t>
            </w:r>
          </w:p>
        </w:tc>
        <w:tc>
          <w:tcPr>
            <w:tcW w:w="99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FF0E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 否</w:t>
            </w:r>
          </w:p>
        </w:tc>
      </w:tr>
    </w:tbl>
    <w:p w14:paraId="4399C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（四）技术商务要求</w:t>
      </w:r>
    </w:p>
    <w:p w14:paraId="77BD9B34">
      <w:pPr>
        <w:adjustRightInd w:val="0"/>
        <w:snapToGrid w:val="0"/>
        <w:spacing w:line="440" w:lineRule="exact"/>
        <w:outlineLvl w:val="1"/>
        <w:rPr>
          <w:rFonts w:hint="eastAsia" w:ascii="宋体" w:hAnsi="宋体" w:cs="宋体"/>
          <w:b/>
          <w:bCs/>
          <w:color w:val="000000" w:themeColor="text1"/>
          <w:szCs w:val="21"/>
          <w14:textFill>
            <w14:solidFill>
              <w14:schemeClr w14:val="tx1"/>
            </w14:solidFill>
          </w14:textFill>
        </w:rPr>
      </w:pPr>
      <w:bookmarkStart w:id="1" w:name="_Toc277044479"/>
      <w:bookmarkStart w:id="2" w:name="_Toc487787105"/>
      <w:r>
        <w:rPr>
          <w:rFonts w:hint="eastAsia" w:ascii="宋体" w:hAnsi="宋体" w:cs="宋体"/>
          <w:b/>
          <w:bCs/>
          <w:color w:val="000000" w:themeColor="text1"/>
          <w:szCs w:val="21"/>
          <w14:textFill>
            <w14:solidFill>
              <w14:schemeClr w14:val="tx1"/>
            </w14:solidFill>
          </w14:textFill>
        </w:rPr>
        <w:t>一、采购项目名称及预算等情况</w:t>
      </w:r>
    </w:p>
    <w:p w14:paraId="3FF80989">
      <w:pPr>
        <w:pStyle w:val="35"/>
        <w:widowControl/>
        <w:spacing w:line="360" w:lineRule="auto"/>
        <w:rPr>
          <w:rStyle w:val="17"/>
          <w:rFonts w:hint="eastAsia" w:ascii="宋体" w:hAnsi="宋体" w:cs="宋体"/>
          <w:b w:val="0"/>
          <w:bCs w:val="0"/>
          <w:color w:val="000000" w:themeColor="text1"/>
          <w:szCs w:val="21"/>
          <w14:textFill>
            <w14:solidFill>
              <w14:schemeClr w14:val="tx1"/>
            </w14:solidFill>
          </w14:textFill>
        </w:rPr>
      </w:pPr>
      <w:r>
        <w:rPr>
          <w:rStyle w:val="17"/>
          <w:rFonts w:hint="eastAsia" w:ascii="宋体" w:hAnsi="宋体" w:cs="宋体"/>
          <w:b w:val="0"/>
          <w:bCs w:val="0"/>
          <w:color w:val="000000" w:themeColor="text1"/>
          <w:szCs w:val="21"/>
          <w14:textFill>
            <w14:solidFill>
              <w14:schemeClr w14:val="tx1"/>
            </w14:solidFill>
          </w14:textFill>
        </w:rPr>
        <w:t>1、采购项目名称：</w:t>
      </w:r>
      <w:r>
        <w:rPr>
          <w:rStyle w:val="17"/>
          <w:rFonts w:hint="eastAsia" w:ascii="宋体" w:hAnsi="宋体" w:cs="宋体"/>
          <w:b w:val="0"/>
          <w:bCs w:val="0"/>
          <w:color w:val="000000" w:themeColor="text1"/>
          <w:szCs w:val="21"/>
          <w:lang w:eastAsia="zh-CN"/>
          <w14:textFill>
            <w14:solidFill>
              <w14:schemeClr w14:val="tx1"/>
            </w14:solidFill>
          </w14:textFill>
        </w:rPr>
        <w:t>涟源市不动产登记信息“一库一平台”建设项目</w:t>
      </w:r>
    </w:p>
    <w:p w14:paraId="29929920">
      <w:pPr>
        <w:pStyle w:val="35"/>
        <w:widowControl/>
        <w:spacing w:line="360" w:lineRule="auto"/>
        <w:rPr>
          <w:rStyle w:val="17"/>
          <w:rFonts w:hint="eastAsia" w:ascii="宋体" w:hAnsi="宋体" w:cs="宋体"/>
          <w:b w:val="0"/>
          <w:bCs w:val="0"/>
          <w:color w:val="000000" w:themeColor="text1"/>
          <w:szCs w:val="21"/>
          <w14:textFill>
            <w14:solidFill>
              <w14:schemeClr w14:val="tx1"/>
            </w14:solidFill>
          </w14:textFill>
        </w:rPr>
      </w:pPr>
      <w:r>
        <w:rPr>
          <w:rStyle w:val="17"/>
          <w:rFonts w:hint="eastAsia" w:ascii="宋体" w:hAnsi="宋体" w:cs="宋体"/>
          <w:b w:val="0"/>
          <w:bCs w:val="0"/>
          <w:color w:val="000000" w:themeColor="text1"/>
          <w:szCs w:val="21"/>
          <w14:textFill>
            <w14:solidFill>
              <w14:schemeClr w14:val="tx1"/>
            </w14:solidFill>
          </w14:textFill>
        </w:rPr>
        <w:t>2、</w:t>
      </w:r>
      <w:r>
        <w:rPr>
          <w:rFonts w:hint="eastAsia" w:ascii="宋体" w:hAnsi="宋体"/>
          <w:szCs w:val="21"/>
        </w:rPr>
        <w:t>政府采购计划编号: (2026)431382000017-1</w:t>
      </w:r>
      <w:bookmarkStart w:id="4" w:name="_GoBack"/>
      <w:bookmarkEnd w:id="4"/>
    </w:p>
    <w:p w14:paraId="7809179F">
      <w:pPr>
        <w:pStyle w:val="35"/>
        <w:widowControl/>
        <w:spacing w:line="360" w:lineRule="auto"/>
        <w:rPr>
          <w:rStyle w:val="17"/>
          <w:rFonts w:hint="eastAsia" w:ascii="宋体" w:hAnsi="宋体" w:cs="宋体"/>
          <w:b w:val="0"/>
          <w:bCs w:val="0"/>
          <w:color w:val="000000" w:themeColor="text1"/>
          <w:szCs w:val="21"/>
          <w14:textFill>
            <w14:solidFill>
              <w14:schemeClr w14:val="tx1"/>
            </w14:solidFill>
          </w14:textFill>
        </w:rPr>
      </w:pPr>
      <w:r>
        <w:rPr>
          <w:rStyle w:val="17"/>
          <w:rFonts w:hint="eastAsia" w:ascii="宋体" w:hAnsi="宋体" w:cs="宋体"/>
          <w:b w:val="0"/>
          <w:bCs w:val="0"/>
          <w:color w:val="000000" w:themeColor="text1"/>
          <w:szCs w:val="21"/>
          <w14:textFill>
            <w14:solidFill>
              <w14:schemeClr w14:val="tx1"/>
            </w14:solidFill>
          </w14:textFill>
        </w:rPr>
        <w:t>3、</w:t>
      </w:r>
      <w:r>
        <w:rPr>
          <w:rFonts w:hint="eastAsia" w:ascii="宋体" w:hAnsi="宋体"/>
          <w:szCs w:val="21"/>
        </w:rPr>
        <w:t>委托代理编号:</w:t>
      </w:r>
      <w:r>
        <w:rPr>
          <w:rFonts w:hint="eastAsia" w:ascii="宋体" w:hAnsi="宋体"/>
          <w:szCs w:val="21"/>
          <w:lang w:eastAsia="zh-CN"/>
        </w:rPr>
        <w:t>TJGJLY2026-008</w:t>
      </w:r>
    </w:p>
    <w:p w14:paraId="0FDC150B">
      <w:pPr>
        <w:pStyle w:val="35"/>
        <w:widowControl/>
        <w:spacing w:line="360" w:lineRule="auto"/>
        <w:rPr>
          <w:rStyle w:val="17"/>
          <w:rFonts w:hint="default" w:ascii="宋体" w:hAnsi="宋体" w:eastAsia="宋体" w:cs="宋体"/>
          <w:b w:val="0"/>
          <w:bCs w:val="0"/>
          <w:color w:val="000000" w:themeColor="text1"/>
          <w:szCs w:val="21"/>
          <w:lang w:val="en-US" w:eastAsia="zh-CN"/>
          <w14:textFill>
            <w14:solidFill>
              <w14:schemeClr w14:val="tx1"/>
            </w14:solidFill>
          </w14:textFill>
        </w:rPr>
      </w:pPr>
      <w:r>
        <w:rPr>
          <w:rStyle w:val="17"/>
          <w:rFonts w:hint="eastAsia" w:ascii="宋体" w:hAnsi="宋体" w:cs="宋体"/>
          <w:b w:val="0"/>
          <w:bCs w:val="0"/>
          <w:color w:val="000000" w:themeColor="text1"/>
          <w:szCs w:val="21"/>
          <w14:textFill>
            <w14:solidFill>
              <w14:schemeClr w14:val="tx1"/>
            </w14:solidFill>
          </w14:textFill>
        </w:rPr>
        <w:t>4、采购项目预算：</w:t>
      </w:r>
      <w:r>
        <w:rPr>
          <w:rStyle w:val="17"/>
          <w:rFonts w:hint="eastAsia" w:ascii="宋体" w:hAnsi="宋体" w:cs="宋体"/>
          <w:b w:val="0"/>
          <w:bCs w:val="0"/>
          <w:color w:val="000000" w:themeColor="text1"/>
          <w:szCs w:val="21"/>
          <w:lang w:val="en-US" w:eastAsia="zh-CN"/>
          <w14:textFill>
            <w14:solidFill>
              <w14:schemeClr w14:val="tx1"/>
            </w14:solidFill>
          </w14:textFill>
        </w:rPr>
        <w:t>180万元</w:t>
      </w:r>
    </w:p>
    <w:p w14:paraId="091FF83A">
      <w:pPr>
        <w:pStyle w:val="35"/>
        <w:widowControl/>
        <w:spacing w:line="360" w:lineRule="auto"/>
        <w:rPr>
          <w:rStyle w:val="17"/>
          <w:rFonts w:hint="eastAsia" w:ascii="宋体" w:hAnsi="宋体" w:cs="宋体"/>
          <w:b w:val="0"/>
          <w:bCs w:val="0"/>
          <w:color w:val="000000" w:themeColor="text1"/>
          <w:szCs w:val="21"/>
          <w14:textFill>
            <w14:solidFill>
              <w14:schemeClr w14:val="tx1"/>
            </w14:solidFill>
          </w14:textFill>
        </w:rPr>
      </w:pPr>
      <w:r>
        <w:rPr>
          <w:rStyle w:val="17"/>
          <w:rFonts w:hint="eastAsia" w:ascii="宋体" w:hAnsi="宋体" w:cs="宋体"/>
          <w:b w:val="0"/>
          <w:bCs w:val="0"/>
          <w:color w:val="000000" w:themeColor="text1"/>
          <w:szCs w:val="21"/>
          <w14:textFill>
            <w14:solidFill>
              <w14:schemeClr w14:val="tx1"/>
            </w14:solidFill>
          </w14:textFill>
        </w:rPr>
        <w:t>5、服务期限：</w:t>
      </w:r>
      <w:r>
        <w:rPr>
          <w:rFonts w:hint="eastAsia" w:ascii="宋体" w:hAnsi="宋体" w:cs="宋体"/>
          <w:color w:val="000000" w:themeColor="text1"/>
          <w:kern w:val="0"/>
          <w:szCs w:val="21"/>
          <w:lang w:bidi="ar"/>
          <w14:textFill>
            <w14:solidFill>
              <w14:schemeClr w14:val="tx1"/>
            </w14:solidFill>
          </w14:textFill>
        </w:rPr>
        <w:t>6个月</w:t>
      </w:r>
    </w:p>
    <w:bookmarkEnd w:id="1"/>
    <w:bookmarkEnd w:id="2"/>
    <w:p w14:paraId="2A828983">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二</w:t>
      </w:r>
      <w:r>
        <w:rPr>
          <w:b/>
          <w:color w:val="000000" w:themeColor="text1"/>
          <w:szCs w:val="21"/>
          <w14:textFill>
            <w14:solidFill>
              <w14:schemeClr w14:val="tx1"/>
            </w14:solidFill>
          </w14:textFill>
        </w:rPr>
        <w:t>、项目概述</w:t>
      </w:r>
    </w:p>
    <w:p w14:paraId="6CE22228">
      <w:pPr>
        <w:spacing w:line="360" w:lineRule="auto"/>
        <w:ind w:firstLine="420" w:firstLineChars="200"/>
        <w:outlineLvl w:val="2"/>
        <w:rPr>
          <w:color w:val="000000" w:themeColor="text1"/>
          <w14:textFill>
            <w14:solidFill>
              <w14:schemeClr w14:val="tx1"/>
            </w14:solidFill>
          </w14:textFill>
        </w:rPr>
      </w:pPr>
      <w:bookmarkStart w:id="3" w:name="_Toc489529429"/>
      <w:r>
        <w:rPr>
          <w:color w:val="000000" w:themeColor="text1"/>
          <w14:textFill>
            <w14:solidFill>
              <w14:schemeClr w14:val="tx1"/>
            </w14:solidFill>
          </w14:textFill>
        </w:rPr>
        <w:t>1.建设背景</w:t>
      </w:r>
      <w:bookmarkEnd w:id="3"/>
    </w:p>
    <w:p w14:paraId="306E7F8C">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2020年11月9日，省自然资源厅党组在有关专题会议上进一步明确，第一阶段通过“一窗办事”平台全面落实自然资源部关于“互联网+不动产登记”有关要求；第二阶段做好全省不动产登记系统的重构，最终实现不动产登记全省“一个平台、一个数据库”。</w:t>
      </w:r>
    </w:p>
    <w:p w14:paraId="1A1FEF3C">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2020年12月，湖南省自然资源厅印发《关于印发〈湖南省统一不动产登记平台和数据库建设总体方案〉的通知》湘自资办发〔2021〕72号），要求各市县负责按照全省统一不动产登记数据标准做好本辖区的不动产登记数据清理完善、汇交和日常更新工作；向“一库一平台”建设提供建议，配合省自然资源厅做好统一不动产登记平台和数据库建设；逐步取消本地不动产登记系统并纳入全省不动产登记平台管理。</w:t>
      </w:r>
    </w:p>
    <w:p w14:paraId="56298E50">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2021年9月，湖南省自然资源厅印发《关于开展不动产登记统一平台和数据库建设试点的通知》（湘自资办发〔2021〕117号），要求市县认真贯彻落实不动产登记统一平台和数据库建设工作部署，采用省、市、县三级共建模式，在县市区不动产登记中心开展不动产登记数据清理、整合和汇交工作，试用不动产登记统一平台，完善不动产登记业务标准和数据库标准，优化登记平台功能，为不动产登记统一平台和数据库建设提供可复制的技术方案和经验。</w:t>
      </w:r>
    </w:p>
    <w:p w14:paraId="134571C6">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2023年1月，湖南省自然资源厅印发《关于印发2023年湖南省自然资源和不动产确权登记工作要点的函》要求加快“一库一平台”系统软件开发和硬件支撑建设并投入运行。</w:t>
      </w:r>
    </w:p>
    <w:p w14:paraId="6A2A832E">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2024年1月，湖南省自然资源厅印发《关于印发2024年湖南省自然资源和不动产确权登记工作要点的函》要求稳步推进全省“一库一平台”建设。</w:t>
      </w:r>
    </w:p>
    <w:p w14:paraId="12EF7D88">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2025年1月，湖南省自然资源厅印发《关于印发2025年湖南省自然资源和不动产确权登记工作要点的函》要求推进“一库一平台”全省覆盖。</w:t>
      </w:r>
    </w:p>
    <w:p w14:paraId="501D6D0B">
      <w:pPr>
        <w:spacing w:line="360" w:lineRule="auto"/>
        <w:ind w:firstLine="420" w:firstLineChars="200"/>
        <w:outlineLvl w:val="2"/>
        <w:rPr>
          <w:color w:val="000000" w:themeColor="text1"/>
          <w14:textFill>
            <w14:solidFill>
              <w14:schemeClr w14:val="tx1"/>
            </w14:solidFill>
          </w14:textFill>
        </w:rPr>
      </w:pPr>
      <w:r>
        <w:rPr>
          <w:color w:val="000000" w:themeColor="text1"/>
          <w14:textFill>
            <w14:solidFill>
              <w14:schemeClr w14:val="tx1"/>
            </w14:solidFill>
          </w14:textFill>
        </w:rPr>
        <w:t>2.建设目标</w:t>
      </w:r>
    </w:p>
    <w:p w14:paraId="13ED2354">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紧扣</w:t>
      </w:r>
      <w:r>
        <w:rPr>
          <w:rFonts w:hint="eastAsia"/>
          <w:color w:val="000000" w:themeColor="text1"/>
          <w:szCs w:val="21"/>
          <w14:textFill>
            <w14:solidFill>
              <w14:schemeClr w14:val="tx1"/>
            </w14:solidFill>
          </w14:textFill>
        </w:rPr>
        <w:t>党中央、国务院</w:t>
      </w:r>
      <w:r>
        <w:rPr>
          <w:color w:val="000000" w:themeColor="text1"/>
          <w:szCs w:val="21"/>
          <w14:textFill>
            <w14:solidFill>
              <w14:schemeClr w14:val="tx1"/>
            </w14:solidFill>
          </w14:textFill>
        </w:rPr>
        <w:t>和省委省政府深化“放管服”改革、优化营商环境改革部署，以不动产登记信息平台为基础，构建统一的不动产登记信息平台，建立标准统一、数据完备的不动产登记数据库，构建线上线下高度融合、便民高效的不动产登记运行体系。实现数据库标准统一、业务标准统一；通过智能辅助审批、共享深度集成、共享核验、共享查询、协同共享等提升服务水平、管理水平；通过互联网+不动产、“无纸化”等提升便民服务水平。</w:t>
      </w:r>
    </w:p>
    <w:p w14:paraId="0B710950">
      <w:pPr>
        <w:spacing w:line="360" w:lineRule="auto"/>
        <w:ind w:left="420"/>
        <w:outlineLvl w:val="2"/>
        <w:rPr>
          <w:color w:val="000000" w:themeColor="text1"/>
          <w14:textFill>
            <w14:solidFill>
              <w14:schemeClr w14:val="tx1"/>
            </w14:solidFill>
          </w14:textFill>
        </w:rPr>
      </w:pPr>
      <w:r>
        <w:rPr>
          <w:color w:val="000000" w:themeColor="text1"/>
          <w14:textFill>
            <w14:solidFill>
              <w14:schemeClr w14:val="tx1"/>
            </w14:solidFill>
          </w14:textFill>
        </w:rPr>
        <w:t>3.建设原则</w:t>
      </w:r>
    </w:p>
    <w:p w14:paraId="0A7EF398">
      <w:pPr>
        <w:pStyle w:val="49"/>
        <w:spacing w:line="360" w:lineRule="auto"/>
        <w:ind w:firstLine="420"/>
        <w:jc w:val="both"/>
        <w:outlineLvl w:val="3"/>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3.1先进成熟性</w:t>
      </w:r>
    </w:p>
    <w:p w14:paraId="4353C42B">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系统建设采用先进的技术、方法、软件、硬件和网络平台，确保系统的先进性，同时兼顾成熟性，使系统成熟而且可靠。系统在满足全局性与整体性要求的同时，能够适应未来技术发展和需求的变化，使系统能够可持续发展。</w:t>
      </w:r>
    </w:p>
    <w:p w14:paraId="7F997711">
      <w:pPr>
        <w:pStyle w:val="49"/>
        <w:spacing w:line="360" w:lineRule="auto"/>
        <w:ind w:firstLine="420"/>
        <w:jc w:val="both"/>
        <w:outlineLvl w:val="3"/>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3.2方便实用性</w:t>
      </w:r>
    </w:p>
    <w:p w14:paraId="3D79B206">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系统的开发要“以人为本”，充分考虑各项业务的实际需要，贴近用户的需求与习惯做法，做到功能强大、界面友好和美观、操作简单、使用方便。</w:t>
      </w:r>
    </w:p>
    <w:p w14:paraId="00AF6AEC">
      <w:pPr>
        <w:pStyle w:val="49"/>
        <w:spacing w:line="360" w:lineRule="auto"/>
        <w:ind w:firstLine="420"/>
        <w:jc w:val="both"/>
        <w:outlineLvl w:val="3"/>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3.3高效稳定性</w:t>
      </w:r>
    </w:p>
    <w:p w14:paraId="64A591EF">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在系统设计、开发和应用时，应从系统结构、技术措施、软硬件平台、技术服务和维护响应能力等方面综合考虑，确保系统较高的性能，综合考虑确保系统应用中最低的故障率，确保系统的良好运行。</w:t>
      </w:r>
    </w:p>
    <w:p w14:paraId="3EDC727D">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三</w:t>
      </w:r>
      <w:r>
        <w:rPr>
          <w:b/>
          <w:color w:val="000000" w:themeColor="text1"/>
          <w:szCs w:val="21"/>
          <w14:textFill>
            <w14:solidFill>
              <w14:schemeClr w14:val="tx1"/>
            </w14:solidFill>
          </w14:textFill>
        </w:rPr>
        <w:t>、建设内容</w:t>
      </w:r>
    </w:p>
    <w:tbl>
      <w:tblPr>
        <w:tblStyle w:val="14"/>
        <w:tblW w:w="5000" w:type="pct"/>
        <w:tblInd w:w="0" w:type="dxa"/>
        <w:tblLayout w:type="autofit"/>
        <w:tblCellMar>
          <w:top w:w="0" w:type="dxa"/>
          <w:left w:w="108" w:type="dxa"/>
          <w:bottom w:w="0" w:type="dxa"/>
          <w:right w:w="108" w:type="dxa"/>
        </w:tblCellMar>
      </w:tblPr>
      <w:tblGrid>
        <w:gridCol w:w="518"/>
        <w:gridCol w:w="950"/>
        <w:gridCol w:w="1774"/>
        <w:gridCol w:w="6068"/>
      </w:tblGrid>
      <w:tr w14:paraId="0D58E9BD">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4A6270D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463" w:type="pct"/>
            <w:gridSpan w:val="2"/>
            <w:tcBorders>
              <w:top w:val="single" w:color="000000" w:sz="4" w:space="0"/>
              <w:left w:val="single" w:color="000000" w:sz="4" w:space="0"/>
              <w:bottom w:val="single" w:color="000000" w:sz="4" w:space="0"/>
              <w:right w:val="single" w:color="000000" w:sz="4" w:space="0"/>
            </w:tcBorders>
            <w:vAlign w:val="center"/>
          </w:tcPr>
          <w:p w14:paraId="3D903110">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工作项</w:t>
            </w:r>
          </w:p>
        </w:tc>
        <w:tc>
          <w:tcPr>
            <w:tcW w:w="3259" w:type="pct"/>
            <w:tcBorders>
              <w:top w:val="single" w:color="000000" w:sz="4" w:space="0"/>
              <w:left w:val="single" w:color="000000" w:sz="4" w:space="0"/>
              <w:bottom w:val="single" w:color="000000" w:sz="4" w:space="0"/>
              <w:right w:val="single" w:color="000000" w:sz="4" w:space="0"/>
            </w:tcBorders>
            <w:vAlign w:val="center"/>
          </w:tcPr>
          <w:p w14:paraId="5FB712C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工作内容描述</w:t>
            </w:r>
          </w:p>
        </w:tc>
      </w:tr>
      <w:tr w14:paraId="06B9A37E">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270BB20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一、不动产统一平台及数据库建设</w:t>
            </w:r>
          </w:p>
        </w:tc>
      </w:tr>
      <w:tr w14:paraId="7FA73CDF">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1AC1D04C">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vMerge w:val="restart"/>
            <w:tcBorders>
              <w:top w:val="single" w:color="000000" w:sz="4" w:space="0"/>
              <w:left w:val="single" w:color="000000" w:sz="4" w:space="0"/>
              <w:right w:val="single" w:color="000000" w:sz="4" w:space="0"/>
            </w:tcBorders>
            <w:vAlign w:val="center"/>
          </w:tcPr>
          <w:p w14:paraId="1860BDF1">
            <w:pPr>
              <w:widowControl/>
              <w:jc w:val="center"/>
              <w:rPr>
                <w:rFonts w:hint="eastAsia" w:ascii="宋体" w:hAnsi="宋体" w:cs="宋体"/>
                <w:color w:val="000000"/>
                <w:kern w:val="0"/>
                <w:szCs w:val="21"/>
              </w:rPr>
            </w:pPr>
            <w:r>
              <w:rPr>
                <w:rFonts w:hint="eastAsia" w:ascii="宋体" w:hAnsi="宋体" w:cs="宋体"/>
                <w:color w:val="000000"/>
                <w:kern w:val="0"/>
                <w:szCs w:val="21"/>
              </w:rPr>
              <w:t>数据规范化建设</w:t>
            </w:r>
          </w:p>
        </w:tc>
        <w:tc>
          <w:tcPr>
            <w:tcW w:w="953" w:type="pct"/>
            <w:tcBorders>
              <w:top w:val="single" w:color="000000" w:sz="4" w:space="0"/>
              <w:left w:val="single" w:color="000000" w:sz="4" w:space="0"/>
              <w:bottom w:val="single" w:color="000000" w:sz="4" w:space="0"/>
              <w:right w:val="single" w:color="000000" w:sz="4" w:space="0"/>
            </w:tcBorders>
            <w:vAlign w:val="center"/>
          </w:tcPr>
          <w:p w14:paraId="52638138">
            <w:pPr>
              <w:widowControl/>
              <w:jc w:val="center"/>
              <w:rPr>
                <w:rFonts w:hint="eastAsia" w:ascii="宋体" w:hAnsi="宋体" w:cs="宋体"/>
                <w:color w:val="000000"/>
                <w:kern w:val="0"/>
                <w:szCs w:val="21"/>
              </w:rPr>
            </w:pPr>
            <w:r>
              <w:rPr>
                <w:rFonts w:hint="eastAsia" w:ascii="宋体" w:hAnsi="宋体" w:cs="宋体"/>
                <w:color w:val="000000"/>
                <w:kern w:val="0"/>
                <w:szCs w:val="21"/>
              </w:rPr>
              <w:t>准备工作</w:t>
            </w:r>
          </w:p>
        </w:tc>
        <w:tc>
          <w:tcPr>
            <w:tcW w:w="3259" w:type="pct"/>
            <w:tcBorders>
              <w:top w:val="single" w:color="000000" w:sz="4" w:space="0"/>
              <w:left w:val="single" w:color="000000" w:sz="4" w:space="0"/>
              <w:bottom w:val="single" w:color="000000" w:sz="4" w:space="0"/>
              <w:right w:val="single" w:color="000000" w:sz="4" w:space="0"/>
            </w:tcBorders>
            <w:vAlign w:val="center"/>
          </w:tcPr>
          <w:p w14:paraId="4E6123CD">
            <w:pPr>
              <w:widowControl/>
              <w:jc w:val="center"/>
              <w:rPr>
                <w:rFonts w:hint="eastAsia" w:ascii="宋体" w:hAnsi="宋体" w:cs="宋体"/>
                <w:color w:val="000000"/>
                <w:kern w:val="0"/>
                <w:szCs w:val="21"/>
              </w:rPr>
            </w:pPr>
            <w:r>
              <w:rPr>
                <w:rFonts w:hint="eastAsia" w:ascii="宋体" w:hAnsi="宋体" w:cs="宋体"/>
                <w:color w:val="000000"/>
                <w:kern w:val="0"/>
                <w:szCs w:val="21"/>
              </w:rPr>
              <w:t>主要包括对日常不动产登记数据、存量整合数据情况现状调研，收集现有登记成果资料，对现有数据对比分析检查，并与不动产登记数据库标准逐项对比，编制不动产登记数据维护治理实施方案，技术培训等。</w:t>
            </w:r>
          </w:p>
        </w:tc>
      </w:tr>
      <w:tr w14:paraId="1722319A">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vAlign w:val="center"/>
          </w:tcPr>
          <w:p w14:paraId="4DD72934">
            <w:pPr>
              <w:jc w:val="center"/>
              <w:rPr>
                <w:rFonts w:hint="eastAsia" w:ascii="宋体" w:hAnsi="宋体" w:cs="宋体"/>
                <w:color w:val="000000"/>
                <w:kern w:val="0"/>
                <w:szCs w:val="21"/>
              </w:rPr>
            </w:pPr>
            <w:r>
              <w:rPr>
                <w:rFonts w:hint="eastAsia" w:ascii="宋体" w:hAnsi="宋体" w:cs="宋体"/>
                <w:color w:val="000000"/>
                <w:kern w:val="0"/>
                <w:szCs w:val="21"/>
              </w:rPr>
              <w:t>2</w:t>
            </w:r>
          </w:p>
        </w:tc>
        <w:tc>
          <w:tcPr>
            <w:tcW w:w="510" w:type="pct"/>
            <w:vMerge w:val="continue"/>
            <w:tcBorders>
              <w:left w:val="single" w:color="000000" w:sz="4" w:space="0"/>
              <w:right w:val="single" w:color="000000" w:sz="4" w:space="0"/>
            </w:tcBorders>
            <w:vAlign w:val="center"/>
          </w:tcPr>
          <w:p w14:paraId="525482D6">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right w:val="single" w:color="000000" w:sz="4" w:space="0"/>
            </w:tcBorders>
            <w:vAlign w:val="center"/>
          </w:tcPr>
          <w:p w14:paraId="0F2C2882">
            <w:pPr>
              <w:widowControl/>
              <w:jc w:val="center"/>
              <w:rPr>
                <w:rFonts w:hint="eastAsia" w:ascii="宋体" w:hAnsi="宋体" w:cs="宋体"/>
                <w:color w:val="000000"/>
                <w:kern w:val="0"/>
                <w:szCs w:val="21"/>
              </w:rPr>
            </w:pPr>
            <w:r>
              <w:rPr>
                <w:rFonts w:hint="eastAsia" w:ascii="宋体" w:hAnsi="宋体" w:cs="宋体"/>
                <w:color w:val="000000"/>
                <w:kern w:val="0"/>
                <w:szCs w:val="21"/>
              </w:rPr>
              <w:t>登记数据转换迁移</w:t>
            </w:r>
          </w:p>
        </w:tc>
        <w:tc>
          <w:tcPr>
            <w:tcW w:w="3259" w:type="pct"/>
            <w:tcBorders>
              <w:top w:val="single" w:color="000000" w:sz="4" w:space="0"/>
              <w:left w:val="single" w:color="000000" w:sz="4" w:space="0"/>
              <w:bottom w:val="single" w:color="000000" w:sz="4" w:space="0"/>
              <w:right w:val="single" w:color="000000" w:sz="4" w:space="0"/>
            </w:tcBorders>
            <w:vAlign w:val="center"/>
          </w:tcPr>
          <w:p w14:paraId="2C1AB1C2">
            <w:pPr>
              <w:widowControl/>
              <w:jc w:val="left"/>
              <w:rPr>
                <w:rFonts w:hint="eastAsia" w:ascii="宋体" w:hAnsi="宋体" w:cs="宋体"/>
                <w:color w:val="000000"/>
                <w:kern w:val="0"/>
                <w:szCs w:val="21"/>
              </w:rPr>
            </w:pPr>
            <w:r>
              <w:rPr>
                <w:rFonts w:hint="eastAsia" w:ascii="宋体" w:hAnsi="宋体" w:cs="宋体"/>
                <w:color w:val="000000"/>
                <w:kern w:val="0"/>
                <w:szCs w:val="21"/>
              </w:rPr>
              <w:t>数据分析：部署数据转换迁移资源、环境、系统，从现有的不动产登记系统中提取所有不动产登记类型数据进行数据归类分析，涵盖不动产存量数据及不动产新增数据。数据类型包含：矢量数据、属性数据、登记数据、楼盘表数据、档案数据等。</w:t>
            </w:r>
          </w:p>
        </w:tc>
      </w:tr>
      <w:tr w14:paraId="61A1EA26">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40654E44">
            <w:pPr>
              <w:widowControl/>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09785C0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right w:val="single" w:color="000000" w:sz="4" w:space="0"/>
            </w:tcBorders>
            <w:vAlign w:val="center"/>
          </w:tcPr>
          <w:p w14:paraId="69700DED">
            <w:pPr>
              <w:widowControl/>
              <w:jc w:val="center"/>
              <w:rPr>
                <w:rFonts w:hint="eastAsia"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5B39028C">
            <w:pPr>
              <w:widowControl/>
              <w:jc w:val="left"/>
              <w:rPr>
                <w:rFonts w:hint="eastAsia" w:ascii="宋体" w:hAnsi="宋体" w:cs="宋体"/>
                <w:color w:val="000000"/>
                <w:kern w:val="0"/>
                <w:szCs w:val="21"/>
              </w:rPr>
            </w:pPr>
            <w:r>
              <w:rPr>
                <w:rFonts w:hint="eastAsia" w:ascii="宋体" w:hAnsi="宋体" w:cs="宋体"/>
                <w:color w:val="000000"/>
                <w:kern w:val="0"/>
                <w:szCs w:val="21"/>
              </w:rPr>
              <w:t>权籍数据：对现有权籍系统中包含：宗地图形、自然幢图形、面状定着物、图形属性等其他矢量数据进行数据结构转换及迁移工作。</w:t>
            </w:r>
          </w:p>
          <w:p w14:paraId="3523A9F9">
            <w:pPr>
              <w:widowControl/>
              <w:jc w:val="left"/>
              <w:rPr>
                <w:rFonts w:hint="eastAsia" w:ascii="宋体" w:hAnsi="宋体" w:cs="宋体"/>
                <w:color w:val="000000"/>
                <w:kern w:val="0"/>
                <w:szCs w:val="21"/>
              </w:rPr>
            </w:pPr>
            <w:r>
              <w:rPr>
                <w:rFonts w:hint="eastAsia" w:ascii="宋体" w:hAnsi="宋体" w:cs="宋体"/>
                <w:color w:val="000000"/>
                <w:kern w:val="0"/>
                <w:szCs w:val="21"/>
              </w:rPr>
              <w:t>登记数据：将不动产存量数据和新增数据的登记数据，按照《湖南不动产登记数据库标准（试行）》进行数据结构转换及迁移工作。</w:t>
            </w:r>
          </w:p>
          <w:p w14:paraId="343C8BA0">
            <w:pPr>
              <w:widowControl/>
              <w:jc w:val="left"/>
              <w:rPr>
                <w:rFonts w:hint="eastAsia" w:ascii="宋体" w:hAnsi="宋体" w:cs="宋体"/>
                <w:color w:val="000000"/>
                <w:kern w:val="0"/>
                <w:szCs w:val="21"/>
              </w:rPr>
            </w:pPr>
            <w:r>
              <w:rPr>
                <w:rFonts w:hint="eastAsia" w:ascii="宋体" w:hAnsi="宋体" w:cs="宋体"/>
                <w:color w:val="000000"/>
                <w:kern w:val="0"/>
                <w:szCs w:val="21"/>
              </w:rPr>
              <w:t>楼盘表数据：将现有不动产登记系统中的楼盘表数据，按照《湖南不动产登记数据库标准（试行）》进行数据结构转换及迁移工作。</w:t>
            </w:r>
          </w:p>
          <w:p w14:paraId="0AD32793">
            <w:pPr>
              <w:widowControl/>
              <w:jc w:val="left"/>
              <w:rPr>
                <w:rFonts w:hint="eastAsia" w:ascii="宋体" w:hAnsi="宋体" w:cs="宋体"/>
                <w:color w:val="000000"/>
                <w:kern w:val="0"/>
                <w:szCs w:val="21"/>
              </w:rPr>
            </w:pPr>
            <w:r>
              <w:rPr>
                <w:rFonts w:hint="eastAsia" w:ascii="宋体" w:hAnsi="宋体" w:cs="宋体"/>
                <w:color w:val="000000"/>
                <w:kern w:val="0"/>
                <w:szCs w:val="21"/>
              </w:rPr>
              <w:t>档案数据：将现有不动产登记系统中的档案数据，按照《湖南不动产登记数据库标准（试行）》进行数据结构转换及迁移工作。数据包含：图片文件、存储文件路径数据、收件资料目录结构数据等。</w:t>
            </w:r>
          </w:p>
        </w:tc>
      </w:tr>
      <w:tr w14:paraId="74BCD9A4">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6049BBB2">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continue"/>
            <w:tcBorders>
              <w:left w:val="single" w:color="000000" w:sz="4" w:space="0"/>
              <w:right w:val="single" w:color="000000" w:sz="4" w:space="0"/>
            </w:tcBorders>
            <w:vAlign w:val="center"/>
          </w:tcPr>
          <w:p w14:paraId="07B2737C">
            <w:pPr>
              <w:widowControl/>
              <w:jc w:val="left"/>
              <w:rPr>
                <w:rFonts w:ascii="宋体" w:hAnsi="宋体" w:cs="宋体"/>
                <w:color w:val="000000"/>
                <w:kern w:val="0"/>
                <w:szCs w:val="21"/>
              </w:rPr>
            </w:pPr>
          </w:p>
        </w:tc>
        <w:tc>
          <w:tcPr>
            <w:tcW w:w="953" w:type="pct"/>
            <w:vMerge w:val="continue"/>
            <w:tcBorders>
              <w:left w:val="single" w:color="000000" w:sz="4" w:space="0"/>
              <w:bottom w:val="single" w:color="000000" w:sz="4" w:space="0"/>
              <w:right w:val="single" w:color="000000" w:sz="4" w:space="0"/>
            </w:tcBorders>
            <w:vAlign w:val="center"/>
          </w:tcPr>
          <w:p w14:paraId="64050B06">
            <w:pPr>
              <w:widowControl/>
              <w:jc w:val="center"/>
              <w:rPr>
                <w:rFonts w:hint="eastAsia"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084E11D">
            <w:pPr>
              <w:widowControl/>
              <w:jc w:val="left"/>
              <w:rPr>
                <w:rFonts w:hint="eastAsia" w:ascii="宋体" w:hAnsi="宋体" w:cs="宋体"/>
                <w:color w:val="000000"/>
                <w:kern w:val="0"/>
                <w:szCs w:val="21"/>
              </w:rPr>
            </w:pPr>
            <w:r>
              <w:rPr>
                <w:rFonts w:hint="eastAsia" w:ascii="宋体" w:hAnsi="宋体" w:cs="宋体"/>
                <w:color w:val="000000"/>
                <w:kern w:val="0"/>
                <w:szCs w:val="21"/>
              </w:rPr>
              <w:t>数据问题归集：对现有数据库中的不动产登记数据进行数据问题分析，包括数据库标准问题、图属一致性问题、数据有效性问题、数据完整性问题、数据准确性问题、数据逻辑性问题、数据限制性问题、数据关联性问题等，最终归纳总结形成批量处理和专项清理台账、需补充调查台账、依档核查台账。</w:t>
            </w:r>
          </w:p>
        </w:tc>
      </w:tr>
      <w:tr w14:paraId="6FB665F7">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vAlign w:val="center"/>
          </w:tcPr>
          <w:p w14:paraId="2E4E5373">
            <w:pPr>
              <w:jc w:val="center"/>
              <w:rPr>
                <w:rFonts w:hint="eastAsia" w:ascii="宋体" w:hAnsi="宋体" w:cs="宋体"/>
                <w:color w:val="000000"/>
                <w:kern w:val="0"/>
                <w:szCs w:val="21"/>
              </w:rPr>
            </w:pPr>
            <w:r>
              <w:rPr>
                <w:rFonts w:hint="eastAsia" w:ascii="宋体" w:hAnsi="宋体" w:cs="宋体"/>
                <w:color w:val="000000"/>
                <w:kern w:val="0"/>
                <w:szCs w:val="21"/>
              </w:rPr>
              <w:t>4</w:t>
            </w:r>
          </w:p>
        </w:tc>
        <w:tc>
          <w:tcPr>
            <w:tcW w:w="510" w:type="pct"/>
            <w:vMerge w:val="continue"/>
            <w:tcBorders>
              <w:left w:val="single" w:color="000000" w:sz="4" w:space="0"/>
              <w:right w:val="single" w:color="000000" w:sz="4" w:space="0"/>
            </w:tcBorders>
            <w:vAlign w:val="center"/>
          </w:tcPr>
          <w:p w14:paraId="0DE42923">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050AECB3">
            <w:pPr>
              <w:widowControl/>
              <w:jc w:val="center"/>
              <w:rPr>
                <w:rFonts w:hint="eastAsia" w:ascii="宋体" w:hAnsi="宋体" w:cs="宋体"/>
                <w:color w:val="000000"/>
                <w:kern w:val="0"/>
                <w:szCs w:val="21"/>
              </w:rPr>
            </w:pPr>
            <w:r>
              <w:rPr>
                <w:rFonts w:hint="eastAsia" w:ascii="宋体" w:hAnsi="宋体" w:cs="宋体"/>
                <w:color w:val="000000"/>
                <w:kern w:val="0"/>
                <w:szCs w:val="21"/>
              </w:rPr>
              <w:t>流程数据转换迁移</w:t>
            </w:r>
          </w:p>
        </w:tc>
        <w:tc>
          <w:tcPr>
            <w:tcW w:w="3259" w:type="pct"/>
            <w:tcBorders>
              <w:top w:val="single" w:color="000000" w:sz="4" w:space="0"/>
              <w:left w:val="single" w:color="000000" w:sz="4" w:space="0"/>
              <w:bottom w:val="single" w:color="000000" w:sz="4" w:space="0"/>
              <w:right w:val="single" w:color="000000" w:sz="4" w:space="0"/>
            </w:tcBorders>
            <w:vAlign w:val="center"/>
          </w:tcPr>
          <w:p w14:paraId="0F273F5C">
            <w:pPr>
              <w:widowControl/>
              <w:jc w:val="left"/>
              <w:rPr>
                <w:rFonts w:hint="eastAsia" w:ascii="宋体" w:hAnsi="宋体" w:cs="宋体"/>
                <w:color w:val="000000"/>
                <w:kern w:val="0"/>
                <w:szCs w:val="21"/>
              </w:rPr>
            </w:pPr>
            <w:r>
              <w:rPr>
                <w:rFonts w:hint="eastAsia" w:ascii="宋体" w:hAnsi="宋体" w:cs="宋体"/>
                <w:color w:val="000000"/>
                <w:kern w:val="0"/>
                <w:szCs w:val="21"/>
              </w:rPr>
              <w:t>流程数据：将新增不动产登记工作流程数据按照不动产登记统一平台工作流引擎结构进行转换迁移，工作流程数据主要包含：流程实例数据、流程工作项数据、参与者角色配置、流程时限等。</w:t>
            </w:r>
          </w:p>
        </w:tc>
      </w:tr>
      <w:tr w14:paraId="379B208F">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4372A1C0">
            <w:pPr>
              <w:widowControl/>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1FB427AE">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5D630B6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BB8B240">
            <w:pPr>
              <w:widowControl/>
              <w:jc w:val="left"/>
              <w:rPr>
                <w:rFonts w:hint="eastAsia" w:ascii="宋体" w:hAnsi="宋体" w:cs="宋体"/>
                <w:color w:val="000000"/>
                <w:kern w:val="0"/>
                <w:szCs w:val="21"/>
              </w:rPr>
            </w:pPr>
            <w:r>
              <w:rPr>
                <w:rFonts w:hint="eastAsia" w:ascii="宋体" w:hAnsi="宋体" w:cs="宋体"/>
                <w:color w:val="000000"/>
                <w:kern w:val="0"/>
                <w:szCs w:val="21"/>
              </w:rPr>
              <w:t>审批数据：根据所涉及的流程对应审批意见数据进行转换迁移，审批数据主要数据包含：审批人、审批时间、审批意见、案件回退信息、案件终止信息等。</w:t>
            </w:r>
          </w:p>
        </w:tc>
      </w:tr>
      <w:tr w14:paraId="25A40178">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vAlign w:val="center"/>
          </w:tcPr>
          <w:p w14:paraId="553CE996">
            <w:pPr>
              <w:jc w:val="center"/>
              <w:rPr>
                <w:rFonts w:hint="eastAsia" w:ascii="宋体" w:hAnsi="宋体" w:cs="宋体"/>
                <w:color w:val="000000"/>
                <w:kern w:val="0"/>
                <w:szCs w:val="21"/>
              </w:rPr>
            </w:pPr>
            <w:r>
              <w:rPr>
                <w:rFonts w:hint="eastAsia" w:ascii="宋体" w:hAnsi="宋体" w:cs="宋体"/>
                <w:color w:val="000000"/>
                <w:kern w:val="0"/>
                <w:szCs w:val="21"/>
              </w:rPr>
              <w:t>5</w:t>
            </w:r>
          </w:p>
        </w:tc>
        <w:tc>
          <w:tcPr>
            <w:tcW w:w="510" w:type="pct"/>
            <w:vMerge w:val="continue"/>
            <w:tcBorders>
              <w:left w:val="single" w:color="000000" w:sz="4" w:space="0"/>
              <w:right w:val="single" w:color="000000" w:sz="4" w:space="0"/>
            </w:tcBorders>
            <w:vAlign w:val="center"/>
          </w:tcPr>
          <w:p w14:paraId="1CD9FEF4">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721699D9">
            <w:pPr>
              <w:widowControl/>
              <w:jc w:val="center"/>
              <w:rPr>
                <w:rFonts w:hint="eastAsia" w:ascii="宋体" w:hAnsi="宋体" w:cs="宋体"/>
                <w:color w:val="000000"/>
                <w:kern w:val="0"/>
                <w:szCs w:val="21"/>
              </w:rPr>
            </w:pPr>
            <w:r>
              <w:rPr>
                <w:rFonts w:hint="eastAsia" w:ascii="宋体" w:hAnsi="宋体" w:cs="宋体"/>
                <w:color w:val="000000"/>
                <w:kern w:val="0"/>
                <w:szCs w:val="21"/>
              </w:rPr>
              <w:t>数据质检</w:t>
            </w:r>
          </w:p>
        </w:tc>
        <w:tc>
          <w:tcPr>
            <w:tcW w:w="3259" w:type="pct"/>
            <w:tcBorders>
              <w:top w:val="single" w:color="000000" w:sz="4" w:space="0"/>
              <w:left w:val="single" w:color="000000" w:sz="4" w:space="0"/>
              <w:bottom w:val="single" w:color="000000" w:sz="4" w:space="0"/>
              <w:right w:val="single" w:color="000000" w:sz="4" w:space="0"/>
            </w:tcBorders>
            <w:vAlign w:val="center"/>
          </w:tcPr>
          <w:p w14:paraId="68191769">
            <w:pPr>
              <w:widowControl/>
              <w:jc w:val="left"/>
              <w:rPr>
                <w:rFonts w:hint="eastAsia" w:ascii="宋体" w:hAnsi="宋体" w:cs="宋体"/>
                <w:color w:val="000000"/>
                <w:kern w:val="0"/>
                <w:szCs w:val="21"/>
              </w:rPr>
            </w:pPr>
            <w:r>
              <w:rPr>
                <w:rFonts w:hint="eastAsia" w:ascii="宋体" w:hAnsi="宋体" w:cs="宋体"/>
                <w:color w:val="000000"/>
                <w:kern w:val="0"/>
                <w:szCs w:val="21"/>
              </w:rPr>
              <w:t>矢量数据检查：对空间数据中的图层、空间实体、数据表、记录和数据项进行检查，包含：数据完整性；逻辑一致性；值域一致性；点、线、面、层的拓扑一致性检查等。</w:t>
            </w:r>
          </w:p>
        </w:tc>
      </w:tr>
      <w:tr w14:paraId="1A449DCC">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1FD928C5">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68FDCEA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6BEEBD21">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40DA859D">
            <w:pPr>
              <w:widowControl/>
              <w:jc w:val="left"/>
              <w:rPr>
                <w:rFonts w:hint="eastAsia" w:ascii="宋体" w:hAnsi="宋体" w:cs="宋体"/>
                <w:color w:val="000000"/>
                <w:kern w:val="0"/>
                <w:szCs w:val="21"/>
              </w:rPr>
            </w:pPr>
            <w:r>
              <w:rPr>
                <w:rFonts w:hint="eastAsia" w:ascii="宋体" w:hAnsi="宋体" w:cs="宋体"/>
                <w:color w:val="000000"/>
                <w:kern w:val="0"/>
                <w:szCs w:val="21"/>
              </w:rPr>
              <w:t>属性数据检查：对不动产登记数据的不动产单元数据、权利人数据、权利数据、业务数据等进行必填项检查、数据记录数检查、数据冗余检查等。</w:t>
            </w:r>
          </w:p>
        </w:tc>
      </w:tr>
      <w:tr w14:paraId="1CC71675">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556652B5">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517FBB0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2C37BEA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71992FAE">
            <w:pPr>
              <w:widowControl/>
              <w:jc w:val="left"/>
              <w:rPr>
                <w:rFonts w:hint="eastAsia" w:ascii="宋体" w:hAnsi="宋体" w:cs="宋体"/>
                <w:color w:val="000000"/>
                <w:kern w:val="0"/>
                <w:szCs w:val="21"/>
              </w:rPr>
            </w:pPr>
            <w:r>
              <w:rPr>
                <w:rFonts w:hint="eastAsia" w:ascii="宋体" w:hAnsi="宋体" w:cs="宋体"/>
                <w:color w:val="000000"/>
                <w:kern w:val="0"/>
                <w:szCs w:val="21"/>
              </w:rPr>
              <w:t>字段值域符合性检查：根据《湖南不动产登记数据库标准（试行）》进行字段值域符合性检查，包含：必填、数据类型、符合规则、数据字典代码规范、数据值填写是否符合规范等。</w:t>
            </w:r>
          </w:p>
        </w:tc>
      </w:tr>
      <w:tr w14:paraId="182B40AD">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1CB53DE1">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70139D21">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3B7FE44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464C01F">
            <w:pPr>
              <w:widowControl/>
              <w:jc w:val="left"/>
              <w:rPr>
                <w:rFonts w:hint="eastAsia" w:ascii="宋体" w:hAnsi="宋体" w:cs="宋体"/>
                <w:color w:val="000000"/>
                <w:kern w:val="0"/>
                <w:szCs w:val="21"/>
              </w:rPr>
            </w:pPr>
            <w:r>
              <w:rPr>
                <w:rFonts w:hint="eastAsia" w:ascii="宋体" w:hAnsi="宋体" w:cs="宋体"/>
                <w:color w:val="000000"/>
                <w:kern w:val="0"/>
                <w:szCs w:val="21"/>
              </w:rPr>
              <w:t>数据唯一性检查：对整库数据进行数据重复检查，确保数据编码唯一、数据库内唯一、数据表内唯一等。</w:t>
            </w:r>
          </w:p>
        </w:tc>
      </w:tr>
      <w:tr w14:paraId="6DCBF51C">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4E5CF767">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5F8BF9F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8025B5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2D77F3AD">
            <w:pPr>
              <w:widowControl/>
              <w:jc w:val="left"/>
              <w:rPr>
                <w:rFonts w:hint="eastAsia" w:ascii="宋体" w:hAnsi="宋体" w:cs="宋体"/>
                <w:color w:val="000000"/>
                <w:kern w:val="0"/>
                <w:szCs w:val="21"/>
              </w:rPr>
            </w:pPr>
            <w:r>
              <w:rPr>
                <w:rFonts w:hint="eastAsia" w:ascii="宋体" w:hAnsi="宋体" w:cs="宋体"/>
                <w:color w:val="000000"/>
                <w:kern w:val="0"/>
                <w:szCs w:val="21"/>
              </w:rPr>
              <w:t>数据有效性检查：对整库数据进行数据有效性检查，分析数据总量，检查现势数据和历史数据是否符合规范，相同权利之间的有效性是否唯一等。</w:t>
            </w:r>
          </w:p>
        </w:tc>
      </w:tr>
      <w:tr w14:paraId="1E84C80A">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44871507">
            <w:pPr>
              <w:widowControl/>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0D3E9014">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3429FD46">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49E62E23">
            <w:pPr>
              <w:widowControl/>
              <w:jc w:val="left"/>
              <w:rPr>
                <w:rFonts w:hint="eastAsia" w:ascii="宋体" w:hAnsi="宋体" w:cs="宋体"/>
                <w:color w:val="000000"/>
                <w:kern w:val="0"/>
                <w:szCs w:val="21"/>
              </w:rPr>
            </w:pPr>
            <w:r>
              <w:rPr>
                <w:rFonts w:hint="eastAsia" w:ascii="宋体" w:hAnsi="宋体" w:cs="宋体"/>
                <w:color w:val="000000"/>
                <w:kern w:val="0"/>
                <w:szCs w:val="21"/>
              </w:rPr>
              <w:t>数据逻辑性检查：根据《湖南不动产登记数据库标准（试行）》分析、判断、检查整库数据的逻辑关联性是否符合规定，数据关系链是否完整，编码是否符合逻辑等。</w:t>
            </w:r>
          </w:p>
        </w:tc>
      </w:tr>
      <w:tr w14:paraId="7BC7B960">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5A061106">
            <w:pPr>
              <w:widowControl/>
              <w:jc w:val="center"/>
              <w:rPr>
                <w:rFonts w:hint="eastAsia" w:ascii="宋体" w:hAnsi="宋体" w:cs="宋体"/>
                <w:color w:val="000000"/>
                <w:kern w:val="0"/>
                <w:szCs w:val="21"/>
              </w:rPr>
            </w:pPr>
            <w:r>
              <w:rPr>
                <w:rFonts w:hint="eastAsia" w:ascii="宋体" w:hAnsi="宋体" w:cs="宋体"/>
                <w:color w:val="000000"/>
                <w:kern w:val="0"/>
                <w:szCs w:val="21"/>
              </w:rPr>
              <w:t>6</w:t>
            </w:r>
          </w:p>
        </w:tc>
        <w:tc>
          <w:tcPr>
            <w:tcW w:w="510" w:type="pct"/>
            <w:vMerge w:val="continue"/>
            <w:tcBorders>
              <w:left w:val="single" w:color="000000" w:sz="4" w:space="0"/>
              <w:right w:val="single" w:color="000000" w:sz="4" w:space="0"/>
            </w:tcBorders>
            <w:vAlign w:val="center"/>
          </w:tcPr>
          <w:p w14:paraId="35C7F4AA">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5301DD4C">
            <w:pPr>
              <w:widowControl/>
              <w:jc w:val="center"/>
              <w:rPr>
                <w:rFonts w:hint="eastAsia" w:ascii="宋体" w:hAnsi="宋体" w:cs="宋体"/>
                <w:color w:val="000000"/>
                <w:kern w:val="0"/>
                <w:szCs w:val="21"/>
              </w:rPr>
            </w:pPr>
            <w:r>
              <w:rPr>
                <w:rFonts w:hint="eastAsia" w:ascii="宋体" w:hAnsi="宋体" w:cs="宋体"/>
                <w:color w:val="000000"/>
                <w:kern w:val="0"/>
                <w:szCs w:val="21"/>
              </w:rPr>
              <w:t>数据缺失比对</w:t>
            </w:r>
          </w:p>
        </w:tc>
        <w:tc>
          <w:tcPr>
            <w:tcW w:w="3259" w:type="pct"/>
            <w:tcBorders>
              <w:top w:val="single" w:color="000000" w:sz="4" w:space="0"/>
              <w:left w:val="single" w:color="000000" w:sz="4" w:space="0"/>
              <w:bottom w:val="single" w:color="000000" w:sz="4" w:space="0"/>
              <w:right w:val="single" w:color="000000" w:sz="4" w:space="0"/>
            </w:tcBorders>
            <w:vAlign w:val="center"/>
          </w:tcPr>
          <w:p w14:paraId="099387A7">
            <w:pPr>
              <w:widowControl/>
              <w:jc w:val="left"/>
              <w:rPr>
                <w:rFonts w:hint="eastAsia" w:ascii="宋体" w:hAnsi="宋体" w:cs="宋体"/>
                <w:color w:val="000000"/>
                <w:kern w:val="0"/>
                <w:szCs w:val="21"/>
              </w:rPr>
            </w:pPr>
            <w:r>
              <w:rPr>
                <w:rFonts w:hint="eastAsia" w:ascii="宋体" w:hAnsi="宋体" w:cs="宋体"/>
                <w:color w:val="000000"/>
                <w:kern w:val="0"/>
                <w:szCs w:val="21"/>
              </w:rPr>
              <w:t>进行转换后的不动产登记数据与湖南省不动产日常汇交数据库的数据进行数据条目比对、关键属性信息比对，形成对比分析文档。并对产生的问题数据进行分析，能合规地通过技术手段处理的进行数据处理。</w:t>
            </w:r>
          </w:p>
        </w:tc>
      </w:tr>
      <w:tr w14:paraId="7DC2B99A">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bottom w:val="nil"/>
              <w:right w:val="single" w:color="000000" w:sz="4" w:space="0"/>
            </w:tcBorders>
            <w:vAlign w:val="center"/>
          </w:tcPr>
          <w:p w14:paraId="66FADA82">
            <w:pPr>
              <w:jc w:val="center"/>
              <w:rPr>
                <w:rFonts w:hint="eastAsia" w:ascii="宋体" w:hAnsi="宋体" w:cs="宋体"/>
                <w:color w:val="000000"/>
                <w:kern w:val="0"/>
                <w:szCs w:val="21"/>
              </w:rPr>
            </w:pPr>
            <w:r>
              <w:rPr>
                <w:rFonts w:hint="eastAsia" w:ascii="宋体" w:hAnsi="宋体" w:cs="宋体"/>
                <w:color w:val="000000"/>
                <w:kern w:val="0"/>
                <w:szCs w:val="21"/>
              </w:rPr>
              <w:t>7</w:t>
            </w:r>
          </w:p>
        </w:tc>
        <w:tc>
          <w:tcPr>
            <w:tcW w:w="510" w:type="pct"/>
            <w:vMerge w:val="continue"/>
            <w:tcBorders>
              <w:left w:val="single" w:color="000000" w:sz="4" w:space="0"/>
              <w:bottom w:val="nil"/>
              <w:right w:val="single" w:color="000000" w:sz="4" w:space="0"/>
            </w:tcBorders>
            <w:vAlign w:val="center"/>
          </w:tcPr>
          <w:p w14:paraId="409D93E1">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nil"/>
              <w:right w:val="single" w:color="000000" w:sz="4" w:space="0"/>
            </w:tcBorders>
            <w:vAlign w:val="center"/>
          </w:tcPr>
          <w:p w14:paraId="783EF2BB">
            <w:pPr>
              <w:widowControl/>
              <w:jc w:val="center"/>
              <w:rPr>
                <w:rFonts w:hint="eastAsia" w:ascii="宋体" w:hAnsi="宋体" w:cs="宋体"/>
                <w:color w:val="000000"/>
                <w:kern w:val="0"/>
                <w:szCs w:val="21"/>
              </w:rPr>
            </w:pPr>
            <w:r>
              <w:rPr>
                <w:rFonts w:hint="eastAsia" w:ascii="宋体" w:hAnsi="宋体" w:cs="宋体"/>
                <w:color w:val="000000"/>
                <w:kern w:val="0"/>
                <w:szCs w:val="21"/>
              </w:rPr>
              <w:t>数据入库</w:t>
            </w:r>
          </w:p>
        </w:tc>
        <w:tc>
          <w:tcPr>
            <w:tcW w:w="3259" w:type="pct"/>
            <w:tcBorders>
              <w:top w:val="single" w:color="000000" w:sz="4" w:space="0"/>
              <w:left w:val="single" w:color="000000" w:sz="4" w:space="0"/>
              <w:bottom w:val="single" w:color="000000" w:sz="4" w:space="0"/>
              <w:right w:val="single" w:color="000000" w:sz="4" w:space="0"/>
            </w:tcBorders>
            <w:vAlign w:val="center"/>
          </w:tcPr>
          <w:p w14:paraId="21F2E187">
            <w:pPr>
              <w:widowControl/>
              <w:jc w:val="left"/>
              <w:rPr>
                <w:rFonts w:hint="eastAsia" w:ascii="宋体" w:hAnsi="宋体" w:cs="宋体"/>
                <w:color w:val="000000"/>
                <w:kern w:val="0"/>
                <w:szCs w:val="21"/>
              </w:rPr>
            </w:pPr>
            <w:r>
              <w:rPr>
                <w:rFonts w:hint="eastAsia" w:ascii="宋体" w:hAnsi="宋体" w:cs="宋体"/>
                <w:color w:val="000000"/>
                <w:kern w:val="0"/>
                <w:szCs w:val="21"/>
              </w:rPr>
              <w:t>矢量数据：将检查没有问题的宗地图形、自然幢图形、面状定着物、图形属性等其他矢量数据进行入库。按照现有不动产登记统一平台和数据库结构，入到不动产登记库中。在不动产登记统一平台中，对入库数据进行查询及数据应用测试。</w:t>
            </w:r>
          </w:p>
        </w:tc>
      </w:tr>
      <w:tr w14:paraId="4BA22DF3">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325746AD">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593F2CE5">
            <w:pPr>
              <w:widowControl/>
              <w:jc w:val="left"/>
              <w:rPr>
                <w:rFonts w:ascii="宋体" w:hAnsi="宋体" w:cs="宋体"/>
                <w:color w:val="000000"/>
                <w:kern w:val="0"/>
                <w:szCs w:val="21"/>
              </w:rPr>
            </w:pPr>
          </w:p>
        </w:tc>
        <w:tc>
          <w:tcPr>
            <w:tcW w:w="953" w:type="pct"/>
            <w:vMerge w:val="continue"/>
            <w:tcBorders>
              <w:left w:val="single" w:color="000000" w:sz="4" w:space="0"/>
              <w:right w:val="single" w:color="000000" w:sz="4" w:space="0"/>
            </w:tcBorders>
            <w:vAlign w:val="center"/>
          </w:tcPr>
          <w:p w14:paraId="67AA230F">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050FD670">
            <w:pPr>
              <w:widowControl/>
              <w:jc w:val="left"/>
              <w:rPr>
                <w:rFonts w:hint="eastAsia" w:ascii="宋体" w:hAnsi="宋体" w:cs="宋体"/>
                <w:color w:val="000000"/>
                <w:kern w:val="0"/>
                <w:szCs w:val="21"/>
              </w:rPr>
            </w:pPr>
            <w:r>
              <w:rPr>
                <w:rFonts w:hint="eastAsia" w:ascii="宋体" w:hAnsi="宋体" w:cs="宋体"/>
                <w:color w:val="000000"/>
                <w:kern w:val="0"/>
                <w:szCs w:val="21"/>
              </w:rPr>
              <w:t>登记数据：将检查没有问题的不动产登记业务数据进行入库。按照现有不动产登记统一平台和数据库结构，入到不动产登记库中。在不动产登记统一平台中，对入库数据进行查询及数据应用测试。</w:t>
            </w:r>
          </w:p>
        </w:tc>
      </w:tr>
      <w:tr w14:paraId="1EB4EC03">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27C9A403">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7DA5CDAB">
            <w:pPr>
              <w:widowControl/>
              <w:jc w:val="left"/>
              <w:rPr>
                <w:rFonts w:ascii="宋体" w:hAnsi="宋体" w:cs="宋体"/>
                <w:color w:val="000000"/>
                <w:kern w:val="0"/>
                <w:szCs w:val="21"/>
              </w:rPr>
            </w:pPr>
          </w:p>
        </w:tc>
        <w:tc>
          <w:tcPr>
            <w:tcW w:w="953" w:type="pct"/>
            <w:vMerge w:val="continue"/>
            <w:tcBorders>
              <w:left w:val="single" w:color="000000" w:sz="4" w:space="0"/>
              <w:right w:val="single" w:color="000000" w:sz="4" w:space="0"/>
            </w:tcBorders>
            <w:vAlign w:val="center"/>
          </w:tcPr>
          <w:p w14:paraId="5CD01D5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7038FEB">
            <w:pPr>
              <w:widowControl/>
              <w:jc w:val="left"/>
              <w:rPr>
                <w:rFonts w:hint="eastAsia" w:ascii="宋体" w:hAnsi="宋体" w:cs="宋体"/>
                <w:color w:val="000000"/>
                <w:kern w:val="0"/>
                <w:szCs w:val="21"/>
              </w:rPr>
            </w:pPr>
            <w:r>
              <w:rPr>
                <w:rFonts w:hint="eastAsia" w:ascii="宋体" w:hAnsi="宋体" w:cs="宋体"/>
                <w:color w:val="000000"/>
                <w:kern w:val="0"/>
                <w:szCs w:val="21"/>
              </w:rPr>
              <w:t>楼盘表数据：将检查没有问题的楼盘表数据进行入库。按照现有不动产登记统一平台和数据库结构，入到不动产登记库中。在不动产登记统一平台中，对入库数据进行查询及数据应用测试。</w:t>
            </w:r>
          </w:p>
        </w:tc>
      </w:tr>
      <w:tr w14:paraId="73B61837">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1DCEE710">
            <w:pPr>
              <w:widowControl/>
              <w:jc w:val="center"/>
              <w:rPr>
                <w:rFonts w:hint="eastAsia" w:ascii="宋体" w:hAnsi="宋体" w:cs="宋体"/>
                <w:color w:val="000000"/>
                <w:kern w:val="0"/>
                <w:szCs w:val="21"/>
              </w:rPr>
            </w:pPr>
          </w:p>
        </w:tc>
        <w:tc>
          <w:tcPr>
            <w:tcW w:w="510" w:type="pct"/>
            <w:vMerge w:val="continue"/>
            <w:tcBorders>
              <w:left w:val="single" w:color="000000" w:sz="4" w:space="0"/>
              <w:bottom w:val="single" w:color="000000" w:sz="4" w:space="0"/>
              <w:right w:val="single" w:color="000000" w:sz="4" w:space="0"/>
            </w:tcBorders>
            <w:vAlign w:val="center"/>
          </w:tcPr>
          <w:p w14:paraId="25831E97">
            <w:pPr>
              <w:widowControl/>
              <w:jc w:val="left"/>
              <w:rPr>
                <w:rFonts w:ascii="宋体" w:hAnsi="宋体" w:cs="宋体"/>
                <w:color w:val="000000"/>
                <w:kern w:val="0"/>
                <w:szCs w:val="21"/>
              </w:rPr>
            </w:pPr>
          </w:p>
        </w:tc>
        <w:tc>
          <w:tcPr>
            <w:tcW w:w="953" w:type="pct"/>
            <w:vMerge w:val="continue"/>
            <w:tcBorders>
              <w:left w:val="single" w:color="000000" w:sz="4" w:space="0"/>
              <w:bottom w:val="single" w:color="000000" w:sz="4" w:space="0"/>
              <w:right w:val="single" w:color="000000" w:sz="4" w:space="0"/>
            </w:tcBorders>
            <w:vAlign w:val="center"/>
          </w:tcPr>
          <w:p w14:paraId="32394F2A">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5B9EBC99">
            <w:pPr>
              <w:widowControl/>
              <w:jc w:val="left"/>
              <w:rPr>
                <w:rFonts w:hint="eastAsia" w:ascii="宋体" w:hAnsi="宋体" w:cs="宋体"/>
                <w:color w:val="000000"/>
                <w:kern w:val="0"/>
                <w:szCs w:val="21"/>
              </w:rPr>
            </w:pPr>
            <w:r>
              <w:rPr>
                <w:rFonts w:hint="eastAsia" w:ascii="宋体" w:hAnsi="宋体" w:cs="宋体"/>
                <w:color w:val="000000"/>
                <w:kern w:val="0"/>
                <w:szCs w:val="21"/>
              </w:rPr>
              <w:t>档案数据：将检查没有问题的档案数据进行入库。按照现有不动产登记统一平台和数据库结构，入到不动产登记库中。在不动产登记统一平台中，对入库数据进行查询及数据应用测试。</w:t>
            </w:r>
          </w:p>
        </w:tc>
      </w:tr>
      <w:tr w14:paraId="72C09A6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2BCBDFA2">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8 </w:t>
            </w:r>
          </w:p>
        </w:tc>
        <w:tc>
          <w:tcPr>
            <w:tcW w:w="1463" w:type="pct"/>
            <w:gridSpan w:val="2"/>
            <w:tcBorders>
              <w:top w:val="single" w:color="000000" w:sz="4" w:space="0"/>
              <w:left w:val="single" w:color="000000" w:sz="4" w:space="0"/>
              <w:bottom w:val="single" w:color="000000" w:sz="4" w:space="0"/>
              <w:right w:val="single" w:color="000000" w:sz="4" w:space="0"/>
            </w:tcBorders>
            <w:vAlign w:val="center"/>
          </w:tcPr>
          <w:p w14:paraId="3D05C96E">
            <w:pPr>
              <w:widowControl/>
              <w:jc w:val="center"/>
              <w:rPr>
                <w:rFonts w:hint="eastAsia" w:ascii="宋体" w:hAnsi="宋体" w:cs="宋体"/>
                <w:color w:val="000000"/>
                <w:kern w:val="0"/>
                <w:szCs w:val="21"/>
              </w:rPr>
            </w:pPr>
            <w:r>
              <w:rPr>
                <w:rFonts w:hint="eastAsia" w:ascii="宋体" w:hAnsi="宋体" w:cs="宋体"/>
                <w:color w:val="000000"/>
                <w:kern w:val="0"/>
                <w:szCs w:val="21"/>
              </w:rPr>
              <w:t>实施、部署、培训</w:t>
            </w:r>
          </w:p>
        </w:tc>
        <w:tc>
          <w:tcPr>
            <w:tcW w:w="3259" w:type="pct"/>
            <w:tcBorders>
              <w:top w:val="single" w:color="000000" w:sz="4" w:space="0"/>
              <w:left w:val="single" w:color="000000" w:sz="4" w:space="0"/>
              <w:bottom w:val="single" w:color="000000" w:sz="4" w:space="0"/>
              <w:right w:val="single" w:color="000000" w:sz="4" w:space="0"/>
            </w:tcBorders>
            <w:vAlign w:val="center"/>
          </w:tcPr>
          <w:p w14:paraId="1152A0C8">
            <w:pPr>
              <w:widowControl/>
              <w:jc w:val="left"/>
              <w:rPr>
                <w:rFonts w:hint="eastAsia" w:ascii="宋体" w:hAnsi="宋体" w:cs="宋体"/>
                <w:color w:val="000000"/>
                <w:kern w:val="0"/>
                <w:szCs w:val="21"/>
              </w:rPr>
            </w:pPr>
            <w:r>
              <w:rPr>
                <w:rFonts w:hint="eastAsia" w:ascii="宋体" w:hAnsi="宋体" w:cs="宋体"/>
                <w:color w:val="000000"/>
                <w:kern w:val="0"/>
                <w:szCs w:val="21"/>
              </w:rPr>
              <w:t>以省级统一不动产登记平台和数据库为基础，在符合全省统一不动产数据库标准，业务标准的前提下，部署、完善不动产权籍管理系统、不动产登记系统、不动产日常数据汇交服务，满足地方不动产登记服务及管理的需要。</w:t>
            </w:r>
          </w:p>
          <w:p w14:paraId="29EEC5C4">
            <w:pPr>
              <w:widowControl/>
              <w:jc w:val="left"/>
              <w:rPr>
                <w:rFonts w:hint="eastAsia" w:ascii="宋体" w:hAnsi="宋体" w:cs="宋体"/>
                <w:color w:val="000000"/>
                <w:kern w:val="0"/>
                <w:szCs w:val="21"/>
              </w:rPr>
            </w:pPr>
            <w:r>
              <w:rPr>
                <w:rFonts w:hint="eastAsia" w:ascii="宋体" w:hAnsi="宋体" w:cs="宋体"/>
                <w:color w:val="000000"/>
                <w:kern w:val="0"/>
                <w:szCs w:val="21"/>
              </w:rPr>
              <w:t>1.系统配置</w:t>
            </w:r>
          </w:p>
          <w:p w14:paraId="4825B104">
            <w:pPr>
              <w:widowControl/>
              <w:jc w:val="left"/>
              <w:rPr>
                <w:rFonts w:hint="eastAsia" w:ascii="宋体" w:hAnsi="宋体" w:cs="宋体"/>
                <w:color w:val="000000"/>
                <w:kern w:val="0"/>
                <w:szCs w:val="21"/>
              </w:rPr>
            </w:pPr>
            <w:r>
              <w:rPr>
                <w:rFonts w:hint="eastAsia" w:ascii="宋体" w:hAnsi="宋体" w:cs="宋体"/>
                <w:color w:val="000000"/>
                <w:kern w:val="0"/>
                <w:szCs w:val="21"/>
              </w:rPr>
              <w:t>根据不动产登记中心要求调整相关业务流程环境，根据人员岗位、机构清单、事项清单及承诺办结时间配置系统业务流程，流程参与者配置，用户配置等。</w:t>
            </w:r>
          </w:p>
          <w:p w14:paraId="6904C4DC">
            <w:pPr>
              <w:widowControl/>
              <w:jc w:val="left"/>
              <w:rPr>
                <w:rFonts w:hint="eastAsia" w:ascii="宋体" w:hAnsi="宋体" w:cs="宋体"/>
                <w:color w:val="000000"/>
                <w:kern w:val="0"/>
                <w:szCs w:val="21"/>
              </w:rPr>
            </w:pPr>
            <w:r>
              <w:rPr>
                <w:rFonts w:hint="eastAsia" w:ascii="宋体" w:hAnsi="宋体" w:cs="宋体"/>
                <w:color w:val="000000"/>
                <w:kern w:val="0"/>
                <w:szCs w:val="21"/>
              </w:rPr>
              <w:t>2.服务端实施</w:t>
            </w:r>
          </w:p>
          <w:p w14:paraId="77012707">
            <w:pPr>
              <w:widowControl/>
              <w:jc w:val="left"/>
              <w:rPr>
                <w:rFonts w:hint="eastAsia" w:ascii="宋体" w:hAnsi="宋体" w:cs="宋体"/>
                <w:color w:val="000000"/>
                <w:kern w:val="0"/>
                <w:szCs w:val="21"/>
              </w:rPr>
            </w:pPr>
            <w:r>
              <w:rPr>
                <w:rFonts w:hint="eastAsia" w:ascii="宋体" w:hAnsi="宋体" w:cs="宋体"/>
                <w:color w:val="000000"/>
                <w:kern w:val="0"/>
                <w:szCs w:val="21"/>
              </w:rPr>
              <w:t>对不动产权籍管理系统、不动产登记系统、不动产日常数据汇交服务等实施部署，同时进行备份服务器部署及数据库从库部署。</w:t>
            </w:r>
          </w:p>
          <w:p w14:paraId="02432218">
            <w:pPr>
              <w:widowControl/>
              <w:jc w:val="left"/>
              <w:rPr>
                <w:rFonts w:hint="eastAsia" w:ascii="宋体" w:hAnsi="宋体" w:cs="宋体"/>
                <w:color w:val="000000"/>
                <w:kern w:val="0"/>
                <w:szCs w:val="21"/>
              </w:rPr>
            </w:pPr>
            <w:r>
              <w:rPr>
                <w:rFonts w:hint="eastAsia" w:ascii="宋体" w:hAnsi="宋体" w:cs="宋体"/>
                <w:color w:val="000000"/>
                <w:kern w:val="0"/>
                <w:szCs w:val="21"/>
              </w:rPr>
              <w:t>3.客户端调试</w:t>
            </w:r>
          </w:p>
          <w:p w14:paraId="647FB195">
            <w:pPr>
              <w:widowControl/>
              <w:jc w:val="left"/>
              <w:rPr>
                <w:rFonts w:hint="eastAsia" w:ascii="宋体" w:hAnsi="宋体" w:cs="宋体"/>
                <w:color w:val="000000"/>
                <w:kern w:val="0"/>
                <w:szCs w:val="21"/>
              </w:rPr>
            </w:pPr>
            <w:r>
              <w:rPr>
                <w:rFonts w:hint="eastAsia" w:ascii="宋体" w:hAnsi="宋体" w:cs="宋体"/>
                <w:color w:val="000000"/>
                <w:kern w:val="0"/>
                <w:szCs w:val="21"/>
              </w:rPr>
              <w:t xml:space="preserve">系统部署完成后，安排专业的技术人员到不动产登记中心窗口，进行客户端的调试，主要包含：电脑、打印机、打证机、高拍仪、扫描仪等。 </w:t>
            </w:r>
          </w:p>
          <w:p w14:paraId="11CC8A2F">
            <w:pPr>
              <w:widowControl/>
              <w:jc w:val="left"/>
              <w:rPr>
                <w:rFonts w:hint="eastAsia" w:ascii="宋体" w:hAnsi="宋体" w:cs="宋体"/>
                <w:color w:val="000000"/>
                <w:kern w:val="0"/>
                <w:szCs w:val="21"/>
              </w:rPr>
            </w:pPr>
            <w:r>
              <w:rPr>
                <w:rFonts w:hint="eastAsia" w:ascii="宋体" w:hAnsi="宋体" w:cs="宋体"/>
                <w:color w:val="000000"/>
                <w:kern w:val="0"/>
                <w:szCs w:val="21"/>
              </w:rPr>
              <w:t>4.上线跟踪服务</w:t>
            </w:r>
          </w:p>
          <w:p w14:paraId="220D4945">
            <w:pPr>
              <w:widowControl/>
              <w:jc w:val="left"/>
              <w:rPr>
                <w:rFonts w:hint="eastAsia" w:ascii="宋体" w:hAnsi="宋体" w:cs="宋体"/>
                <w:color w:val="000000"/>
                <w:kern w:val="0"/>
                <w:szCs w:val="21"/>
              </w:rPr>
            </w:pPr>
            <w:r>
              <w:rPr>
                <w:rFonts w:hint="eastAsia" w:ascii="宋体" w:hAnsi="宋体" w:cs="宋体"/>
                <w:color w:val="000000"/>
                <w:kern w:val="0"/>
                <w:szCs w:val="21"/>
              </w:rPr>
              <w:t>安排专业的技术人员提供2～3个月的技术支持保障服务，解决不动产日常登记过程中的问题。主要提供系统配置、客户端调试、上线跟踪服务、培训服务、咨询服务、疑问及问题解决服务、数据共享推送维护服务、数据日常汇交服务等。</w:t>
            </w:r>
          </w:p>
        </w:tc>
      </w:tr>
      <w:tr w14:paraId="378AD293">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35E1EE96">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二、共享对接及优化营商环境建设</w:t>
            </w:r>
          </w:p>
        </w:tc>
      </w:tr>
      <w:tr w14:paraId="6C26716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63BD2253">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tcBorders>
              <w:top w:val="single" w:color="000000" w:sz="4" w:space="0"/>
              <w:left w:val="single" w:color="000000" w:sz="4" w:space="0"/>
              <w:bottom w:val="single" w:color="000000" w:sz="4" w:space="0"/>
              <w:right w:val="single" w:color="000000" w:sz="4" w:space="0"/>
            </w:tcBorders>
            <w:vAlign w:val="center"/>
          </w:tcPr>
          <w:p w14:paraId="69DAAA95">
            <w:pPr>
              <w:widowControl/>
              <w:jc w:val="center"/>
              <w:rPr>
                <w:rFonts w:hint="eastAsia" w:ascii="宋体" w:hAnsi="宋体" w:cs="宋体"/>
                <w:color w:val="000000"/>
                <w:kern w:val="0"/>
                <w:szCs w:val="21"/>
              </w:rPr>
            </w:pPr>
            <w:r>
              <w:rPr>
                <w:rFonts w:hint="eastAsia" w:ascii="宋体" w:hAnsi="宋体" w:cs="宋体"/>
                <w:color w:val="000000"/>
                <w:kern w:val="0"/>
                <w:szCs w:val="21"/>
              </w:rPr>
              <w:t>部省级数据共享对接联调</w:t>
            </w:r>
          </w:p>
        </w:tc>
        <w:tc>
          <w:tcPr>
            <w:tcW w:w="4212" w:type="pct"/>
            <w:gridSpan w:val="2"/>
            <w:tcBorders>
              <w:top w:val="single" w:color="000000" w:sz="4" w:space="0"/>
              <w:left w:val="single" w:color="000000" w:sz="4" w:space="0"/>
              <w:bottom w:val="single" w:color="000000" w:sz="4" w:space="0"/>
              <w:right w:val="single" w:color="000000" w:sz="4" w:space="0"/>
            </w:tcBorders>
            <w:vAlign w:val="center"/>
          </w:tcPr>
          <w:p w14:paraId="16483BAF">
            <w:pPr>
              <w:widowControl/>
              <w:jc w:val="left"/>
              <w:rPr>
                <w:rFonts w:hint="eastAsia" w:ascii="宋体" w:hAnsi="宋体" w:cs="宋体"/>
                <w:color w:val="000000"/>
                <w:kern w:val="0"/>
                <w:szCs w:val="21"/>
              </w:rPr>
            </w:pPr>
            <w:r>
              <w:rPr>
                <w:rFonts w:hint="eastAsia" w:ascii="宋体" w:hAnsi="宋体" w:cs="宋体"/>
                <w:color w:val="000000"/>
                <w:kern w:val="0"/>
                <w:szCs w:val="21"/>
              </w:rPr>
              <w:t>集成数据共享，主要包括与公安、民政、市监局、非税、税务、司法机关等部门的对接及联调测试。深化不动产登记相关数据共享应用，实现不动产登记相关业务的共享查询、共享核验、共享获取、协同办理。</w:t>
            </w:r>
          </w:p>
        </w:tc>
      </w:tr>
      <w:tr w14:paraId="26406BB0">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6BEAE7D">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tcBorders>
              <w:top w:val="single" w:color="000000" w:sz="4" w:space="0"/>
              <w:left w:val="single" w:color="000000" w:sz="4" w:space="0"/>
              <w:bottom w:val="single" w:color="000000" w:sz="4" w:space="0"/>
              <w:right w:val="single" w:color="000000" w:sz="4" w:space="0"/>
            </w:tcBorders>
            <w:vAlign w:val="center"/>
          </w:tcPr>
          <w:p w14:paraId="4C38B67E">
            <w:pPr>
              <w:widowControl/>
              <w:jc w:val="center"/>
              <w:rPr>
                <w:rFonts w:hint="eastAsia" w:ascii="宋体" w:hAnsi="宋体" w:cs="宋体"/>
                <w:color w:val="000000"/>
                <w:kern w:val="0"/>
                <w:szCs w:val="21"/>
              </w:rPr>
            </w:pPr>
            <w:r>
              <w:rPr>
                <w:rFonts w:hint="eastAsia" w:ascii="宋体" w:hAnsi="宋体" w:cs="宋体"/>
                <w:color w:val="000000"/>
                <w:kern w:val="0"/>
                <w:szCs w:val="21"/>
              </w:rPr>
              <w:t>省级系统对接联调</w:t>
            </w:r>
          </w:p>
        </w:tc>
        <w:tc>
          <w:tcPr>
            <w:tcW w:w="4212" w:type="pct"/>
            <w:gridSpan w:val="2"/>
            <w:tcBorders>
              <w:top w:val="single" w:color="000000" w:sz="4" w:space="0"/>
              <w:left w:val="single" w:color="000000" w:sz="4" w:space="0"/>
              <w:bottom w:val="single" w:color="000000" w:sz="4" w:space="0"/>
              <w:right w:val="single" w:color="000000" w:sz="4" w:space="0"/>
            </w:tcBorders>
            <w:vAlign w:val="center"/>
          </w:tcPr>
          <w:p w14:paraId="2F09CE69">
            <w:pPr>
              <w:widowControl/>
              <w:jc w:val="left"/>
              <w:rPr>
                <w:rFonts w:hint="eastAsia" w:ascii="宋体" w:hAnsi="宋体" w:cs="宋体"/>
                <w:color w:val="000000"/>
                <w:kern w:val="0"/>
                <w:szCs w:val="21"/>
              </w:rPr>
            </w:pPr>
            <w:r>
              <w:rPr>
                <w:rFonts w:hint="eastAsia" w:ascii="宋体" w:hAnsi="宋体" w:cs="宋体"/>
                <w:color w:val="000000"/>
                <w:kern w:val="0"/>
                <w:szCs w:val="21"/>
              </w:rPr>
              <w:t>实现不动产登记系统与湖南省不动产电子证照系统、湖南省不动产微信公众号、湖南省不动产支付宝小程序、湖南省不动产网站、湖南省不动产登记“一窗办事”平台等的对接及联调测试，全面提升不动产便民服务水平。</w:t>
            </w:r>
          </w:p>
        </w:tc>
      </w:tr>
      <w:tr w14:paraId="1031727E">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noWrap/>
            <w:vAlign w:val="center"/>
          </w:tcPr>
          <w:p w14:paraId="1F1A2CF2">
            <w:pPr>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4A3B0752">
            <w:pPr>
              <w:widowControl/>
              <w:jc w:val="center"/>
              <w:rPr>
                <w:rFonts w:hint="eastAsia" w:ascii="宋体" w:hAnsi="宋体" w:cs="宋体"/>
                <w:color w:val="000000"/>
                <w:kern w:val="0"/>
                <w:szCs w:val="21"/>
              </w:rPr>
            </w:pPr>
            <w:r>
              <w:rPr>
                <w:rFonts w:hint="eastAsia" w:ascii="宋体" w:hAnsi="宋体" w:cs="宋体"/>
                <w:color w:val="000000"/>
                <w:kern w:val="0"/>
                <w:szCs w:val="21"/>
              </w:rPr>
              <w:t>优化营商环境建设</w:t>
            </w:r>
          </w:p>
        </w:tc>
        <w:tc>
          <w:tcPr>
            <w:tcW w:w="953" w:type="pct"/>
            <w:tcBorders>
              <w:top w:val="single" w:color="000000" w:sz="4" w:space="0"/>
              <w:left w:val="single" w:color="000000" w:sz="4" w:space="0"/>
              <w:bottom w:val="single" w:color="000000" w:sz="4" w:space="0"/>
              <w:right w:val="single" w:color="000000" w:sz="4" w:space="0"/>
            </w:tcBorders>
            <w:vAlign w:val="center"/>
          </w:tcPr>
          <w:p w14:paraId="5594B299">
            <w:pPr>
              <w:widowControl/>
              <w:jc w:val="center"/>
              <w:rPr>
                <w:rFonts w:hint="eastAsia" w:ascii="宋体" w:hAnsi="宋体" w:cs="宋体"/>
                <w:color w:val="000000"/>
                <w:kern w:val="0"/>
                <w:szCs w:val="21"/>
              </w:rPr>
            </w:pPr>
            <w:r>
              <w:rPr>
                <w:rFonts w:hint="eastAsia" w:ascii="宋体" w:hAnsi="宋体" w:cs="宋体"/>
                <w:color w:val="000000"/>
                <w:kern w:val="0"/>
                <w:szCs w:val="21"/>
              </w:rPr>
              <w:t>自助查询设备对接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4494814E">
            <w:pPr>
              <w:widowControl/>
              <w:jc w:val="left"/>
              <w:rPr>
                <w:rFonts w:hint="eastAsia" w:ascii="宋体" w:hAnsi="宋体" w:cs="宋体"/>
                <w:color w:val="000000"/>
                <w:kern w:val="0"/>
                <w:szCs w:val="21"/>
              </w:rPr>
            </w:pPr>
            <w:r>
              <w:rPr>
                <w:rFonts w:hint="eastAsia" w:ascii="宋体" w:hAnsi="宋体" w:cs="宋体"/>
                <w:color w:val="000000"/>
                <w:kern w:val="0"/>
                <w:szCs w:val="21"/>
              </w:rPr>
              <w:t>根据采购的自助查询设备，提供所需要的有无房证明查询服务或其他查询服务。</w:t>
            </w:r>
          </w:p>
        </w:tc>
      </w:tr>
      <w:tr w14:paraId="64C7DC68">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5402077E">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CE63DB2">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57D9B618">
            <w:pPr>
              <w:widowControl/>
              <w:jc w:val="center"/>
              <w:rPr>
                <w:rFonts w:hint="eastAsia" w:ascii="宋体" w:hAnsi="宋体" w:cs="宋体"/>
                <w:color w:val="000000"/>
                <w:kern w:val="0"/>
                <w:szCs w:val="21"/>
              </w:rPr>
            </w:pPr>
            <w:r>
              <w:rPr>
                <w:rFonts w:hint="eastAsia" w:ascii="宋体" w:hAnsi="宋体" w:cs="宋体"/>
                <w:color w:val="000000"/>
                <w:kern w:val="0"/>
                <w:szCs w:val="21"/>
              </w:rPr>
              <w:t>住建部门</w:t>
            </w:r>
          </w:p>
        </w:tc>
        <w:tc>
          <w:tcPr>
            <w:tcW w:w="3259" w:type="pct"/>
            <w:tcBorders>
              <w:top w:val="single" w:color="000000" w:sz="4" w:space="0"/>
              <w:left w:val="single" w:color="000000" w:sz="4" w:space="0"/>
              <w:bottom w:val="single" w:color="000000" w:sz="4" w:space="0"/>
              <w:right w:val="single" w:color="000000" w:sz="4" w:space="0"/>
            </w:tcBorders>
            <w:vAlign w:val="center"/>
          </w:tcPr>
          <w:p w14:paraId="562BAE3A">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利用区块链实现不动产登记系统与住建部门数据共享。</w:t>
            </w:r>
          </w:p>
        </w:tc>
      </w:tr>
      <w:tr w14:paraId="6DECAA5F">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625F6CDA">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1DFD6B1">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033C0292">
            <w:pPr>
              <w:widowControl/>
              <w:jc w:val="center"/>
              <w:rPr>
                <w:rFonts w:hint="eastAsia" w:ascii="宋体" w:hAnsi="宋体" w:cs="宋体"/>
                <w:color w:val="000000"/>
                <w:kern w:val="0"/>
                <w:szCs w:val="21"/>
              </w:rPr>
            </w:pPr>
            <w:r>
              <w:rPr>
                <w:rFonts w:hint="eastAsia" w:ascii="宋体" w:hAnsi="宋体" w:cs="宋体"/>
                <w:color w:val="000000"/>
                <w:kern w:val="0"/>
                <w:szCs w:val="21"/>
              </w:rPr>
              <w:t>水、电、气部门</w:t>
            </w:r>
          </w:p>
        </w:tc>
        <w:tc>
          <w:tcPr>
            <w:tcW w:w="3259" w:type="pct"/>
            <w:tcBorders>
              <w:top w:val="single" w:color="000000" w:sz="4" w:space="0"/>
              <w:left w:val="single" w:color="000000" w:sz="4" w:space="0"/>
              <w:bottom w:val="single" w:color="000000" w:sz="4" w:space="0"/>
              <w:right w:val="single" w:color="000000" w:sz="4" w:space="0"/>
            </w:tcBorders>
            <w:vAlign w:val="center"/>
          </w:tcPr>
          <w:p w14:paraId="303B4C58">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利用区块链实现不动产登记系统与水电气部门数据共享。</w:t>
            </w:r>
          </w:p>
        </w:tc>
      </w:tr>
      <w:tr w14:paraId="0ACD2E94">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2B50F1FA">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B5FDA36">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07433405">
            <w:pPr>
              <w:widowControl/>
              <w:jc w:val="center"/>
              <w:rPr>
                <w:rFonts w:hint="eastAsia" w:ascii="宋体" w:hAnsi="宋体" w:cs="宋体"/>
                <w:color w:val="000000"/>
                <w:kern w:val="0"/>
                <w:szCs w:val="21"/>
              </w:rPr>
            </w:pPr>
            <w:r>
              <w:rPr>
                <w:rFonts w:hint="eastAsia" w:ascii="宋体" w:hAnsi="宋体" w:cs="宋体"/>
                <w:color w:val="000000"/>
                <w:kern w:val="0"/>
                <w:szCs w:val="21"/>
              </w:rPr>
              <w:t>行政审批服务中心</w:t>
            </w:r>
          </w:p>
        </w:tc>
        <w:tc>
          <w:tcPr>
            <w:tcW w:w="3259" w:type="pct"/>
            <w:tcBorders>
              <w:top w:val="single" w:color="000000" w:sz="4" w:space="0"/>
              <w:left w:val="single" w:color="000000" w:sz="4" w:space="0"/>
              <w:bottom w:val="single" w:color="000000" w:sz="4" w:space="0"/>
              <w:right w:val="single" w:color="000000" w:sz="4" w:space="0"/>
            </w:tcBorders>
            <w:vAlign w:val="center"/>
          </w:tcPr>
          <w:p w14:paraId="382F5498">
            <w:pPr>
              <w:widowControl/>
              <w:jc w:val="left"/>
              <w:rPr>
                <w:rFonts w:hint="eastAsia" w:ascii="宋体" w:hAnsi="宋体" w:cs="宋体"/>
                <w:color w:val="000000"/>
                <w:kern w:val="0"/>
                <w:szCs w:val="21"/>
              </w:rPr>
            </w:pPr>
            <w:r>
              <w:rPr>
                <w:rFonts w:hint="eastAsia" w:ascii="宋体" w:hAnsi="宋体" w:cs="宋体"/>
                <w:color w:val="000000"/>
                <w:kern w:val="0"/>
                <w:szCs w:val="21"/>
              </w:rPr>
              <w:t>实现不动产登记系统与行政审批服务局数据共享。</w:t>
            </w:r>
          </w:p>
        </w:tc>
      </w:tr>
      <w:tr w14:paraId="6E6E58E1">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7C8091B1">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B6240C3">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335B76A5">
            <w:pPr>
              <w:widowControl/>
              <w:jc w:val="center"/>
              <w:rPr>
                <w:rFonts w:hint="eastAsia" w:ascii="宋体" w:hAnsi="宋体" w:cs="宋体"/>
                <w:color w:val="000000"/>
                <w:kern w:val="0"/>
                <w:szCs w:val="21"/>
              </w:rPr>
            </w:pPr>
            <w:r>
              <w:rPr>
                <w:rFonts w:hint="eastAsia" w:ascii="宋体" w:hAnsi="宋体" w:cs="宋体"/>
                <w:color w:val="000000"/>
                <w:kern w:val="0"/>
                <w:szCs w:val="21"/>
              </w:rPr>
              <w:t>与自然资源部门对接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56E370E1">
            <w:pPr>
              <w:widowControl/>
              <w:jc w:val="left"/>
              <w:rPr>
                <w:rFonts w:hint="eastAsia" w:ascii="宋体" w:hAnsi="宋体" w:cs="宋体"/>
                <w:color w:val="000000"/>
                <w:kern w:val="0"/>
                <w:szCs w:val="21"/>
              </w:rPr>
            </w:pPr>
            <w:r>
              <w:rPr>
                <w:rFonts w:hint="eastAsia" w:ascii="宋体" w:hAnsi="宋体" w:cs="宋体"/>
                <w:color w:val="000000"/>
                <w:kern w:val="0"/>
                <w:szCs w:val="21"/>
              </w:rPr>
              <w:t>对接自然资源部门政务平台，实现供地与土地首次登记的一体化办理。</w:t>
            </w:r>
          </w:p>
        </w:tc>
      </w:tr>
      <w:tr w14:paraId="2FB6F321">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1A549438">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9C6F226">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2044726D">
            <w:pPr>
              <w:widowControl/>
              <w:jc w:val="center"/>
              <w:rPr>
                <w:rFonts w:hint="eastAsia" w:ascii="宋体" w:hAnsi="宋体" w:cs="宋体"/>
                <w:color w:val="000000"/>
                <w:kern w:val="0"/>
                <w:szCs w:val="21"/>
              </w:rPr>
            </w:pPr>
            <w:r>
              <w:rPr>
                <w:rFonts w:hint="eastAsia" w:ascii="宋体" w:hAnsi="宋体" w:cs="宋体"/>
                <w:color w:val="000000"/>
                <w:kern w:val="0"/>
                <w:szCs w:val="21"/>
              </w:rPr>
              <w:t>法院对接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7CE6722C">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利用区块链实现不动产登记系统与法院数据共享及业务协同。</w:t>
            </w:r>
          </w:p>
        </w:tc>
      </w:tr>
      <w:tr w14:paraId="50FB61FC">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1899F742">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5AF5047">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11A7A191">
            <w:pPr>
              <w:widowControl/>
              <w:jc w:val="center"/>
              <w:rPr>
                <w:rFonts w:hint="eastAsia" w:ascii="宋体" w:hAnsi="宋体" w:cs="宋体"/>
                <w:color w:val="000000"/>
                <w:kern w:val="0"/>
                <w:szCs w:val="21"/>
              </w:rPr>
            </w:pPr>
            <w:r>
              <w:rPr>
                <w:rFonts w:hint="eastAsia" w:ascii="宋体" w:hAnsi="宋体" w:cs="宋体"/>
                <w:color w:val="000000"/>
                <w:kern w:val="0"/>
                <w:szCs w:val="21"/>
              </w:rPr>
              <w:t>税务对接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66EDEF1F">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利用区块链实现不动产登记系统与税务业务协同。</w:t>
            </w:r>
          </w:p>
        </w:tc>
      </w:tr>
      <w:tr w14:paraId="42AD773E">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56EAE5B3">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C7AE61D">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61DA9118">
            <w:pPr>
              <w:widowControl/>
              <w:jc w:val="center"/>
              <w:rPr>
                <w:rFonts w:hint="eastAsia" w:ascii="宋体" w:hAnsi="宋体" w:cs="宋体"/>
                <w:color w:val="000000"/>
                <w:kern w:val="0"/>
                <w:szCs w:val="21"/>
              </w:rPr>
            </w:pPr>
            <w:r>
              <w:rPr>
                <w:rFonts w:hint="eastAsia" w:ascii="宋体" w:hAnsi="宋体" w:cs="宋体"/>
                <w:color w:val="000000"/>
                <w:kern w:val="0"/>
                <w:szCs w:val="21"/>
              </w:rPr>
              <w:t>公积金对接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18FD2627">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利用区块链实现不动产登记系统与公积金数据共享。</w:t>
            </w:r>
          </w:p>
        </w:tc>
      </w:tr>
      <w:tr w14:paraId="0838303D">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4757A3EA">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三、安全增强平台建设</w:t>
            </w:r>
          </w:p>
        </w:tc>
      </w:tr>
      <w:tr w14:paraId="07A81EB3">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6E9F3AAC">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6D9AC042">
            <w:pPr>
              <w:widowControl/>
              <w:jc w:val="center"/>
              <w:rPr>
                <w:rFonts w:hint="eastAsia" w:ascii="宋体" w:hAnsi="宋体" w:cs="宋体"/>
                <w:color w:val="000000"/>
                <w:kern w:val="0"/>
                <w:szCs w:val="21"/>
              </w:rPr>
            </w:pPr>
            <w:r>
              <w:rPr>
                <w:rFonts w:hint="eastAsia" w:ascii="宋体" w:hAnsi="宋体" w:cs="宋体"/>
                <w:color w:val="000000"/>
                <w:kern w:val="0"/>
                <w:szCs w:val="21"/>
              </w:rPr>
              <w:t>安全增强平台建设</w:t>
            </w:r>
          </w:p>
        </w:tc>
        <w:tc>
          <w:tcPr>
            <w:tcW w:w="953" w:type="pct"/>
            <w:tcBorders>
              <w:top w:val="single" w:color="000000" w:sz="4" w:space="0"/>
              <w:left w:val="single" w:color="000000" w:sz="4" w:space="0"/>
              <w:bottom w:val="single" w:color="000000" w:sz="4" w:space="0"/>
              <w:right w:val="single" w:color="000000" w:sz="4" w:space="0"/>
            </w:tcBorders>
            <w:vAlign w:val="center"/>
          </w:tcPr>
          <w:p w14:paraId="64CE93D8">
            <w:pPr>
              <w:widowControl/>
              <w:jc w:val="center"/>
              <w:rPr>
                <w:rFonts w:hint="eastAsia" w:ascii="宋体" w:hAnsi="宋体" w:cs="宋体"/>
                <w:color w:val="000000"/>
                <w:kern w:val="0"/>
                <w:szCs w:val="21"/>
              </w:rPr>
            </w:pPr>
            <w:r>
              <w:rPr>
                <w:rFonts w:hint="eastAsia" w:ascii="宋体" w:hAnsi="宋体" w:cs="宋体"/>
                <w:color w:val="000000"/>
                <w:kern w:val="0"/>
                <w:szCs w:val="21"/>
              </w:rPr>
              <w:t>信源加密</w:t>
            </w:r>
          </w:p>
        </w:tc>
        <w:tc>
          <w:tcPr>
            <w:tcW w:w="3259" w:type="pct"/>
            <w:tcBorders>
              <w:top w:val="single" w:color="000000" w:sz="4" w:space="0"/>
              <w:left w:val="single" w:color="000000" w:sz="4" w:space="0"/>
              <w:bottom w:val="single" w:color="000000" w:sz="4" w:space="0"/>
              <w:right w:val="single" w:color="000000" w:sz="4" w:space="0"/>
            </w:tcBorders>
            <w:vAlign w:val="center"/>
          </w:tcPr>
          <w:p w14:paraId="640AA6A6">
            <w:pPr>
              <w:widowControl/>
              <w:jc w:val="left"/>
              <w:rPr>
                <w:rFonts w:hint="eastAsia" w:ascii="宋体" w:hAnsi="宋体" w:cs="宋体"/>
                <w:b/>
                <w:bCs/>
                <w:color w:val="000000"/>
                <w:kern w:val="0"/>
                <w:szCs w:val="21"/>
              </w:rPr>
            </w:pPr>
            <w:r>
              <w:rPr>
                <w:rFonts w:ascii="宋体" w:hAnsi="宋体" w:cs="宋体"/>
                <w:color w:val="000000"/>
                <w:kern w:val="0"/>
                <w:szCs w:val="21"/>
              </w:rPr>
              <w:t>保障业务电脑、客户端、查询机、自助设备、面签设备的数据信源加密安全，同时提供CA身份认证、电子签章服务。</w:t>
            </w:r>
          </w:p>
        </w:tc>
      </w:tr>
      <w:tr w14:paraId="68495618">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57AE7E2F">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C2BC403">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160B995C">
            <w:pPr>
              <w:widowControl/>
              <w:jc w:val="center"/>
              <w:rPr>
                <w:rFonts w:hint="eastAsia" w:ascii="宋体" w:hAnsi="宋体" w:cs="宋体"/>
                <w:color w:val="000000"/>
                <w:kern w:val="0"/>
                <w:szCs w:val="21"/>
              </w:rPr>
            </w:pPr>
            <w:r>
              <w:rPr>
                <w:rFonts w:hint="eastAsia" w:ascii="宋体" w:hAnsi="宋体" w:cs="宋体"/>
                <w:color w:val="000000"/>
                <w:kern w:val="0"/>
                <w:szCs w:val="21"/>
              </w:rPr>
              <w:t>信道加密</w:t>
            </w:r>
          </w:p>
        </w:tc>
        <w:tc>
          <w:tcPr>
            <w:tcW w:w="3259" w:type="pct"/>
            <w:tcBorders>
              <w:top w:val="single" w:color="000000" w:sz="4" w:space="0"/>
              <w:left w:val="single" w:color="000000" w:sz="4" w:space="0"/>
              <w:bottom w:val="single" w:color="000000" w:sz="4" w:space="0"/>
              <w:right w:val="single" w:color="000000" w:sz="4" w:space="0"/>
            </w:tcBorders>
            <w:vAlign w:val="center"/>
          </w:tcPr>
          <w:p w14:paraId="560711F9">
            <w:pPr>
              <w:widowControl/>
              <w:jc w:val="left"/>
              <w:rPr>
                <w:rFonts w:hint="eastAsia" w:ascii="宋体" w:hAnsi="宋体" w:cs="宋体"/>
                <w:b/>
                <w:bCs/>
                <w:color w:val="000000"/>
                <w:kern w:val="0"/>
                <w:szCs w:val="21"/>
              </w:rPr>
            </w:pPr>
            <w:r>
              <w:rPr>
                <w:rFonts w:hint="eastAsia" w:ascii="宋体" w:hAnsi="宋体" w:cs="宋体"/>
                <w:color w:val="000000"/>
                <w:kern w:val="0"/>
                <w:szCs w:val="21"/>
              </w:rPr>
              <w:t>链路安全加密终端（千兆）：</w:t>
            </w:r>
            <w:r>
              <w:rPr>
                <w:rFonts w:ascii="宋体" w:hAnsi="宋体" w:cs="宋体"/>
                <w:color w:val="000000"/>
                <w:kern w:val="0"/>
                <w:szCs w:val="21"/>
              </w:rPr>
              <w:t>部署在不动产网络边界，链路安全加密机从安全增强平台获取密钥对市县的不动产业务数据传输提供安全通道服务，保障省、市、县三级不动产登记系统数据传输安全。</w:t>
            </w:r>
          </w:p>
        </w:tc>
      </w:tr>
      <w:tr w14:paraId="60A167EF">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6078D259">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3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62A954C">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7AAE4CD6">
            <w:pPr>
              <w:widowControl/>
              <w:jc w:val="center"/>
              <w:rPr>
                <w:rFonts w:hint="eastAsia" w:ascii="宋体" w:hAnsi="宋体" w:cs="宋体"/>
                <w:color w:val="000000"/>
                <w:kern w:val="0"/>
                <w:szCs w:val="21"/>
              </w:rPr>
            </w:pPr>
            <w:r>
              <w:rPr>
                <w:rFonts w:hint="eastAsia" w:ascii="宋体" w:hAnsi="宋体" w:cs="宋体"/>
                <w:color w:val="000000"/>
                <w:kern w:val="0"/>
                <w:szCs w:val="21"/>
              </w:rPr>
              <w:t>系统集成服务</w:t>
            </w:r>
          </w:p>
        </w:tc>
        <w:tc>
          <w:tcPr>
            <w:tcW w:w="3259" w:type="pct"/>
            <w:tcBorders>
              <w:top w:val="single" w:color="000000" w:sz="4" w:space="0"/>
              <w:left w:val="single" w:color="000000" w:sz="4" w:space="0"/>
              <w:bottom w:val="single" w:color="000000" w:sz="4" w:space="0"/>
              <w:right w:val="single" w:color="000000" w:sz="4" w:space="0"/>
            </w:tcBorders>
            <w:vAlign w:val="center"/>
          </w:tcPr>
          <w:p w14:paraId="0BC6B1D8">
            <w:pPr>
              <w:widowControl/>
              <w:jc w:val="left"/>
              <w:rPr>
                <w:rFonts w:hint="eastAsia" w:ascii="宋体" w:hAnsi="宋体" w:cs="宋体"/>
                <w:color w:val="000000"/>
                <w:kern w:val="0"/>
                <w:szCs w:val="21"/>
              </w:rPr>
            </w:pPr>
            <w:r>
              <w:rPr>
                <w:rFonts w:hint="eastAsia" w:ascii="宋体" w:hAnsi="宋体" w:cs="宋体"/>
                <w:color w:val="000000"/>
                <w:kern w:val="0"/>
                <w:szCs w:val="21"/>
              </w:rPr>
              <w:t>1、负责前期客户网络状况的搜集，依据客户网络现状确定设备部署方案；</w:t>
            </w:r>
            <w:r>
              <w:rPr>
                <w:rFonts w:hint="eastAsia" w:ascii="宋体" w:hAnsi="宋体" w:cs="宋体"/>
                <w:color w:val="000000"/>
                <w:kern w:val="0"/>
                <w:szCs w:val="21"/>
              </w:rPr>
              <w:br w:type="textWrapping"/>
            </w:r>
            <w:r>
              <w:rPr>
                <w:rFonts w:hint="eastAsia" w:ascii="宋体" w:hAnsi="宋体" w:cs="宋体"/>
                <w:color w:val="000000"/>
                <w:kern w:val="0"/>
                <w:szCs w:val="21"/>
              </w:rPr>
              <w:t>2、负责设备的安装、客户端的安装、人员的培训；</w:t>
            </w:r>
            <w:r>
              <w:rPr>
                <w:rFonts w:hint="eastAsia" w:ascii="宋体" w:hAnsi="宋体" w:cs="宋体"/>
                <w:color w:val="000000"/>
                <w:kern w:val="0"/>
                <w:szCs w:val="21"/>
              </w:rPr>
              <w:br w:type="textWrapping"/>
            </w:r>
            <w:r>
              <w:rPr>
                <w:rFonts w:hint="eastAsia" w:ascii="宋体" w:hAnsi="宋体" w:cs="宋体"/>
                <w:color w:val="000000"/>
                <w:kern w:val="0"/>
                <w:szCs w:val="21"/>
              </w:rPr>
              <w:t>3、提供设备部署所需的耗材，如网线、光模块等。</w:t>
            </w:r>
          </w:p>
        </w:tc>
      </w:tr>
      <w:tr w14:paraId="13EB248D">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70BCBEA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四、林权历史数据整合</w:t>
            </w:r>
          </w:p>
        </w:tc>
      </w:tr>
      <w:tr w14:paraId="2ED81142">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EE5EFE4">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1630E049">
            <w:pPr>
              <w:widowControl/>
              <w:jc w:val="center"/>
              <w:rPr>
                <w:rFonts w:hint="eastAsia" w:ascii="宋体" w:hAnsi="宋体" w:cs="宋体"/>
                <w:color w:val="000000"/>
                <w:kern w:val="0"/>
                <w:szCs w:val="21"/>
              </w:rPr>
            </w:pPr>
            <w:r>
              <w:rPr>
                <w:rFonts w:hint="eastAsia" w:ascii="宋体" w:hAnsi="宋体" w:cs="宋体"/>
                <w:color w:val="000000"/>
                <w:kern w:val="0"/>
                <w:szCs w:val="21"/>
              </w:rPr>
              <w:t>林权历史数据整合</w:t>
            </w: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6C191DEB">
            <w:pPr>
              <w:widowControl/>
              <w:jc w:val="center"/>
              <w:rPr>
                <w:rFonts w:hint="eastAsia" w:ascii="宋体" w:hAnsi="宋体" w:cs="宋体"/>
                <w:color w:val="000000"/>
                <w:kern w:val="0"/>
                <w:szCs w:val="21"/>
              </w:rPr>
            </w:pPr>
            <w:r>
              <w:rPr>
                <w:rFonts w:hint="eastAsia" w:ascii="宋体" w:hAnsi="宋体" w:cs="宋体"/>
                <w:color w:val="000000"/>
                <w:kern w:val="0"/>
                <w:szCs w:val="21"/>
              </w:rPr>
              <w:t>数据收集</w:t>
            </w:r>
          </w:p>
        </w:tc>
        <w:tc>
          <w:tcPr>
            <w:tcW w:w="3259" w:type="pct"/>
            <w:tcBorders>
              <w:top w:val="single" w:color="000000" w:sz="4" w:space="0"/>
              <w:left w:val="single" w:color="000000" w:sz="4" w:space="0"/>
              <w:bottom w:val="single" w:color="000000" w:sz="4" w:space="0"/>
              <w:right w:val="single" w:color="000000" w:sz="4" w:space="0"/>
            </w:tcBorders>
            <w:vAlign w:val="center"/>
          </w:tcPr>
          <w:p w14:paraId="1A9DB290">
            <w:pPr>
              <w:widowControl/>
              <w:jc w:val="left"/>
              <w:rPr>
                <w:rFonts w:hint="eastAsia" w:ascii="宋体" w:hAnsi="宋体" w:cs="宋体"/>
                <w:color w:val="000000"/>
                <w:kern w:val="0"/>
                <w:szCs w:val="21"/>
              </w:rPr>
            </w:pPr>
            <w:r>
              <w:rPr>
                <w:rFonts w:hint="eastAsia" w:ascii="宋体" w:hAnsi="宋体" w:cs="宋体"/>
                <w:color w:val="000000"/>
                <w:kern w:val="0"/>
                <w:szCs w:val="21"/>
              </w:rPr>
              <w:t>收集林权登记档案数据、林权登记成果、林权小班数据，林权小班总图，三调数据成果，不动产登记数据成果。</w:t>
            </w:r>
          </w:p>
        </w:tc>
      </w:tr>
      <w:tr w14:paraId="39E8E9B8">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21AEDBD">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E1F408E">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1FFC59B6">
            <w:pPr>
              <w:widowControl/>
              <w:jc w:val="center"/>
              <w:rPr>
                <w:rFonts w:hint="eastAsia" w:ascii="宋体" w:hAnsi="宋体" w:cs="宋体"/>
                <w:color w:val="000000"/>
                <w:kern w:val="0"/>
                <w:szCs w:val="21"/>
              </w:rPr>
            </w:pPr>
            <w:r>
              <w:rPr>
                <w:rFonts w:hint="eastAsia" w:ascii="宋体" w:hAnsi="宋体" w:cs="宋体"/>
                <w:color w:val="000000"/>
                <w:kern w:val="0"/>
                <w:szCs w:val="21"/>
              </w:rPr>
              <w:t>林权小班数据</w:t>
            </w:r>
          </w:p>
        </w:tc>
        <w:tc>
          <w:tcPr>
            <w:tcW w:w="3259" w:type="pct"/>
            <w:tcBorders>
              <w:top w:val="single" w:color="000000" w:sz="4" w:space="0"/>
              <w:left w:val="single" w:color="000000" w:sz="4" w:space="0"/>
              <w:bottom w:val="single" w:color="000000" w:sz="4" w:space="0"/>
              <w:right w:val="single" w:color="000000" w:sz="4" w:space="0"/>
            </w:tcBorders>
            <w:vAlign w:val="center"/>
          </w:tcPr>
          <w:p w14:paraId="2F0A5197">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林权小班数据转换：</w:t>
            </w:r>
            <w:r>
              <w:rPr>
                <w:rFonts w:hint="eastAsia" w:ascii="宋体" w:hAnsi="宋体" w:cs="宋体"/>
                <w:color w:val="000000"/>
                <w:kern w:val="0"/>
                <w:szCs w:val="21"/>
              </w:rPr>
              <w:br w:type="textWrapping"/>
            </w:r>
            <w:r>
              <w:rPr>
                <w:rFonts w:ascii="宋体" w:hAnsi="宋体" w:cs="宋体"/>
                <w:color w:val="000000"/>
                <w:kern w:val="0"/>
                <w:szCs w:val="21"/>
              </w:rPr>
              <w:t>1、数据提取与转换：提取原林权发证的小班图形数据，通过格式转换、坐标转换、属性结构转换以及数据字典对照转换等工作，将原电子数据转换为符合不动产数据库标准的宗地成果。（对因原数据存在的碎面、权属重叠等不满足不动产编码条件的图形进行标记，并输出问题台账）</w:t>
            </w:r>
            <w:r>
              <w:rPr>
                <w:rFonts w:hint="eastAsia" w:ascii="宋体" w:hAnsi="宋体" w:cs="宋体"/>
                <w:color w:val="000000"/>
                <w:kern w:val="0"/>
                <w:szCs w:val="21"/>
              </w:rPr>
              <w:br w:type="textWrapping"/>
            </w:r>
            <w:r>
              <w:rPr>
                <w:rFonts w:ascii="宋体" w:hAnsi="宋体" w:cs="宋体"/>
                <w:color w:val="000000"/>
                <w:kern w:val="0"/>
                <w:szCs w:val="21"/>
              </w:rPr>
              <w:t>2、不动产单元号预编：对原林业部门的林权矢量成果数据进行不动产单元号的预编工作，确保数据与不动产登记系统的兼容性。</w:t>
            </w:r>
            <w:r>
              <w:rPr>
                <w:rFonts w:hint="eastAsia" w:ascii="宋体" w:hAnsi="宋体" w:cs="宋体"/>
                <w:color w:val="000000"/>
                <w:kern w:val="0"/>
                <w:szCs w:val="21"/>
              </w:rPr>
              <w:br w:type="textWrapping"/>
            </w:r>
            <w:r>
              <w:rPr>
                <w:rFonts w:ascii="宋体" w:hAnsi="宋体" w:cs="宋体"/>
                <w:color w:val="000000"/>
                <w:kern w:val="0"/>
                <w:szCs w:val="21"/>
              </w:rPr>
              <w:t>3、空间拓扑检查与问题梳理：对林权小班数据进行空间拓扑检查，针对发现的拓扑问题不做直接处理，仅提供详细的问题列表，便于后续针对性整改。</w:t>
            </w:r>
            <w:r>
              <w:rPr>
                <w:rFonts w:hint="eastAsia" w:ascii="宋体" w:hAnsi="宋体" w:cs="宋体"/>
                <w:color w:val="000000"/>
                <w:kern w:val="0"/>
                <w:szCs w:val="21"/>
              </w:rPr>
              <w:br w:type="textWrapping"/>
            </w:r>
            <w:r>
              <w:rPr>
                <w:rFonts w:ascii="宋体" w:hAnsi="宋体" w:cs="宋体"/>
                <w:color w:val="000000"/>
                <w:kern w:val="0"/>
                <w:szCs w:val="21"/>
              </w:rPr>
              <w:t>4、图形属性数据检查与问题标记：检查小班图形属性，依据关联上的登记发证属性进行填充完善，对于关联不上或通过已有登记数据无法补充的，仅进行问题标记处理，出具问题数据分类台账，为后续处理提供依据。</w:t>
            </w:r>
          </w:p>
        </w:tc>
      </w:tr>
      <w:tr w14:paraId="53E63B44">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75B05D8">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3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9FC0CAE">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57F478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4EE8CBFB">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小班数据问题梳理：</w:t>
            </w:r>
            <w:r>
              <w:rPr>
                <w:rFonts w:hint="eastAsia" w:ascii="宋体" w:hAnsi="宋体" w:cs="宋体"/>
                <w:color w:val="000000"/>
                <w:kern w:val="0"/>
                <w:szCs w:val="21"/>
              </w:rPr>
              <w:br w:type="textWrapping"/>
            </w:r>
            <w:r>
              <w:rPr>
                <w:rFonts w:ascii="宋体" w:hAnsi="宋体" w:cs="宋体"/>
                <w:color w:val="000000"/>
                <w:kern w:val="0"/>
                <w:szCs w:val="21"/>
              </w:rPr>
              <w:t>1、通过工作底图对小班图形进行配准，根据配准后的工作底图目视解读小班图形问题，并进行标记，不做修编处理，缺漏小班图形不做补绘，只提供问题台账。</w:t>
            </w:r>
            <w:r>
              <w:rPr>
                <w:rFonts w:hint="eastAsia" w:ascii="宋体" w:hAnsi="宋体" w:cs="宋体"/>
                <w:color w:val="000000"/>
                <w:kern w:val="0"/>
                <w:szCs w:val="21"/>
              </w:rPr>
              <w:br w:type="textWrapping"/>
            </w:r>
            <w:r>
              <w:rPr>
                <w:rFonts w:ascii="宋体" w:hAnsi="宋体" w:cs="宋体"/>
                <w:color w:val="000000"/>
                <w:kern w:val="0"/>
                <w:szCs w:val="21"/>
              </w:rPr>
              <w:t>2、通过小班与宅基地使用权图形叠加分析，标注空间冲突部分，备注每个小班与宅基地使用权的权属冲突情况及所占面积情况，形成台账并导入系统。</w:t>
            </w:r>
            <w:r>
              <w:rPr>
                <w:rFonts w:hint="eastAsia" w:ascii="宋体" w:hAnsi="宋体" w:cs="宋体"/>
                <w:color w:val="000000"/>
                <w:kern w:val="0"/>
                <w:szCs w:val="21"/>
              </w:rPr>
              <w:br w:type="textWrapping"/>
            </w:r>
            <w:r>
              <w:rPr>
                <w:rFonts w:ascii="宋体" w:hAnsi="宋体" w:cs="宋体"/>
                <w:color w:val="000000"/>
                <w:kern w:val="0"/>
                <w:szCs w:val="21"/>
              </w:rPr>
              <w:t>3、通过小班与土地承包经营权图形叠加分析，标注空间冲突部分，备注每个小班与土地承包经营权的权属冲突情况及所占面积情况，形成台账并导入系统。</w:t>
            </w:r>
            <w:r>
              <w:rPr>
                <w:rFonts w:hint="eastAsia" w:ascii="宋体" w:hAnsi="宋体" w:cs="宋体"/>
                <w:color w:val="000000"/>
                <w:kern w:val="0"/>
                <w:szCs w:val="21"/>
              </w:rPr>
              <w:br w:type="textWrapping"/>
            </w:r>
            <w:r>
              <w:rPr>
                <w:rFonts w:ascii="宋体" w:hAnsi="宋体" w:cs="宋体"/>
                <w:color w:val="000000"/>
                <w:kern w:val="0"/>
                <w:szCs w:val="21"/>
              </w:rPr>
              <w:t>4、通过小班与建设用地使用权图形叠加分析，标注空间冲突部分，备注每个小班与建设用地使用权的权属冲突情况及所占面积情况，形成台账并导入系统。</w:t>
            </w:r>
            <w:r>
              <w:rPr>
                <w:rFonts w:hint="eastAsia" w:ascii="宋体" w:hAnsi="宋体" w:cs="宋体"/>
                <w:color w:val="000000"/>
                <w:kern w:val="0"/>
                <w:szCs w:val="21"/>
              </w:rPr>
              <w:br w:type="textWrapping"/>
            </w:r>
            <w:r>
              <w:rPr>
                <w:rFonts w:ascii="宋体" w:hAnsi="宋体" w:cs="宋体"/>
                <w:color w:val="000000"/>
                <w:kern w:val="0"/>
                <w:szCs w:val="21"/>
              </w:rPr>
              <w:t>5、通过小班与三调地类叠加分析，标注空间冲突部分，备注每个小班与三调数据的地类冲突情况及所占面积情况，形成台账并导入系统。</w:t>
            </w:r>
          </w:p>
        </w:tc>
      </w:tr>
      <w:tr w14:paraId="2332AC03">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427C8CCD">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4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F3259EE">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noWrap/>
            <w:vAlign w:val="center"/>
          </w:tcPr>
          <w:p w14:paraId="09B0E7EA">
            <w:pPr>
              <w:widowControl/>
              <w:jc w:val="center"/>
              <w:rPr>
                <w:rFonts w:hint="eastAsia" w:ascii="宋体" w:hAnsi="宋体" w:cs="宋体"/>
                <w:color w:val="000000"/>
                <w:kern w:val="0"/>
                <w:szCs w:val="21"/>
              </w:rPr>
            </w:pPr>
            <w:r>
              <w:rPr>
                <w:rFonts w:hint="eastAsia" w:ascii="宋体" w:hAnsi="宋体" w:cs="宋体"/>
                <w:color w:val="000000"/>
                <w:kern w:val="0"/>
                <w:szCs w:val="21"/>
              </w:rPr>
              <w:t>林权登记数据</w:t>
            </w:r>
          </w:p>
        </w:tc>
        <w:tc>
          <w:tcPr>
            <w:tcW w:w="3259" w:type="pct"/>
            <w:tcBorders>
              <w:top w:val="single" w:color="000000" w:sz="4" w:space="0"/>
              <w:left w:val="single" w:color="000000" w:sz="4" w:space="0"/>
              <w:bottom w:val="single" w:color="000000" w:sz="4" w:space="0"/>
              <w:right w:val="single" w:color="000000" w:sz="4" w:space="0"/>
            </w:tcBorders>
            <w:vAlign w:val="center"/>
          </w:tcPr>
          <w:p w14:paraId="62BDB76D">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登记信息处理：</w:t>
            </w:r>
            <w:r>
              <w:rPr>
                <w:rFonts w:hint="eastAsia" w:ascii="宋体" w:hAnsi="宋体" w:cs="宋体"/>
                <w:color w:val="000000"/>
                <w:kern w:val="0"/>
                <w:szCs w:val="21"/>
              </w:rPr>
              <w:br w:type="textWrapping"/>
            </w:r>
            <w:r>
              <w:rPr>
                <w:rFonts w:ascii="宋体" w:hAnsi="宋体" w:cs="宋体"/>
                <w:color w:val="000000"/>
                <w:kern w:val="0"/>
                <w:szCs w:val="21"/>
              </w:rPr>
              <w:t>1、林权登记信息处理：按《不动产登记数据整合建库技术规范》（TD-T1067-2021）中的林权登记数据库标准进行格式转换、字段对应、数据字典对照转换、属性结构转换。（原信息缺失的，不依档补充）</w:t>
            </w:r>
            <w:r>
              <w:rPr>
                <w:rFonts w:hint="eastAsia" w:ascii="宋体" w:hAnsi="宋体" w:cs="宋体"/>
                <w:color w:val="000000"/>
                <w:kern w:val="0"/>
                <w:szCs w:val="21"/>
              </w:rPr>
              <w:br w:type="textWrapping"/>
            </w:r>
            <w:r>
              <w:rPr>
                <w:rFonts w:ascii="宋体" w:hAnsi="宋体" w:cs="宋体"/>
                <w:color w:val="000000"/>
                <w:kern w:val="0"/>
                <w:szCs w:val="21"/>
              </w:rPr>
              <w:t>2、权利人信息处理：通过原始数据分析，提取权利人信息，并按照数据库标准进行处理（原信息缺失的，不依档补充）</w:t>
            </w:r>
            <w:r>
              <w:rPr>
                <w:rFonts w:hint="eastAsia" w:ascii="宋体" w:hAnsi="宋体" w:cs="宋体"/>
                <w:color w:val="000000"/>
                <w:kern w:val="0"/>
                <w:szCs w:val="21"/>
              </w:rPr>
              <w:br w:type="textWrapping"/>
            </w:r>
            <w:r>
              <w:rPr>
                <w:rFonts w:ascii="宋体" w:hAnsi="宋体" w:cs="宋体"/>
                <w:color w:val="000000"/>
                <w:kern w:val="0"/>
                <w:szCs w:val="21"/>
              </w:rPr>
              <w:t>3、申请人信息处理：通过原始数据分析，提取申请人信息，并按照数据库标准进行处理（原信息缺失的，不依档补充）</w:t>
            </w:r>
          </w:p>
        </w:tc>
      </w:tr>
      <w:tr w14:paraId="60F17BBA">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69FDB9A4">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5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5C7BE84">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AE4A40C">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50762EE2">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一、数据完整性检查：</w:t>
            </w:r>
            <w:r>
              <w:rPr>
                <w:rFonts w:hint="eastAsia" w:ascii="宋体" w:hAnsi="宋体" w:cs="宋体"/>
                <w:color w:val="000000"/>
                <w:kern w:val="0"/>
                <w:szCs w:val="21"/>
              </w:rPr>
              <w:br w:type="textWrapping"/>
            </w:r>
            <w:r>
              <w:rPr>
                <w:rFonts w:ascii="宋体" w:hAnsi="宋体" w:cs="宋体"/>
                <w:color w:val="000000"/>
                <w:kern w:val="0"/>
                <w:szCs w:val="21"/>
              </w:rPr>
              <w:t>1、必填项检查：检查林权登记信息权利类型、登记类型、登记原因、发包方、发包方代码、使用（承包）面积、林地使用起止时间、林地所有权性质、权利人证件号码、小班号、登簿人、登簿时间等必填是否为空</w:t>
            </w:r>
            <w:r>
              <w:rPr>
                <w:rFonts w:hint="eastAsia" w:ascii="宋体" w:hAnsi="宋体" w:cs="宋体"/>
                <w:color w:val="000000"/>
                <w:kern w:val="0"/>
                <w:szCs w:val="21"/>
              </w:rPr>
              <w:br w:type="textWrapping"/>
            </w:r>
            <w:r>
              <w:rPr>
                <w:rFonts w:ascii="宋体" w:hAnsi="宋体" w:cs="宋体"/>
                <w:color w:val="000000"/>
                <w:kern w:val="0"/>
                <w:szCs w:val="21"/>
              </w:rPr>
              <w:t>2、重复登记检查：检查是否存在重复的林权登记记录，包括但不限于：相同权利人、相同林权类型、相同坐落位置的重复登记；相同林权证号、相同宗地代码的重复登记。</w:t>
            </w:r>
            <w:r>
              <w:rPr>
                <w:rFonts w:hint="eastAsia" w:ascii="宋体" w:hAnsi="宋体" w:cs="宋体"/>
                <w:color w:val="000000"/>
                <w:kern w:val="0"/>
                <w:szCs w:val="21"/>
              </w:rPr>
              <w:br w:type="textWrapping"/>
            </w:r>
            <w:r>
              <w:rPr>
                <w:rFonts w:ascii="宋体" w:hAnsi="宋体" w:cs="宋体"/>
                <w:color w:val="000000"/>
                <w:kern w:val="0"/>
                <w:szCs w:val="21"/>
              </w:rPr>
              <w:t>3、逻辑关系检查：检查林权登记信息内部逻辑关系是否正确；检查权利人是否关联关系缺失。</w:t>
            </w:r>
            <w:r>
              <w:rPr>
                <w:rFonts w:hint="eastAsia" w:ascii="宋体" w:hAnsi="宋体" w:cs="宋体"/>
                <w:color w:val="000000"/>
                <w:kern w:val="0"/>
                <w:szCs w:val="21"/>
              </w:rPr>
              <w:br w:type="textWrapping"/>
            </w:r>
            <w:r>
              <w:rPr>
                <w:rFonts w:ascii="宋体" w:hAnsi="宋体" w:cs="宋体"/>
                <w:color w:val="000000"/>
                <w:kern w:val="0"/>
                <w:szCs w:val="21"/>
              </w:rPr>
              <w:t>4、问题清单：对逻辑关系错误或关联关系缺失的数据进行标记，并生成问题台账，记录错误类型、错误位置、错误原因等信息，便于后续整改。</w:t>
            </w:r>
            <w:r>
              <w:rPr>
                <w:rFonts w:hint="eastAsia" w:ascii="宋体" w:hAnsi="宋体" w:cs="宋体"/>
                <w:color w:val="000000"/>
                <w:kern w:val="0"/>
                <w:szCs w:val="21"/>
              </w:rPr>
              <w:br w:type="textWrapping"/>
            </w:r>
            <w:r>
              <w:rPr>
                <w:rFonts w:ascii="宋体" w:hAnsi="宋体" w:cs="宋体"/>
                <w:b/>
                <w:bCs/>
                <w:color w:val="000000"/>
                <w:kern w:val="0"/>
                <w:szCs w:val="21"/>
              </w:rPr>
              <w:t>二、数据规范性检查：</w:t>
            </w:r>
            <w:r>
              <w:rPr>
                <w:rFonts w:hint="eastAsia" w:ascii="宋体" w:hAnsi="宋体" w:cs="宋体"/>
                <w:color w:val="000000"/>
                <w:kern w:val="0"/>
                <w:szCs w:val="21"/>
              </w:rPr>
              <w:br w:type="textWrapping"/>
            </w:r>
            <w:r>
              <w:rPr>
                <w:rFonts w:ascii="宋体" w:hAnsi="宋体" w:cs="宋体"/>
                <w:color w:val="000000"/>
                <w:kern w:val="0"/>
                <w:szCs w:val="21"/>
              </w:rPr>
              <w:t>1、有图形，无业务数据的统计：统计存在林权小班但缺少对应发证数据的情况。（只调查未发证）</w:t>
            </w:r>
            <w:r>
              <w:rPr>
                <w:rFonts w:hint="eastAsia" w:ascii="宋体" w:hAnsi="宋体" w:cs="宋体"/>
                <w:color w:val="000000"/>
                <w:kern w:val="0"/>
                <w:szCs w:val="21"/>
              </w:rPr>
              <w:br w:type="textWrapping"/>
            </w:r>
            <w:r>
              <w:rPr>
                <w:rFonts w:ascii="宋体" w:hAnsi="宋体" w:cs="宋体"/>
                <w:color w:val="000000"/>
                <w:kern w:val="0"/>
                <w:szCs w:val="21"/>
              </w:rPr>
              <w:t>2、有业务，无图形数据的统计：统计存在林权登记业务但缺少对应图形数据的情况。</w:t>
            </w:r>
            <w:r>
              <w:rPr>
                <w:rFonts w:hint="eastAsia" w:ascii="宋体" w:hAnsi="宋体" w:cs="宋体"/>
                <w:color w:val="000000"/>
                <w:kern w:val="0"/>
                <w:szCs w:val="21"/>
              </w:rPr>
              <w:br w:type="textWrapping"/>
            </w:r>
            <w:r>
              <w:rPr>
                <w:rFonts w:ascii="宋体" w:hAnsi="宋体" w:cs="宋体"/>
                <w:color w:val="000000"/>
                <w:kern w:val="0"/>
                <w:szCs w:val="21"/>
              </w:rPr>
              <w:t>3、已登记未发证问题梳理：通过登记数据分析，梳理已登记但未发证的林权登记信息。</w:t>
            </w:r>
            <w:r>
              <w:rPr>
                <w:rFonts w:hint="eastAsia" w:ascii="宋体" w:hAnsi="宋体" w:cs="宋体"/>
                <w:color w:val="000000"/>
                <w:kern w:val="0"/>
                <w:szCs w:val="21"/>
              </w:rPr>
              <w:br w:type="textWrapping"/>
            </w:r>
            <w:r>
              <w:rPr>
                <w:rFonts w:ascii="宋体" w:hAnsi="宋体" w:cs="宋体"/>
                <w:color w:val="000000"/>
                <w:kern w:val="0"/>
                <w:szCs w:val="21"/>
              </w:rPr>
              <w:t>4、问题清单：生成问题台账，记录缺失图形数据、未发证的林权登记信息。</w:t>
            </w:r>
            <w:r>
              <w:rPr>
                <w:rFonts w:hint="eastAsia" w:ascii="宋体" w:hAnsi="宋体" w:cs="宋体"/>
                <w:color w:val="000000"/>
                <w:kern w:val="0"/>
                <w:szCs w:val="21"/>
              </w:rPr>
              <w:br w:type="textWrapping"/>
            </w:r>
            <w:r>
              <w:rPr>
                <w:rFonts w:ascii="宋体" w:hAnsi="宋体" w:cs="宋体"/>
                <w:b/>
                <w:bCs/>
                <w:color w:val="000000"/>
                <w:kern w:val="0"/>
                <w:szCs w:val="21"/>
              </w:rPr>
              <w:t>三、数据一致性检查：</w:t>
            </w:r>
            <w:r>
              <w:rPr>
                <w:rFonts w:hint="eastAsia" w:ascii="宋体" w:hAnsi="宋体" w:cs="宋体"/>
                <w:color w:val="000000"/>
                <w:kern w:val="0"/>
                <w:szCs w:val="21"/>
              </w:rPr>
              <w:br w:type="textWrapping"/>
            </w:r>
            <w:r>
              <w:rPr>
                <w:rFonts w:ascii="宋体" w:hAnsi="宋体" w:cs="宋体"/>
                <w:color w:val="000000"/>
                <w:kern w:val="0"/>
                <w:szCs w:val="21"/>
              </w:rPr>
              <w:t>比对检查林业部门移交的原始数据与整合后的林权登记数据是否一致。</w:t>
            </w:r>
          </w:p>
        </w:tc>
      </w:tr>
      <w:tr w14:paraId="5DE9CFE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2B24706E">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6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FF9E7FB">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21454E9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7AE5D35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图属关联：</w:t>
            </w:r>
            <w:r>
              <w:rPr>
                <w:rFonts w:hint="eastAsia" w:ascii="宋体" w:hAnsi="宋体" w:cs="宋体"/>
                <w:color w:val="000000"/>
                <w:kern w:val="0"/>
                <w:szCs w:val="21"/>
              </w:rPr>
              <w:br w:type="textWrapping"/>
            </w:r>
            <w:r>
              <w:rPr>
                <w:rFonts w:ascii="宋体" w:hAnsi="宋体" w:cs="宋体"/>
                <w:color w:val="000000"/>
                <w:kern w:val="0"/>
                <w:szCs w:val="21"/>
              </w:rPr>
              <w:t>处理林权登记信息与林权小班图形的关联，赋值林权不动产单元号，对林权登记信息与小班图形数据关联存在问题的、未关联上小班图形数据的登记发证数据进行标记，并出具问题数据分类台账。</w:t>
            </w:r>
          </w:p>
        </w:tc>
      </w:tr>
      <w:tr w14:paraId="6FD3A155">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noWrap/>
            <w:vAlign w:val="center"/>
          </w:tcPr>
          <w:p w14:paraId="6DD9B159">
            <w:pPr>
              <w:jc w:val="center"/>
              <w:rPr>
                <w:rFonts w:hint="eastAsia" w:ascii="宋体" w:hAnsi="宋体" w:cs="宋体"/>
                <w:color w:val="000000"/>
                <w:kern w:val="0"/>
                <w:szCs w:val="21"/>
              </w:rPr>
            </w:pPr>
            <w:r>
              <w:rPr>
                <w:rFonts w:hint="eastAsia" w:ascii="宋体" w:hAnsi="宋体" w:cs="宋体"/>
                <w:color w:val="000000"/>
                <w:kern w:val="0"/>
                <w:szCs w:val="21"/>
              </w:rPr>
              <w:t>7</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3759AC4">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noWrap/>
            <w:vAlign w:val="center"/>
          </w:tcPr>
          <w:p w14:paraId="61BF3FB8">
            <w:pPr>
              <w:widowControl/>
              <w:jc w:val="center"/>
              <w:rPr>
                <w:rFonts w:hint="eastAsia" w:ascii="宋体" w:hAnsi="宋体" w:cs="宋体"/>
                <w:color w:val="000000"/>
                <w:kern w:val="0"/>
                <w:szCs w:val="21"/>
              </w:rPr>
            </w:pPr>
            <w:r>
              <w:rPr>
                <w:rFonts w:hint="eastAsia" w:ascii="宋体" w:hAnsi="宋体" w:cs="宋体"/>
                <w:color w:val="000000"/>
                <w:kern w:val="0"/>
                <w:szCs w:val="21"/>
              </w:rPr>
              <w:t>林权档案数据</w:t>
            </w:r>
          </w:p>
        </w:tc>
        <w:tc>
          <w:tcPr>
            <w:tcW w:w="3259" w:type="pct"/>
            <w:tcBorders>
              <w:top w:val="single" w:color="000000" w:sz="4" w:space="0"/>
              <w:left w:val="single" w:color="000000" w:sz="4" w:space="0"/>
              <w:bottom w:val="single" w:color="000000" w:sz="4" w:space="0"/>
              <w:right w:val="single" w:color="000000" w:sz="4" w:space="0"/>
            </w:tcBorders>
            <w:vAlign w:val="center"/>
          </w:tcPr>
          <w:p w14:paraId="00FC72FA">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档案整理：</w:t>
            </w:r>
            <w:r>
              <w:rPr>
                <w:rFonts w:hint="eastAsia" w:ascii="宋体" w:hAnsi="宋体" w:cs="宋体"/>
                <w:color w:val="000000"/>
                <w:kern w:val="0"/>
                <w:szCs w:val="21"/>
              </w:rPr>
              <w:br w:type="textWrapping"/>
            </w:r>
            <w:r>
              <w:rPr>
                <w:rFonts w:ascii="宋体" w:hAnsi="宋体" w:cs="宋体"/>
                <w:color w:val="000000"/>
                <w:kern w:val="0"/>
                <w:szCs w:val="21"/>
              </w:rPr>
              <w:t>工作内容包含按不动产档案管理办法、档案管理办法及标准梳理规整档案。针对原有的林权档案重新整理、装订、分类、排列、编号、编目、装盒、档案立卷等工作。业务登记43980笔，按照5页/笔、60页/盒的标准进行装订，应为3665盒。</w:t>
            </w:r>
          </w:p>
        </w:tc>
      </w:tr>
      <w:tr w14:paraId="0E35C850">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24E122C8">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C001D0F">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5B67B07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3E90A1D">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档案电子化扫描：</w:t>
            </w:r>
            <w:r>
              <w:rPr>
                <w:rFonts w:hint="eastAsia" w:ascii="宋体" w:hAnsi="宋体" w:cs="宋体"/>
                <w:color w:val="000000"/>
                <w:kern w:val="0"/>
                <w:szCs w:val="21"/>
              </w:rPr>
              <w:br w:type="textWrapping"/>
            </w:r>
            <w:r>
              <w:rPr>
                <w:rFonts w:ascii="宋体" w:hAnsi="宋体" w:cs="宋体"/>
                <w:color w:val="000000"/>
                <w:kern w:val="0"/>
                <w:szCs w:val="21"/>
              </w:rPr>
              <w:t>此部分为林权纸质档案扫描，要求扫描电子档案影像清楚、不歪斜、无黑边、无杂点。</w:t>
            </w:r>
          </w:p>
        </w:tc>
      </w:tr>
      <w:tr w14:paraId="3E17FDF1">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40526D5E">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8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53A93DA">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2346F0D5">
            <w:pPr>
              <w:widowControl/>
              <w:jc w:val="center"/>
              <w:rPr>
                <w:rFonts w:hint="eastAsia" w:ascii="宋体" w:hAnsi="宋体" w:cs="宋体"/>
                <w:color w:val="000000"/>
                <w:kern w:val="0"/>
                <w:szCs w:val="21"/>
              </w:rPr>
            </w:pPr>
            <w:r>
              <w:rPr>
                <w:rFonts w:hint="eastAsia" w:ascii="宋体" w:hAnsi="宋体" w:cs="宋体"/>
                <w:color w:val="000000"/>
                <w:kern w:val="0"/>
                <w:szCs w:val="21"/>
              </w:rPr>
              <w:t>林权数据入库</w:t>
            </w:r>
          </w:p>
        </w:tc>
        <w:tc>
          <w:tcPr>
            <w:tcW w:w="3259" w:type="pct"/>
            <w:tcBorders>
              <w:top w:val="single" w:color="000000" w:sz="4" w:space="0"/>
              <w:left w:val="single" w:color="000000" w:sz="4" w:space="0"/>
              <w:bottom w:val="single" w:color="000000" w:sz="4" w:space="0"/>
              <w:right w:val="single" w:color="000000" w:sz="4" w:space="0"/>
            </w:tcBorders>
            <w:vAlign w:val="center"/>
          </w:tcPr>
          <w:p w14:paraId="7391DEA9">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整合成果检查入库：</w:t>
            </w:r>
            <w:r>
              <w:rPr>
                <w:rFonts w:hint="eastAsia" w:ascii="宋体" w:hAnsi="宋体" w:cs="宋体"/>
                <w:color w:val="000000"/>
                <w:kern w:val="0"/>
                <w:szCs w:val="21"/>
              </w:rPr>
              <w:br w:type="textWrapping"/>
            </w:r>
            <w:r>
              <w:rPr>
                <w:rFonts w:ascii="宋体" w:hAnsi="宋体" w:cs="宋体"/>
                <w:color w:val="000000"/>
                <w:kern w:val="0"/>
                <w:szCs w:val="21"/>
              </w:rPr>
              <w:t>将整合的数据成果入库不动产登记系统和权籍系统，完成登记业务数据、图形数据的关联入库。</w:t>
            </w:r>
          </w:p>
        </w:tc>
      </w:tr>
      <w:tr w14:paraId="61A74376">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975ECD4">
            <w:pPr>
              <w:widowControl/>
              <w:jc w:val="center"/>
              <w:rPr>
                <w:rFonts w:hint="eastAsia" w:ascii="宋体" w:hAnsi="宋体" w:cs="宋体"/>
                <w:color w:val="000000"/>
                <w:kern w:val="0"/>
                <w:szCs w:val="21"/>
              </w:rPr>
            </w:pPr>
            <w:r>
              <w:rPr>
                <w:rFonts w:hint="eastAsia" w:ascii="宋体" w:hAnsi="宋体" w:cs="宋体"/>
                <w:color w:val="000000"/>
                <w:kern w:val="0"/>
                <w:szCs w:val="21"/>
              </w:rPr>
              <w:t>9</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C0B5887">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5A50393D">
            <w:pPr>
              <w:widowControl/>
              <w:jc w:val="center"/>
              <w:rPr>
                <w:rFonts w:hint="eastAsia" w:ascii="宋体" w:hAnsi="宋体" w:cs="宋体"/>
                <w:color w:val="000000"/>
                <w:kern w:val="0"/>
                <w:szCs w:val="21"/>
              </w:rPr>
            </w:pPr>
            <w:r>
              <w:rPr>
                <w:rFonts w:hint="eastAsia" w:ascii="宋体" w:hAnsi="宋体" w:cs="宋体"/>
                <w:color w:val="000000"/>
                <w:kern w:val="0"/>
                <w:szCs w:val="21"/>
              </w:rPr>
              <w:t>林权数据汇交</w:t>
            </w:r>
          </w:p>
        </w:tc>
        <w:tc>
          <w:tcPr>
            <w:tcW w:w="3259" w:type="pct"/>
            <w:tcBorders>
              <w:top w:val="single" w:color="000000" w:sz="4" w:space="0"/>
              <w:left w:val="single" w:color="000000" w:sz="4" w:space="0"/>
              <w:bottom w:val="single" w:color="000000" w:sz="4" w:space="0"/>
              <w:right w:val="single" w:color="000000" w:sz="4" w:space="0"/>
            </w:tcBorders>
            <w:vAlign w:val="center"/>
          </w:tcPr>
          <w:p w14:paraId="52B0BF49">
            <w:pPr>
              <w:widowControl/>
              <w:jc w:val="left"/>
              <w:rPr>
                <w:rFonts w:hint="eastAsia" w:ascii="宋体" w:hAnsi="宋体" w:cs="宋体"/>
                <w:color w:val="000000"/>
                <w:kern w:val="0"/>
                <w:szCs w:val="21"/>
              </w:rPr>
            </w:pPr>
            <w:r>
              <w:rPr>
                <w:rFonts w:hint="eastAsia" w:ascii="宋体" w:hAnsi="宋体" w:cs="宋体"/>
                <w:color w:val="000000"/>
                <w:kern w:val="0"/>
                <w:szCs w:val="21"/>
              </w:rPr>
              <w:t>不动产林权存量数据汇交主要包括导出符合部级不动产存量数据汇交的要求的图形数据，图形属性数据以及林权登记数据，对于不满足汇交要求的数据提供说明文档及问题台账。</w:t>
            </w:r>
          </w:p>
        </w:tc>
      </w:tr>
      <w:tr w14:paraId="39E888A9">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59A56A36">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五、农村土地承包经营权数据整合</w:t>
            </w:r>
          </w:p>
        </w:tc>
      </w:tr>
      <w:tr w14:paraId="65EABAD7">
        <w:tblPrEx>
          <w:tblCellMar>
            <w:top w:w="0" w:type="dxa"/>
            <w:left w:w="108" w:type="dxa"/>
            <w:bottom w:w="0" w:type="dxa"/>
            <w:right w:w="108" w:type="dxa"/>
          </w:tblCellMar>
        </w:tblPrEx>
        <w:trPr>
          <w:trHeight w:val="1906" w:hRule="atLeast"/>
        </w:trPr>
        <w:tc>
          <w:tcPr>
            <w:tcW w:w="278" w:type="pct"/>
            <w:vMerge w:val="restart"/>
            <w:tcBorders>
              <w:top w:val="single" w:color="000000" w:sz="4" w:space="0"/>
              <w:left w:val="single" w:color="000000" w:sz="4" w:space="0"/>
              <w:bottom w:val="nil"/>
              <w:right w:val="single" w:color="000000" w:sz="4" w:space="0"/>
            </w:tcBorders>
            <w:noWrap/>
            <w:vAlign w:val="center"/>
          </w:tcPr>
          <w:p w14:paraId="28CF9C94">
            <w:pPr>
              <w:jc w:val="center"/>
              <w:rPr>
                <w:rFonts w:hint="eastAsia" w:ascii="宋体" w:hAnsi="宋体" w:cs="宋体"/>
                <w:color w:val="000000"/>
                <w:kern w:val="0"/>
                <w:szCs w:val="21"/>
              </w:rPr>
            </w:pPr>
            <w:r>
              <w:rPr>
                <w:rFonts w:hint="eastAsia" w:ascii="宋体" w:hAnsi="宋体" w:cs="宋体"/>
                <w:color w:val="000000"/>
                <w:kern w:val="0"/>
                <w:szCs w:val="21"/>
              </w:rPr>
              <w:t>1</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3FB6A3CC">
            <w:pPr>
              <w:widowControl/>
              <w:jc w:val="center"/>
              <w:rPr>
                <w:rFonts w:hint="eastAsia" w:ascii="宋体" w:hAnsi="宋体" w:cs="宋体"/>
                <w:color w:val="000000"/>
                <w:kern w:val="0"/>
                <w:szCs w:val="21"/>
              </w:rPr>
            </w:pPr>
            <w:r>
              <w:rPr>
                <w:rFonts w:hint="eastAsia" w:ascii="宋体" w:hAnsi="宋体" w:cs="宋体"/>
                <w:color w:val="000000"/>
                <w:kern w:val="0"/>
                <w:szCs w:val="21"/>
              </w:rPr>
              <w:t>农村土地承包经营权数据整合</w:t>
            </w: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5CB68E44">
            <w:pPr>
              <w:widowControl/>
              <w:jc w:val="center"/>
              <w:rPr>
                <w:rFonts w:hint="eastAsia" w:ascii="宋体" w:hAnsi="宋体" w:cs="宋体"/>
                <w:color w:val="000000"/>
                <w:kern w:val="0"/>
                <w:szCs w:val="21"/>
              </w:rPr>
            </w:pPr>
            <w:r>
              <w:rPr>
                <w:rFonts w:hint="eastAsia" w:ascii="宋体" w:hAnsi="宋体" w:cs="宋体"/>
                <w:color w:val="000000"/>
                <w:kern w:val="0"/>
                <w:szCs w:val="21"/>
              </w:rPr>
              <w:t>数据分析与预处理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049F615B">
            <w:pPr>
              <w:widowControl/>
              <w:jc w:val="left"/>
              <w:rPr>
                <w:rFonts w:hint="eastAsia" w:ascii="宋体" w:hAnsi="宋体" w:cs="宋体"/>
                <w:color w:val="000000"/>
                <w:kern w:val="0"/>
                <w:szCs w:val="21"/>
              </w:rPr>
            </w:pPr>
            <w:r>
              <w:rPr>
                <w:rFonts w:hint="eastAsia" w:ascii="宋体" w:hAnsi="宋体" w:cs="宋体"/>
                <w:color w:val="000000"/>
                <w:kern w:val="0"/>
                <w:szCs w:val="21"/>
              </w:rPr>
              <w:t>收集农村承包经营权发证相关数据，对收集的原始图形数据进行基本分析：</w:t>
            </w:r>
          </w:p>
          <w:p w14:paraId="627CB9A4">
            <w:pPr>
              <w:jc w:val="left"/>
              <w:rPr>
                <w:rFonts w:hint="eastAsia" w:ascii="宋体" w:hAnsi="宋体" w:cs="宋体"/>
                <w:color w:val="000000"/>
                <w:kern w:val="0"/>
                <w:szCs w:val="21"/>
              </w:rPr>
            </w:pPr>
            <w:r>
              <w:rPr>
                <w:rFonts w:hint="eastAsia" w:ascii="宋体" w:hAnsi="宋体" w:cs="宋体"/>
                <w:color w:val="000000"/>
                <w:kern w:val="0"/>
                <w:szCs w:val="21"/>
              </w:rPr>
              <w:t>主要包括：农村承包经营权承包地块图形数据、农村承包经营权承包栅格数据（数字正射影像）数据、农村承包经营权发证电子数据、农村承包经营权发证电子档案数据、农村承包经营权地块电子图件数据、承包方及发包方电子数据等。</w:t>
            </w:r>
          </w:p>
        </w:tc>
      </w:tr>
      <w:tr w14:paraId="05067EA7">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2903D741">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365917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3A8B16B7">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04F34E10">
            <w:pPr>
              <w:widowControl/>
              <w:jc w:val="left"/>
              <w:rPr>
                <w:rFonts w:hint="eastAsia" w:ascii="宋体" w:hAnsi="宋体" w:cs="宋体"/>
                <w:color w:val="000000"/>
                <w:kern w:val="0"/>
                <w:szCs w:val="21"/>
              </w:rPr>
            </w:pPr>
            <w:r>
              <w:rPr>
                <w:rFonts w:hint="eastAsia" w:ascii="宋体" w:hAnsi="宋体" w:cs="宋体"/>
                <w:color w:val="000000"/>
                <w:kern w:val="0"/>
                <w:szCs w:val="21"/>
              </w:rPr>
              <w:t>与三调数据进行覆盖完整性分析、地类相交分析</w:t>
            </w:r>
          </w:p>
        </w:tc>
      </w:tr>
      <w:tr w14:paraId="263AE856">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6535810A">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0A45B90">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4C59719D">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1E6866C2">
            <w:pPr>
              <w:widowControl/>
              <w:jc w:val="left"/>
              <w:rPr>
                <w:rFonts w:hint="eastAsia" w:ascii="宋体" w:hAnsi="宋体" w:cs="宋体"/>
                <w:color w:val="000000"/>
                <w:kern w:val="0"/>
                <w:szCs w:val="21"/>
              </w:rPr>
            </w:pPr>
            <w:r>
              <w:rPr>
                <w:rFonts w:hint="eastAsia" w:ascii="宋体" w:hAnsi="宋体" w:cs="宋体"/>
                <w:color w:val="000000"/>
                <w:kern w:val="0"/>
                <w:szCs w:val="21"/>
              </w:rPr>
              <w:t>登记发证数据与图形的关联性分析及预处理</w:t>
            </w:r>
          </w:p>
        </w:tc>
      </w:tr>
      <w:tr w14:paraId="65F87472">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3CEFE623">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A5C9DB6">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2E1B3685">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65075944">
            <w:pPr>
              <w:widowControl/>
              <w:jc w:val="left"/>
              <w:rPr>
                <w:rFonts w:hint="eastAsia" w:ascii="宋体" w:hAnsi="宋体" w:cs="宋体"/>
                <w:color w:val="000000"/>
                <w:kern w:val="0"/>
                <w:szCs w:val="21"/>
              </w:rPr>
            </w:pPr>
            <w:r>
              <w:rPr>
                <w:rFonts w:hint="eastAsia" w:ascii="宋体" w:hAnsi="宋体" w:cs="宋体"/>
                <w:color w:val="000000"/>
                <w:kern w:val="0"/>
                <w:szCs w:val="21"/>
              </w:rPr>
              <w:t>登记发证数据与档案数据的关联性分析及预处理</w:t>
            </w:r>
          </w:p>
        </w:tc>
      </w:tr>
      <w:tr w14:paraId="4D664775">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7982517">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2D39781">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3A6819E3">
            <w:pPr>
              <w:widowControl/>
              <w:jc w:val="center"/>
              <w:rPr>
                <w:rFonts w:hint="eastAsia" w:ascii="宋体" w:hAnsi="宋体" w:cs="宋体"/>
                <w:color w:val="000000"/>
                <w:kern w:val="0"/>
                <w:szCs w:val="21"/>
              </w:rPr>
            </w:pPr>
            <w:r>
              <w:rPr>
                <w:rFonts w:hint="eastAsia" w:ascii="宋体" w:hAnsi="宋体" w:cs="宋体"/>
                <w:color w:val="000000"/>
                <w:kern w:val="0"/>
                <w:szCs w:val="21"/>
              </w:rPr>
              <w:t>矢量数据转换处理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46B5F434">
            <w:pPr>
              <w:widowControl/>
              <w:jc w:val="left"/>
              <w:rPr>
                <w:rFonts w:hint="eastAsia" w:ascii="宋体" w:hAnsi="宋体" w:cs="宋体"/>
                <w:color w:val="000000"/>
                <w:kern w:val="0"/>
                <w:szCs w:val="21"/>
              </w:rPr>
            </w:pPr>
            <w:r>
              <w:rPr>
                <w:rFonts w:hint="eastAsia" w:ascii="宋体" w:hAnsi="宋体" w:cs="宋体"/>
                <w:color w:val="000000"/>
                <w:kern w:val="0"/>
                <w:szCs w:val="21"/>
              </w:rPr>
              <w:t>1、基于农经权矢量数据，按不动产数据库标准分析矢量数据，进行分析、转换、检查处理，完成数据的坐标系校准。</w:t>
            </w:r>
            <w:r>
              <w:rPr>
                <w:rFonts w:hint="eastAsia" w:ascii="宋体" w:hAnsi="宋体" w:cs="宋体"/>
                <w:color w:val="000000"/>
                <w:kern w:val="0"/>
                <w:szCs w:val="21"/>
              </w:rPr>
              <w:br w:type="textWrapping"/>
            </w:r>
            <w:r>
              <w:rPr>
                <w:rFonts w:hint="eastAsia" w:ascii="宋体" w:hAnsi="宋体" w:cs="宋体"/>
                <w:color w:val="000000"/>
                <w:kern w:val="0"/>
                <w:szCs w:val="21"/>
              </w:rPr>
              <w:t>2、基于《湖南省不动产登记数据库标准（试行）》扩充农村承包经营权宗地、界址点、界址线图层。</w:t>
            </w:r>
            <w:r>
              <w:rPr>
                <w:rFonts w:hint="eastAsia" w:ascii="宋体" w:hAnsi="宋体" w:cs="宋体"/>
                <w:color w:val="000000"/>
                <w:kern w:val="0"/>
                <w:szCs w:val="21"/>
              </w:rPr>
              <w:br w:type="textWrapping"/>
            </w:r>
            <w:r>
              <w:rPr>
                <w:rFonts w:hint="eastAsia" w:ascii="宋体" w:hAnsi="宋体" w:cs="宋体"/>
                <w:color w:val="000000"/>
                <w:kern w:val="0"/>
                <w:szCs w:val="21"/>
              </w:rPr>
              <w:t>3、转换、处理农村承包经营权地块、界址点、界址线到不动产登记数据库，主要工作包含：属性结构转换，数据字典对照，数据值转换等。</w:t>
            </w:r>
            <w:r>
              <w:rPr>
                <w:rFonts w:hint="eastAsia" w:ascii="宋体" w:hAnsi="宋体" w:cs="宋体"/>
                <w:color w:val="000000"/>
                <w:kern w:val="0"/>
                <w:szCs w:val="21"/>
              </w:rPr>
              <w:br w:type="textWrapping"/>
            </w:r>
            <w:r>
              <w:rPr>
                <w:rFonts w:hint="eastAsia" w:ascii="宋体" w:hAnsi="宋体" w:cs="宋体"/>
                <w:color w:val="000000"/>
                <w:kern w:val="0"/>
                <w:szCs w:val="21"/>
              </w:rPr>
              <w:t>4、数据转换完成后，进行数据缺失检查、数据一致性校验、数据关联关系校验、数据完整性校验等。</w:t>
            </w:r>
            <w:r>
              <w:rPr>
                <w:rFonts w:hint="eastAsia" w:ascii="宋体" w:hAnsi="宋体" w:cs="宋体"/>
                <w:color w:val="000000"/>
                <w:kern w:val="0"/>
                <w:szCs w:val="21"/>
              </w:rPr>
              <w:br w:type="textWrapping"/>
            </w:r>
            <w:r>
              <w:rPr>
                <w:rFonts w:hint="eastAsia" w:ascii="宋体" w:hAnsi="宋体" w:cs="宋体"/>
                <w:color w:val="000000"/>
                <w:kern w:val="0"/>
                <w:szCs w:val="21"/>
              </w:rPr>
              <w:t>5、基于转换后的成果数据，进行拓扑分析，标记拓扑问题。</w:t>
            </w:r>
            <w:r>
              <w:rPr>
                <w:rFonts w:hint="eastAsia" w:ascii="宋体" w:hAnsi="宋体" w:cs="宋体"/>
                <w:color w:val="000000"/>
                <w:kern w:val="0"/>
                <w:szCs w:val="21"/>
              </w:rPr>
              <w:br w:type="textWrapping"/>
            </w:r>
            <w:r>
              <w:rPr>
                <w:rFonts w:hint="eastAsia" w:ascii="宋体" w:hAnsi="宋体" w:cs="宋体"/>
                <w:color w:val="000000"/>
                <w:kern w:val="0"/>
                <w:szCs w:val="21"/>
              </w:rPr>
              <w:t>6、叠加地籍子区，按地籍子区生成宗地代码及不动产单元号。</w:t>
            </w:r>
          </w:p>
        </w:tc>
      </w:tr>
      <w:tr w14:paraId="3DC62CB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67D021CD">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6ADAE8F">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400E6BCE">
            <w:pPr>
              <w:widowControl/>
              <w:jc w:val="center"/>
              <w:rPr>
                <w:rFonts w:hint="eastAsia" w:ascii="宋体" w:hAnsi="宋体" w:cs="宋体"/>
                <w:color w:val="000000"/>
                <w:kern w:val="0"/>
                <w:szCs w:val="21"/>
              </w:rPr>
            </w:pPr>
            <w:r>
              <w:rPr>
                <w:rFonts w:hint="eastAsia" w:ascii="宋体" w:hAnsi="宋体" w:cs="宋体"/>
                <w:color w:val="000000"/>
                <w:kern w:val="0"/>
                <w:szCs w:val="21"/>
              </w:rPr>
              <w:t>登记数据处理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044A9F19">
            <w:pPr>
              <w:widowControl/>
              <w:jc w:val="left"/>
              <w:rPr>
                <w:rFonts w:hint="eastAsia" w:ascii="宋体" w:hAnsi="宋体" w:cs="宋体"/>
                <w:color w:val="000000"/>
                <w:kern w:val="0"/>
                <w:szCs w:val="21"/>
              </w:rPr>
            </w:pPr>
            <w:r>
              <w:rPr>
                <w:rFonts w:hint="eastAsia" w:ascii="宋体" w:hAnsi="宋体" w:cs="宋体"/>
                <w:color w:val="000000"/>
                <w:kern w:val="0"/>
                <w:szCs w:val="21"/>
              </w:rPr>
              <w:t>1、将农经权的登记发证数据（非空间表），按不动产数据库标准，转换、处理到不动产登记数据库中，对发包方、承包方、承包合同、流转合同、承包经营权登记簿、承包经营权证等的数据格式化处理。（原信息缺失的，不依档补充）。</w:t>
            </w:r>
            <w:r>
              <w:rPr>
                <w:rFonts w:hint="eastAsia" w:ascii="宋体" w:hAnsi="宋体" w:cs="宋体"/>
                <w:color w:val="000000"/>
                <w:kern w:val="0"/>
                <w:szCs w:val="21"/>
              </w:rPr>
              <w:br w:type="textWrapping"/>
            </w:r>
            <w:r>
              <w:rPr>
                <w:rFonts w:hint="eastAsia" w:ascii="宋体" w:hAnsi="宋体" w:cs="宋体"/>
                <w:color w:val="000000"/>
                <w:kern w:val="0"/>
                <w:szCs w:val="21"/>
              </w:rPr>
              <w:t>2、按照《湖南省不动产登记数据库标准（试行）》标准，创建农用地使用权、权利人、家庭成员、权属来源、登记簿等数据表。</w:t>
            </w:r>
            <w:r>
              <w:rPr>
                <w:rFonts w:hint="eastAsia" w:ascii="宋体" w:hAnsi="宋体" w:cs="宋体"/>
                <w:color w:val="000000"/>
                <w:kern w:val="0"/>
                <w:szCs w:val="21"/>
              </w:rPr>
              <w:br w:type="textWrapping"/>
            </w:r>
            <w:r>
              <w:rPr>
                <w:rFonts w:hint="eastAsia" w:ascii="宋体" w:hAnsi="宋体" w:cs="宋体"/>
                <w:color w:val="000000"/>
                <w:kern w:val="0"/>
                <w:szCs w:val="21"/>
              </w:rPr>
              <w:t>3、对原始数据进行合并、拆分、结构转换、字段映射、数据字典映射、数据值转换等操作，将原始数据转换入对应数据库表中。</w:t>
            </w:r>
            <w:r>
              <w:rPr>
                <w:rFonts w:hint="eastAsia" w:ascii="宋体" w:hAnsi="宋体" w:cs="宋体"/>
                <w:color w:val="000000"/>
                <w:kern w:val="0"/>
                <w:szCs w:val="21"/>
              </w:rPr>
              <w:br w:type="textWrapping"/>
            </w:r>
            <w:r>
              <w:rPr>
                <w:rFonts w:hint="eastAsia" w:ascii="宋体" w:hAnsi="宋体" w:cs="宋体"/>
                <w:color w:val="000000"/>
                <w:kern w:val="0"/>
                <w:szCs w:val="21"/>
              </w:rPr>
              <w:t>4、基于转换后的矢量成果数据，关联更新不动产单元号至农用地使用权、权利人、家庭成员、权属来源、登记簿等数据表中。</w:t>
            </w:r>
            <w:r>
              <w:rPr>
                <w:rFonts w:hint="eastAsia" w:ascii="宋体" w:hAnsi="宋体" w:cs="宋体"/>
                <w:color w:val="000000"/>
                <w:kern w:val="0"/>
                <w:szCs w:val="21"/>
              </w:rPr>
              <w:br w:type="textWrapping"/>
            </w:r>
            <w:r>
              <w:rPr>
                <w:rFonts w:hint="eastAsia" w:ascii="宋体" w:hAnsi="宋体" w:cs="宋体"/>
                <w:color w:val="000000"/>
                <w:kern w:val="0"/>
                <w:szCs w:val="21"/>
              </w:rPr>
              <w:t>5、基于不动产单元号建立登记数据与矢量数据的关联。</w:t>
            </w:r>
            <w:r>
              <w:rPr>
                <w:rFonts w:hint="eastAsia" w:ascii="宋体" w:hAnsi="宋体" w:cs="宋体"/>
                <w:color w:val="000000"/>
                <w:kern w:val="0"/>
                <w:szCs w:val="21"/>
              </w:rPr>
              <w:br w:type="textWrapping"/>
            </w:r>
            <w:r>
              <w:rPr>
                <w:rFonts w:hint="eastAsia" w:ascii="宋体" w:hAnsi="宋体" w:cs="宋体"/>
                <w:color w:val="000000"/>
                <w:kern w:val="0"/>
                <w:szCs w:val="21"/>
              </w:rPr>
              <w:t>6、对转换完成的数据进行数据缺失检查、数据关联关系校验、数据一致性校验、数据完整性校验等。</w:t>
            </w:r>
          </w:p>
        </w:tc>
      </w:tr>
      <w:tr w14:paraId="62862152">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76AE4FE1">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83B5E0E">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3894078B">
            <w:pPr>
              <w:widowControl/>
              <w:jc w:val="center"/>
              <w:rPr>
                <w:rFonts w:hint="eastAsia" w:ascii="宋体" w:hAnsi="宋体" w:cs="宋体"/>
                <w:color w:val="000000"/>
                <w:kern w:val="0"/>
                <w:szCs w:val="21"/>
              </w:rPr>
            </w:pPr>
            <w:r>
              <w:rPr>
                <w:rFonts w:hint="eastAsia" w:ascii="宋体" w:hAnsi="宋体" w:cs="宋体"/>
                <w:color w:val="000000"/>
                <w:kern w:val="0"/>
                <w:szCs w:val="21"/>
              </w:rPr>
              <w:t>档案数据处理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21F22BC6">
            <w:pPr>
              <w:widowControl/>
              <w:jc w:val="left"/>
              <w:rPr>
                <w:rFonts w:hint="eastAsia" w:ascii="宋体" w:hAnsi="宋体" w:cs="宋体"/>
                <w:color w:val="000000"/>
                <w:kern w:val="0"/>
                <w:szCs w:val="21"/>
              </w:rPr>
            </w:pPr>
            <w:r>
              <w:rPr>
                <w:rFonts w:hint="eastAsia" w:ascii="宋体" w:hAnsi="宋体" w:cs="宋体"/>
                <w:color w:val="000000"/>
                <w:kern w:val="0"/>
                <w:szCs w:val="21"/>
              </w:rPr>
              <w:t>将农经权电子档案数据，按不动产登记系统、不动产档案管理系统存储档案要求，检查关联关系，关联挂接发证档案数据；更新关联业务号、不动产单元号。</w:t>
            </w:r>
          </w:p>
        </w:tc>
      </w:tr>
      <w:tr w14:paraId="1712A5B1">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noWrap/>
            <w:vAlign w:val="center"/>
          </w:tcPr>
          <w:p w14:paraId="4EB93130">
            <w:pPr>
              <w:jc w:val="center"/>
              <w:rPr>
                <w:rFonts w:hint="eastAsia" w:ascii="宋体" w:hAnsi="宋体" w:cs="宋体"/>
                <w:color w:val="000000"/>
                <w:kern w:val="0"/>
                <w:szCs w:val="21"/>
              </w:rPr>
            </w:pPr>
            <w:r>
              <w:rPr>
                <w:rFonts w:hint="eastAsia" w:ascii="宋体" w:hAnsi="宋体" w:cs="宋体"/>
                <w:color w:val="000000"/>
                <w:kern w:val="0"/>
                <w:szCs w:val="21"/>
              </w:rPr>
              <w:t>5</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1A0D595">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022E7220">
            <w:pPr>
              <w:widowControl/>
              <w:jc w:val="center"/>
              <w:rPr>
                <w:rFonts w:hint="eastAsia" w:ascii="宋体" w:hAnsi="宋体" w:cs="宋体"/>
                <w:color w:val="000000"/>
                <w:kern w:val="0"/>
                <w:szCs w:val="21"/>
              </w:rPr>
            </w:pPr>
            <w:r>
              <w:rPr>
                <w:rFonts w:hint="eastAsia" w:ascii="宋体" w:hAnsi="宋体" w:cs="宋体"/>
                <w:color w:val="000000"/>
                <w:kern w:val="0"/>
                <w:szCs w:val="21"/>
              </w:rPr>
              <w:t>农经权数据入库</w:t>
            </w:r>
          </w:p>
        </w:tc>
        <w:tc>
          <w:tcPr>
            <w:tcW w:w="3259" w:type="pct"/>
            <w:tcBorders>
              <w:top w:val="single" w:color="000000" w:sz="4" w:space="0"/>
              <w:left w:val="single" w:color="000000" w:sz="4" w:space="0"/>
              <w:bottom w:val="single" w:color="000000" w:sz="4" w:space="0"/>
              <w:right w:val="single" w:color="000000" w:sz="4" w:space="0"/>
            </w:tcBorders>
            <w:vAlign w:val="center"/>
          </w:tcPr>
          <w:p w14:paraId="4ADCE38E">
            <w:pPr>
              <w:widowControl/>
              <w:jc w:val="left"/>
              <w:rPr>
                <w:rFonts w:hint="eastAsia" w:ascii="宋体" w:hAnsi="宋体" w:cs="宋体"/>
                <w:color w:val="000000"/>
                <w:kern w:val="0"/>
                <w:szCs w:val="21"/>
              </w:rPr>
            </w:pPr>
            <w:r>
              <w:rPr>
                <w:rFonts w:hint="eastAsia" w:ascii="宋体" w:hAnsi="宋体" w:cs="宋体"/>
                <w:color w:val="000000"/>
                <w:kern w:val="0"/>
                <w:szCs w:val="21"/>
              </w:rPr>
              <w:t>矢量数据入库：农村承包经营权宗地、界址点、界址线数据分别入库到不动产权籍系统；</w:t>
            </w:r>
          </w:p>
        </w:tc>
      </w:tr>
      <w:tr w14:paraId="2A2FA6A3">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416B3F62">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A6B6266">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4AACE0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77AFB13F">
            <w:pPr>
              <w:widowControl/>
              <w:jc w:val="left"/>
              <w:rPr>
                <w:rFonts w:hint="eastAsia" w:ascii="宋体" w:hAnsi="宋体" w:cs="宋体"/>
                <w:color w:val="000000"/>
                <w:kern w:val="0"/>
                <w:szCs w:val="21"/>
              </w:rPr>
            </w:pPr>
            <w:r>
              <w:rPr>
                <w:rFonts w:hint="eastAsia" w:ascii="宋体" w:hAnsi="宋体" w:cs="宋体"/>
                <w:color w:val="000000"/>
                <w:kern w:val="0"/>
                <w:szCs w:val="21"/>
              </w:rPr>
              <w:t>权属数据入库：土地承包经营权权利信息、权利人信息、家庭成员信息、权属来源、登记簿、发证数据等分别入库到不动产登记系统；</w:t>
            </w:r>
          </w:p>
        </w:tc>
      </w:tr>
      <w:tr w14:paraId="0FBCF179">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011892A9">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6BF0FE6">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0AD1AE5F">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291B19E3">
            <w:pPr>
              <w:widowControl/>
              <w:jc w:val="left"/>
              <w:rPr>
                <w:rFonts w:hint="eastAsia" w:ascii="宋体" w:hAnsi="宋体" w:cs="宋体"/>
                <w:color w:val="000000"/>
                <w:kern w:val="0"/>
                <w:szCs w:val="21"/>
              </w:rPr>
            </w:pPr>
            <w:r>
              <w:rPr>
                <w:rFonts w:hint="eastAsia" w:ascii="宋体" w:hAnsi="宋体" w:cs="宋体"/>
                <w:color w:val="000000"/>
                <w:kern w:val="0"/>
                <w:szCs w:val="21"/>
              </w:rPr>
              <w:t>档案数据入库：已发农经权证的发证档案、电子合同、身份材料等档案资料入库；</w:t>
            </w:r>
          </w:p>
        </w:tc>
      </w:tr>
      <w:tr w14:paraId="285449F4">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5E885C2D">
            <w:pPr>
              <w:widowControl/>
              <w:jc w:val="center"/>
              <w:rPr>
                <w:rFonts w:hint="eastAsia" w:ascii="宋体" w:hAnsi="宋体" w:cs="宋体"/>
                <w:color w:val="000000"/>
                <w:kern w:val="0"/>
                <w:szCs w:val="21"/>
              </w:rPr>
            </w:pPr>
            <w:r>
              <w:rPr>
                <w:rFonts w:hint="eastAsia" w:ascii="宋体" w:hAnsi="宋体" w:cs="宋体"/>
                <w:color w:val="000000"/>
                <w:kern w:val="0"/>
                <w:szCs w:val="21"/>
              </w:rPr>
              <w:t>6</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04508CC">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636F3F31">
            <w:pPr>
              <w:widowControl/>
              <w:jc w:val="center"/>
              <w:rPr>
                <w:rFonts w:hint="eastAsia" w:ascii="宋体" w:hAnsi="宋体" w:cs="宋体"/>
                <w:color w:val="000000"/>
                <w:kern w:val="0"/>
                <w:szCs w:val="21"/>
              </w:rPr>
            </w:pPr>
            <w:r>
              <w:rPr>
                <w:rFonts w:hint="eastAsia" w:ascii="宋体" w:hAnsi="宋体" w:cs="宋体"/>
                <w:color w:val="000000"/>
                <w:kern w:val="0"/>
                <w:szCs w:val="21"/>
              </w:rPr>
              <w:t>农经权数据汇交</w:t>
            </w:r>
          </w:p>
        </w:tc>
        <w:tc>
          <w:tcPr>
            <w:tcW w:w="3259" w:type="pct"/>
            <w:tcBorders>
              <w:top w:val="single" w:color="000000" w:sz="4" w:space="0"/>
              <w:left w:val="single" w:color="000000" w:sz="4" w:space="0"/>
              <w:bottom w:val="single" w:color="000000" w:sz="4" w:space="0"/>
              <w:right w:val="single" w:color="000000" w:sz="4" w:space="0"/>
            </w:tcBorders>
            <w:vAlign w:val="center"/>
          </w:tcPr>
          <w:p w14:paraId="3DD826C6">
            <w:pPr>
              <w:widowControl/>
              <w:jc w:val="left"/>
              <w:rPr>
                <w:rFonts w:hint="eastAsia" w:ascii="宋体" w:hAnsi="宋体" w:cs="宋体"/>
                <w:color w:val="000000"/>
                <w:kern w:val="0"/>
                <w:szCs w:val="21"/>
              </w:rPr>
            </w:pPr>
            <w:r>
              <w:rPr>
                <w:rFonts w:hint="eastAsia" w:ascii="宋体" w:hAnsi="宋体" w:cs="宋体"/>
                <w:color w:val="000000"/>
                <w:kern w:val="0"/>
                <w:szCs w:val="21"/>
              </w:rPr>
              <w:t>土地承包经营权数据整合成果数据，按照相关登记规范，汇交至省自然资源厅。</w:t>
            </w:r>
          </w:p>
        </w:tc>
      </w:tr>
      <w:tr w14:paraId="69B2C030">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1896BBE3">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六、不动产登记数据全库质检汇交</w:t>
            </w:r>
          </w:p>
        </w:tc>
      </w:tr>
      <w:tr w14:paraId="61C59196">
        <w:tblPrEx>
          <w:tblCellMar>
            <w:top w:w="0" w:type="dxa"/>
            <w:left w:w="108" w:type="dxa"/>
            <w:bottom w:w="0" w:type="dxa"/>
            <w:right w:w="108" w:type="dxa"/>
          </w:tblCellMar>
        </w:tblPrEx>
        <w:trPr>
          <w:trHeight w:val="567" w:hRule="atLeast"/>
        </w:trPr>
        <w:tc>
          <w:tcPr>
            <w:tcW w:w="278" w:type="pct"/>
            <w:tcBorders>
              <w:top w:val="nil"/>
              <w:left w:val="single" w:color="000000" w:sz="4" w:space="0"/>
              <w:bottom w:val="single" w:color="000000" w:sz="4" w:space="0"/>
              <w:right w:val="single" w:color="000000" w:sz="4" w:space="0"/>
            </w:tcBorders>
            <w:noWrap/>
            <w:vAlign w:val="center"/>
          </w:tcPr>
          <w:p w14:paraId="0983F1A5">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510" w:type="pct"/>
            <w:vMerge w:val="restart"/>
            <w:tcBorders>
              <w:top w:val="nil"/>
              <w:left w:val="single" w:color="000000" w:sz="4" w:space="0"/>
              <w:bottom w:val="single" w:color="000000" w:sz="4" w:space="0"/>
              <w:right w:val="single" w:color="000000" w:sz="4" w:space="0"/>
            </w:tcBorders>
            <w:vAlign w:val="center"/>
          </w:tcPr>
          <w:p w14:paraId="25D9F240">
            <w:pPr>
              <w:widowControl/>
              <w:jc w:val="center"/>
              <w:rPr>
                <w:rFonts w:hint="eastAsia" w:ascii="宋体" w:hAnsi="宋体" w:cs="宋体"/>
                <w:color w:val="000000"/>
                <w:kern w:val="0"/>
                <w:szCs w:val="21"/>
              </w:rPr>
            </w:pPr>
            <w:r>
              <w:rPr>
                <w:rFonts w:hint="eastAsia" w:ascii="宋体" w:hAnsi="宋体" w:cs="宋体"/>
                <w:color w:val="000000"/>
                <w:kern w:val="0"/>
                <w:szCs w:val="21"/>
              </w:rPr>
              <w:t>不动产登记数据全库质检汇交</w:t>
            </w:r>
          </w:p>
        </w:tc>
        <w:tc>
          <w:tcPr>
            <w:tcW w:w="953" w:type="pct"/>
            <w:tcBorders>
              <w:top w:val="nil"/>
              <w:left w:val="single" w:color="000000" w:sz="4" w:space="0"/>
              <w:bottom w:val="single" w:color="000000" w:sz="4" w:space="0"/>
              <w:right w:val="single" w:color="000000" w:sz="4" w:space="0"/>
            </w:tcBorders>
            <w:vAlign w:val="center"/>
          </w:tcPr>
          <w:p w14:paraId="352F5AA4">
            <w:pPr>
              <w:widowControl/>
              <w:jc w:val="center"/>
              <w:rPr>
                <w:rFonts w:hint="eastAsia" w:ascii="宋体" w:hAnsi="宋体" w:cs="宋体"/>
                <w:color w:val="000000"/>
                <w:kern w:val="0"/>
                <w:szCs w:val="21"/>
              </w:rPr>
            </w:pPr>
            <w:r>
              <w:rPr>
                <w:rFonts w:hint="eastAsia" w:ascii="宋体" w:hAnsi="宋体" w:cs="宋体"/>
                <w:color w:val="000000"/>
                <w:kern w:val="0"/>
                <w:szCs w:val="21"/>
              </w:rPr>
              <w:t>准备工作</w:t>
            </w:r>
          </w:p>
        </w:tc>
        <w:tc>
          <w:tcPr>
            <w:tcW w:w="3259" w:type="pct"/>
            <w:tcBorders>
              <w:top w:val="nil"/>
              <w:left w:val="single" w:color="000000" w:sz="4" w:space="0"/>
              <w:bottom w:val="single" w:color="000000" w:sz="4" w:space="0"/>
              <w:right w:val="single" w:color="000000" w:sz="4" w:space="0"/>
            </w:tcBorders>
            <w:vAlign w:val="center"/>
          </w:tcPr>
          <w:p w14:paraId="74B513CD">
            <w:pPr>
              <w:widowControl/>
              <w:jc w:val="left"/>
              <w:rPr>
                <w:rFonts w:hint="eastAsia" w:ascii="宋体" w:hAnsi="宋体" w:cs="宋体"/>
                <w:color w:val="000000"/>
                <w:kern w:val="0"/>
                <w:szCs w:val="21"/>
              </w:rPr>
            </w:pPr>
            <w:r>
              <w:rPr>
                <w:rFonts w:hint="eastAsia" w:ascii="宋体" w:hAnsi="宋体" w:cs="宋体"/>
                <w:color w:val="000000"/>
                <w:kern w:val="0"/>
                <w:szCs w:val="21"/>
              </w:rPr>
              <w:t>收集了解现有不动产登记数据情况，通过数据分析明确工作任务，编制工作计划，并报不动产登记中心。根据部信息中心修订的《不动产登记数据库标准》技术规范、质量检查软件用户手册操作规范，完成汇交工作部署。</w:t>
            </w:r>
          </w:p>
        </w:tc>
      </w:tr>
      <w:tr w14:paraId="2F3E5CE8">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736F19E8">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510" w:type="pct"/>
            <w:vMerge w:val="continue"/>
            <w:tcBorders>
              <w:top w:val="nil"/>
              <w:left w:val="single" w:color="000000" w:sz="4" w:space="0"/>
              <w:bottom w:val="single" w:color="000000" w:sz="4" w:space="0"/>
              <w:right w:val="single" w:color="000000" w:sz="4" w:space="0"/>
            </w:tcBorders>
            <w:vAlign w:val="center"/>
          </w:tcPr>
          <w:p w14:paraId="0841C123">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5D9B05E6">
            <w:pPr>
              <w:widowControl/>
              <w:jc w:val="center"/>
              <w:rPr>
                <w:rFonts w:hint="eastAsia" w:ascii="宋体" w:hAnsi="宋体" w:cs="宋体"/>
                <w:color w:val="000000"/>
                <w:kern w:val="0"/>
                <w:szCs w:val="21"/>
              </w:rPr>
            </w:pPr>
            <w:r>
              <w:rPr>
                <w:rFonts w:hint="eastAsia" w:ascii="宋体" w:hAnsi="宋体" w:cs="宋体"/>
                <w:color w:val="000000"/>
                <w:kern w:val="0"/>
                <w:szCs w:val="21"/>
              </w:rPr>
              <w:t>数据导出</w:t>
            </w:r>
          </w:p>
        </w:tc>
        <w:tc>
          <w:tcPr>
            <w:tcW w:w="3259" w:type="pct"/>
            <w:tcBorders>
              <w:top w:val="single" w:color="000000" w:sz="4" w:space="0"/>
              <w:left w:val="single" w:color="000000" w:sz="4" w:space="0"/>
              <w:bottom w:val="single" w:color="000000" w:sz="4" w:space="0"/>
              <w:right w:val="single" w:color="000000" w:sz="4" w:space="0"/>
            </w:tcBorders>
            <w:vAlign w:val="center"/>
          </w:tcPr>
          <w:p w14:paraId="1F3E2C83">
            <w:pPr>
              <w:widowControl/>
              <w:jc w:val="left"/>
              <w:rPr>
                <w:rFonts w:hint="eastAsia" w:ascii="宋体" w:hAnsi="宋体" w:cs="宋体"/>
                <w:color w:val="000000"/>
                <w:kern w:val="0"/>
                <w:szCs w:val="21"/>
              </w:rPr>
            </w:pPr>
            <w:r>
              <w:rPr>
                <w:rFonts w:hint="eastAsia" w:ascii="宋体" w:hAnsi="宋体" w:cs="宋体"/>
                <w:color w:val="000000"/>
                <w:kern w:val="0"/>
                <w:szCs w:val="21"/>
              </w:rPr>
              <w:t>主要是在本地不动产登记数据中建立汇交中间库，部署数据转换程序，从正式库中抽取转换到中间库。</w:t>
            </w:r>
          </w:p>
        </w:tc>
      </w:tr>
      <w:tr w14:paraId="7740C8F5">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67EF66B">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continue"/>
            <w:tcBorders>
              <w:top w:val="nil"/>
              <w:left w:val="single" w:color="000000" w:sz="4" w:space="0"/>
              <w:bottom w:val="single" w:color="000000" w:sz="4" w:space="0"/>
              <w:right w:val="single" w:color="000000" w:sz="4" w:space="0"/>
            </w:tcBorders>
            <w:vAlign w:val="center"/>
          </w:tcPr>
          <w:p w14:paraId="4FC01AF2">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17D698F9">
            <w:pPr>
              <w:widowControl/>
              <w:jc w:val="center"/>
              <w:rPr>
                <w:rFonts w:hint="eastAsia" w:ascii="宋体" w:hAnsi="宋体" w:cs="宋体"/>
                <w:color w:val="000000"/>
                <w:kern w:val="0"/>
                <w:szCs w:val="21"/>
              </w:rPr>
            </w:pPr>
            <w:r>
              <w:rPr>
                <w:rFonts w:hint="eastAsia" w:ascii="宋体" w:hAnsi="宋体" w:cs="宋体"/>
                <w:color w:val="000000"/>
                <w:kern w:val="0"/>
                <w:szCs w:val="21"/>
              </w:rPr>
              <w:t>数据质检</w:t>
            </w:r>
          </w:p>
        </w:tc>
        <w:tc>
          <w:tcPr>
            <w:tcW w:w="3259" w:type="pct"/>
            <w:tcBorders>
              <w:top w:val="single" w:color="000000" w:sz="4" w:space="0"/>
              <w:left w:val="single" w:color="000000" w:sz="4" w:space="0"/>
              <w:bottom w:val="single" w:color="000000" w:sz="4" w:space="0"/>
              <w:right w:val="single" w:color="000000" w:sz="4" w:space="0"/>
            </w:tcBorders>
            <w:vAlign w:val="center"/>
          </w:tcPr>
          <w:p w14:paraId="1EB740E1">
            <w:pPr>
              <w:widowControl/>
              <w:jc w:val="left"/>
              <w:rPr>
                <w:rFonts w:hint="eastAsia" w:ascii="宋体" w:hAnsi="宋体" w:cs="宋体"/>
                <w:color w:val="000000"/>
                <w:kern w:val="0"/>
                <w:szCs w:val="21"/>
              </w:rPr>
            </w:pPr>
            <w:r>
              <w:rPr>
                <w:rFonts w:hint="eastAsia" w:ascii="宋体" w:hAnsi="宋体" w:cs="宋体"/>
                <w:color w:val="000000"/>
                <w:kern w:val="0"/>
                <w:szCs w:val="21"/>
              </w:rPr>
              <w:t>对汇交的数据成果进行自检，成果检查合格后再向国家汇交。检查的内容主要包括数据成果的数据完整性、空间数学基础与数据格式正确性、标准符合性、空间拓扑、图属一致性等，不动产单元号不能为空，且符合不动产单元编码规则，确保数据关联与挂接，保证数据成果质量。</w:t>
            </w:r>
          </w:p>
        </w:tc>
      </w:tr>
      <w:tr w14:paraId="623AED0E">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B6A5B50">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510" w:type="pct"/>
            <w:vMerge w:val="continue"/>
            <w:tcBorders>
              <w:top w:val="nil"/>
              <w:left w:val="single" w:color="000000" w:sz="4" w:space="0"/>
              <w:bottom w:val="single" w:color="000000" w:sz="4" w:space="0"/>
              <w:right w:val="single" w:color="000000" w:sz="4" w:space="0"/>
            </w:tcBorders>
            <w:vAlign w:val="center"/>
          </w:tcPr>
          <w:p w14:paraId="0A3DCCBB">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7FE3CC0A">
            <w:pPr>
              <w:widowControl/>
              <w:jc w:val="center"/>
              <w:rPr>
                <w:rFonts w:hint="eastAsia" w:ascii="宋体" w:hAnsi="宋体" w:cs="宋体"/>
                <w:color w:val="000000"/>
                <w:kern w:val="0"/>
                <w:szCs w:val="21"/>
              </w:rPr>
            </w:pPr>
            <w:r>
              <w:rPr>
                <w:rFonts w:hint="eastAsia" w:ascii="宋体" w:hAnsi="宋体" w:cs="宋体"/>
                <w:color w:val="000000"/>
                <w:kern w:val="0"/>
                <w:szCs w:val="21"/>
              </w:rPr>
              <w:t>数据整改及报告输出</w:t>
            </w:r>
          </w:p>
        </w:tc>
        <w:tc>
          <w:tcPr>
            <w:tcW w:w="3259" w:type="pct"/>
            <w:tcBorders>
              <w:top w:val="single" w:color="000000" w:sz="4" w:space="0"/>
              <w:left w:val="single" w:color="000000" w:sz="4" w:space="0"/>
              <w:bottom w:val="single" w:color="000000" w:sz="4" w:space="0"/>
              <w:right w:val="single" w:color="000000" w:sz="4" w:space="0"/>
            </w:tcBorders>
            <w:vAlign w:val="center"/>
          </w:tcPr>
          <w:p w14:paraId="61179EFB">
            <w:pPr>
              <w:widowControl/>
              <w:jc w:val="left"/>
              <w:rPr>
                <w:rFonts w:hint="eastAsia" w:ascii="宋体" w:hAnsi="宋体" w:cs="宋体"/>
                <w:color w:val="000000"/>
                <w:kern w:val="0"/>
                <w:szCs w:val="21"/>
              </w:rPr>
            </w:pPr>
            <w:r>
              <w:rPr>
                <w:rFonts w:hint="eastAsia" w:ascii="宋体" w:hAnsi="宋体" w:cs="宋体"/>
                <w:color w:val="000000"/>
                <w:kern w:val="0"/>
                <w:szCs w:val="21"/>
              </w:rPr>
              <w:t>主要工作是对未通过质检的成果数据进行详细核查与修正。在综合考虑不动产登记数据的实际情况、查阅相关档案资料，并经过中心领导的审核批准后，通过不动产登记系统对数据进行错误更正和修正。反复质检，直至质检软件的成果质检报告显示通过为止。</w:t>
            </w:r>
          </w:p>
        </w:tc>
      </w:tr>
      <w:tr w14:paraId="4DBAE99D">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9A5252E">
            <w:pPr>
              <w:widowControl/>
              <w:jc w:val="center"/>
              <w:rPr>
                <w:rFonts w:hint="eastAsia" w:ascii="宋体" w:hAnsi="宋体" w:cs="宋体"/>
                <w:color w:val="000000"/>
                <w:kern w:val="0"/>
                <w:szCs w:val="21"/>
              </w:rPr>
            </w:pPr>
            <w:r>
              <w:rPr>
                <w:rFonts w:hint="eastAsia" w:ascii="宋体" w:hAnsi="宋体" w:cs="宋体"/>
                <w:color w:val="000000"/>
                <w:kern w:val="0"/>
                <w:szCs w:val="21"/>
              </w:rPr>
              <w:t>5</w:t>
            </w:r>
          </w:p>
        </w:tc>
        <w:tc>
          <w:tcPr>
            <w:tcW w:w="510" w:type="pct"/>
            <w:vMerge w:val="continue"/>
            <w:tcBorders>
              <w:top w:val="nil"/>
              <w:left w:val="single" w:color="000000" w:sz="4" w:space="0"/>
              <w:bottom w:val="single" w:color="000000" w:sz="4" w:space="0"/>
              <w:right w:val="single" w:color="000000" w:sz="4" w:space="0"/>
            </w:tcBorders>
            <w:vAlign w:val="center"/>
          </w:tcPr>
          <w:p w14:paraId="1F900930">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73BD481B">
            <w:pPr>
              <w:widowControl/>
              <w:jc w:val="center"/>
              <w:rPr>
                <w:rFonts w:hint="eastAsia" w:ascii="宋体" w:hAnsi="宋体" w:cs="宋体"/>
                <w:color w:val="000000"/>
                <w:kern w:val="0"/>
                <w:szCs w:val="21"/>
              </w:rPr>
            </w:pPr>
            <w:r>
              <w:rPr>
                <w:rFonts w:hint="eastAsia" w:ascii="宋体" w:hAnsi="宋体" w:cs="宋体"/>
                <w:color w:val="000000"/>
                <w:kern w:val="0"/>
                <w:szCs w:val="21"/>
              </w:rPr>
              <w:t>数据成果汇交</w:t>
            </w:r>
          </w:p>
        </w:tc>
        <w:tc>
          <w:tcPr>
            <w:tcW w:w="3259" w:type="pct"/>
            <w:tcBorders>
              <w:top w:val="single" w:color="000000" w:sz="4" w:space="0"/>
              <w:left w:val="single" w:color="000000" w:sz="4" w:space="0"/>
              <w:bottom w:val="single" w:color="000000" w:sz="4" w:space="0"/>
              <w:right w:val="single" w:color="000000" w:sz="4" w:space="0"/>
            </w:tcBorders>
            <w:vAlign w:val="center"/>
          </w:tcPr>
          <w:p w14:paraId="3F843390">
            <w:pPr>
              <w:widowControl/>
              <w:jc w:val="left"/>
              <w:rPr>
                <w:rFonts w:hint="eastAsia" w:ascii="宋体" w:hAnsi="宋体" w:cs="宋体"/>
                <w:color w:val="000000"/>
                <w:kern w:val="0"/>
                <w:szCs w:val="21"/>
              </w:rPr>
            </w:pPr>
            <w:r>
              <w:rPr>
                <w:rFonts w:hint="eastAsia" w:ascii="宋体" w:hAnsi="宋体" w:cs="宋体"/>
                <w:color w:val="000000"/>
                <w:kern w:val="0"/>
                <w:szCs w:val="21"/>
              </w:rPr>
              <w:t>以县或市为单位整理汇交成果，组织不动产登记存量数据汇交到省，汇交成果应包括纸质加盖县级不动产登记局（机构）公章的报送公文1份和汇交资料清单2份、电子成果数据1份（拷贝介质可用光盘、U盘、移动硬盘）。</w:t>
            </w:r>
          </w:p>
        </w:tc>
      </w:tr>
    </w:tbl>
    <w:p w14:paraId="1A860551">
      <w:pPr>
        <w:pStyle w:val="6"/>
        <w:rPr>
          <w:rFonts w:hint="eastAsia"/>
        </w:rPr>
      </w:pPr>
    </w:p>
    <w:p w14:paraId="1F4AE323">
      <w:pPr>
        <w:adjustRightInd w:val="0"/>
        <w:spacing w:line="360" w:lineRule="auto"/>
        <w:outlineLvl w:val="1"/>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四、项目实施要求</w:t>
      </w:r>
    </w:p>
    <w:p w14:paraId="16F880B9">
      <w:pPr>
        <w:spacing w:line="360" w:lineRule="auto"/>
        <w:ind w:firstLine="420" w:firstLineChars="200"/>
        <w:outlineLvl w:val="2"/>
        <w:rPr>
          <w:color w:val="000000" w:themeColor="text1"/>
          <w:szCs w:val="21"/>
          <w14:textFill>
            <w14:solidFill>
              <w14:schemeClr w14:val="tx1"/>
            </w14:solidFill>
          </w14:textFill>
        </w:rPr>
      </w:pPr>
      <w:r>
        <w:rPr>
          <w:color w:val="000000" w:themeColor="text1"/>
          <w:szCs w:val="21"/>
          <w14:textFill>
            <w14:solidFill>
              <w14:schemeClr w14:val="tx1"/>
            </w14:solidFill>
          </w14:textFill>
        </w:rPr>
        <w:t>1.实施工期要求</w:t>
      </w:r>
    </w:p>
    <w:p w14:paraId="566EE5DD">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根据采购人对不动产登记优化营商环境的需求情况，中标人需要在</w:t>
      </w:r>
      <w:r>
        <w:rPr>
          <w:rFonts w:hint="eastAsia"/>
          <w:color w:val="000000" w:themeColor="text1"/>
          <w:szCs w:val="21"/>
          <w14:textFill>
            <w14:solidFill>
              <w14:schemeClr w14:val="tx1"/>
            </w14:solidFill>
          </w14:textFill>
        </w:rPr>
        <w:t>合同签订生效后的6个月内，完成不动产数据转换迁移，完善不动产登记业务标准和数据库标准，优化登记平台，正式交付系统成果给不动产登记中心使用；</w:t>
      </w:r>
    </w:p>
    <w:p w14:paraId="77753303">
      <w:pPr>
        <w:spacing w:line="360" w:lineRule="auto"/>
        <w:ind w:firstLine="420" w:firstLineChars="200"/>
        <w:outlineLvl w:val="2"/>
        <w:rPr>
          <w:color w:val="000000" w:themeColor="text1"/>
          <w:szCs w:val="21"/>
          <w14:textFill>
            <w14:solidFill>
              <w14:schemeClr w14:val="tx1"/>
            </w14:solidFill>
          </w14:textFill>
        </w:rPr>
      </w:pPr>
      <w:r>
        <w:rPr>
          <w:color w:val="000000" w:themeColor="text1"/>
          <w:szCs w:val="21"/>
          <w14:textFill>
            <w14:solidFill>
              <w14:schemeClr w14:val="tx1"/>
            </w14:solidFill>
          </w14:textFill>
        </w:rPr>
        <w:t>2.售后服务要求</w:t>
      </w:r>
    </w:p>
    <w:p w14:paraId="29C02A5E">
      <w:pPr>
        <w:spacing w:line="360" w:lineRule="auto"/>
        <w:ind w:firstLine="420" w:firstLineChars="200"/>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2.1为</w:t>
      </w:r>
      <w:r>
        <w:rPr>
          <w:rFonts w:hint="eastAsia" w:ascii="宋体" w:hAnsi="宋体" w:cs="宋体"/>
          <w:color w:val="auto"/>
          <w:szCs w:val="21"/>
          <w:lang w:val="en-US" w:eastAsia="zh-CN"/>
        </w:rPr>
        <w:t>保证项目有序、规范建设，中标人应成立一个由专业技术人员组成的技术服务团队，</w:t>
      </w:r>
      <w:r>
        <w:rPr>
          <w:rFonts w:hint="eastAsia" w:ascii="宋体" w:hAnsi="宋体" w:cs="宋体"/>
          <w:b w:val="0"/>
          <w:bCs w:val="0"/>
          <w:color w:val="auto"/>
          <w:szCs w:val="21"/>
          <w:lang w:val="en-US" w:eastAsia="zh-CN"/>
        </w:rPr>
        <w:t>团队成员不少于15人</w:t>
      </w:r>
      <w:r>
        <w:rPr>
          <w:rFonts w:hint="eastAsia" w:ascii="宋体" w:hAnsi="宋体" w:cs="宋体"/>
          <w:color w:val="auto"/>
          <w:szCs w:val="21"/>
          <w:lang w:val="en-US" w:eastAsia="zh-CN"/>
        </w:rPr>
        <w:t>。确保项目建设方面政策、标准、技术的快速与持续贯彻。</w:t>
      </w:r>
    </w:p>
    <w:p w14:paraId="6632F139">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lang w:val="en-US" w:eastAsia="zh-CN"/>
          <w14:textFill>
            <w14:solidFill>
              <w14:schemeClr w14:val="tx1"/>
            </w14:solidFill>
          </w14:textFill>
        </w:rPr>
        <w:t>2</w:t>
      </w:r>
      <w:r>
        <w:rPr>
          <w:color w:val="000000" w:themeColor="text1"/>
          <w:szCs w:val="21"/>
          <w14:textFill>
            <w14:solidFill>
              <w14:schemeClr w14:val="tx1"/>
            </w14:solidFill>
          </w14:textFill>
        </w:rPr>
        <w:t>中标人须提供专人维护、常设7天×24小时服务专线的技术支持，中标人必须在采购人通知后2小时内响应，24小时内处理完毕，不得影响采购人的正常工作业务。</w:t>
      </w:r>
    </w:p>
    <w:p w14:paraId="4B5D10B7">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lang w:val="en-US" w:eastAsia="zh-CN"/>
          <w14:textFill>
            <w14:solidFill>
              <w14:schemeClr w14:val="tx1"/>
            </w14:solidFill>
          </w14:textFill>
        </w:rPr>
        <w:t>3</w:t>
      </w:r>
      <w:r>
        <w:rPr>
          <w:color w:val="000000" w:themeColor="text1"/>
          <w:szCs w:val="21"/>
          <w14:textFill>
            <w14:solidFill>
              <w14:schemeClr w14:val="tx1"/>
            </w14:solidFill>
          </w14:textFill>
        </w:rPr>
        <w:t>、中标人应按采购人要求负责培训操作、管理及维护人员，达到熟练掌握产品性能、操作技能及排除一般故障的程度。</w:t>
      </w:r>
    </w:p>
    <w:p w14:paraId="4C5723BB">
      <w:pPr>
        <w:spacing w:line="360" w:lineRule="auto"/>
        <w:ind w:firstLine="420" w:firstLineChars="200"/>
        <w:outlineLvl w:val="2"/>
        <w:rPr>
          <w:color w:val="000000" w:themeColor="text1"/>
          <w:szCs w:val="21"/>
          <w14:textFill>
            <w14:solidFill>
              <w14:schemeClr w14:val="tx1"/>
            </w14:solidFill>
          </w14:textFill>
        </w:rPr>
      </w:pPr>
      <w:r>
        <w:rPr>
          <w:color w:val="000000" w:themeColor="text1"/>
          <w:szCs w:val="21"/>
          <w14:textFill>
            <w14:solidFill>
              <w14:schemeClr w14:val="tx1"/>
            </w14:solidFill>
          </w14:textFill>
        </w:rPr>
        <w:t>3.保密要求</w:t>
      </w:r>
    </w:p>
    <w:p w14:paraId="4602A250">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中标人有义务对采购人的数据信息保密，包括但不限于采购人计算机存储的信息数据、自然资源领域涉密和敏感数据、网络结构信息、应用系统、电话目录、组织结构图表、储运设备及方法</w:t>
      </w:r>
      <w:r>
        <w:rPr>
          <w:rFonts w:hint="eastAsia"/>
          <w:color w:val="000000" w:themeColor="text1"/>
          <w:szCs w:val="21"/>
          <w14:textFill>
            <w14:solidFill>
              <w14:schemeClr w14:val="tx1"/>
            </w14:solidFill>
          </w14:textFill>
        </w:rPr>
        <w:t>，以</w:t>
      </w:r>
      <w:r>
        <w:rPr>
          <w:color w:val="000000" w:themeColor="text1"/>
          <w:szCs w:val="21"/>
          <w14:textFill>
            <w14:solidFill>
              <w14:schemeClr w14:val="tx1"/>
            </w14:solidFill>
          </w14:textFill>
        </w:rPr>
        <w:t>及任何可能被泄露的信息。中标人需要与采购人签订保密协议，并且中标单位须与参与本项目的员工签订保密协议。</w:t>
      </w:r>
    </w:p>
    <w:p w14:paraId="6E19A7AF">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五、项目验收</w:t>
      </w:r>
    </w:p>
    <w:p w14:paraId="6942CF7F">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完成本项目的所有开发工作，系统能正式上线正确试运行之后，甲方通过申请审核即可开展项目验收。本项目由采购人组织验收。</w:t>
      </w:r>
    </w:p>
    <w:p w14:paraId="431F1CC5">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六、其他要求</w:t>
      </w:r>
    </w:p>
    <w:p w14:paraId="1B9F7F0B">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1.供应商必须承诺自行提供本项目所有服务内容，原则上不得转让或转包。</w:t>
      </w:r>
    </w:p>
    <w:p w14:paraId="50D99BCB">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成交供应商提供的服务不满足采购文件要求，在接到采购人整改通知后应及时在规定时间内进行调整、修改并上报采购人验收。若供应商在经过多次整改仍不合格导致项目延误或无法进行，采购人有权解除合同并追究成交供应商的法律责任。</w:t>
      </w:r>
    </w:p>
    <w:p w14:paraId="473A8992">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七、付款方式</w:t>
      </w:r>
    </w:p>
    <w:p w14:paraId="2BBC832D">
      <w:pPr>
        <w:spacing w:line="360" w:lineRule="auto"/>
        <w:ind w:firstLine="408"/>
        <w:outlineLvl w:val="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1、付款方式：</w:t>
      </w:r>
      <w:r>
        <w:rPr>
          <w:rFonts w:hint="eastAsia" w:ascii="宋体" w:hAnsi="宋体" w:cs="宋体"/>
          <w:color w:val="000000" w:themeColor="text1"/>
          <w:szCs w:val="21"/>
          <w:lang w:val="en-US" w:eastAsia="zh-CN"/>
          <w14:textFill>
            <w14:solidFill>
              <w14:schemeClr w14:val="tx1"/>
            </w14:solidFill>
          </w14:textFill>
        </w:rPr>
        <w:t>项目分三次支付，“一库一平台”正式上线后支付合同金额的50%，项目全部完成经采购人验收合格后支付合同金额的45%，项目验收满一年后支付剩余合同金额的5%</w:t>
      </w:r>
      <w:r>
        <w:rPr>
          <w:rFonts w:hint="eastAsia" w:ascii="宋体" w:hAnsi="宋体" w:cs="宋体"/>
          <w:color w:val="000000" w:themeColor="text1"/>
          <w:szCs w:val="21"/>
          <w14:textFill>
            <w14:solidFill>
              <w14:schemeClr w14:val="tx1"/>
            </w14:solidFill>
          </w14:textFill>
        </w:rPr>
        <w:t>。</w:t>
      </w:r>
    </w:p>
    <w:p w14:paraId="193744BA">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2、付款须凭增值税发票，发票由成交单位开具，实际支付进度以财政部门拨款为准。</w:t>
      </w:r>
    </w:p>
    <w:p w14:paraId="78D8B69E">
      <w:pPr>
        <w:widowControl/>
        <w:spacing w:line="500" w:lineRule="exact"/>
        <w:ind w:firstLine="422" w:firstLineChars="200"/>
        <w:jc w:val="left"/>
        <w:rPr>
          <w:rFonts w:hint="eastAsia" w:ascii="黑体" w:eastAsia="黑体"/>
          <w:b/>
          <w:sz w:val="32"/>
          <w:szCs w:val="32"/>
        </w:rPr>
      </w:pPr>
      <w:r>
        <w:rPr>
          <w:rFonts w:hint="eastAsia" w:ascii="宋体" w:hAnsi="宋体"/>
          <w:b/>
          <w:bCs/>
          <w:color w:val="000000" w:themeColor="text1"/>
          <w:szCs w:val="21"/>
          <w14:textFill>
            <w14:solidFill>
              <w14:schemeClr w14:val="tx1"/>
            </w14:solidFill>
          </w14:textFill>
        </w:rPr>
        <w:t>备注：对于上述项目要求，供应商应在响应文件中进行回应，作出承诺及说明。</w:t>
      </w:r>
    </w:p>
    <w:p w14:paraId="28AB63BE">
      <w:pPr>
        <w:adjustRightInd w:val="0"/>
        <w:snapToGrid w:val="0"/>
        <w:spacing w:line="360" w:lineRule="auto"/>
        <w:jc w:val="both"/>
        <w:rPr>
          <w:rFonts w:hint="eastAsia" w:ascii="黑体" w:eastAsia="黑体"/>
          <w:b/>
          <w:sz w:val="32"/>
          <w:szCs w:val="32"/>
          <w:lang w:val="en-US" w:eastAsia="zh-CN"/>
        </w:rPr>
      </w:pPr>
    </w:p>
    <w:sectPr>
      <w:headerReference r:id="rId3" w:type="default"/>
      <w:footerReference r:id="rId4" w:type="default"/>
      <w:pgSz w:w="11906" w:h="16838"/>
      <w:pgMar w:top="1440" w:right="1406" w:bottom="1440" w:left="1406"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CC64">
    <w:pPr>
      <w:pStyle w:val="39"/>
      <w:framePr w:wrap="around" w:vAnchor="text" w:hAnchor="margin" w:xAlign="center" w:y="1"/>
      <w:tabs>
        <w:tab w:val="clear" w:pos="4153"/>
        <w:tab w:val="clear" w:pos="8306"/>
      </w:tabs>
    </w:pPr>
    <w:r>
      <w:fldChar w:fldCharType="begin"/>
    </w:r>
    <w:r>
      <w:rPr>
        <w:rStyle w:val="40"/>
      </w:rPr>
      <w:instrText xml:space="preserve">PAGE  </w:instrText>
    </w:r>
    <w:r>
      <w:fldChar w:fldCharType="separate"/>
    </w:r>
    <w:r>
      <w:rPr>
        <w:rStyle w:val="40"/>
      </w:rPr>
      <w:t>47</w:t>
    </w:r>
    <w:r>
      <w:fldChar w:fldCharType="end"/>
    </w:r>
  </w:p>
  <w:p w14:paraId="44E5134D">
    <w:pPr>
      <w:pStyle w:val="39"/>
      <w:tabs>
        <w:tab w:val="clear" w:pos="4153"/>
        <w:tab w:val="clear" w:pos="8306"/>
      </w:tabs>
      <w:rPr>
        <w:rFonts w:hint="eastAsia"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7AD28">
    <w:pPr>
      <w:pStyle w:val="38"/>
      <w:pBdr>
        <w:bottom w:val="none" w:color="000000" w:sz="0" w:space="0"/>
      </w:pBdr>
      <w:tabs>
        <w:tab w:val="clear" w:pos="4153"/>
        <w:tab w:val="clear" w:pos="8306"/>
      </w:tabs>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xMzg5NmE2YWM4MDFiMWM3OTY1NDE1ZjcyYjE4OTYifQ=="/>
  </w:docVars>
  <w:rsids>
    <w:rsidRoot w:val="59F87DFB"/>
    <w:rsid w:val="0AC3637C"/>
    <w:rsid w:val="16770DB4"/>
    <w:rsid w:val="1A703339"/>
    <w:rsid w:val="231B2AD7"/>
    <w:rsid w:val="2C815F3C"/>
    <w:rsid w:val="327B5A75"/>
    <w:rsid w:val="33294250"/>
    <w:rsid w:val="33D02448"/>
    <w:rsid w:val="34BB0CBF"/>
    <w:rsid w:val="36E80ECA"/>
    <w:rsid w:val="397D799E"/>
    <w:rsid w:val="3A766373"/>
    <w:rsid w:val="3AC2276F"/>
    <w:rsid w:val="3B520282"/>
    <w:rsid w:val="3F5C76FF"/>
    <w:rsid w:val="452C3BB0"/>
    <w:rsid w:val="4A3A054F"/>
    <w:rsid w:val="4E18240A"/>
    <w:rsid w:val="59506290"/>
    <w:rsid w:val="59F87DFB"/>
    <w:rsid w:val="5D742D7F"/>
    <w:rsid w:val="642B1BDF"/>
    <w:rsid w:val="67FA0C0D"/>
    <w:rsid w:val="6A5C0CF4"/>
    <w:rsid w:val="6ADA75DB"/>
    <w:rsid w:val="6F301325"/>
    <w:rsid w:val="6F954E90"/>
    <w:rsid w:val="77A04D62"/>
    <w:rsid w:val="794806F2"/>
    <w:rsid w:val="7D4C71A6"/>
    <w:rsid w:val="7DAE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widowControl w:val="0"/>
      <w:spacing w:before="260" w:beforeLines="0" w:after="260" w:afterLines="0" w:line="415" w:lineRule="auto"/>
      <w:ind w:left="0" w:right="0"/>
      <w:jc w:val="both"/>
      <w:outlineLvl w:val="2"/>
    </w:pPr>
    <w:rPr>
      <w:b/>
      <w:bCs/>
      <w:kern w:val="0"/>
      <w:sz w:val="32"/>
      <w:szCs w:val="32"/>
    </w:rPr>
  </w:style>
  <w:style w:type="paragraph" w:styleId="3">
    <w:name w:val="heading 4"/>
    <w:basedOn w:val="1"/>
    <w:next w:val="1"/>
    <w:unhideWhenUsed/>
    <w:qFormat/>
    <w:uiPriority w:val="0"/>
    <w:pPr>
      <w:keepNext/>
      <w:keepLines/>
      <w:spacing w:before="80" w:after="40"/>
      <w:outlineLvl w:val="3"/>
    </w:pPr>
    <w:rPr>
      <w:rFonts w:cstheme="majorBidi"/>
      <w:color w:val="2E75B6" w:themeColor="accent1" w:themeShade="BF"/>
      <w:sz w:val="28"/>
      <w:szCs w:val="28"/>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autoRedefine/>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Body Text"/>
    <w:basedOn w:val="1"/>
    <w:next w:val="1"/>
    <w:qFormat/>
    <w:uiPriority w:val="0"/>
    <w:pPr>
      <w:spacing w:after="120"/>
    </w:pPr>
  </w:style>
  <w:style w:type="paragraph" w:styleId="7">
    <w:name w:val="Body Text Indent"/>
    <w:basedOn w:val="1"/>
    <w:autoRedefine/>
    <w:qFormat/>
    <w:uiPriority w:val="0"/>
    <w:pPr>
      <w:spacing w:after="120"/>
      <w:ind w:left="420" w:leftChars="200"/>
    </w:pPr>
  </w:style>
  <w:style w:type="paragraph" w:styleId="8">
    <w:name w:val="Plain Text"/>
    <w:basedOn w:val="1"/>
    <w:qFormat/>
    <w:uiPriority w:val="0"/>
    <w:rPr>
      <w:rFonts w:ascii="宋体" w:hAnsi="Courier New"/>
      <w:kern w:val="0"/>
      <w:sz w:val="20"/>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Lines="0" w:beforeAutospacing="1" w:after="100" w:afterLines="0" w:afterAutospacing="1"/>
      <w:jc w:val="left"/>
    </w:pPr>
    <w:rPr>
      <w:rFonts w:ascii="宋体"/>
      <w:kern w:val="0"/>
      <w:sz w:val="24"/>
    </w:rPr>
  </w:style>
  <w:style w:type="paragraph" w:styleId="13">
    <w:name w:val="Body Text First Indent 2"/>
    <w:basedOn w:val="7"/>
    <w:next w:val="1"/>
    <w:autoRedefine/>
    <w:qFormat/>
    <w:uiPriority w:val="0"/>
    <w:pPr>
      <w:ind w:firstLine="420" w:firstLineChars="200"/>
    </w:pPr>
  </w:style>
  <w:style w:type="table" w:styleId="15">
    <w:name w:val="Table Grid"/>
    <w:basedOn w:val="14"/>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page number"/>
    <w:qFormat/>
    <w:uiPriority w:val="0"/>
  </w:style>
  <w:style w:type="paragraph" w:customStyle="1" w:styleId="19">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_23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_6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_6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正文_6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正文_22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6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_3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明显引用1"/>
    <w:basedOn w:val="1"/>
    <w:next w:val="1"/>
    <w:qFormat/>
    <w:uiPriority w:val="0"/>
    <w:pPr>
      <w:widowControl/>
      <w:wordWrap w:val="0"/>
      <w:spacing w:before="360" w:after="360"/>
      <w:ind w:left="950" w:right="950"/>
      <w:jc w:val="center"/>
    </w:pPr>
    <w:rPr>
      <w:rFonts w:cs="宋体"/>
      <w:i/>
      <w:iCs/>
      <w:kern w:val="0"/>
    </w:rPr>
  </w:style>
  <w:style w:type="character" w:customStyle="1" w:styleId="33">
    <w:name w:val="font41"/>
    <w:basedOn w:val="16"/>
    <w:qFormat/>
    <w:uiPriority w:val="0"/>
    <w:rPr>
      <w:rFonts w:hint="eastAsia" w:ascii="宋体" w:hAnsi="宋体" w:eastAsia="宋体"/>
      <w:color w:val="000000"/>
      <w:sz w:val="21"/>
      <w:szCs w:val="21"/>
      <w:u w:val="none"/>
    </w:rPr>
  </w:style>
  <w:style w:type="character" w:customStyle="1" w:styleId="34">
    <w:name w:val="font31"/>
    <w:basedOn w:val="16"/>
    <w:qFormat/>
    <w:uiPriority w:val="0"/>
    <w:rPr>
      <w:rFonts w:hint="default" w:ascii="Times New Roman" w:hAnsi="Times New Roman" w:cs="Times New Roman"/>
      <w:color w:val="000000"/>
      <w:sz w:val="20"/>
      <w:szCs w:val="20"/>
      <w:u w:val="none"/>
    </w:rPr>
  </w:style>
  <w:style w:type="paragraph" w:customStyle="1" w:styleId="35">
    <w:name w:val="列表段落1"/>
    <w:basedOn w:val="1"/>
    <w:autoRedefine/>
    <w:qFormat/>
    <w:uiPriority w:val="0"/>
    <w:pPr>
      <w:ind w:firstLine="420" w:firstLineChars="200"/>
    </w:pPr>
    <w:rPr>
      <w:szCs w:val="21"/>
    </w:rPr>
  </w:style>
  <w:style w:type="paragraph" w:customStyle="1" w:styleId="36">
    <w:name w:val="BodyText1I2"/>
    <w:basedOn w:val="37"/>
    <w:autoRedefine/>
    <w:qFormat/>
    <w:uiPriority w:val="0"/>
    <w:pPr>
      <w:spacing w:after="120"/>
      <w:ind w:left="420" w:leftChars="200" w:firstLine="482" w:firstLineChars="200"/>
    </w:pPr>
    <w:rPr>
      <w:rFonts w:ascii="Calibri" w:hAnsi="Calibri"/>
      <w:b/>
    </w:rPr>
  </w:style>
  <w:style w:type="paragraph" w:customStyle="1" w:styleId="37">
    <w:name w:val="BodyTextIndent"/>
    <w:basedOn w:val="1"/>
    <w:next w:val="1"/>
    <w:autoRedefine/>
    <w:qFormat/>
    <w:uiPriority w:val="0"/>
    <w:pPr>
      <w:spacing w:line="320" w:lineRule="exact"/>
      <w:ind w:firstLine="210"/>
    </w:pPr>
    <w:rPr>
      <w:rFonts w:ascii="宋体"/>
      <w:spacing w:val="-2"/>
    </w:rPr>
  </w:style>
  <w:style w:type="paragraph" w:customStyle="1" w:styleId="38">
    <w:name w:val="页眉1"/>
    <w:basedOn w:val="1"/>
    <w:autoRedefine/>
    <w:qFormat/>
    <w:uiPriority w:val="0"/>
    <w:pPr>
      <w:pBdr>
        <w:bottom w:val="single" w:color="000000" w:sz="6" w:space="1"/>
      </w:pBdr>
      <w:tabs>
        <w:tab w:val="center" w:pos="4153"/>
        <w:tab w:val="right" w:pos="8306"/>
      </w:tabs>
      <w:snapToGrid w:val="0"/>
      <w:jc w:val="center"/>
    </w:pPr>
    <w:rPr>
      <w:sz w:val="18"/>
      <w:szCs w:val="18"/>
    </w:rPr>
  </w:style>
  <w:style w:type="paragraph" w:customStyle="1" w:styleId="39">
    <w:name w:val="页脚1"/>
    <w:basedOn w:val="1"/>
    <w:autoRedefine/>
    <w:qFormat/>
    <w:uiPriority w:val="0"/>
    <w:pPr>
      <w:tabs>
        <w:tab w:val="center" w:pos="4153"/>
        <w:tab w:val="right" w:pos="8306"/>
      </w:tabs>
      <w:snapToGrid w:val="0"/>
      <w:jc w:val="left"/>
    </w:pPr>
    <w:rPr>
      <w:sz w:val="18"/>
      <w:szCs w:val="18"/>
    </w:rPr>
  </w:style>
  <w:style w:type="character" w:customStyle="1" w:styleId="40">
    <w:name w:val="页码1"/>
    <w:basedOn w:val="41"/>
    <w:link w:val="1"/>
    <w:autoRedefine/>
    <w:qFormat/>
    <w:uiPriority w:val="0"/>
    <w:rPr>
      <w:rFonts w:asciiTheme="minorHAnsi" w:hAnsiTheme="minorHAnsi" w:eastAsiaTheme="minorEastAsia" w:cstheme="minorBidi"/>
      <w:kern w:val="2"/>
      <w:sz w:val="21"/>
      <w:szCs w:val="24"/>
      <w:lang w:val="en-US" w:eastAsia="zh-CN" w:bidi="ar-SA"/>
    </w:rPr>
  </w:style>
  <w:style w:type="character" w:customStyle="1" w:styleId="41">
    <w:name w:val="默认段落字体1"/>
    <w:link w:val="1"/>
    <w:autoRedefine/>
    <w:semiHidden/>
    <w:qFormat/>
    <w:uiPriority w:val="0"/>
  </w:style>
  <w:style w:type="paragraph" w:customStyle="1" w:styleId="42">
    <w:name w:val="标题 31"/>
    <w:basedOn w:val="1"/>
    <w:autoRedefine/>
    <w:qFormat/>
    <w:uiPriority w:val="0"/>
    <w:pPr>
      <w:keepNext/>
      <w:keepLines/>
      <w:spacing w:before="260" w:after="260" w:line="416" w:lineRule="auto"/>
      <w:outlineLvl w:val="2"/>
    </w:pPr>
    <w:rPr>
      <w:b/>
      <w:bCs/>
      <w:sz w:val="32"/>
      <w:szCs w:val="32"/>
    </w:rPr>
  </w:style>
  <w:style w:type="paragraph" w:customStyle="1" w:styleId="43">
    <w:name w:val="列出段落1"/>
    <w:basedOn w:val="44"/>
    <w:autoRedefine/>
    <w:qFormat/>
    <w:uiPriority w:val="0"/>
    <w:pPr>
      <w:ind w:firstLine="420" w:firstLineChars="200"/>
    </w:pPr>
    <w:rPr>
      <w:szCs w:val="21"/>
    </w:rPr>
  </w:style>
  <w:style w:type="paragraph" w:customStyle="1" w:styleId="44">
    <w:name w:val="正文1"/>
    <w:basedOn w:val="45"/>
    <w:next w:val="46"/>
    <w:autoRedefine/>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45">
    <w:name w:val="正文_0"/>
    <w:next w:val="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脚注文本1"/>
    <w:basedOn w:val="44"/>
    <w:next w:val="47"/>
    <w:autoRedefine/>
    <w:qFormat/>
    <w:uiPriority w:val="0"/>
    <w:pPr>
      <w:jc w:val="left"/>
    </w:pPr>
    <w:rPr>
      <w:rFonts w:ascii="宋体" w:eastAsia="Times New Roman"/>
      <w:sz w:val="18"/>
      <w:szCs w:val="18"/>
    </w:rPr>
  </w:style>
  <w:style w:type="paragraph" w:customStyle="1" w:styleId="47">
    <w:name w:val="索引 51"/>
    <w:basedOn w:val="44"/>
    <w:next w:val="44"/>
    <w:autoRedefine/>
    <w:qFormat/>
    <w:uiPriority w:val="0"/>
    <w:pPr>
      <w:ind w:left="798"/>
      <w:jc w:val="left"/>
    </w:pPr>
    <w:rPr>
      <w:rFonts w:ascii="Calibri" w:hAnsi="Calibri"/>
    </w:rPr>
  </w:style>
  <w:style w:type="paragraph" w:customStyle="1" w:styleId="48">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lang w:val="en-US" w:eastAsia="zh-CN" w:bidi="ar-SA"/>
      <w14:ligatures w14:val="none"/>
    </w:rPr>
  </w:style>
  <w:style w:type="paragraph" w:customStyle="1" w:styleId="49">
    <w:name w:val="2"/>
    <w:basedOn w:val="1"/>
    <w:qFormat/>
    <w:uiPriority w:val="0"/>
    <w:pPr>
      <w:ind w:firstLine="640" w:firstLineChars="200"/>
      <w:jc w:val="left"/>
    </w:pPr>
    <w:rPr>
      <w:rFonts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1729</Words>
  <Characters>1830</Characters>
  <Lines>0</Lines>
  <Paragraphs>0</Paragraphs>
  <TotalTime>0</TotalTime>
  <ScaleCrop>false</ScaleCrop>
  <LinksUpToDate>false</LinksUpToDate>
  <CharactersWithSpaces>1870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静默</cp:lastModifiedBy>
  <cp:lastPrinted>2025-06-12T01:29:00Z</cp:lastPrinted>
  <dcterms:modified xsi:type="dcterms:W3CDTF">2026-08-11T03:03:05Z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FAEC1A0FC7E144CD9C6A7173E1973DE0</vt:lpwstr>
  </property>
  <property fmtid="{D5CDD505-2E9C-101B-9397-08002B2CF9AE}" pid="4" name="KSOTemplateDocerSaveRecord">
    <vt:lpwstr>eyJoZGlkIjoiMzZjZmNlZThmNDJiNzc3NTVjMzc1ZjAzMDBmMDdkNjkiLCJ1c2VySWQiOiI0MzA0MzUwMzUifQ==</vt:lpwstr>
  </property>
</Properties>
</file>