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B792E">
      <w:pPr>
        <w:widowControl/>
        <w:numPr>
          <w:ilvl w:val="0"/>
          <w:numId w:val="1"/>
        </w:numPr>
        <w:spacing w:line="440" w:lineRule="exact"/>
        <w:jc w:val="center"/>
        <w:rPr>
          <w:rFonts w:hint="eastAsia" w:ascii="微软雅黑" w:hAnsi="微软雅黑" w:eastAsia="微软雅黑" w:cs="微软雅黑"/>
          <w:b/>
          <w:color w:val="auto"/>
          <w:sz w:val="32"/>
          <w:szCs w:val="32"/>
        </w:rPr>
      </w:pPr>
      <w:r>
        <w:rPr>
          <w:rFonts w:hint="eastAsia" w:ascii="微软雅黑" w:hAnsi="微软雅黑" w:eastAsia="微软雅黑" w:cs="微软雅黑"/>
          <w:b/>
          <w:color w:val="auto"/>
          <w:sz w:val="32"/>
          <w:szCs w:val="32"/>
        </w:rPr>
        <w:t>采购需求</w:t>
      </w:r>
    </w:p>
    <w:p w14:paraId="656A5934">
      <w:pPr>
        <w:spacing w:before="320" w:after="120" w:line="288" w:lineRule="auto"/>
        <w:ind w:left="0"/>
        <w:jc w:val="left"/>
        <w:outlineLvl w:val="1"/>
        <w:rPr>
          <w:rFonts w:hint="eastAsia" w:ascii="微软雅黑" w:hAnsi="微软雅黑" w:eastAsia="微软雅黑" w:cs="微软雅黑"/>
          <w:sz w:val="24"/>
          <w:szCs w:val="24"/>
        </w:rPr>
      </w:pPr>
      <w:bookmarkStart w:id="0" w:name="heading_0"/>
      <w:r>
        <w:rPr>
          <w:rFonts w:hint="eastAsia" w:ascii="微软雅黑" w:hAnsi="微软雅黑" w:eastAsia="微软雅黑" w:cs="微软雅黑"/>
          <w:b/>
          <w:sz w:val="24"/>
          <w:szCs w:val="24"/>
        </w:rPr>
        <w:t>第一节 采购清单一览表</w:t>
      </w:r>
      <w:bookmarkEnd w:id="0"/>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60"/>
        <w:gridCol w:w="2929"/>
        <w:gridCol w:w="1714"/>
        <w:gridCol w:w="1750"/>
        <w:gridCol w:w="1411"/>
        <w:gridCol w:w="1293"/>
      </w:tblGrid>
      <w:tr w14:paraId="2D33F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52" w:hRule="atLeast"/>
        </w:trPr>
        <w:tc>
          <w:tcPr>
            <w:tcW w:w="760" w:type="dxa"/>
            <w:noWrap w:val="0"/>
            <w:tcMar>
              <w:top w:w="60" w:type="dxa"/>
              <w:left w:w="120" w:type="dxa"/>
              <w:bottom w:w="30" w:type="dxa"/>
              <w:right w:w="120" w:type="dxa"/>
            </w:tcMar>
            <w:vAlign w:val="center"/>
          </w:tcPr>
          <w:p w14:paraId="7745D80F">
            <w:pPr>
              <w:spacing w:before="120" w:after="120" w:line="288" w:lineRule="auto"/>
              <w:ind w:left="0"/>
              <w:jc w:val="center"/>
              <w:rPr>
                <w:rFonts w:hint="eastAsia" w:ascii="微软雅黑" w:hAnsi="微软雅黑" w:eastAsia="微软雅黑" w:cs="微软雅黑"/>
              </w:rPr>
            </w:pPr>
            <w:r>
              <w:rPr>
                <w:rFonts w:hint="eastAsia" w:ascii="微软雅黑" w:hAnsi="微软雅黑" w:eastAsia="微软雅黑" w:cs="微软雅黑"/>
                <w:sz w:val="22"/>
              </w:rPr>
              <w:t>包项</w:t>
            </w:r>
          </w:p>
        </w:tc>
        <w:tc>
          <w:tcPr>
            <w:tcW w:w="2929" w:type="dxa"/>
            <w:noWrap w:val="0"/>
            <w:tcMar>
              <w:top w:w="60" w:type="dxa"/>
              <w:left w:w="120" w:type="dxa"/>
              <w:bottom w:w="30" w:type="dxa"/>
              <w:right w:w="120" w:type="dxa"/>
            </w:tcMar>
            <w:vAlign w:val="center"/>
          </w:tcPr>
          <w:p w14:paraId="5BF4EEE7">
            <w:pPr>
              <w:spacing w:before="120" w:after="120" w:line="288" w:lineRule="auto"/>
              <w:ind w:left="0"/>
              <w:jc w:val="center"/>
              <w:rPr>
                <w:rFonts w:hint="eastAsia" w:ascii="微软雅黑" w:hAnsi="微软雅黑" w:eastAsia="微软雅黑" w:cs="微软雅黑"/>
              </w:rPr>
            </w:pPr>
            <w:r>
              <w:rPr>
                <w:rFonts w:hint="eastAsia" w:ascii="微软雅黑" w:hAnsi="微软雅黑" w:eastAsia="微软雅黑" w:cs="微软雅黑"/>
                <w:sz w:val="22"/>
              </w:rPr>
              <w:t>项目名称</w:t>
            </w:r>
          </w:p>
        </w:tc>
        <w:tc>
          <w:tcPr>
            <w:tcW w:w="1714" w:type="dxa"/>
            <w:noWrap w:val="0"/>
            <w:tcMar>
              <w:top w:w="60" w:type="dxa"/>
              <w:left w:w="120" w:type="dxa"/>
              <w:bottom w:w="30" w:type="dxa"/>
              <w:right w:w="120" w:type="dxa"/>
            </w:tcMar>
            <w:vAlign w:val="center"/>
          </w:tcPr>
          <w:p w14:paraId="17BFE630">
            <w:pPr>
              <w:spacing w:before="120" w:after="120" w:line="288" w:lineRule="auto"/>
              <w:ind w:left="0"/>
              <w:jc w:val="center"/>
              <w:rPr>
                <w:rFonts w:hint="eastAsia" w:ascii="微软雅黑" w:hAnsi="微软雅黑" w:eastAsia="微软雅黑" w:cs="微软雅黑"/>
              </w:rPr>
            </w:pPr>
            <w:r>
              <w:rPr>
                <w:rFonts w:hint="eastAsia" w:ascii="微软雅黑" w:hAnsi="微软雅黑" w:eastAsia="微软雅黑" w:cs="微软雅黑"/>
                <w:sz w:val="22"/>
              </w:rPr>
              <w:t>预算上限（元）</w:t>
            </w:r>
          </w:p>
        </w:tc>
        <w:tc>
          <w:tcPr>
            <w:tcW w:w="1750" w:type="dxa"/>
            <w:noWrap w:val="0"/>
            <w:tcMar>
              <w:top w:w="60" w:type="dxa"/>
              <w:left w:w="120" w:type="dxa"/>
              <w:bottom w:w="30" w:type="dxa"/>
              <w:right w:w="120" w:type="dxa"/>
            </w:tcMar>
            <w:vAlign w:val="center"/>
          </w:tcPr>
          <w:p w14:paraId="19952C0D">
            <w:pPr>
              <w:spacing w:before="120" w:after="120" w:line="288" w:lineRule="auto"/>
              <w:ind w:left="0"/>
              <w:jc w:val="center"/>
              <w:rPr>
                <w:rFonts w:hint="eastAsia" w:ascii="微软雅黑" w:hAnsi="微软雅黑" w:eastAsia="微软雅黑" w:cs="微软雅黑"/>
              </w:rPr>
            </w:pPr>
            <w:r>
              <w:rPr>
                <w:rFonts w:hint="eastAsia" w:ascii="微软雅黑" w:hAnsi="微软雅黑" w:eastAsia="微软雅黑" w:cs="微软雅黑"/>
                <w:sz w:val="22"/>
              </w:rPr>
              <w:t>最高限价（元）</w:t>
            </w:r>
          </w:p>
        </w:tc>
        <w:tc>
          <w:tcPr>
            <w:tcW w:w="1411" w:type="dxa"/>
            <w:noWrap w:val="0"/>
            <w:tcMar>
              <w:top w:w="60" w:type="dxa"/>
              <w:left w:w="120" w:type="dxa"/>
              <w:bottom w:w="30" w:type="dxa"/>
              <w:right w:w="120" w:type="dxa"/>
            </w:tcMar>
            <w:vAlign w:val="center"/>
          </w:tcPr>
          <w:p w14:paraId="3CED657F">
            <w:pPr>
              <w:spacing w:before="120" w:after="120" w:line="288" w:lineRule="auto"/>
              <w:ind w:left="0"/>
              <w:jc w:val="center"/>
              <w:rPr>
                <w:rFonts w:hint="eastAsia" w:ascii="微软雅黑" w:hAnsi="微软雅黑" w:eastAsia="微软雅黑" w:cs="微软雅黑"/>
              </w:rPr>
            </w:pPr>
            <w:r>
              <w:rPr>
                <w:rFonts w:hint="eastAsia" w:ascii="微软雅黑" w:hAnsi="微软雅黑" w:eastAsia="微软雅黑" w:cs="微软雅黑"/>
                <w:sz w:val="22"/>
              </w:rPr>
              <w:t>数量</w:t>
            </w:r>
          </w:p>
        </w:tc>
        <w:tc>
          <w:tcPr>
            <w:tcW w:w="1293" w:type="dxa"/>
            <w:noWrap w:val="0"/>
            <w:tcMar>
              <w:top w:w="60" w:type="dxa"/>
              <w:left w:w="120" w:type="dxa"/>
              <w:bottom w:w="30" w:type="dxa"/>
              <w:right w:w="120" w:type="dxa"/>
            </w:tcMar>
            <w:vAlign w:val="center"/>
          </w:tcPr>
          <w:p w14:paraId="5BD7C6AF">
            <w:pPr>
              <w:spacing w:before="120" w:after="120" w:line="288" w:lineRule="auto"/>
              <w:ind w:left="0"/>
              <w:jc w:val="center"/>
              <w:rPr>
                <w:rFonts w:hint="eastAsia" w:ascii="微软雅黑" w:hAnsi="微软雅黑" w:eastAsia="微软雅黑" w:cs="微软雅黑"/>
              </w:rPr>
            </w:pPr>
            <w:r>
              <w:rPr>
                <w:rFonts w:hint="eastAsia" w:ascii="微软雅黑" w:hAnsi="微软雅黑" w:eastAsia="微软雅黑" w:cs="微软雅黑"/>
                <w:sz w:val="22"/>
              </w:rPr>
              <w:t>服务期限</w:t>
            </w:r>
          </w:p>
        </w:tc>
      </w:tr>
      <w:tr w14:paraId="5FF72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62" w:hRule="atLeast"/>
        </w:trPr>
        <w:tc>
          <w:tcPr>
            <w:tcW w:w="760" w:type="dxa"/>
            <w:noWrap w:val="0"/>
            <w:tcMar>
              <w:top w:w="60" w:type="dxa"/>
              <w:left w:w="120" w:type="dxa"/>
              <w:bottom w:w="30" w:type="dxa"/>
              <w:right w:w="120" w:type="dxa"/>
            </w:tcMar>
            <w:vAlign w:val="center"/>
          </w:tcPr>
          <w:p w14:paraId="44221941">
            <w:pPr>
              <w:spacing w:before="120" w:after="120" w:line="288" w:lineRule="auto"/>
              <w:ind w:left="0"/>
              <w:jc w:val="center"/>
              <w:rPr>
                <w:rFonts w:hint="eastAsia" w:ascii="微软雅黑" w:hAnsi="微软雅黑" w:eastAsia="微软雅黑" w:cs="微软雅黑"/>
              </w:rPr>
            </w:pPr>
            <w:r>
              <w:rPr>
                <w:rFonts w:hint="eastAsia" w:ascii="微软雅黑" w:hAnsi="微软雅黑" w:eastAsia="微软雅黑" w:cs="微软雅黑"/>
                <w:sz w:val="22"/>
              </w:rPr>
              <w:t>1</w:t>
            </w:r>
          </w:p>
        </w:tc>
        <w:tc>
          <w:tcPr>
            <w:tcW w:w="2929" w:type="dxa"/>
            <w:noWrap w:val="0"/>
            <w:tcMar>
              <w:top w:w="60" w:type="dxa"/>
              <w:left w:w="120" w:type="dxa"/>
              <w:bottom w:w="30" w:type="dxa"/>
              <w:right w:w="120" w:type="dxa"/>
            </w:tcMar>
            <w:vAlign w:val="center"/>
          </w:tcPr>
          <w:p w14:paraId="4B5D26E2">
            <w:pPr>
              <w:spacing w:before="120" w:after="120" w:line="288" w:lineRule="auto"/>
              <w:ind w:left="0"/>
              <w:jc w:val="center"/>
              <w:rPr>
                <w:rFonts w:hint="eastAsia" w:ascii="微软雅黑" w:hAnsi="微软雅黑" w:eastAsia="微软雅黑" w:cs="微软雅黑"/>
                <w:lang w:eastAsia="zh-CN"/>
              </w:rPr>
            </w:pPr>
            <w:r>
              <w:rPr>
                <w:rFonts w:hint="eastAsia" w:ascii="微软雅黑" w:hAnsi="微软雅黑" w:eastAsia="微软雅黑" w:cs="微软雅黑"/>
                <w:sz w:val="22"/>
                <w:lang w:eastAsia="zh-CN"/>
              </w:rPr>
              <w:t>岳阳县人民医院采购保安服务项目</w:t>
            </w:r>
          </w:p>
        </w:tc>
        <w:tc>
          <w:tcPr>
            <w:tcW w:w="1714" w:type="dxa"/>
            <w:noWrap w:val="0"/>
            <w:tcMar>
              <w:top w:w="60" w:type="dxa"/>
              <w:left w:w="120" w:type="dxa"/>
              <w:bottom w:w="30" w:type="dxa"/>
              <w:right w:w="120" w:type="dxa"/>
            </w:tcMar>
            <w:vAlign w:val="center"/>
          </w:tcPr>
          <w:p w14:paraId="63B8DBBA">
            <w:pPr>
              <w:spacing w:before="120" w:after="120" w:line="288" w:lineRule="auto"/>
              <w:ind w:left="0"/>
              <w:jc w:val="center"/>
              <w:rPr>
                <w:rFonts w:hint="eastAsia" w:ascii="微软雅黑" w:hAnsi="微软雅黑" w:eastAsia="微软雅黑" w:cs="微软雅黑"/>
              </w:rPr>
            </w:pPr>
            <w:r>
              <w:rPr>
                <w:rFonts w:hint="eastAsia" w:ascii="微软雅黑" w:hAnsi="微软雅黑" w:eastAsia="微软雅黑" w:cs="微软雅黑"/>
                <w:sz w:val="22"/>
              </w:rPr>
              <w:t>760900.00</w:t>
            </w:r>
          </w:p>
        </w:tc>
        <w:tc>
          <w:tcPr>
            <w:tcW w:w="1750" w:type="dxa"/>
            <w:noWrap w:val="0"/>
            <w:tcMar>
              <w:top w:w="60" w:type="dxa"/>
              <w:left w:w="120" w:type="dxa"/>
              <w:bottom w:w="30" w:type="dxa"/>
              <w:right w:w="120" w:type="dxa"/>
            </w:tcMar>
            <w:vAlign w:val="center"/>
          </w:tcPr>
          <w:p w14:paraId="59494343">
            <w:pPr>
              <w:spacing w:before="120" w:after="120" w:line="288" w:lineRule="auto"/>
              <w:ind w:left="0"/>
              <w:jc w:val="center"/>
              <w:rPr>
                <w:rFonts w:hint="eastAsia" w:ascii="微软雅黑" w:hAnsi="微软雅黑" w:eastAsia="微软雅黑" w:cs="微软雅黑"/>
              </w:rPr>
            </w:pPr>
            <w:r>
              <w:rPr>
                <w:rFonts w:hint="eastAsia" w:ascii="微软雅黑" w:hAnsi="微软雅黑" w:eastAsia="微软雅黑" w:cs="微软雅黑"/>
                <w:sz w:val="22"/>
              </w:rPr>
              <w:t>760900.00</w:t>
            </w:r>
          </w:p>
        </w:tc>
        <w:tc>
          <w:tcPr>
            <w:tcW w:w="1411" w:type="dxa"/>
            <w:noWrap w:val="0"/>
            <w:tcMar>
              <w:top w:w="60" w:type="dxa"/>
              <w:left w:w="120" w:type="dxa"/>
              <w:bottom w:w="30" w:type="dxa"/>
              <w:right w:w="120" w:type="dxa"/>
            </w:tcMar>
            <w:vAlign w:val="center"/>
          </w:tcPr>
          <w:p w14:paraId="251A9E90">
            <w:pPr>
              <w:spacing w:before="120" w:after="120" w:line="288" w:lineRule="auto"/>
              <w:ind w:left="0"/>
              <w:jc w:val="center"/>
              <w:rPr>
                <w:rFonts w:hint="eastAsia" w:ascii="微软雅黑" w:hAnsi="微软雅黑" w:eastAsia="微软雅黑" w:cs="微软雅黑"/>
              </w:rPr>
            </w:pPr>
            <w:r>
              <w:rPr>
                <w:rFonts w:hint="eastAsia" w:ascii="微软雅黑" w:hAnsi="微软雅黑" w:eastAsia="微软雅黑" w:cs="微软雅黑"/>
                <w:sz w:val="22"/>
              </w:rPr>
              <w:t>18人</w:t>
            </w:r>
          </w:p>
        </w:tc>
        <w:tc>
          <w:tcPr>
            <w:tcW w:w="1293" w:type="dxa"/>
            <w:noWrap w:val="0"/>
            <w:tcMar>
              <w:top w:w="60" w:type="dxa"/>
              <w:left w:w="120" w:type="dxa"/>
              <w:bottom w:w="30" w:type="dxa"/>
              <w:right w:w="120" w:type="dxa"/>
            </w:tcMar>
            <w:vAlign w:val="center"/>
          </w:tcPr>
          <w:p w14:paraId="1BA2A0EF">
            <w:pPr>
              <w:spacing w:before="120" w:after="120" w:line="288" w:lineRule="auto"/>
              <w:ind w:left="0"/>
              <w:jc w:val="center"/>
              <w:rPr>
                <w:rFonts w:hint="eastAsia" w:ascii="微软雅黑" w:hAnsi="微软雅黑" w:eastAsia="微软雅黑" w:cs="微软雅黑"/>
              </w:rPr>
            </w:pPr>
            <w:r>
              <w:rPr>
                <w:rFonts w:hint="eastAsia" w:ascii="微软雅黑" w:hAnsi="微软雅黑" w:eastAsia="微软雅黑" w:cs="微软雅黑"/>
                <w:sz w:val="22"/>
              </w:rPr>
              <w:t>一年</w:t>
            </w:r>
          </w:p>
        </w:tc>
      </w:tr>
    </w:tbl>
    <w:p w14:paraId="3ECE0229">
      <w:pPr>
        <w:spacing w:before="300" w:after="120" w:line="288" w:lineRule="auto"/>
        <w:ind w:left="0"/>
        <w:jc w:val="left"/>
        <w:outlineLvl w:val="2"/>
        <w:rPr>
          <w:rFonts w:hint="eastAsia" w:ascii="微软雅黑" w:hAnsi="微软雅黑" w:eastAsia="微软雅黑" w:cs="微软雅黑"/>
        </w:rPr>
      </w:pPr>
      <w:bookmarkStart w:id="1" w:name="heading_1"/>
      <w:r>
        <w:rPr>
          <w:rFonts w:hint="eastAsia" w:ascii="微软雅黑" w:hAnsi="微软雅黑" w:eastAsia="微软雅黑" w:cs="微软雅黑"/>
          <w:b/>
          <w:sz w:val="30"/>
        </w:rPr>
        <w:t>1、服务清单：</w:t>
      </w:r>
      <w:bookmarkEnd w:id="1"/>
    </w:p>
    <w:tbl>
      <w:tblPr>
        <w:tblStyle w:val="2"/>
        <w:tblW w:w="98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666"/>
        <w:gridCol w:w="3871"/>
        <w:gridCol w:w="976"/>
        <w:gridCol w:w="791"/>
        <w:gridCol w:w="3534"/>
      </w:tblGrid>
      <w:tr w14:paraId="11677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78" w:hRule="atLeast"/>
        </w:trPr>
        <w:tc>
          <w:tcPr>
            <w:tcW w:w="666" w:type="dxa"/>
            <w:noWrap w:val="0"/>
            <w:tcMar>
              <w:top w:w="60" w:type="dxa"/>
              <w:left w:w="120" w:type="dxa"/>
              <w:bottom w:w="30" w:type="dxa"/>
              <w:right w:w="120" w:type="dxa"/>
            </w:tcMar>
            <w:vAlign w:val="center"/>
          </w:tcPr>
          <w:p w14:paraId="6752E667">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序号</w:t>
            </w:r>
          </w:p>
        </w:tc>
        <w:tc>
          <w:tcPr>
            <w:tcW w:w="3871" w:type="dxa"/>
            <w:noWrap w:val="0"/>
            <w:tcMar>
              <w:top w:w="60" w:type="dxa"/>
              <w:left w:w="120" w:type="dxa"/>
              <w:bottom w:w="30" w:type="dxa"/>
              <w:right w:w="120" w:type="dxa"/>
            </w:tcMar>
            <w:vAlign w:val="center"/>
          </w:tcPr>
          <w:p w14:paraId="2F4C16DE">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项目</w:t>
            </w:r>
          </w:p>
        </w:tc>
        <w:tc>
          <w:tcPr>
            <w:tcW w:w="976" w:type="dxa"/>
            <w:noWrap w:val="0"/>
            <w:tcMar>
              <w:top w:w="60" w:type="dxa"/>
              <w:left w:w="120" w:type="dxa"/>
              <w:bottom w:w="30" w:type="dxa"/>
              <w:right w:w="120" w:type="dxa"/>
            </w:tcMar>
            <w:vAlign w:val="center"/>
          </w:tcPr>
          <w:p w14:paraId="09C341D7">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人数</w:t>
            </w:r>
          </w:p>
        </w:tc>
        <w:tc>
          <w:tcPr>
            <w:tcW w:w="791" w:type="dxa"/>
            <w:noWrap w:val="0"/>
            <w:tcMar>
              <w:top w:w="60" w:type="dxa"/>
              <w:left w:w="120" w:type="dxa"/>
              <w:bottom w:w="30" w:type="dxa"/>
              <w:right w:w="120" w:type="dxa"/>
            </w:tcMar>
            <w:vAlign w:val="center"/>
          </w:tcPr>
          <w:p w14:paraId="6CBA27F6">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月数</w:t>
            </w:r>
          </w:p>
        </w:tc>
        <w:tc>
          <w:tcPr>
            <w:tcW w:w="3534" w:type="dxa"/>
            <w:noWrap w:val="0"/>
            <w:tcMar>
              <w:top w:w="60" w:type="dxa"/>
              <w:left w:w="120" w:type="dxa"/>
              <w:bottom w:w="30" w:type="dxa"/>
              <w:right w:w="120" w:type="dxa"/>
            </w:tcMar>
            <w:vAlign w:val="center"/>
          </w:tcPr>
          <w:p w14:paraId="0B0225BD">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备注</w:t>
            </w:r>
          </w:p>
        </w:tc>
      </w:tr>
      <w:tr w14:paraId="2778D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6" w:hRule="atLeast"/>
        </w:trPr>
        <w:tc>
          <w:tcPr>
            <w:tcW w:w="666" w:type="dxa"/>
            <w:noWrap w:val="0"/>
            <w:tcMar>
              <w:top w:w="60" w:type="dxa"/>
              <w:left w:w="120" w:type="dxa"/>
              <w:bottom w:w="30" w:type="dxa"/>
              <w:right w:w="120" w:type="dxa"/>
            </w:tcMar>
            <w:vAlign w:val="center"/>
          </w:tcPr>
          <w:p w14:paraId="60491090">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w:t>
            </w:r>
          </w:p>
        </w:tc>
        <w:tc>
          <w:tcPr>
            <w:tcW w:w="3871" w:type="dxa"/>
            <w:noWrap w:val="0"/>
            <w:tcMar>
              <w:top w:w="60" w:type="dxa"/>
              <w:left w:w="120" w:type="dxa"/>
              <w:bottom w:w="30" w:type="dxa"/>
              <w:right w:w="120" w:type="dxa"/>
            </w:tcMar>
            <w:vAlign w:val="center"/>
          </w:tcPr>
          <w:p w14:paraId="4541DEE7">
            <w:pPr>
              <w:bidi w:val="0"/>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保安队长</w:t>
            </w:r>
          </w:p>
        </w:tc>
        <w:tc>
          <w:tcPr>
            <w:tcW w:w="976" w:type="dxa"/>
            <w:noWrap w:val="0"/>
            <w:tcMar>
              <w:top w:w="60" w:type="dxa"/>
              <w:left w:w="120" w:type="dxa"/>
              <w:bottom w:w="30" w:type="dxa"/>
              <w:right w:w="120" w:type="dxa"/>
            </w:tcMar>
            <w:vAlign w:val="center"/>
          </w:tcPr>
          <w:p w14:paraId="2CBBBA09">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2</w:t>
            </w:r>
          </w:p>
        </w:tc>
        <w:tc>
          <w:tcPr>
            <w:tcW w:w="791" w:type="dxa"/>
            <w:noWrap w:val="0"/>
            <w:tcMar>
              <w:top w:w="60" w:type="dxa"/>
              <w:left w:w="120" w:type="dxa"/>
              <w:bottom w:w="30" w:type="dxa"/>
              <w:right w:w="120" w:type="dxa"/>
            </w:tcMar>
            <w:vAlign w:val="center"/>
          </w:tcPr>
          <w:p w14:paraId="01F2FF40">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12</w:t>
            </w:r>
          </w:p>
        </w:tc>
        <w:tc>
          <w:tcPr>
            <w:tcW w:w="3534" w:type="dxa"/>
            <w:noWrap w:val="0"/>
            <w:tcMar>
              <w:top w:w="60" w:type="dxa"/>
              <w:left w:w="120" w:type="dxa"/>
              <w:bottom w:w="30" w:type="dxa"/>
              <w:right w:w="120" w:type="dxa"/>
            </w:tcMar>
            <w:vAlign w:val="center"/>
          </w:tcPr>
          <w:p w14:paraId="7CD83BF0">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月单价3600元</w:t>
            </w:r>
          </w:p>
        </w:tc>
      </w:tr>
      <w:tr w14:paraId="308F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6" w:hRule="atLeast"/>
        </w:trPr>
        <w:tc>
          <w:tcPr>
            <w:tcW w:w="666" w:type="dxa"/>
            <w:noWrap w:val="0"/>
            <w:tcMar>
              <w:top w:w="60" w:type="dxa"/>
              <w:left w:w="120" w:type="dxa"/>
              <w:bottom w:w="30" w:type="dxa"/>
              <w:right w:w="120" w:type="dxa"/>
            </w:tcMar>
            <w:vAlign w:val="center"/>
          </w:tcPr>
          <w:p w14:paraId="22F88E5E">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2</w:t>
            </w:r>
          </w:p>
        </w:tc>
        <w:tc>
          <w:tcPr>
            <w:tcW w:w="3871" w:type="dxa"/>
            <w:noWrap w:val="0"/>
            <w:tcMar>
              <w:top w:w="60" w:type="dxa"/>
              <w:left w:w="120" w:type="dxa"/>
              <w:bottom w:w="30" w:type="dxa"/>
              <w:right w:w="120" w:type="dxa"/>
            </w:tcMar>
            <w:vAlign w:val="center"/>
          </w:tcPr>
          <w:p w14:paraId="3AD8677C">
            <w:pPr>
              <w:bidi w:val="0"/>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消防值班员</w:t>
            </w:r>
          </w:p>
        </w:tc>
        <w:tc>
          <w:tcPr>
            <w:tcW w:w="976" w:type="dxa"/>
            <w:noWrap w:val="0"/>
            <w:tcMar>
              <w:top w:w="60" w:type="dxa"/>
              <w:left w:w="120" w:type="dxa"/>
              <w:bottom w:w="30" w:type="dxa"/>
              <w:right w:w="120" w:type="dxa"/>
            </w:tcMar>
            <w:vAlign w:val="center"/>
          </w:tcPr>
          <w:p w14:paraId="23AD20AB">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3</w:t>
            </w:r>
          </w:p>
        </w:tc>
        <w:tc>
          <w:tcPr>
            <w:tcW w:w="791" w:type="dxa"/>
            <w:noWrap w:val="0"/>
            <w:tcMar>
              <w:top w:w="60" w:type="dxa"/>
              <w:left w:w="120" w:type="dxa"/>
              <w:bottom w:w="30" w:type="dxa"/>
              <w:right w:w="120" w:type="dxa"/>
            </w:tcMar>
            <w:vAlign w:val="center"/>
          </w:tcPr>
          <w:p w14:paraId="4141E637">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12</w:t>
            </w:r>
          </w:p>
        </w:tc>
        <w:tc>
          <w:tcPr>
            <w:tcW w:w="3534" w:type="dxa"/>
            <w:noWrap w:val="0"/>
            <w:tcMar>
              <w:top w:w="60" w:type="dxa"/>
              <w:left w:w="120" w:type="dxa"/>
              <w:bottom w:w="30" w:type="dxa"/>
              <w:right w:w="120" w:type="dxa"/>
            </w:tcMar>
            <w:vAlign w:val="center"/>
          </w:tcPr>
          <w:p w14:paraId="6D09929C">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月单价3500元</w:t>
            </w:r>
          </w:p>
        </w:tc>
      </w:tr>
      <w:tr w14:paraId="538C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6" w:hRule="atLeast"/>
        </w:trPr>
        <w:tc>
          <w:tcPr>
            <w:tcW w:w="666" w:type="dxa"/>
            <w:noWrap w:val="0"/>
            <w:tcMar>
              <w:top w:w="60" w:type="dxa"/>
              <w:left w:w="120" w:type="dxa"/>
              <w:bottom w:w="30" w:type="dxa"/>
              <w:right w:w="120" w:type="dxa"/>
            </w:tcMar>
            <w:vAlign w:val="center"/>
          </w:tcPr>
          <w:p w14:paraId="1660DB90">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3</w:t>
            </w:r>
          </w:p>
        </w:tc>
        <w:tc>
          <w:tcPr>
            <w:tcW w:w="3871" w:type="dxa"/>
            <w:noWrap w:val="0"/>
            <w:tcMar>
              <w:top w:w="60" w:type="dxa"/>
              <w:left w:w="120" w:type="dxa"/>
              <w:bottom w:w="30" w:type="dxa"/>
              <w:right w:w="120" w:type="dxa"/>
            </w:tcMar>
            <w:vAlign w:val="center"/>
          </w:tcPr>
          <w:p w14:paraId="3E0986DD">
            <w:pPr>
              <w:bidi w:val="0"/>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交通管理员</w:t>
            </w:r>
          </w:p>
        </w:tc>
        <w:tc>
          <w:tcPr>
            <w:tcW w:w="976" w:type="dxa"/>
            <w:noWrap w:val="0"/>
            <w:tcMar>
              <w:top w:w="60" w:type="dxa"/>
              <w:left w:w="120" w:type="dxa"/>
              <w:bottom w:w="30" w:type="dxa"/>
              <w:right w:w="120" w:type="dxa"/>
            </w:tcMar>
            <w:vAlign w:val="center"/>
          </w:tcPr>
          <w:p w14:paraId="705BAB58">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7</w:t>
            </w:r>
          </w:p>
        </w:tc>
        <w:tc>
          <w:tcPr>
            <w:tcW w:w="791" w:type="dxa"/>
            <w:noWrap w:val="0"/>
            <w:tcMar>
              <w:top w:w="60" w:type="dxa"/>
              <w:left w:w="120" w:type="dxa"/>
              <w:bottom w:w="30" w:type="dxa"/>
              <w:right w:w="120" w:type="dxa"/>
            </w:tcMar>
            <w:vAlign w:val="center"/>
          </w:tcPr>
          <w:p w14:paraId="474A10FA">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12</w:t>
            </w:r>
          </w:p>
        </w:tc>
        <w:tc>
          <w:tcPr>
            <w:tcW w:w="3534" w:type="dxa"/>
            <w:noWrap w:val="0"/>
            <w:tcMar>
              <w:top w:w="60" w:type="dxa"/>
              <w:left w:w="120" w:type="dxa"/>
              <w:bottom w:w="30" w:type="dxa"/>
              <w:right w:w="120" w:type="dxa"/>
            </w:tcMar>
            <w:vAlign w:val="center"/>
          </w:tcPr>
          <w:p w14:paraId="49BFA863">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月单价3400元</w:t>
            </w:r>
          </w:p>
        </w:tc>
      </w:tr>
      <w:tr w14:paraId="03C6A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6" w:hRule="atLeast"/>
        </w:trPr>
        <w:tc>
          <w:tcPr>
            <w:tcW w:w="666" w:type="dxa"/>
            <w:noWrap w:val="0"/>
            <w:tcMar>
              <w:top w:w="60" w:type="dxa"/>
              <w:left w:w="120" w:type="dxa"/>
              <w:bottom w:w="30" w:type="dxa"/>
              <w:right w:w="120" w:type="dxa"/>
            </w:tcMar>
            <w:vAlign w:val="center"/>
          </w:tcPr>
          <w:p w14:paraId="1EB605EC">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4</w:t>
            </w:r>
          </w:p>
        </w:tc>
        <w:tc>
          <w:tcPr>
            <w:tcW w:w="3871" w:type="dxa"/>
            <w:noWrap w:val="0"/>
            <w:tcMar>
              <w:top w:w="60" w:type="dxa"/>
              <w:left w:w="120" w:type="dxa"/>
              <w:bottom w:w="30" w:type="dxa"/>
              <w:right w:w="120" w:type="dxa"/>
            </w:tcMar>
            <w:vAlign w:val="center"/>
          </w:tcPr>
          <w:p w14:paraId="5F59528C">
            <w:pPr>
              <w:bidi w:val="0"/>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巡逻员</w:t>
            </w:r>
          </w:p>
        </w:tc>
        <w:tc>
          <w:tcPr>
            <w:tcW w:w="976" w:type="dxa"/>
            <w:noWrap w:val="0"/>
            <w:tcMar>
              <w:top w:w="60" w:type="dxa"/>
              <w:left w:w="120" w:type="dxa"/>
              <w:bottom w:w="30" w:type="dxa"/>
              <w:right w:w="120" w:type="dxa"/>
            </w:tcMar>
            <w:vAlign w:val="center"/>
          </w:tcPr>
          <w:p w14:paraId="5F6EF4D3">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6</w:t>
            </w:r>
          </w:p>
        </w:tc>
        <w:tc>
          <w:tcPr>
            <w:tcW w:w="791" w:type="dxa"/>
            <w:noWrap w:val="0"/>
            <w:tcMar>
              <w:top w:w="60" w:type="dxa"/>
              <w:left w:w="120" w:type="dxa"/>
              <w:bottom w:w="30" w:type="dxa"/>
              <w:right w:w="120" w:type="dxa"/>
            </w:tcMar>
            <w:vAlign w:val="center"/>
          </w:tcPr>
          <w:p w14:paraId="18E70298">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12</w:t>
            </w:r>
          </w:p>
        </w:tc>
        <w:tc>
          <w:tcPr>
            <w:tcW w:w="3534" w:type="dxa"/>
            <w:noWrap w:val="0"/>
            <w:tcMar>
              <w:top w:w="60" w:type="dxa"/>
              <w:left w:w="120" w:type="dxa"/>
              <w:bottom w:w="30" w:type="dxa"/>
              <w:right w:w="120" w:type="dxa"/>
            </w:tcMar>
            <w:vAlign w:val="center"/>
          </w:tcPr>
          <w:p w14:paraId="0D6B38FC">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月单价3400元</w:t>
            </w:r>
          </w:p>
        </w:tc>
      </w:tr>
      <w:tr w14:paraId="074C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6" w:hRule="atLeast"/>
        </w:trPr>
        <w:tc>
          <w:tcPr>
            <w:tcW w:w="666" w:type="dxa"/>
            <w:noWrap w:val="0"/>
            <w:tcMar>
              <w:top w:w="60" w:type="dxa"/>
              <w:left w:w="120" w:type="dxa"/>
              <w:bottom w:w="30" w:type="dxa"/>
              <w:right w:w="120" w:type="dxa"/>
            </w:tcMar>
            <w:vAlign w:val="center"/>
          </w:tcPr>
          <w:p w14:paraId="7216C929">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5</w:t>
            </w:r>
          </w:p>
        </w:tc>
        <w:tc>
          <w:tcPr>
            <w:tcW w:w="3871" w:type="dxa"/>
            <w:noWrap w:val="0"/>
            <w:tcMar>
              <w:top w:w="60" w:type="dxa"/>
              <w:left w:w="120" w:type="dxa"/>
              <w:bottom w:w="30" w:type="dxa"/>
              <w:right w:w="120" w:type="dxa"/>
            </w:tcMar>
            <w:vAlign w:val="center"/>
          </w:tcPr>
          <w:p w14:paraId="53960224">
            <w:pPr>
              <w:bidi w:val="0"/>
              <w:jc w:val="left"/>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sz w:val="21"/>
                <w:szCs w:val="21"/>
              </w:rPr>
              <w:t>社保费用（养老保险、失业保险、工伤保险、医疗保险）</w:t>
            </w:r>
          </w:p>
        </w:tc>
        <w:tc>
          <w:tcPr>
            <w:tcW w:w="976" w:type="dxa"/>
            <w:noWrap w:val="0"/>
            <w:tcMar>
              <w:top w:w="60" w:type="dxa"/>
              <w:left w:w="120" w:type="dxa"/>
              <w:bottom w:w="30" w:type="dxa"/>
              <w:right w:w="120" w:type="dxa"/>
            </w:tcMar>
            <w:vAlign w:val="center"/>
          </w:tcPr>
          <w:p w14:paraId="4F8E4179">
            <w:pPr>
              <w:bidi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sz w:val="21"/>
                <w:szCs w:val="21"/>
              </w:rPr>
              <w:t>18</w:t>
            </w:r>
          </w:p>
        </w:tc>
        <w:tc>
          <w:tcPr>
            <w:tcW w:w="791" w:type="dxa"/>
            <w:noWrap w:val="0"/>
            <w:tcMar>
              <w:top w:w="60" w:type="dxa"/>
              <w:left w:w="120" w:type="dxa"/>
              <w:bottom w:w="30" w:type="dxa"/>
              <w:right w:w="120" w:type="dxa"/>
            </w:tcMar>
            <w:vAlign w:val="center"/>
          </w:tcPr>
          <w:p w14:paraId="1F46AAEC">
            <w:pPr>
              <w:bidi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sz w:val="21"/>
                <w:szCs w:val="21"/>
              </w:rPr>
              <w:t>12</w:t>
            </w:r>
          </w:p>
        </w:tc>
        <w:tc>
          <w:tcPr>
            <w:tcW w:w="3534" w:type="dxa"/>
            <w:noWrap w:val="0"/>
            <w:tcMar>
              <w:top w:w="60" w:type="dxa"/>
              <w:left w:w="120" w:type="dxa"/>
              <w:bottom w:w="30" w:type="dxa"/>
              <w:right w:w="120" w:type="dxa"/>
            </w:tcMar>
            <w:vAlign w:val="center"/>
          </w:tcPr>
          <w:p w14:paraId="33740FDD">
            <w:pPr>
              <w:bidi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sz w:val="21"/>
                <w:szCs w:val="21"/>
              </w:rPr>
              <w:t>全部由承接商自行承担</w:t>
            </w:r>
          </w:p>
        </w:tc>
      </w:tr>
      <w:tr w14:paraId="539E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78" w:hRule="atLeast"/>
        </w:trPr>
        <w:tc>
          <w:tcPr>
            <w:tcW w:w="666" w:type="dxa"/>
            <w:noWrap w:val="0"/>
            <w:tcMar>
              <w:top w:w="60" w:type="dxa"/>
              <w:left w:w="120" w:type="dxa"/>
              <w:bottom w:w="30" w:type="dxa"/>
              <w:right w:w="120" w:type="dxa"/>
            </w:tcMar>
            <w:vAlign w:val="center"/>
          </w:tcPr>
          <w:p w14:paraId="1CC3DFE4">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6</w:t>
            </w:r>
          </w:p>
        </w:tc>
        <w:tc>
          <w:tcPr>
            <w:tcW w:w="3871" w:type="dxa"/>
            <w:noWrap w:val="0"/>
            <w:tcMar>
              <w:top w:w="60" w:type="dxa"/>
              <w:left w:w="120" w:type="dxa"/>
              <w:bottom w:w="30" w:type="dxa"/>
              <w:right w:w="120" w:type="dxa"/>
            </w:tcMar>
            <w:vAlign w:val="center"/>
          </w:tcPr>
          <w:p w14:paraId="3009B38B">
            <w:pPr>
              <w:bidi w:val="0"/>
              <w:jc w:val="left"/>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sz w:val="21"/>
                <w:szCs w:val="21"/>
              </w:rPr>
              <w:t>管理费</w:t>
            </w:r>
          </w:p>
        </w:tc>
        <w:tc>
          <w:tcPr>
            <w:tcW w:w="976" w:type="dxa"/>
            <w:noWrap w:val="0"/>
            <w:tcMar>
              <w:top w:w="60" w:type="dxa"/>
              <w:left w:w="120" w:type="dxa"/>
              <w:bottom w:w="30" w:type="dxa"/>
              <w:right w:w="120" w:type="dxa"/>
            </w:tcMar>
            <w:vAlign w:val="center"/>
          </w:tcPr>
          <w:p w14:paraId="3E591689">
            <w:pPr>
              <w:bidi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sz w:val="21"/>
                <w:szCs w:val="21"/>
              </w:rPr>
              <w:t>-</w:t>
            </w:r>
          </w:p>
        </w:tc>
        <w:tc>
          <w:tcPr>
            <w:tcW w:w="791" w:type="dxa"/>
            <w:noWrap w:val="0"/>
            <w:tcMar>
              <w:top w:w="60" w:type="dxa"/>
              <w:left w:w="120" w:type="dxa"/>
              <w:bottom w:w="30" w:type="dxa"/>
              <w:right w:w="120" w:type="dxa"/>
            </w:tcMar>
            <w:vAlign w:val="center"/>
          </w:tcPr>
          <w:p w14:paraId="3BB64450">
            <w:pPr>
              <w:bidi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sz w:val="21"/>
                <w:szCs w:val="21"/>
              </w:rPr>
              <w:t>12</w:t>
            </w:r>
          </w:p>
        </w:tc>
        <w:tc>
          <w:tcPr>
            <w:tcW w:w="3534" w:type="dxa"/>
            <w:noWrap w:val="0"/>
            <w:tcMar>
              <w:top w:w="60" w:type="dxa"/>
              <w:left w:w="120" w:type="dxa"/>
              <w:bottom w:w="30" w:type="dxa"/>
              <w:right w:w="120" w:type="dxa"/>
            </w:tcMar>
            <w:vAlign w:val="center"/>
          </w:tcPr>
          <w:p w14:paraId="33AA7AC0">
            <w:pPr>
              <w:bidi w:val="0"/>
              <w:jc w:val="center"/>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sz w:val="21"/>
                <w:szCs w:val="21"/>
              </w:rPr>
              <w:t>按基础工资5%计取</w:t>
            </w:r>
          </w:p>
        </w:tc>
      </w:tr>
      <w:tr w14:paraId="15E6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78" w:hRule="atLeast"/>
        </w:trPr>
        <w:tc>
          <w:tcPr>
            <w:tcW w:w="666" w:type="dxa"/>
            <w:noWrap w:val="0"/>
            <w:tcMar>
              <w:top w:w="60" w:type="dxa"/>
              <w:left w:w="120" w:type="dxa"/>
              <w:bottom w:w="30" w:type="dxa"/>
              <w:right w:w="120" w:type="dxa"/>
            </w:tcMar>
            <w:vAlign w:val="center"/>
          </w:tcPr>
          <w:p w14:paraId="24E4A1F5">
            <w:pPr>
              <w:bidi w:val="0"/>
              <w:jc w:val="center"/>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7</w:t>
            </w:r>
          </w:p>
        </w:tc>
        <w:tc>
          <w:tcPr>
            <w:tcW w:w="3871" w:type="dxa"/>
            <w:noWrap w:val="0"/>
            <w:tcMar>
              <w:top w:w="60" w:type="dxa"/>
              <w:left w:w="120" w:type="dxa"/>
              <w:bottom w:w="30" w:type="dxa"/>
              <w:right w:w="120" w:type="dxa"/>
            </w:tcMar>
            <w:vAlign w:val="center"/>
          </w:tcPr>
          <w:p w14:paraId="0BA60931">
            <w:pPr>
              <w:bidi w:val="0"/>
              <w:jc w:val="lef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税务费</w:t>
            </w:r>
          </w:p>
        </w:tc>
        <w:tc>
          <w:tcPr>
            <w:tcW w:w="976" w:type="dxa"/>
            <w:noWrap w:val="0"/>
            <w:tcMar>
              <w:top w:w="60" w:type="dxa"/>
              <w:left w:w="120" w:type="dxa"/>
              <w:bottom w:w="30" w:type="dxa"/>
              <w:right w:w="120" w:type="dxa"/>
            </w:tcMar>
            <w:vAlign w:val="center"/>
          </w:tcPr>
          <w:p w14:paraId="5A412627">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w:t>
            </w:r>
          </w:p>
        </w:tc>
        <w:tc>
          <w:tcPr>
            <w:tcW w:w="791" w:type="dxa"/>
            <w:noWrap w:val="0"/>
            <w:tcMar>
              <w:top w:w="60" w:type="dxa"/>
              <w:left w:w="120" w:type="dxa"/>
              <w:bottom w:w="30" w:type="dxa"/>
              <w:right w:w="120" w:type="dxa"/>
            </w:tcMar>
            <w:vAlign w:val="center"/>
          </w:tcPr>
          <w:p w14:paraId="7695E8B7">
            <w:pPr>
              <w:bidi w:val="0"/>
              <w:jc w:val="center"/>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12</w:t>
            </w:r>
          </w:p>
        </w:tc>
        <w:tc>
          <w:tcPr>
            <w:tcW w:w="3534" w:type="dxa"/>
            <w:noWrap w:val="0"/>
            <w:tcMar>
              <w:top w:w="60" w:type="dxa"/>
              <w:left w:w="120" w:type="dxa"/>
              <w:bottom w:w="30" w:type="dxa"/>
              <w:right w:w="120" w:type="dxa"/>
            </w:tcMar>
            <w:vAlign w:val="center"/>
          </w:tcPr>
          <w:p w14:paraId="1FC4BC08">
            <w:pPr>
              <w:bidi w:val="0"/>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按金额6</w:t>
            </w:r>
            <w:r>
              <w:rPr>
                <w:rFonts w:hint="eastAsia" w:ascii="微软雅黑" w:hAnsi="微软雅黑" w:eastAsia="微软雅黑" w:cs="微软雅黑"/>
                <w:sz w:val="21"/>
                <w:szCs w:val="21"/>
              </w:rPr>
              <w:t>%计取</w:t>
            </w:r>
          </w:p>
        </w:tc>
      </w:tr>
    </w:tbl>
    <w:p w14:paraId="055E336A">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b/>
          <w:sz w:val="22"/>
        </w:rPr>
        <w:t>备注：</w:t>
      </w:r>
      <w:r>
        <w:rPr>
          <w:rFonts w:hint="eastAsia" w:ascii="微软雅黑" w:hAnsi="微软雅黑" w:eastAsia="微软雅黑" w:cs="微软雅黑"/>
          <w:sz w:val="22"/>
        </w:rPr>
        <w:t>本项目依据《湖南省医院内部安全保卫工作规范》及行业安保配置标准测算，结合岳阳县人民医院现有在岗医护人员489人、开放床位500张、日均门诊1000人次的实际运营规模，按医护人员3%、床位每20张1人、门诊量3‰三项国标配比测算，结合医院现阶段经费情况，核定</w:t>
      </w:r>
      <w:r>
        <w:rPr>
          <w:rFonts w:hint="eastAsia" w:ascii="微软雅黑" w:hAnsi="微软雅黑" w:eastAsia="微软雅黑" w:cs="微软雅黑"/>
          <w:b/>
          <w:sz w:val="22"/>
        </w:rPr>
        <w:t>18人为最低保底配置人数</w:t>
      </w:r>
      <w:r>
        <w:rPr>
          <w:rFonts w:hint="eastAsia" w:ascii="微软雅黑" w:hAnsi="微软雅黑" w:eastAsia="微软雅黑" w:cs="微软雅黑"/>
          <w:sz w:val="22"/>
        </w:rPr>
        <w:t>，服务承接商在岗安保人员数量不得低于本标准；本项目保安工资不得低于岳阳市现行最低工资标准。后期医院提质改造、院区扩容后，将按规范标准补齐安保人员配置。</w:t>
      </w:r>
    </w:p>
    <w:p w14:paraId="612C9407">
      <w:pPr>
        <w:spacing w:before="320" w:after="120" w:line="288" w:lineRule="auto"/>
        <w:ind w:left="0"/>
        <w:jc w:val="left"/>
        <w:outlineLvl w:val="1"/>
        <w:rPr>
          <w:rFonts w:hint="eastAsia" w:ascii="微软雅黑" w:hAnsi="微软雅黑" w:eastAsia="微软雅黑" w:cs="微软雅黑"/>
        </w:rPr>
      </w:pPr>
      <w:bookmarkStart w:id="2" w:name="heading_2"/>
      <w:r>
        <w:rPr>
          <w:rFonts w:hint="eastAsia" w:ascii="微软雅黑" w:hAnsi="微软雅黑" w:eastAsia="微软雅黑" w:cs="微软雅黑"/>
          <w:b/>
          <w:sz w:val="32"/>
        </w:rPr>
        <w:t>第二节 服务要求</w:t>
      </w:r>
      <w:bookmarkEnd w:id="2"/>
    </w:p>
    <w:p w14:paraId="1D171AAF">
      <w:pPr>
        <w:spacing w:before="300" w:after="120" w:line="288" w:lineRule="auto"/>
        <w:ind w:left="0"/>
        <w:jc w:val="left"/>
        <w:outlineLvl w:val="2"/>
        <w:rPr>
          <w:rFonts w:hint="eastAsia" w:ascii="微软雅黑" w:hAnsi="微软雅黑" w:eastAsia="微软雅黑" w:cs="微软雅黑"/>
        </w:rPr>
      </w:pPr>
      <w:bookmarkStart w:id="3" w:name="heading_3"/>
      <w:r>
        <w:rPr>
          <w:rFonts w:hint="eastAsia" w:ascii="微软雅黑" w:hAnsi="微软雅黑" w:eastAsia="微软雅黑" w:cs="微软雅黑"/>
          <w:b/>
          <w:sz w:val="30"/>
        </w:rPr>
        <w:t>一、采购项目名称：岳阳县人民医院安保服务采购项目</w:t>
      </w:r>
      <w:bookmarkEnd w:id="3"/>
    </w:p>
    <w:p w14:paraId="1E5F5964">
      <w:pPr>
        <w:spacing w:before="300" w:after="120" w:line="288" w:lineRule="auto"/>
        <w:ind w:left="0"/>
        <w:jc w:val="left"/>
        <w:outlineLvl w:val="2"/>
        <w:rPr>
          <w:rFonts w:hint="eastAsia" w:ascii="微软雅黑" w:hAnsi="微软雅黑" w:eastAsia="微软雅黑" w:cs="微软雅黑"/>
        </w:rPr>
      </w:pPr>
      <w:bookmarkStart w:id="4" w:name="heading_4"/>
      <w:r>
        <w:rPr>
          <w:rFonts w:hint="eastAsia" w:ascii="微软雅黑" w:hAnsi="微软雅黑" w:eastAsia="微软雅黑" w:cs="微软雅黑"/>
          <w:b/>
          <w:sz w:val="30"/>
        </w:rPr>
        <w:t>二、服务范围、内容、期限：</w:t>
      </w:r>
      <w:bookmarkEnd w:id="4"/>
    </w:p>
    <w:p w14:paraId="34C2AD22">
      <w:pPr>
        <w:spacing w:before="260" w:after="120" w:line="288" w:lineRule="auto"/>
        <w:ind w:left="0"/>
        <w:jc w:val="left"/>
        <w:outlineLvl w:val="3"/>
        <w:rPr>
          <w:rFonts w:hint="eastAsia" w:ascii="微软雅黑" w:hAnsi="微软雅黑" w:eastAsia="微软雅黑" w:cs="微软雅黑"/>
        </w:rPr>
      </w:pPr>
      <w:bookmarkStart w:id="5" w:name="heading_5"/>
      <w:r>
        <w:rPr>
          <w:rFonts w:hint="eastAsia" w:ascii="微软雅黑" w:hAnsi="微软雅黑" w:eastAsia="微软雅黑" w:cs="微软雅黑"/>
          <w:b/>
          <w:sz w:val="28"/>
        </w:rPr>
        <w:t>1、服务范围</w:t>
      </w:r>
      <w:bookmarkEnd w:id="5"/>
    </w:p>
    <w:p w14:paraId="01A016A8">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本项目服务范围覆盖岳阳县人民医院全院区（含门诊楼、住院楼、仁爱楼、荔园病区、辅助用房及院区公共区域），严格遵照《湖南省医院内部安全保卫工作规范》开展安保工作，包含门卫值守、警务室协助值守、接待接访、医患纠纷调处、治安巡逻、秩序维护、防恐反恐、消防安全管控、监控门禁值守、车辆及停车场管理、安全生产巡查、应急处置、平安建设、重大活动保障及医院交办的临时安保任务。重点负责全院治安消防巡逻、交通疏导、智能停车系统运维、消防及视频监控24小时值班值守，规范院区大门开闭管理，快速处置各类突发状况，全方位保障医患人员人身安全、医院公共财产安全及院区正常诊疗秩序。</w:t>
      </w:r>
    </w:p>
    <w:p w14:paraId="492FFD9F">
      <w:pPr>
        <w:spacing w:before="260" w:after="120" w:line="288" w:lineRule="auto"/>
        <w:ind w:left="0"/>
        <w:jc w:val="left"/>
        <w:outlineLvl w:val="3"/>
        <w:rPr>
          <w:rFonts w:hint="eastAsia" w:ascii="微软雅黑" w:hAnsi="微软雅黑" w:eastAsia="微软雅黑" w:cs="微软雅黑"/>
        </w:rPr>
      </w:pPr>
      <w:bookmarkStart w:id="6" w:name="heading_6"/>
      <w:r>
        <w:rPr>
          <w:rFonts w:hint="eastAsia" w:ascii="微软雅黑" w:hAnsi="微软雅黑" w:eastAsia="微软雅黑" w:cs="微软雅黑"/>
          <w:b/>
          <w:sz w:val="28"/>
        </w:rPr>
        <w:t>2、服务内容</w:t>
      </w:r>
      <w:bookmarkEnd w:id="6"/>
    </w:p>
    <w:p w14:paraId="25B729AC">
      <w:pPr>
        <w:spacing w:before="240" w:after="120" w:line="288" w:lineRule="auto"/>
        <w:ind w:left="0"/>
        <w:jc w:val="left"/>
        <w:outlineLvl w:val="4"/>
        <w:rPr>
          <w:rFonts w:hint="eastAsia" w:ascii="微软雅黑" w:hAnsi="微软雅黑" w:eastAsia="微软雅黑" w:cs="微软雅黑"/>
        </w:rPr>
      </w:pPr>
      <w:bookmarkStart w:id="7" w:name="heading_7"/>
      <w:r>
        <w:rPr>
          <w:rFonts w:hint="eastAsia" w:ascii="微软雅黑" w:hAnsi="微软雅黑" w:eastAsia="微软雅黑" w:cs="微软雅黑"/>
          <w:b/>
          <w:sz w:val="24"/>
        </w:rPr>
        <w:t>2.1 保安服务内容</w:t>
      </w:r>
      <w:bookmarkEnd w:id="7"/>
    </w:p>
    <w:p w14:paraId="412AA003">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2.1.1.项目实行24小时值班巡逻服务。大门、大厅、监控室、消控室24小时有人值班，大院、大楼24小时有人巡逻，大厅工作时间有人值班，安防人员统一制服，工作规范，作风严谨；</w:t>
      </w:r>
    </w:p>
    <w:p w14:paraId="00A3A45C">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2.1.2.认真做好人员、车辆出入登记工作，并做好交接工作；</w:t>
      </w:r>
    </w:p>
    <w:p w14:paraId="2AEBDF22">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2.1.3.注意可疑人员所携带物品，仔细询问，发现情况及时汇报；</w:t>
      </w:r>
    </w:p>
    <w:p w14:paraId="73C2ABF2">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2.1.4.维护大门秩序，保持道路畅通；</w:t>
      </w:r>
    </w:p>
    <w:p w14:paraId="374C8805">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2.1.5.来车时主动上前，引导车辆有序停放，保持道路畅通；</w:t>
      </w:r>
    </w:p>
    <w:p w14:paraId="55D764CE">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2.1.6.送发各种报刊杂志，将其及时正确无误地送到发放点；</w:t>
      </w:r>
    </w:p>
    <w:p w14:paraId="66179333">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2.1.7.巡逻人员要定时定点查看，对重要部门、要害部位要勤查看，做好巡更记录。节假日、夜间巡逻时，增加巡逻次数；</w:t>
      </w:r>
    </w:p>
    <w:p w14:paraId="054997FE">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2.1.8.巡逻时要注意发现可疑人员及可疑情况，发现反常或意外情况，除及时向领导报告外，要采取必要措施以防止火灾事故及破坏行为的发生。发现偷盗、闹事、斗殴、凶杀、放火、投毒、爆炸等犯罪分子，要坚决果断地采取措施，力争抓获犯罪分子；</w:t>
      </w:r>
    </w:p>
    <w:p w14:paraId="06DE9271">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2.1.9.若发现盗窃、凶案、火灾、投毒、损毁财物，以及一切有现场的案件或事件，要妥善保护好现场，迅速上报并积极协助调查；</w:t>
      </w:r>
    </w:p>
    <w:p w14:paraId="32B72F39">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2.1.10.巡逻人员应熟练掌握灭火常识，会使用消防器材，对初起火灾能及时扑灭；</w:t>
      </w:r>
    </w:p>
    <w:p w14:paraId="1F92A767">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2.1.11.制止从事经营性遗体接运服务的车辆在本单位接运遗体。</w:t>
      </w:r>
    </w:p>
    <w:p w14:paraId="3974B99C">
      <w:pPr>
        <w:spacing w:before="240" w:after="120" w:line="288" w:lineRule="auto"/>
        <w:ind w:left="0"/>
        <w:jc w:val="left"/>
        <w:outlineLvl w:val="4"/>
        <w:rPr>
          <w:rFonts w:hint="eastAsia" w:ascii="微软雅黑" w:hAnsi="微软雅黑" w:eastAsia="微软雅黑" w:cs="微软雅黑"/>
        </w:rPr>
      </w:pPr>
      <w:bookmarkStart w:id="8" w:name="heading_8"/>
      <w:r>
        <w:rPr>
          <w:rFonts w:hint="eastAsia" w:ascii="微软雅黑" w:hAnsi="微软雅黑" w:eastAsia="微软雅黑" w:cs="微软雅黑"/>
          <w:b/>
          <w:sz w:val="24"/>
        </w:rPr>
        <w:t>2.2 访客登记传达</w:t>
      </w:r>
      <w:bookmarkEnd w:id="8"/>
    </w:p>
    <w:p w14:paraId="7260215F">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2.2.1．服务内容：来人来访的通报、证件检验、登记、报刊信件收发等，快递及包裹原则上由收件人亲自签收，得到收件人授权后方能代为签收，并按规范记录接收信息。</w:t>
      </w:r>
    </w:p>
    <w:p w14:paraId="7C915475">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2.2.2．服务质量标准：上岗时穿戴保安公司统一的工作服，佩戴统一标志，仪容仪表规范整齐，当值时坐姿端正。态度热情，礼貌待客；表情自然，语言得体；严格查验，认真负责。发现问题及时通报保安人员处理，杜绝闲杂人员进入行政区域内，维护行政区域安全、正常的工作环境。对物品进出实施分类管理，实行物品进出审验制度，杜绝危险物品进入行政区域内。</w:t>
      </w:r>
    </w:p>
    <w:p w14:paraId="40C0BFF1">
      <w:pPr>
        <w:spacing w:before="240" w:after="120" w:line="288" w:lineRule="auto"/>
        <w:ind w:left="0"/>
        <w:jc w:val="left"/>
        <w:outlineLvl w:val="4"/>
        <w:rPr>
          <w:rFonts w:hint="eastAsia" w:ascii="微软雅黑" w:hAnsi="微软雅黑" w:eastAsia="微软雅黑" w:cs="微软雅黑"/>
        </w:rPr>
      </w:pPr>
      <w:bookmarkStart w:id="9" w:name="heading_9"/>
      <w:r>
        <w:rPr>
          <w:rFonts w:hint="eastAsia" w:ascii="微软雅黑" w:hAnsi="微软雅黑" w:eastAsia="微软雅黑" w:cs="微软雅黑"/>
          <w:b/>
          <w:sz w:val="24"/>
        </w:rPr>
        <w:t>2.3 重大活动服务保障</w:t>
      </w:r>
      <w:bookmarkEnd w:id="9"/>
    </w:p>
    <w:p w14:paraId="3B226216">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根据医院诊疗高峰、节假日、等级评审、提质改造建设等专项工作需求，提供全程安保保障服务，包含活动秩序维护、场地协助布置、器材搬运、会后清场、人流疏导、安全值守等工作。中标单位需制定专项活动安保预案，配备充足值守人员，全程在岗履职，高效完成各类专项保障任务，适配医院日常运营及提质改造期间的安保工作需求。</w:t>
      </w:r>
    </w:p>
    <w:p w14:paraId="4527EDBE">
      <w:pPr>
        <w:spacing w:before="260" w:after="120" w:line="288" w:lineRule="auto"/>
        <w:ind w:left="0"/>
        <w:jc w:val="left"/>
        <w:outlineLvl w:val="3"/>
        <w:rPr>
          <w:rFonts w:hint="eastAsia" w:ascii="微软雅黑" w:hAnsi="微软雅黑" w:eastAsia="微软雅黑" w:cs="微软雅黑"/>
        </w:rPr>
      </w:pPr>
      <w:bookmarkStart w:id="10" w:name="heading_10"/>
      <w:r>
        <w:rPr>
          <w:rFonts w:hint="eastAsia" w:ascii="微软雅黑" w:hAnsi="微软雅黑" w:eastAsia="微软雅黑" w:cs="微软雅黑"/>
          <w:b/>
          <w:sz w:val="28"/>
        </w:rPr>
        <w:t>3、服务期限：1年。</w:t>
      </w:r>
      <w:bookmarkEnd w:id="10"/>
    </w:p>
    <w:p w14:paraId="06F488D7">
      <w:pPr>
        <w:spacing w:before="300" w:after="120" w:line="288" w:lineRule="auto"/>
        <w:ind w:left="0"/>
        <w:jc w:val="left"/>
        <w:outlineLvl w:val="2"/>
        <w:rPr>
          <w:rFonts w:hint="eastAsia" w:ascii="微软雅黑" w:hAnsi="微软雅黑" w:eastAsia="微软雅黑" w:cs="微软雅黑"/>
        </w:rPr>
      </w:pPr>
      <w:bookmarkStart w:id="11" w:name="heading_11"/>
      <w:r>
        <w:rPr>
          <w:rFonts w:hint="eastAsia" w:ascii="微软雅黑" w:hAnsi="微软雅黑" w:eastAsia="微软雅黑" w:cs="微软雅黑"/>
          <w:b/>
          <w:sz w:val="30"/>
        </w:rPr>
        <w:t>三、服务内容、要求：</w:t>
      </w:r>
      <w:bookmarkEnd w:id="11"/>
    </w:p>
    <w:p w14:paraId="745995B6">
      <w:pPr>
        <w:spacing w:before="260" w:after="120" w:line="288" w:lineRule="auto"/>
        <w:ind w:left="0"/>
        <w:jc w:val="left"/>
        <w:outlineLvl w:val="3"/>
        <w:rPr>
          <w:rFonts w:hint="eastAsia" w:ascii="微软雅黑" w:hAnsi="微软雅黑" w:eastAsia="微软雅黑" w:cs="微软雅黑"/>
        </w:rPr>
      </w:pPr>
      <w:bookmarkStart w:id="12" w:name="heading_12"/>
      <w:r>
        <w:rPr>
          <w:rFonts w:hint="eastAsia" w:ascii="微软雅黑" w:hAnsi="微软雅黑" w:eastAsia="微软雅黑" w:cs="微软雅黑"/>
          <w:b/>
          <w:sz w:val="28"/>
        </w:rPr>
        <w:t>1、保安人员的数量及要求</w:t>
      </w:r>
      <w:bookmarkEnd w:id="12"/>
    </w:p>
    <w:p w14:paraId="337CB8E2">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由中标人向岳阳县人民医院提供政治合格、作风优良、无违法违纪记录、身体健康的专职安保队员，严格落实湖南省医院内保工作规范，承担全院区安全保卫、安全生产巡查、应急维稳等工作。采购人可根据院区提质改造、诊疗规模调整、岗位优化等实际情况增减安保岗位及人员，中标人须无条件配合，按实际岗位核算服务费用。服务期间队员更换率不得超过总人数10%，所有人员更换须提前报备采购人审核同意。后续采购人岗位扩容、人员增补时，承接商须按本次投标岗位薪资标准足额配置对应人员，同步适配医院安保工作升级需求。</w:t>
      </w:r>
    </w:p>
    <w:p w14:paraId="2E803380">
      <w:pPr>
        <w:spacing w:before="260" w:after="120" w:line="288" w:lineRule="auto"/>
        <w:ind w:left="0"/>
        <w:jc w:val="left"/>
        <w:outlineLvl w:val="3"/>
        <w:rPr>
          <w:rFonts w:hint="eastAsia" w:ascii="微软雅黑" w:hAnsi="微软雅黑" w:eastAsia="微软雅黑" w:cs="微软雅黑"/>
        </w:rPr>
      </w:pPr>
      <w:bookmarkStart w:id="13" w:name="heading_13"/>
      <w:r>
        <w:rPr>
          <w:rFonts w:hint="eastAsia" w:ascii="微软雅黑" w:hAnsi="微软雅黑" w:eastAsia="微软雅黑" w:cs="微软雅黑"/>
          <w:b/>
          <w:sz w:val="28"/>
        </w:rPr>
        <w:t>2、管理团队基础人员配置要求</w:t>
      </w:r>
      <w:bookmarkEnd w:id="13"/>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570"/>
        <w:gridCol w:w="1172"/>
        <w:gridCol w:w="2155"/>
        <w:gridCol w:w="4620"/>
      </w:tblGrid>
      <w:tr w14:paraId="1456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0" w:hRule="atLeast"/>
        </w:trPr>
        <w:tc>
          <w:tcPr>
            <w:tcW w:w="1570" w:type="dxa"/>
            <w:noWrap w:val="0"/>
            <w:tcMar>
              <w:top w:w="60" w:type="dxa"/>
              <w:left w:w="120" w:type="dxa"/>
              <w:bottom w:w="30" w:type="dxa"/>
              <w:right w:w="120" w:type="dxa"/>
            </w:tcMar>
            <w:vAlign w:val="top"/>
          </w:tcPr>
          <w:p w14:paraId="06EDABB5">
            <w:pPr>
              <w:bidi w:val="0"/>
              <w:rPr>
                <w:rFonts w:hint="eastAsia" w:ascii="微软雅黑" w:hAnsi="微软雅黑" w:eastAsia="微软雅黑" w:cs="微软雅黑"/>
                <w:sz w:val="21"/>
                <w:szCs w:val="21"/>
              </w:rPr>
            </w:pPr>
            <w:r>
              <w:rPr>
                <w:rFonts w:hint="eastAsia" w:ascii="微软雅黑" w:hAnsi="微软雅黑" w:eastAsia="微软雅黑" w:cs="微软雅黑"/>
                <w:sz w:val="21"/>
                <w:szCs w:val="21"/>
              </w:rPr>
              <w:t>保安队长</w:t>
            </w:r>
          </w:p>
        </w:tc>
        <w:tc>
          <w:tcPr>
            <w:tcW w:w="1172" w:type="dxa"/>
            <w:noWrap w:val="0"/>
            <w:tcMar>
              <w:top w:w="60" w:type="dxa"/>
              <w:left w:w="120" w:type="dxa"/>
              <w:bottom w:w="30" w:type="dxa"/>
              <w:right w:w="120" w:type="dxa"/>
            </w:tcMar>
            <w:vAlign w:val="top"/>
          </w:tcPr>
          <w:p w14:paraId="7BC1517F">
            <w:pPr>
              <w:bidi w:val="0"/>
              <w:rPr>
                <w:rFonts w:hint="eastAsia" w:ascii="微软雅黑" w:hAnsi="微软雅黑" w:eastAsia="微软雅黑" w:cs="微软雅黑"/>
                <w:sz w:val="21"/>
                <w:szCs w:val="21"/>
              </w:rPr>
            </w:pPr>
            <w:r>
              <w:rPr>
                <w:rFonts w:hint="eastAsia" w:ascii="微软雅黑" w:hAnsi="微软雅黑" w:eastAsia="微软雅黑" w:cs="微软雅黑"/>
                <w:sz w:val="21"/>
                <w:szCs w:val="21"/>
              </w:rPr>
              <w:t>2</w:t>
            </w:r>
          </w:p>
        </w:tc>
        <w:tc>
          <w:tcPr>
            <w:tcW w:w="2155" w:type="dxa"/>
            <w:noWrap w:val="0"/>
            <w:tcMar>
              <w:top w:w="60" w:type="dxa"/>
              <w:left w:w="120" w:type="dxa"/>
              <w:bottom w:w="30" w:type="dxa"/>
              <w:right w:w="120" w:type="dxa"/>
            </w:tcMar>
            <w:vAlign w:val="top"/>
          </w:tcPr>
          <w:p w14:paraId="6E68C327">
            <w:pPr>
              <w:bidi w:val="0"/>
              <w:rPr>
                <w:rFonts w:hint="eastAsia" w:ascii="微软雅黑" w:hAnsi="微软雅黑" w:eastAsia="微软雅黑" w:cs="微软雅黑"/>
                <w:sz w:val="21"/>
                <w:szCs w:val="21"/>
              </w:rPr>
            </w:pPr>
            <w:r>
              <w:rPr>
                <w:rFonts w:hint="eastAsia" w:ascii="微软雅黑" w:hAnsi="微软雅黑" w:eastAsia="微软雅黑" w:cs="微软雅黑"/>
                <w:sz w:val="21"/>
                <w:szCs w:val="21"/>
              </w:rPr>
              <w:t>证书</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年龄、身体素质</w:t>
            </w:r>
          </w:p>
        </w:tc>
        <w:tc>
          <w:tcPr>
            <w:tcW w:w="4620" w:type="dxa"/>
            <w:noWrap w:val="0"/>
            <w:tcMar>
              <w:top w:w="60" w:type="dxa"/>
              <w:left w:w="120" w:type="dxa"/>
              <w:bottom w:w="30" w:type="dxa"/>
              <w:right w:w="120" w:type="dxa"/>
            </w:tcMar>
            <w:vAlign w:val="top"/>
          </w:tcPr>
          <w:p w14:paraId="4E9E1CD6">
            <w:pPr>
              <w:bidi w:val="0"/>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55</w:t>
            </w:r>
            <w:r>
              <w:rPr>
                <w:rFonts w:hint="eastAsia" w:ascii="微软雅黑" w:hAnsi="微软雅黑" w:eastAsia="微软雅黑" w:cs="微软雅黑"/>
                <w:sz w:val="21"/>
                <w:szCs w:val="21"/>
              </w:rPr>
              <w:t>周岁以内，具备较强组织协调、管理能力，持证上岗</w:t>
            </w:r>
          </w:p>
        </w:tc>
      </w:tr>
      <w:tr w14:paraId="504F1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0" w:hRule="atLeast"/>
        </w:trPr>
        <w:tc>
          <w:tcPr>
            <w:tcW w:w="1570" w:type="dxa"/>
            <w:noWrap w:val="0"/>
            <w:tcMar>
              <w:top w:w="60" w:type="dxa"/>
              <w:left w:w="120" w:type="dxa"/>
              <w:bottom w:w="30" w:type="dxa"/>
              <w:right w:w="120" w:type="dxa"/>
            </w:tcMar>
            <w:vAlign w:val="top"/>
          </w:tcPr>
          <w:p w14:paraId="272BC22B">
            <w:pPr>
              <w:bidi w:val="0"/>
              <w:rPr>
                <w:rFonts w:hint="eastAsia" w:ascii="微软雅黑" w:hAnsi="微软雅黑" w:eastAsia="微软雅黑" w:cs="微软雅黑"/>
                <w:sz w:val="21"/>
                <w:szCs w:val="21"/>
              </w:rPr>
            </w:pPr>
            <w:r>
              <w:rPr>
                <w:rFonts w:hint="eastAsia" w:ascii="微软雅黑" w:hAnsi="微软雅黑" w:eastAsia="微软雅黑" w:cs="微软雅黑"/>
                <w:sz w:val="21"/>
                <w:szCs w:val="21"/>
              </w:rPr>
              <w:t>消防值班员</w:t>
            </w:r>
          </w:p>
        </w:tc>
        <w:tc>
          <w:tcPr>
            <w:tcW w:w="1172" w:type="dxa"/>
            <w:noWrap w:val="0"/>
            <w:tcMar>
              <w:top w:w="60" w:type="dxa"/>
              <w:left w:w="120" w:type="dxa"/>
              <w:bottom w:w="30" w:type="dxa"/>
              <w:right w:w="120" w:type="dxa"/>
            </w:tcMar>
            <w:vAlign w:val="top"/>
          </w:tcPr>
          <w:p w14:paraId="69715F87">
            <w:pPr>
              <w:bidi w:val="0"/>
              <w:rPr>
                <w:rFonts w:hint="eastAsia" w:ascii="微软雅黑" w:hAnsi="微软雅黑" w:eastAsia="微软雅黑" w:cs="微软雅黑"/>
                <w:sz w:val="21"/>
                <w:szCs w:val="21"/>
              </w:rPr>
            </w:pPr>
            <w:r>
              <w:rPr>
                <w:rFonts w:hint="eastAsia" w:ascii="微软雅黑" w:hAnsi="微软雅黑" w:eastAsia="微软雅黑" w:cs="微软雅黑"/>
                <w:sz w:val="21"/>
                <w:szCs w:val="21"/>
              </w:rPr>
              <w:t>3</w:t>
            </w:r>
          </w:p>
        </w:tc>
        <w:tc>
          <w:tcPr>
            <w:tcW w:w="2155" w:type="dxa"/>
            <w:noWrap w:val="0"/>
            <w:tcMar>
              <w:top w:w="60" w:type="dxa"/>
              <w:left w:w="120" w:type="dxa"/>
              <w:bottom w:w="30" w:type="dxa"/>
              <w:right w:w="120" w:type="dxa"/>
            </w:tcMar>
            <w:vAlign w:val="top"/>
          </w:tcPr>
          <w:p w14:paraId="11B56906">
            <w:pPr>
              <w:bidi w:val="0"/>
              <w:rPr>
                <w:rFonts w:hint="eastAsia" w:ascii="微软雅黑" w:hAnsi="微软雅黑" w:eastAsia="微软雅黑" w:cs="微软雅黑"/>
                <w:sz w:val="21"/>
                <w:szCs w:val="21"/>
              </w:rPr>
            </w:pPr>
            <w:r>
              <w:rPr>
                <w:rFonts w:hint="eastAsia" w:ascii="微软雅黑" w:hAnsi="微软雅黑" w:eastAsia="微软雅黑" w:cs="微软雅黑"/>
                <w:sz w:val="21"/>
                <w:szCs w:val="21"/>
              </w:rPr>
              <w:t>证书、年龄</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身体素质</w:t>
            </w:r>
          </w:p>
        </w:tc>
        <w:tc>
          <w:tcPr>
            <w:tcW w:w="4620" w:type="dxa"/>
            <w:noWrap w:val="0"/>
            <w:tcMar>
              <w:top w:w="60" w:type="dxa"/>
              <w:left w:w="120" w:type="dxa"/>
              <w:bottom w:w="30" w:type="dxa"/>
              <w:right w:w="120" w:type="dxa"/>
            </w:tcMar>
            <w:vAlign w:val="top"/>
          </w:tcPr>
          <w:p w14:paraId="59478894">
            <w:pPr>
              <w:bidi w:val="0"/>
              <w:rPr>
                <w:rFonts w:hint="eastAsia" w:ascii="微软雅黑" w:hAnsi="微软雅黑" w:eastAsia="微软雅黑" w:cs="微软雅黑"/>
                <w:sz w:val="21"/>
                <w:szCs w:val="21"/>
              </w:rPr>
            </w:pPr>
            <w:r>
              <w:rPr>
                <w:rFonts w:hint="eastAsia" w:ascii="微软雅黑" w:hAnsi="微软雅黑" w:eastAsia="微软雅黑" w:cs="微软雅黑"/>
                <w:sz w:val="21"/>
                <w:szCs w:val="21"/>
              </w:rPr>
              <w:t>持有消防相关上岗证书，身体健康、外貌端正</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55周岁以内</w:t>
            </w:r>
          </w:p>
        </w:tc>
      </w:tr>
      <w:tr w14:paraId="04E0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0" w:hRule="atLeast"/>
        </w:trPr>
        <w:tc>
          <w:tcPr>
            <w:tcW w:w="1570" w:type="dxa"/>
            <w:noWrap w:val="0"/>
            <w:tcMar>
              <w:top w:w="60" w:type="dxa"/>
              <w:left w:w="120" w:type="dxa"/>
              <w:bottom w:w="30" w:type="dxa"/>
              <w:right w:w="120" w:type="dxa"/>
            </w:tcMar>
            <w:vAlign w:val="top"/>
          </w:tcPr>
          <w:p w14:paraId="7986495B">
            <w:pPr>
              <w:bidi w:val="0"/>
              <w:rPr>
                <w:rFonts w:hint="eastAsia" w:ascii="微软雅黑" w:hAnsi="微软雅黑" w:eastAsia="微软雅黑" w:cs="微软雅黑"/>
                <w:sz w:val="21"/>
                <w:szCs w:val="21"/>
              </w:rPr>
            </w:pPr>
            <w:r>
              <w:rPr>
                <w:rFonts w:hint="eastAsia" w:ascii="微软雅黑" w:hAnsi="微软雅黑" w:eastAsia="微软雅黑" w:cs="微软雅黑"/>
                <w:sz w:val="21"/>
                <w:szCs w:val="21"/>
              </w:rPr>
              <w:t>交通管理员</w:t>
            </w:r>
          </w:p>
        </w:tc>
        <w:tc>
          <w:tcPr>
            <w:tcW w:w="1172" w:type="dxa"/>
            <w:noWrap w:val="0"/>
            <w:tcMar>
              <w:top w:w="60" w:type="dxa"/>
              <w:left w:w="120" w:type="dxa"/>
              <w:bottom w:w="30" w:type="dxa"/>
              <w:right w:w="120" w:type="dxa"/>
            </w:tcMar>
            <w:vAlign w:val="top"/>
          </w:tcPr>
          <w:p w14:paraId="46516A78">
            <w:pPr>
              <w:bidi w:val="0"/>
              <w:rPr>
                <w:rFonts w:hint="eastAsia" w:ascii="微软雅黑" w:hAnsi="微软雅黑" w:eastAsia="微软雅黑" w:cs="微软雅黑"/>
                <w:sz w:val="21"/>
                <w:szCs w:val="21"/>
              </w:rPr>
            </w:pPr>
            <w:r>
              <w:rPr>
                <w:rFonts w:hint="eastAsia" w:ascii="微软雅黑" w:hAnsi="微软雅黑" w:eastAsia="微软雅黑" w:cs="微软雅黑"/>
                <w:sz w:val="21"/>
                <w:szCs w:val="21"/>
              </w:rPr>
              <w:t>7</w:t>
            </w:r>
          </w:p>
        </w:tc>
        <w:tc>
          <w:tcPr>
            <w:tcW w:w="2155" w:type="dxa"/>
            <w:noWrap w:val="0"/>
            <w:tcMar>
              <w:top w:w="60" w:type="dxa"/>
              <w:left w:w="120" w:type="dxa"/>
              <w:bottom w:w="30" w:type="dxa"/>
              <w:right w:w="120" w:type="dxa"/>
            </w:tcMar>
            <w:vAlign w:val="top"/>
          </w:tcPr>
          <w:p w14:paraId="739A4277">
            <w:pPr>
              <w:bidi w:val="0"/>
              <w:rPr>
                <w:rFonts w:hint="eastAsia" w:ascii="微软雅黑" w:hAnsi="微软雅黑" w:eastAsia="微软雅黑" w:cs="微软雅黑"/>
                <w:sz w:val="21"/>
                <w:szCs w:val="21"/>
              </w:rPr>
            </w:pPr>
            <w:r>
              <w:rPr>
                <w:rFonts w:hint="eastAsia" w:ascii="微软雅黑" w:hAnsi="微软雅黑" w:eastAsia="微软雅黑" w:cs="微软雅黑"/>
                <w:sz w:val="21"/>
                <w:szCs w:val="21"/>
              </w:rPr>
              <w:t>证书</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年龄、身体素质</w:t>
            </w:r>
          </w:p>
        </w:tc>
        <w:tc>
          <w:tcPr>
            <w:tcW w:w="4620" w:type="dxa"/>
            <w:noWrap w:val="0"/>
            <w:tcMar>
              <w:top w:w="60" w:type="dxa"/>
              <w:left w:w="120" w:type="dxa"/>
              <w:bottom w:w="30" w:type="dxa"/>
              <w:right w:w="120" w:type="dxa"/>
            </w:tcMar>
            <w:vAlign w:val="top"/>
          </w:tcPr>
          <w:p w14:paraId="7887BA34">
            <w:pPr>
              <w:bidi w:val="0"/>
              <w:rPr>
                <w:rFonts w:hint="eastAsia" w:ascii="微软雅黑" w:hAnsi="微软雅黑" w:eastAsia="微软雅黑" w:cs="微软雅黑"/>
                <w:sz w:val="21"/>
                <w:szCs w:val="21"/>
              </w:rPr>
            </w:pPr>
            <w:r>
              <w:rPr>
                <w:rFonts w:hint="eastAsia" w:ascii="微软雅黑" w:hAnsi="微软雅黑" w:eastAsia="微软雅黑" w:cs="微软雅黑"/>
                <w:sz w:val="21"/>
                <w:szCs w:val="21"/>
              </w:rPr>
              <w:t>55周岁以内，身高1.70米以上，身体健康、外貌端正</w:t>
            </w:r>
          </w:p>
        </w:tc>
      </w:tr>
      <w:tr w14:paraId="5FEF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0" w:hRule="atLeast"/>
        </w:trPr>
        <w:tc>
          <w:tcPr>
            <w:tcW w:w="1570" w:type="dxa"/>
            <w:noWrap w:val="0"/>
            <w:tcMar>
              <w:top w:w="60" w:type="dxa"/>
              <w:left w:w="120" w:type="dxa"/>
              <w:bottom w:w="30" w:type="dxa"/>
              <w:right w:w="120" w:type="dxa"/>
            </w:tcMar>
            <w:vAlign w:val="top"/>
          </w:tcPr>
          <w:p w14:paraId="4B8A8995">
            <w:pPr>
              <w:bidi w:val="0"/>
              <w:rPr>
                <w:rFonts w:hint="eastAsia" w:ascii="微软雅黑" w:hAnsi="微软雅黑" w:eastAsia="微软雅黑" w:cs="微软雅黑"/>
                <w:sz w:val="21"/>
                <w:szCs w:val="21"/>
              </w:rPr>
            </w:pPr>
            <w:r>
              <w:rPr>
                <w:rFonts w:hint="eastAsia" w:ascii="微软雅黑" w:hAnsi="微软雅黑" w:eastAsia="微软雅黑" w:cs="微软雅黑"/>
                <w:sz w:val="21"/>
                <w:szCs w:val="21"/>
              </w:rPr>
              <w:t>巡逻员</w:t>
            </w:r>
          </w:p>
        </w:tc>
        <w:tc>
          <w:tcPr>
            <w:tcW w:w="1172" w:type="dxa"/>
            <w:noWrap w:val="0"/>
            <w:tcMar>
              <w:top w:w="60" w:type="dxa"/>
              <w:left w:w="120" w:type="dxa"/>
              <w:bottom w:w="30" w:type="dxa"/>
              <w:right w:w="120" w:type="dxa"/>
            </w:tcMar>
            <w:vAlign w:val="top"/>
          </w:tcPr>
          <w:p w14:paraId="1CF74DC7">
            <w:pPr>
              <w:bidi w:val="0"/>
              <w:rPr>
                <w:rFonts w:hint="eastAsia" w:ascii="微软雅黑" w:hAnsi="微软雅黑" w:eastAsia="微软雅黑" w:cs="微软雅黑"/>
                <w:sz w:val="21"/>
                <w:szCs w:val="21"/>
              </w:rPr>
            </w:pPr>
            <w:r>
              <w:rPr>
                <w:rFonts w:hint="eastAsia" w:ascii="微软雅黑" w:hAnsi="微软雅黑" w:eastAsia="微软雅黑" w:cs="微软雅黑"/>
                <w:sz w:val="21"/>
                <w:szCs w:val="21"/>
              </w:rPr>
              <w:t>6</w:t>
            </w:r>
          </w:p>
        </w:tc>
        <w:tc>
          <w:tcPr>
            <w:tcW w:w="2155" w:type="dxa"/>
            <w:noWrap w:val="0"/>
            <w:tcMar>
              <w:top w:w="60" w:type="dxa"/>
              <w:left w:w="120" w:type="dxa"/>
              <w:bottom w:w="30" w:type="dxa"/>
              <w:right w:w="120" w:type="dxa"/>
            </w:tcMar>
            <w:vAlign w:val="top"/>
          </w:tcPr>
          <w:p w14:paraId="272244AD">
            <w:pPr>
              <w:bidi w:val="0"/>
              <w:rPr>
                <w:rFonts w:hint="eastAsia" w:ascii="微软雅黑" w:hAnsi="微软雅黑" w:eastAsia="微软雅黑" w:cs="微软雅黑"/>
                <w:sz w:val="21"/>
                <w:szCs w:val="21"/>
              </w:rPr>
            </w:pPr>
            <w:r>
              <w:rPr>
                <w:rFonts w:hint="eastAsia" w:ascii="微软雅黑" w:hAnsi="微软雅黑" w:eastAsia="微软雅黑" w:cs="微软雅黑"/>
                <w:sz w:val="21"/>
                <w:szCs w:val="21"/>
              </w:rPr>
              <w:t>证书</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年龄、身体素质</w:t>
            </w:r>
          </w:p>
        </w:tc>
        <w:tc>
          <w:tcPr>
            <w:tcW w:w="4620" w:type="dxa"/>
            <w:noWrap w:val="0"/>
            <w:tcMar>
              <w:top w:w="60" w:type="dxa"/>
              <w:left w:w="120" w:type="dxa"/>
              <w:bottom w:w="30" w:type="dxa"/>
              <w:right w:w="120" w:type="dxa"/>
            </w:tcMar>
            <w:vAlign w:val="top"/>
          </w:tcPr>
          <w:p w14:paraId="5B280C54">
            <w:pPr>
              <w:bidi w:val="0"/>
              <w:rPr>
                <w:rFonts w:hint="eastAsia" w:ascii="微软雅黑" w:hAnsi="微软雅黑" w:eastAsia="微软雅黑" w:cs="微软雅黑"/>
                <w:sz w:val="21"/>
                <w:szCs w:val="21"/>
              </w:rPr>
            </w:pPr>
            <w:r>
              <w:rPr>
                <w:rFonts w:hint="eastAsia" w:ascii="微软雅黑" w:hAnsi="微软雅黑" w:eastAsia="微软雅黑" w:cs="微软雅黑"/>
                <w:sz w:val="21"/>
                <w:szCs w:val="21"/>
              </w:rPr>
              <w:t>55周岁以内，身高1.70米以上，身体健康、无明显形体缺陷</w:t>
            </w:r>
          </w:p>
        </w:tc>
      </w:tr>
    </w:tbl>
    <w:p w14:paraId="03DF30B2">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b/>
          <w:sz w:val="22"/>
        </w:rPr>
        <w:t>注：</w:t>
      </w:r>
      <w:r>
        <w:rPr>
          <w:rFonts w:hint="eastAsia" w:ascii="微软雅黑" w:hAnsi="微软雅黑" w:eastAsia="微软雅黑" w:cs="微软雅黑"/>
          <w:sz w:val="22"/>
        </w:rPr>
        <w:t>所有上岗人员须符合《湖南省医院内部安全保卫工作规范》从业标准，签订合同后需提交有效岗位从业资质证书、年度健康体检证明、无犯罪政审合格证明；全员年龄55周岁以内、男性身高1.70米以上、五官端正、无纹身、无形体缺陷，具备良好的政治素养、职业操守和医疗场所安保服务能力，熟练掌握医院安防、消防、应急处置相关业务技能。</w:t>
      </w:r>
    </w:p>
    <w:p w14:paraId="40695E0D">
      <w:pPr>
        <w:spacing w:before="260" w:after="120" w:line="288" w:lineRule="auto"/>
        <w:ind w:left="0"/>
        <w:jc w:val="left"/>
        <w:outlineLvl w:val="3"/>
        <w:rPr>
          <w:rFonts w:hint="eastAsia" w:ascii="微软雅黑" w:hAnsi="微软雅黑" w:eastAsia="微软雅黑" w:cs="微软雅黑"/>
        </w:rPr>
      </w:pPr>
      <w:bookmarkStart w:id="14" w:name="heading_14"/>
      <w:r>
        <w:rPr>
          <w:rFonts w:hint="eastAsia" w:ascii="微软雅黑" w:hAnsi="微软雅黑" w:eastAsia="微软雅黑" w:cs="微软雅黑"/>
          <w:b/>
          <w:sz w:val="28"/>
        </w:rPr>
        <w:t>2.1 保安队长岗位职责</w:t>
      </w:r>
      <w:bookmarkEnd w:id="14"/>
    </w:p>
    <w:p w14:paraId="5632FBB8">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2.1.1.主持日常管理工作。根据各时期的实际状况，提出改进和提高保安管理工作水平的意见措施。</w:t>
      </w:r>
    </w:p>
    <w:p w14:paraId="06334E01">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2.1.2.对业主单位负责和汇报工作，按时向业主单位提交工作计划和小结，听取业主单位的意见和要求，并在规定期限内落实执行。</w:t>
      </w:r>
    </w:p>
    <w:p w14:paraId="4C191A6E">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2.1.3.负责召集员工每月例会，检查工作落实情况，布置工作任务，协调员工关系，就项目保安管理执行中的问题提出解决方案。若发生重大事件或超出岗位职责权限的应立即向业主汇报。</w:t>
      </w:r>
    </w:p>
    <w:p w14:paraId="29EE2865">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2.1.4.进行巡视，对设备运行保养、安保、消防等方面的服务情况进行了解，每天检查各个重点环节，发现问题及时解决。</w:t>
      </w:r>
    </w:p>
    <w:p w14:paraId="02450F88">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2.1.5.发生紧急事件时，立即组织相关责任人员进行处理，按应急方案制定的措施执行。对发生的紧急事件应在事后组织相关责任人员总结、学习，分析原因并写出报告向业主汇报。</w:t>
      </w:r>
    </w:p>
    <w:p w14:paraId="4A8AC2D3">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2.1.6.每月组织一次对消防设备、建筑物、公共设施等方面的综合性检查，及时解决发现的问题，或书面通知有关员工，要求整改。</w:t>
      </w:r>
    </w:p>
    <w:p w14:paraId="4CC5C4DE">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2.1.7.监管财务各类款项的收支，督促帐目日结日清，控制成本、编制预算。</w:t>
      </w:r>
    </w:p>
    <w:p w14:paraId="13E3C34D">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2.1.8.统一协调各员工的工作，并检查其工作状况和落实情况。</w:t>
      </w:r>
    </w:p>
    <w:p w14:paraId="1C948F36">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2.1.9.负责对员工的工作情况进行监督、检查、评定。</w:t>
      </w:r>
    </w:p>
    <w:p w14:paraId="75AD2AC4">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2.1.10.负责参与、组织每季的保安管理质量大检查及配合作好质量管理体系评审的有关工作。</w:t>
      </w:r>
    </w:p>
    <w:p w14:paraId="01BE941E">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2.1.11.负责外部的沟通和联系，及时处理投诉，并向当事人通报处理意见和结果。</w:t>
      </w:r>
    </w:p>
    <w:p w14:paraId="6E6CC4EC">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2.1.12.如遇外来参观人员，需做好礼宾接待服务。</w:t>
      </w:r>
    </w:p>
    <w:p w14:paraId="7B1E2517">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2.1.13.培训要求：要求保安人员按武警礼宾服务进行培训。</w:t>
      </w:r>
    </w:p>
    <w:p w14:paraId="50367D76">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2.1.14.如有信访，做好维稳工作。</w:t>
      </w:r>
    </w:p>
    <w:p w14:paraId="528EAA36">
      <w:pPr>
        <w:spacing w:before="260" w:after="120" w:line="288" w:lineRule="auto"/>
        <w:ind w:left="0"/>
        <w:jc w:val="left"/>
        <w:outlineLvl w:val="3"/>
        <w:rPr>
          <w:rFonts w:hint="eastAsia" w:ascii="微软雅黑" w:hAnsi="微软雅黑" w:eastAsia="微软雅黑" w:cs="微软雅黑"/>
        </w:rPr>
      </w:pPr>
      <w:bookmarkStart w:id="15" w:name="heading_15"/>
      <w:r>
        <w:rPr>
          <w:rFonts w:hint="eastAsia" w:ascii="微软雅黑" w:hAnsi="微软雅黑" w:eastAsia="微软雅黑" w:cs="微软雅黑"/>
          <w:b/>
          <w:sz w:val="28"/>
        </w:rPr>
        <w:t>2.2 保安人员岗位职责</w:t>
      </w:r>
      <w:bookmarkEnd w:id="15"/>
    </w:p>
    <w:p w14:paraId="24AF9FF3">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2.2.1.诊疗区域24小时执勤，监控、消控机房24小时值班。</w:t>
      </w:r>
    </w:p>
    <w:p w14:paraId="6FCA9F94">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2.2.2.对工作人员车辆进行指挥，引导车辆按正确行车路线行驶，对车辆停放秩序进行管理。</w:t>
      </w:r>
    </w:p>
    <w:p w14:paraId="1F07D489">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2.2.3.对外来车辆实行登记制度。</w:t>
      </w:r>
    </w:p>
    <w:p w14:paraId="1BEA9EF8">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2.2.4.维护院区秩序，确保安全有序。</w:t>
      </w:r>
    </w:p>
    <w:p w14:paraId="288DFA81">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2.2.5.对公共消防设施设备进行管理。</w:t>
      </w:r>
    </w:p>
    <w:p w14:paraId="56751A6A">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2.2.6.对应急事件进行妥善处理。</w:t>
      </w:r>
    </w:p>
    <w:p w14:paraId="19CF66DB">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2.2.7.按规定进行培训。</w:t>
      </w:r>
    </w:p>
    <w:p w14:paraId="4BC6A842">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2.2.8.院区活动的配合。</w:t>
      </w:r>
    </w:p>
    <w:p w14:paraId="7D8C9C88">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2.2.9.完成院区布置的其它工作。</w:t>
      </w:r>
    </w:p>
    <w:p w14:paraId="21A0CCD0">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2.2.10.根据采购人的需求，提供力所能及的帮助。</w:t>
      </w:r>
    </w:p>
    <w:p w14:paraId="0F2E0FA4">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2.2.11.负责按时分发报纸、信件，对挂号信、快递、包裹单要逐件登记并交收件人签收。</w:t>
      </w:r>
    </w:p>
    <w:p w14:paraId="257E273D">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2.2.12.全年24小时职守，内部与外围每2小时巡查一次；特殊时期人员根据采购人的要求增加。</w:t>
      </w:r>
    </w:p>
    <w:p w14:paraId="36FDF976">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2.2.13.对进出人员有序引导，并对可疑人员进行安全防范，对突发情况进行及时、妥善安全处置。</w:t>
      </w:r>
    </w:p>
    <w:p w14:paraId="6FABC29F">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2.2.14.维护公共秩序，确保安全文明、规范有序。</w:t>
      </w:r>
    </w:p>
    <w:p w14:paraId="7C944089">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2.2.15.对消防设施设备进行管理。</w:t>
      </w:r>
    </w:p>
    <w:p w14:paraId="054D9B01">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2.2.16.对各种应急事件按相关预案进行妥善处理。</w:t>
      </w:r>
    </w:p>
    <w:p w14:paraId="2FCAB506">
      <w:pPr>
        <w:spacing w:before="260" w:after="120" w:line="288" w:lineRule="auto"/>
        <w:ind w:left="0"/>
        <w:jc w:val="left"/>
        <w:outlineLvl w:val="3"/>
        <w:rPr>
          <w:rFonts w:hint="eastAsia" w:ascii="微软雅黑" w:hAnsi="微软雅黑" w:eastAsia="微软雅黑" w:cs="微软雅黑"/>
        </w:rPr>
      </w:pPr>
      <w:bookmarkStart w:id="16" w:name="heading_16"/>
      <w:r>
        <w:rPr>
          <w:rFonts w:hint="eastAsia" w:ascii="微软雅黑" w:hAnsi="微软雅黑" w:eastAsia="微软雅黑" w:cs="微软雅黑"/>
          <w:b/>
          <w:sz w:val="28"/>
        </w:rPr>
        <w:t>3、服务标准</w:t>
      </w:r>
      <w:bookmarkEnd w:id="16"/>
    </w:p>
    <w:p w14:paraId="3AD77CA5">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(1)建立财产安全、车辆、道路及公共秩序等管理制度并认真落实，重点岗位24小时值守；</w:t>
      </w:r>
    </w:p>
    <w:p w14:paraId="2CBED7E9">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(2)维护和保证防盗、防火等报警监控设备的正常运行；</w:t>
      </w:r>
    </w:p>
    <w:p w14:paraId="22856A44">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(3)做好安全防范和日常巡视工作，及时发现和处理各种安全和事故隐患，迅速有效处理突发事件；</w:t>
      </w:r>
    </w:p>
    <w:p w14:paraId="2E1B2FA6">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(4)治安案件发生率为0，火灾发生率为0，车辆丢失率为0；</w:t>
      </w:r>
    </w:p>
    <w:p w14:paraId="6ACD04BD">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(5)按照岗位规定要求及时巡查，作好记录，及时报告和处理突发事件；</w:t>
      </w:r>
    </w:p>
    <w:p w14:paraId="2631B0FD">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(6)建立健全消防管理措施及发生火灾处理预案；确定重点防火部门，消防人员持证上岗，实行24小时消防值班制度。坚持日常巡视，发现隐患及时排除，确保无火灾事故发生。</w:t>
      </w:r>
    </w:p>
    <w:p w14:paraId="4B57B63F">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(7)做好岳阳县人民医院办公区出入口、道路、工作车辆及非机动车停车坪的交通管理，指挥和疏导车辆，杜绝车辆逆向行驶和超速行驶，确保车辆按规定有序停放。</w:t>
      </w:r>
    </w:p>
    <w:p w14:paraId="008F4A7A">
      <w:pPr>
        <w:spacing w:before="260" w:after="120" w:line="288" w:lineRule="auto"/>
        <w:ind w:left="0"/>
        <w:jc w:val="left"/>
        <w:outlineLvl w:val="3"/>
        <w:rPr>
          <w:rFonts w:hint="eastAsia" w:ascii="微软雅黑" w:hAnsi="微软雅黑" w:eastAsia="微软雅黑" w:cs="微软雅黑"/>
        </w:rPr>
      </w:pPr>
      <w:bookmarkStart w:id="17" w:name="heading_17"/>
      <w:r>
        <w:rPr>
          <w:rFonts w:hint="eastAsia" w:ascii="微软雅黑" w:hAnsi="微软雅黑" w:eastAsia="微软雅黑" w:cs="微软雅黑"/>
          <w:b/>
          <w:sz w:val="28"/>
        </w:rPr>
        <w:t>4、管理要求</w:t>
      </w:r>
      <w:bookmarkEnd w:id="17"/>
    </w:p>
    <w:p w14:paraId="1A6695D6">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1、对保安公司安全防火防盗的要求:严格管理工作人员，确保无一例安全事故及火灾事件。</w:t>
      </w:r>
    </w:p>
    <w:p w14:paraId="33D06861">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对保安管理公司工作人员流动及必要的失业保险、医疗保险、养老保险和人员意外伤害、死亡保险办理及费用的要求:保安公司按规定购买社会保险，其费用由保安公司自行承担，采购方不承担任何社保相关费用。</w:t>
      </w:r>
    </w:p>
    <w:p w14:paraId="73359FCB">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3、人员素质要求：严格遵照湖南省医院安保管理规范，所有安保人员55周岁以下，男性身高170cm以上，双眼裸视1.0以上，五官端正、仪容整洁、身体健康、无纹身、无不良嗜好，无违法违纪、无治安处罚记录，政审合格。具备初中及以上学历，消防、监控等特殊岗位须具备对应从业资质证书和专业业务能力，熟悉医院安防管理制度和医疗场所应急处置流程。</w:t>
      </w:r>
    </w:p>
    <w:p w14:paraId="5723725F">
      <w:pPr>
        <w:spacing w:before="260" w:after="120" w:line="288" w:lineRule="auto"/>
        <w:ind w:left="0"/>
        <w:jc w:val="left"/>
        <w:outlineLvl w:val="3"/>
        <w:rPr>
          <w:rFonts w:hint="eastAsia" w:ascii="微软雅黑" w:hAnsi="微软雅黑" w:eastAsia="微软雅黑" w:cs="微软雅黑"/>
        </w:rPr>
      </w:pPr>
      <w:bookmarkStart w:id="18" w:name="heading_18"/>
      <w:r>
        <w:rPr>
          <w:rFonts w:hint="eastAsia" w:ascii="微软雅黑" w:hAnsi="微软雅黑" w:eastAsia="微软雅黑" w:cs="微软雅黑"/>
          <w:b/>
          <w:sz w:val="28"/>
        </w:rPr>
        <w:t>5、业务技能条件</w:t>
      </w:r>
      <w:bookmarkEnd w:id="18"/>
    </w:p>
    <w:p w14:paraId="0725EA4E">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(1)具备相应的政府主管部门颁发的上岗资格证书，具备基本法律知识及与保安相关的政策规定。</w:t>
      </w:r>
    </w:p>
    <w:p w14:paraId="0A4B7111">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(2)具备一定的语言和文字表达能力。</w:t>
      </w:r>
    </w:p>
    <w:p w14:paraId="30CA0EED">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(3)具备与岗位职责相应的观察、发现、处置问题能力。</w:t>
      </w:r>
    </w:p>
    <w:p w14:paraId="1BD395ED">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(4)具备使用基本消防设备、通讯器材等设施设备和相关防卫器械技能。</w:t>
      </w:r>
    </w:p>
    <w:p w14:paraId="7E08D12E">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(5)掌握一定防卫擒拿技能。</w:t>
      </w:r>
    </w:p>
    <w:p w14:paraId="0AC3D832">
      <w:pPr>
        <w:spacing w:before="260" w:after="120" w:line="288" w:lineRule="auto"/>
        <w:ind w:left="0"/>
        <w:jc w:val="left"/>
        <w:outlineLvl w:val="3"/>
        <w:rPr>
          <w:rFonts w:hint="eastAsia" w:ascii="微软雅黑" w:hAnsi="微软雅黑" w:eastAsia="微软雅黑" w:cs="微软雅黑"/>
        </w:rPr>
      </w:pPr>
      <w:bookmarkStart w:id="19" w:name="heading_19"/>
      <w:r>
        <w:rPr>
          <w:rFonts w:hint="eastAsia" w:ascii="微软雅黑" w:hAnsi="微软雅黑" w:eastAsia="微软雅黑" w:cs="微软雅黑"/>
          <w:b/>
          <w:sz w:val="28"/>
        </w:rPr>
        <w:t>6、对保安管理公司的要求</w:t>
      </w:r>
      <w:bookmarkEnd w:id="19"/>
    </w:p>
    <w:p w14:paraId="2ED06072">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(1)统一着装，保安公司需按季节及时配给保安制服，制服要求干净整洁，无褶皱、大小合身、无破烂，冬装三年更换一次，春秋及夏装两年更换一次。</w:t>
      </w:r>
    </w:p>
    <w:p w14:paraId="4057151C">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(2)除不宜情形下，在工作时间必须着保安制服。着保安服时，应按规定佩带保安标志。</w:t>
      </w:r>
    </w:p>
    <w:p w14:paraId="6DA6839A">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(3)保安制服不准与便服混穿，不同季节的保安制服不准混穿。</w:t>
      </w:r>
    </w:p>
    <w:p w14:paraId="7F59E7FA">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(4)着保安制服应干净整洁、不准披衣、敞怀、挽袖、卷裤腿、歪戴帽子、穿拖鞋或赤足。</w:t>
      </w:r>
    </w:p>
    <w:p w14:paraId="3494659C">
      <w:pPr>
        <w:spacing w:before="260" w:after="120" w:line="288" w:lineRule="auto"/>
        <w:ind w:left="0"/>
        <w:jc w:val="left"/>
        <w:outlineLvl w:val="3"/>
        <w:rPr>
          <w:rFonts w:hint="eastAsia" w:ascii="微软雅黑" w:hAnsi="微软雅黑" w:eastAsia="微软雅黑" w:cs="微软雅黑"/>
        </w:rPr>
      </w:pPr>
      <w:bookmarkStart w:id="20" w:name="heading_20"/>
      <w:r>
        <w:rPr>
          <w:rFonts w:hint="eastAsia" w:ascii="微软雅黑" w:hAnsi="微软雅黑" w:eastAsia="微软雅黑" w:cs="微软雅黑"/>
          <w:b/>
          <w:sz w:val="28"/>
        </w:rPr>
        <w:t>7、仪容仪表</w:t>
      </w:r>
      <w:bookmarkEnd w:id="20"/>
    </w:p>
    <w:p w14:paraId="7C818F75">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(1)值班时要仪表端庄，精神饱满。男性不准留长发，大鬓角和胡须，女性发辫不能过肩。</w:t>
      </w:r>
    </w:p>
    <w:p w14:paraId="1A15A0DD">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(2)不能染发、涂指甲、不能化浓妆、戴饰物。</w:t>
      </w:r>
    </w:p>
    <w:p w14:paraId="797948BB">
      <w:pPr>
        <w:spacing w:before="260" w:after="120" w:line="288" w:lineRule="auto"/>
        <w:ind w:left="0"/>
        <w:jc w:val="left"/>
        <w:outlineLvl w:val="3"/>
        <w:rPr>
          <w:rFonts w:hint="eastAsia" w:ascii="微软雅黑" w:hAnsi="微软雅黑" w:eastAsia="微软雅黑" w:cs="微软雅黑"/>
        </w:rPr>
      </w:pPr>
      <w:bookmarkStart w:id="21" w:name="heading_21"/>
      <w:r>
        <w:rPr>
          <w:rFonts w:hint="eastAsia" w:ascii="微软雅黑" w:hAnsi="微软雅黑" w:eastAsia="微软雅黑" w:cs="微软雅黑"/>
          <w:b/>
          <w:sz w:val="28"/>
        </w:rPr>
        <w:t>8、礼节</w:t>
      </w:r>
      <w:bookmarkEnd w:id="21"/>
    </w:p>
    <w:p w14:paraId="4A2DE233">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(1)在下列场合行举手礼；</w:t>
      </w:r>
    </w:p>
    <w:p w14:paraId="58B09F2E">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①着装遇领导时；</w:t>
      </w:r>
    </w:p>
    <w:p w14:paraId="4AC42015">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②站岗、执勤、交接班时；</w:t>
      </w:r>
    </w:p>
    <w:p w14:paraId="1CA534C9">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③纠正违章时；</w:t>
      </w:r>
    </w:p>
    <w:p w14:paraId="629986FE">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④受到领导接见、慰问时；领导视察、检查时、参加外事活动与外宾接触时。</w:t>
      </w:r>
    </w:p>
    <w:p w14:paraId="3E1BDDDB">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(2)在参加大型活动奏国歌、升国旗时，要自行立正行注目礼。</w:t>
      </w:r>
    </w:p>
    <w:p w14:paraId="6B6DCD8B">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(3)对日常接触的管理处领导可以不敬礼。</w:t>
      </w:r>
    </w:p>
    <w:p w14:paraId="55F7B955">
      <w:pPr>
        <w:spacing w:before="260" w:after="120" w:line="288" w:lineRule="auto"/>
        <w:ind w:left="0"/>
        <w:jc w:val="left"/>
        <w:outlineLvl w:val="3"/>
        <w:rPr>
          <w:rFonts w:hint="eastAsia" w:ascii="微软雅黑" w:hAnsi="微软雅黑" w:eastAsia="微软雅黑" w:cs="微软雅黑"/>
        </w:rPr>
      </w:pPr>
      <w:bookmarkStart w:id="22" w:name="heading_22"/>
      <w:r>
        <w:rPr>
          <w:rFonts w:hint="eastAsia" w:ascii="微软雅黑" w:hAnsi="微软雅黑" w:eastAsia="微软雅黑" w:cs="微软雅黑"/>
          <w:b/>
          <w:sz w:val="28"/>
        </w:rPr>
        <w:t>9、举止</w:t>
      </w:r>
      <w:bookmarkEnd w:id="22"/>
    </w:p>
    <w:p w14:paraId="33CF907B">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(1)保持良好的精神风貌，姿态端正，动作规范，举止文明。</w:t>
      </w:r>
    </w:p>
    <w:p w14:paraId="79068D4B">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(2)着装外出工作、执勤和出入公共场合时，不准卷袖或将手插入衣兜。不准搭肩、挽臂、边走边吸烟、吃东西、嬉笑打闹。不准随时吐痰，乱扔废弃物。</w:t>
      </w:r>
    </w:p>
    <w:p w14:paraId="306F7310">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(3)不准着制服在公共场所饮酒，严禁酗酒。</w:t>
      </w:r>
    </w:p>
    <w:p w14:paraId="626E72BD">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(4)要自觉遵守公共秩序和社会公德，遵守《岳阳市文明公约》。</w:t>
      </w:r>
    </w:p>
    <w:p w14:paraId="53CCDA19">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(5)要遵守少数民族的风俗习惯。</w:t>
      </w:r>
    </w:p>
    <w:p w14:paraId="557F6B26">
      <w:pPr>
        <w:spacing w:before="260" w:after="120" w:line="288" w:lineRule="auto"/>
        <w:ind w:left="0"/>
        <w:jc w:val="left"/>
        <w:outlineLvl w:val="3"/>
        <w:rPr>
          <w:rFonts w:hint="eastAsia" w:ascii="微软雅黑" w:hAnsi="微软雅黑" w:eastAsia="微软雅黑" w:cs="微软雅黑"/>
        </w:rPr>
      </w:pPr>
      <w:bookmarkStart w:id="23" w:name="heading_23"/>
      <w:r>
        <w:rPr>
          <w:rFonts w:hint="eastAsia" w:ascii="微软雅黑" w:hAnsi="微软雅黑" w:eastAsia="微软雅黑" w:cs="微软雅黑"/>
          <w:b/>
          <w:sz w:val="28"/>
        </w:rPr>
        <w:t>10、语言</w:t>
      </w:r>
      <w:bookmarkEnd w:id="23"/>
    </w:p>
    <w:p w14:paraId="0E2257FE">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在工作中使用评议要简洁准确，执勤时必须使用普通话，文明规范，接触群众时，说话要和气，使用“请、您好、对不起、谢谢、再见”等礼貌评议。要注意称谓使用。在少数民族、宗教人士、外籍人士交谈时，不准使用对方禁忌的语言。</w:t>
      </w:r>
    </w:p>
    <w:p w14:paraId="1E550518">
      <w:pPr>
        <w:spacing w:before="260" w:after="120" w:line="288" w:lineRule="auto"/>
        <w:ind w:left="0"/>
        <w:jc w:val="left"/>
        <w:outlineLvl w:val="3"/>
        <w:rPr>
          <w:rFonts w:hint="eastAsia" w:ascii="微软雅黑" w:hAnsi="微软雅黑" w:eastAsia="微软雅黑" w:cs="微软雅黑"/>
        </w:rPr>
      </w:pPr>
      <w:bookmarkStart w:id="24" w:name="heading_24"/>
      <w:r>
        <w:rPr>
          <w:rFonts w:hint="eastAsia" w:ascii="微软雅黑" w:hAnsi="微软雅黑" w:eastAsia="微软雅黑" w:cs="微软雅黑"/>
          <w:b/>
          <w:sz w:val="28"/>
        </w:rPr>
        <w:t>11、工作职责</w:t>
      </w:r>
      <w:bookmarkEnd w:id="24"/>
    </w:p>
    <w:p w14:paraId="550DE005">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(1)严格在法律规定的范围内开展服务工作，不准超越职责权限。</w:t>
      </w:r>
    </w:p>
    <w:p w14:paraId="2708ECCE">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(2)严格履行岗位职责，不准做与保安服务无关的事情。</w:t>
      </w:r>
    </w:p>
    <w:p w14:paraId="0D43FB20">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(3)不准刁难群众。</w:t>
      </w:r>
    </w:p>
    <w:p w14:paraId="0677EF21">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(4)不准脱岗、空岗、睡岗，在工作岗位上做与工作无关的事情，不准迟到、早退。</w:t>
      </w:r>
    </w:p>
    <w:p w14:paraId="0F93357F">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(5)遵守岳阳县人民医院大院内部的各项规章制度，对客户单位内部机密，不准随意打听、记录、传播。</w:t>
      </w:r>
    </w:p>
    <w:p w14:paraId="37683200">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(6)未经允许不准动用客户物品和接受客户赠送的礼品。</w:t>
      </w:r>
    </w:p>
    <w:p w14:paraId="4CD45686">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(7)有重要情况要及时上报并及时处置，不准隐瞒不报或迟报。</w:t>
      </w:r>
    </w:p>
    <w:p w14:paraId="5C005C21">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(8)要认真填写值班记录，做好交接班工作。</w:t>
      </w:r>
    </w:p>
    <w:p w14:paraId="2D86B047">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(9)要自觉维护环境卫生，保持执勤区域整齐清洁。</w:t>
      </w:r>
    </w:p>
    <w:p w14:paraId="5269D6AE">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(10)要爱护医院公共设施设备。</w:t>
      </w:r>
    </w:p>
    <w:p w14:paraId="2D11B289">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(11)保安上班、执勤、巡逻时严禁接受他人的香烟、槟榔及其他影响执勤工作的财、物。</w:t>
      </w:r>
    </w:p>
    <w:p w14:paraId="24505887">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12、采取定点与巡逻相结合，保安岗位及人数由实际情况决定，保安队员年流动率不超过 20%。</w:t>
      </w:r>
    </w:p>
    <w:p w14:paraId="780AAC22">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13、要求中标单位严格按照《保安服务管理条例》执行保安服务工作。</w:t>
      </w:r>
    </w:p>
    <w:p w14:paraId="2D4A9567">
      <w:pPr>
        <w:spacing w:before="300" w:after="120" w:line="288" w:lineRule="auto"/>
        <w:ind w:left="0"/>
        <w:jc w:val="left"/>
        <w:outlineLvl w:val="2"/>
        <w:rPr>
          <w:rFonts w:hint="eastAsia" w:ascii="微软雅黑" w:hAnsi="微软雅黑" w:eastAsia="微软雅黑" w:cs="微软雅黑"/>
        </w:rPr>
      </w:pPr>
      <w:bookmarkStart w:id="25" w:name="heading_25"/>
      <w:r>
        <w:rPr>
          <w:rFonts w:hint="eastAsia" w:ascii="微软雅黑" w:hAnsi="微软雅黑" w:eastAsia="微软雅黑" w:cs="微软雅黑"/>
          <w:b/>
          <w:sz w:val="30"/>
        </w:rPr>
        <w:t>四、其他要求及说明</w:t>
      </w:r>
      <w:bookmarkEnd w:id="25"/>
    </w:p>
    <w:p w14:paraId="40FC3EA4">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1.实施地点:岳阳县人民医院。</w:t>
      </w:r>
    </w:p>
    <w:p w14:paraId="5B82A7FE">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2.结算方法:按月支付。</w:t>
      </w:r>
    </w:p>
    <w:p w14:paraId="10B3B543">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2.1付款人:岳阳县人民医院。</w:t>
      </w:r>
    </w:p>
    <w:p w14:paraId="6456FD70">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2.2 付款方式:采购人凭借中标人开具的正规发票于每月15号前将上个月的服务费支付至乙方财务账上，如中标人未开具正规发票的，则甲方有权拒绝或延迟支付服务费。</w:t>
      </w:r>
    </w:p>
    <w:p w14:paraId="40F084CC">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3.中标单位自行安排派驻岳阳县人民医院保安队员的工作用餐及住宿。</w:t>
      </w:r>
    </w:p>
    <w:p w14:paraId="727773CA">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4.本项目采用费用包干方式，投标人应根据项目要求和现场情况，详细列明项目所需的设备及材料购置，以及培训、人工、管理、财务、税金、社保等所有费用，如一旦中标，在项目实施中出现任何遗漏，均由中标人自行承担，采购人不再支付任何费用。加班费为医院另行结算费用，不计入包干总价。</w:t>
      </w:r>
    </w:p>
    <w:p w14:paraId="51452D58">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5.本项目严格依据岳阳县人民医院院区真实规模、官方采购公示及湖南省医院安保规范编制，经多部门联合询价、评审核定，年度审定预算总价760900元，资金全部为医院自筹资金，价格贴合本地市场公允水平，合规节俭、真实可控，适配医院现阶段运营及提质改造期间安保保障需求。</w:t>
      </w:r>
    </w:p>
    <w:p w14:paraId="4D2A157A">
      <w:pPr>
        <w:spacing w:before="300" w:after="120" w:line="288" w:lineRule="auto"/>
        <w:ind w:left="0"/>
        <w:jc w:val="left"/>
        <w:outlineLvl w:val="2"/>
        <w:rPr>
          <w:rFonts w:hint="eastAsia" w:ascii="微软雅黑" w:hAnsi="微软雅黑" w:eastAsia="微软雅黑" w:cs="微软雅黑"/>
        </w:rPr>
      </w:pPr>
      <w:bookmarkStart w:id="26" w:name="heading_26"/>
      <w:r>
        <w:rPr>
          <w:rFonts w:hint="eastAsia" w:ascii="微软雅黑" w:hAnsi="微软雅黑" w:eastAsia="微软雅黑" w:cs="微软雅黑"/>
          <w:b/>
          <w:sz w:val="30"/>
        </w:rPr>
        <w:t>五、服务质量考核要求</w:t>
      </w:r>
      <w:bookmarkEnd w:id="26"/>
    </w:p>
    <w:p w14:paraId="5E4C384A">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为规范项目服务管理，保障院区安保工作高质量落地，采购人对中标单位服务质量实行常态化考核、月度评分、年度总评机制，考核结果与服务费用结算、合同履约、评优续约直接挂钩。中标单位须严格遵守以下质量标准，全面落实服务管控要求。</w:t>
      </w:r>
    </w:p>
    <w:p w14:paraId="54D90187">
      <w:pPr>
        <w:spacing w:before="260" w:after="120" w:line="288" w:lineRule="auto"/>
        <w:ind w:left="0"/>
        <w:jc w:val="left"/>
        <w:outlineLvl w:val="3"/>
        <w:rPr>
          <w:rFonts w:hint="eastAsia" w:ascii="微软雅黑" w:hAnsi="微软雅黑" w:eastAsia="微软雅黑" w:cs="微软雅黑"/>
        </w:rPr>
      </w:pPr>
      <w:bookmarkStart w:id="27" w:name="heading_27"/>
      <w:r>
        <w:rPr>
          <w:rFonts w:hint="eastAsia" w:ascii="微软雅黑" w:hAnsi="微软雅黑" w:eastAsia="微软雅黑" w:cs="微软雅黑"/>
          <w:b/>
          <w:sz w:val="28"/>
        </w:rPr>
        <w:t>1、总体质量要求</w:t>
      </w:r>
      <w:bookmarkEnd w:id="27"/>
    </w:p>
    <w:p w14:paraId="28B63457">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1.1 全员在岗履职，严格执行24小时不间断值守、巡逻制度，无脱岗、空岗、睡岗、迟到早退、擅自离岗等违规现象。</w:t>
      </w:r>
    </w:p>
    <w:p w14:paraId="6238BB34">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1.2 所有岗位人员持证上岗、着装规范、仪容整洁、文明执勤，严格遵守礼仪规范、言行规范，杜绝态度恶劣、推诿扯皮、与医患及家属发生争执冲突等问题。</w:t>
      </w:r>
    </w:p>
    <w:p w14:paraId="2FC3F78F">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1.3 严格落实《湖南省医院内部安全保卫工作规范》各项管理制度，常态化开展院区治安、消防、交通、门禁、车辆安全隐患排查，台账记录完整、整改闭环到位，全年实现院区治安案件、火灾事故、财物丢失事故零发生，筑牢医院安全防线。</w:t>
      </w:r>
    </w:p>
    <w:p w14:paraId="2575B701">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1.4 应急处置快速规范，遇突发纠纷、突发事件、安全隐患，第一时间到场处置、上报、维稳，保障院区秩序稳定和人员、财产安全。</w:t>
      </w:r>
    </w:p>
    <w:p w14:paraId="4C027FBA">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1.5 各类台账记录完整、真实、规范，包含值班记录、巡更记录、消防巡查记录、车辆登记、访客登记、隐患整改记录等，做到日清日结、可查可溯。</w:t>
      </w:r>
    </w:p>
    <w:p w14:paraId="2220E467">
      <w:pPr>
        <w:spacing w:before="260" w:after="120" w:line="288" w:lineRule="auto"/>
        <w:ind w:left="0"/>
        <w:jc w:val="left"/>
        <w:outlineLvl w:val="3"/>
        <w:rPr>
          <w:rFonts w:hint="eastAsia" w:ascii="微软雅黑" w:hAnsi="微软雅黑" w:eastAsia="微软雅黑" w:cs="微软雅黑"/>
        </w:rPr>
      </w:pPr>
      <w:bookmarkStart w:id="28" w:name="heading_28"/>
      <w:r>
        <w:rPr>
          <w:rFonts w:hint="eastAsia" w:ascii="微软雅黑" w:hAnsi="微软雅黑" w:eastAsia="微软雅黑" w:cs="微软雅黑"/>
          <w:b/>
          <w:sz w:val="28"/>
        </w:rPr>
        <w:t>2、分项考核标准</w:t>
      </w:r>
      <w:bookmarkEnd w:id="28"/>
    </w:p>
    <w:p w14:paraId="71146462">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 值守岗位：大门、大厅、消控室、监控室重点岗位全程有人在岗，严格落实人员、车辆、物品进出查验登记制度，杜绝无关人员、危险物品进入院区，出入口秩序井然、交通畅通。</w:t>
      </w:r>
    </w:p>
    <w:p w14:paraId="65F4F197">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2.2 巡逻岗位：严格按照每2小时一次的巡查频次开展全覆盖巡逻，重点科室、重点区域加密巡查，巡更点位无遗漏，夜间、节假日巡逻到位，及时排查各类安全隐患。</w:t>
      </w:r>
    </w:p>
    <w:p w14:paraId="5DF609F9">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2.3 消防岗位：消防值班人员持证上岗，熟练掌握消防设施操作、火灾处置流程，每日开展消防设施巡检，及时上报故障隐患，确保消防系统完好有效。</w:t>
      </w:r>
    </w:p>
    <w:p w14:paraId="7A05DD72">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2.4 交通管理岗位：规范院区车辆引导、停放、疏导工作，杜绝车辆乱停乱放、占道通行、逆行超速等问题，保障院内交通有序畅通。</w:t>
      </w:r>
    </w:p>
    <w:p w14:paraId="3AAD4149">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2.5 队伍管理：人员配置足额达标，不得低于本项目最低18人配置标准；人员流动率控制在规定范围内，人员更换合规报备；全员定期开展业务、礼仪、应急、消防培训，业务能力达标。</w:t>
      </w:r>
    </w:p>
    <w:p w14:paraId="4A0095B9">
      <w:pPr>
        <w:spacing w:before="260" w:after="120" w:line="288" w:lineRule="auto"/>
        <w:ind w:left="0"/>
        <w:jc w:val="left"/>
        <w:outlineLvl w:val="3"/>
        <w:rPr>
          <w:rFonts w:hint="eastAsia" w:ascii="微软雅黑" w:hAnsi="微软雅黑" w:eastAsia="微软雅黑" w:cs="微软雅黑"/>
        </w:rPr>
      </w:pPr>
      <w:bookmarkStart w:id="29" w:name="heading_29"/>
      <w:r>
        <w:rPr>
          <w:rFonts w:hint="eastAsia" w:ascii="微软雅黑" w:hAnsi="微软雅黑" w:eastAsia="微软雅黑" w:cs="微软雅黑"/>
          <w:b/>
          <w:sz w:val="28"/>
        </w:rPr>
        <w:t>3、考核机制</w:t>
      </w:r>
      <w:bookmarkEnd w:id="29"/>
    </w:p>
    <w:p w14:paraId="5FB59FB0">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3.1 月度考核满分100分，90分（含）以上为合格，80-89分为基本合格，80分以下为不合格。</w:t>
      </w:r>
    </w:p>
    <w:p w14:paraId="595D6231">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3.2 单次月度考核不合格，采购人有权对中标单位进行约谈、限期整改；连续两个月考核不合格，采购人有权扣除当月部分服务费用。</w:t>
      </w:r>
    </w:p>
    <w:p w14:paraId="3732182F">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3.3 出现脱岗失职、重大安全隐患未处置、引发医患纠纷、造成院区财产损失或不良社会影响的，采购人有权视情节轻重扣除服务费、没收履约保证金，情节严重的有权单方面解除合同、列入不良合作名单。</w:t>
      </w:r>
    </w:p>
    <w:p w14:paraId="7BC232C7">
      <w:pPr>
        <w:spacing w:before="300" w:after="120" w:line="288" w:lineRule="auto"/>
        <w:ind w:left="0"/>
        <w:jc w:val="left"/>
        <w:outlineLvl w:val="2"/>
        <w:rPr>
          <w:rFonts w:hint="eastAsia" w:ascii="微软雅黑" w:hAnsi="微软雅黑" w:eastAsia="微软雅黑" w:cs="微软雅黑"/>
        </w:rPr>
      </w:pPr>
      <w:bookmarkStart w:id="30" w:name="heading_30"/>
      <w:r>
        <w:rPr>
          <w:rFonts w:hint="eastAsia" w:ascii="微软雅黑" w:hAnsi="微软雅黑" w:eastAsia="微软雅黑" w:cs="微软雅黑"/>
          <w:b/>
          <w:sz w:val="30"/>
        </w:rPr>
        <w:t>六、项目验收流程</w:t>
      </w:r>
      <w:bookmarkEnd w:id="30"/>
    </w:p>
    <w:p w14:paraId="7C0D92DE">
      <w:pPr>
        <w:spacing w:before="260" w:after="120" w:line="288" w:lineRule="auto"/>
        <w:ind w:left="0"/>
        <w:jc w:val="left"/>
        <w:outlineLvl w:val="3"/>
        <w:rPr>
          <w:rFonts w:hint="eastAsia" w:ascii="微软雅黑" w:hAnsi="微软雅黑" w:eastAsia="微软雅黑" w:cs="微软雅黑"/>
        </w:rPr>
      </w:pPr>
      <w:bookmarkStart w:id="31" w:name="heading_31"/>
      <w:r>
        <w:rPr>
          <w:rFonts w:hint="eastAsia" w:ascii="微软雅黑" w:hAnsi="微软雅黑" w:eastAsia="微软雅黑" w:cs="微软雅黑"/>
          <w:b/>
          <w:sz w:val="28"/>
        </w:rPr>
        <w:t>1、验收方式</w:t>
      </w:r>
      <w:bookmarkEnd w:id="31"/>
    </w:p>
    <w:p w14:paraId="58D9C90E">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本项目实行</w:t>
      </w:r>
      <w:r>
        <w:rPr>
          <w:rFonts w:hint="eastAsia" w:ascii="微软雅黑" w:hAnsi="微软雅黑" w:eastAsia="微软雅黑" w:cs="微软雅黑"/>
          <w:b/>
          <w:sz w:val="22"/>
        </w:rPr>
        <w:t>日常验收+月度验收+年度终验</w:t>
      </w:r>
      <w:r>
        <w:rPr>
          <w:rFonts w:hint="eastAsia" w:ascii="微软雅黑" w:hAnsi="微软雅黑" w:eastAsia="微软雅黑" w:cs="微软雅黑"/>
          <w:sz w:val="22"/>
        </w:rPr>
        <w:t>三级验收机制，由采购人后勤科、保卫科、财务科、内审室联合开展验收工作，全程留痕、全程监督，确保服务质量达标、履约合规。</w:t>
      </w:r>
    </w:p>
    <w:p w14:paraId="55AB0DC6">
      <w:pPr>
        <w:spacing w:before="260" w:after="120" w:line="288" w:lineRule="auto"/>
        <w:ind w:left="0"/>
        <w:jc w:val="left"/>
        <w:outlineLvl w:val="3"/>
        <w:rPr>
          <w:rFonts w:hint="eastAsia" w:ascii="微软雅黑" w:hAnsi="微软雅黑" w:eastAsia="微软雅黑" w:cs="微软雅黑"/>
        </w:rPr>
      </w:pPr>
      <w:bookmarkStart w:id="32" w:name="heading_32"/>
      <w:r>
        <w:rPr>
          <w:rFonts w:hint="eastAsia" w:ascii="微软雅黑" w:hAnsi="微软雅黑" w:eastAsia="微软雅黑" w:cs="微软雅黑"/>
          <w:b/>
          <w:sz w:val="28"/>
        </w:rPr>
        <w:t>2、日常验收</w:t>
      </w:r>
      <w:bookmarkEnd w:id="32"/>
    </w:p>
    <w:p w14:paraId="247714CD">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2.1 采购人管理人员每日对各安保岗位在岗情况、履职状态、服务规范、巡逻记录、隐患处置情况进行抽查验收。</w:t>
      </w:r>
    </w:p>
    <w:p w14:paraId="2512E043">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2.2 对当日发现的问题现场告知中标单位现场负责人，要求立即整改，无法立即整改的限期闭环整改，形成每日验收台账及整改记录。</w:t>
      </w:r>
    </w:p>
    <w:p w14:paraId="607A8E47">
      <w:pPr>
        <w:spacing w:before="260" w:after="120" w:line="288" w:lineRule="auto"/>
        <w:ind w:left="0"/>
        <w:jc w:val="left"/>
        <w:outlineLvl w:val="3"/>
        <w:rPr>
          <w:rFonts w:hint="eastAsia" w:ascii="微软雅黑" w:hAnsi="微软雅黑" w:eastAsia="微软雅黑" w:cs="微软雅黑"/>
        </w:rPr>
      </w:pPr>
      <w:bookmarkStart w:id="33" w:name="heading_33"/>
      <w:r>
        <w:rPr>
          <w:rFonts w:hint="eastAsia" w:ascii="微软雅黑" w:hAnsi="微软雅黑" w:eastAsia="微软雅黑" w:cs="微软雅黑"/>
          <w:b/>
          <w:sz w:val="28"/>
        </w:rPr>
        <w:t>3、月度验收</w:t>
      </w:r>
      <w:bookmarkEnd w:id="33"/>
    </w:p>
    <w:p w14:paraId="0BC24A00">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3.1 每月月末，由采购人联合验收小组对本月整体安保服务工作进行全面验收，核查人员在岗、服务质量、台账资料、隐患整改、应急处置、队伍管理等全部内容。</w:t>
      </w:r>
    </w:p>
    <w:p w14:paraId="0B1384A1">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3.2 中标单位须提前整理当月值班记录、巡更记录、培训记录、隐患排查整改台账、应急处置记录、人员在岗台账等全套资料，提交验收小组审核。</w:t>
      </w:r>
    </w:p>
    <w:p w14:paraId="21E0B415">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3.3 验收小组结合日常抽查情况、资料审核情况、现场核查情况出具月度验收评分及验收结论，验收合格后方可办理当月服务费结算手续。</w:t>
      </w:r>
    </w:p>
    <w:p w14:paraId="7AA9BDE0">
      <w:pPr>
        <w:spacing w:before="260" w:after="120" w:line="288" w:lineRule="auto"/>
        <w:ind w:left="0"/>
        <w:jc w:val="left"/>
        <w:outlineLvl w:val="3"/>
        <w:rPr>
          <w:rFonts w:hint="eastAsia" w:ascii="微软雅黑" w:hAnsi="微软雅黑" w:eastAsia="微软雅黑" w:cs="微软雅黑"/>
        </w:rPr>
      </w:pPr>
      <w:bookmarkStart w:id="34" w:name="heading_34"/>
      <w:r>
        <w:rPr>
          <w:rFonts w:hint="eastAsia" w:ascii="微软雅黑" w:hAnsi="微软雅黑" w:eastAsia="微软雅黑" w:cs="微软雅黑"/>
          <w:b/>
          <w:sz w:val="28"/>
        </w:rPr>
        <w:t>4、年度终验</w:t>
      </w:r>
      <w:bookmarkEnd w:id="34"/>
    </w:p>
    <w:p w14:paraId="6EB4DFAD">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4.1 服务期满前15个工作日，中标单位完成全年服务工作总结、资料汇编、履约自查报告，向采购人提交年度终验申请。</w:t>
      </w:r>
    </w:p>
    <w:p w14:paraId="49331A66">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4.2 采购人组织多部门开展年度全面验收，核查全年服务履约情况、人员配置、质量考核、问题整改、安全事故零发生指标、台账完整性等内容。</w:t>
      </w:r>
    </w:p>
    <w:p w14:paraId="724136EB">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4.3 年度验收合格，无违约、无安全事故、无服务质量问题的，采购人按合同约定无息退还服务保证金；年度验收不合格或存在严重违约行为的，按合同及考核制度追究履约责任。</w:t>
      </w:r>
    </w:p>
    <w:p w14:paraId="7DBF524B">
      <w:pPr>
        <w:spacing w:before="260" w:after="120" w:line="288" w:lineRule="auto"/>
        <w:ind w:left="0"/>
        <w:jc w:val="left"/>
        <w:outlineLvl w:val="3"/>
        <w:rPr>
          <w:rFonts w:hint="eastAsia" w:ascii="微软雅黑" w:hAnsi="微软雅黑" w:eastAsia="微软雅黑" w:cs="微软雅黑"/>
        </w:rPr>
      </w:pPr>
      <w:bookmarkStart w:id="35" w:name="heading_35"/>
      <w:r>
        <w:rPr>
          <w:rFonts w:hint="eastAsia" w:ascii="微软雅黑" w:hAnsi="微软雅黑" w:eastAsia="微软雅黑" w:cs="微软雅黑"/>
          <w:b/>
          <w:sz w:val="28"/>
        </w:rPr>
        <w:t>5、验收资料要求</w:t>
      </w:r>
      <w:bookmarkEnd w:id="35"/>
    </w:p>
    <w:p w14:paraId="6CC330D8">
      <w:pPr>
        <w:spacing w:before="120" w:after="120" w:line="288" w:lineRule="auto"/>
        <w:ind w:left="0"/>
        <w:jc w:val="left"/>
        <w:rPr>
          <w:rFonts w:hint="eastAsia" w:ascii="微软雅黑" w:hAnsi="微软雅黑" w:eastAsia="微软雅黑" w:cs="微软雅黑"/>
          <w:sz w:val="22"/>
        </w:rPr>
      </w:pPr>
      <w:r>
        <w:rPr>
          <w:rFonts w:hint="eastAsia" w:ascii="微软雅黑" w:hAnsi="微软雅黑" w:eastAsia="微软雅黑" w:cs="微软雅黑"/>
          <w:sz w:val="22"/>
        </w:rPr>
        <w:t>中标单位须全程留存完整服务资料，包含但不限于：人员花名册、岗位资质证书、健康体检证明、每日值班台账、巡更记录、消防巡查记录、访客车辆登记记录、隐患排查整改台账、培训记录、应急处置记录、月度工作总结、各类检查整改回执等，所有资料需真实、完整、可追溯，作为各级验收的核心依据。</w:t>
      </w:r>
    </w:p>
    <w:p w14:paraId="65734DB9">
      <w:pPr>
        <w:spacing w:before="120" w:after="120" w:line="288" w:lineRule="auto"/>
        <w:jc w:val="center"/>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其他未尽事宜由采购人和成交供应商双方在采购合同中详细约定。</w:t>
      </w:r>
    </w:p>
    <w:p w14:paraId="77573C4F">
      <w:pPr>
        <w:spacing w:before="120" w:after="120" w:line="288" w:lineRule="auto"/>
        <w:ind w:left="0"/>
        <w:jc w:val="center"/>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对于上述项目要求，供应商应在响应文件中进行回应，作出承诺及说明。</w:t>
      </w:r>
    </w:p>
    <w:p w14:paraId="5D51C4D7">
      <w:pPr>
        <w:spacing w:before="120" w:after="120" w:line="288" w:lineRule="auto"/>
        <w:ind w:left="0"/>
        <w:jc w:val="left"/>
        <w:rPr>
          <w:rFonts w:hint="eastAsia" w:ascii="微软雅黑" w:hAnsi="微软雅黑" w:eastAsia="微软雅黑" w:cs="微软雅黑"/>
          <w:sz w:val="22"/>
        </w:rPr>
      </w:pPr>
    </w:p>
    <w:p w14:paraId="09A66739">
      <w:pPr>
        <w:spacing w:before="120" w:after="120" w:line="288" w:lineRule="auto"/>
        <w:ind w:left="0"/>
        <w:jc w:val="left"/>
        <w:rPr>
          <w:rFonts w:hint="eastAsia" w:ascii="微软雅黑" w:hAnsi="微软雅黑" w:eastAsia="微软雅黑" w:cs="微软雅黑"/>
          <w:sz w:val="22"/>
        </w:rPr>
      </w:pPr>
    </w:p>
    <w:p w14:paraId="4BFAA253">
      <w:pPr>
        <w:spacing w:before="120" w:after="120" w:line="288" w:lineRule="auto"/>
        <w:ind w:left="0"/>
        <w:jc w:val="left"/>
        <w:rPr>
          <w:rFonts w:hint="eastAsia" w:ascii="微软雅黑" w:hAnsi="微软雅黑" w:eastAsia="微软雅黑" w:cs="微软雅黑"/>
          <w:sz w:val="22"/>
        </w:rPr>
      </w:pPr>
    </w:p>
    <w:p w14:paraId="3AFD19E6">
      <w:pPr>
        <w:spacing w:before="120" w:after="120" w:line="288" w:lineRule="auto"/>
        <w:ind w:left="0"/>
        <w:jc w:val="left"/>
        <w:rPr>
          <w:rFonts w:hint="eastAsia" w:ascii="微软雅黑" w:hAnsi="微软雅黑" w:eastAsia="微软雅黑" w:cs="微软雅黑"/>
          <w:sz w:val="22"/>
        </w:rPr>
      </w:pPr>
    </w:p>
    <w:p w14:paraId="6D426D9F">
      <w:pPr>
        <w:spacing w:before="120" w:after="120" w:line="288" w:lineRule="auto"/>
        <w:ind w:left="0"/>
        <w:jc w:val="left"/>
        <w:rPr>
          <w:rFonts w:hint="eastAsia" w:ascii="微软雅黑" w:hAnsi="微软雅黑" w:eastAsia="微软雅黑" w:cs="微软雅黑"/>
          <w:sz w:val="22"/>
        </w:rPr>
      </w:pPr>
    </w:p>
    <w:p w14:paraId="4420EE4B">
      <w:pPr>
        <w:spacing w:before="480" w:after="480" w:line="288" w:lineRule="auto"/>
        <w:ind w:left="0"/>
        <w:jc w:val="center"/>
        <w:rPr>
          <w:rFonts w:hint="eastAsia" w:ascii="微软雅黑" w:hAnsi="微软雅黑" w:eastAsia="微软雅黑" w:cs="微软雅黑"/>
          <w:sz w:val="28"/>
          <w:szCs w:val="28"/>
        </w:rPr>
      </w:pPr>
      <w:r>
        <w:rPr>
          <w:rFonts w:hint="eastAsia" w:ascii="微软雅黑" w:hAnsi="微软雅黑" w:eastAsia="微软雅黑" w:cs="微软雅黑"/>
          <w:b/>
          <w:sz w:val="28"/>
          <w:szCs w:val="28"/>
        </w:rPr>
        <w:t>岳阳县人民医院安保服务月度考核管理制度</w:t>
      </w:r>
    </w:p>
    <w:p w14:paraId="43BC9C6E">
      <w:pPr>
        <w:spacing w:before="320" w:after="120" w:line="288" w:lineRule="auto"/>
        <w:ind w:left="0"/>
        <w:jc w:val="left"/>
        <w:outlineLvl w:val="1"/>
        <w:rPr>
          <w:rFonts w:hint="eastAsia" w:ascii="微软雅黑" w:hAnsi="微软雅黑" w:eastAsia="微软雅黑" w:cs="微软雅黑"/>
        </w:rPr>
      </w:pPr>
      <w:r>
        <w:rPr>
          <w:rFonts w:hint="eastAsia" w:ascii="微软雅黑" w:hAnsi="微软雅黑" w:eastAsia="微软雅黑" w:cs="微软雅黑"/>
          <w:b/>
          <w:sz w:val="32"/>
        </w:rPr>
        <w:t>一、总则</w:t>
      </w:r>
    </w:p>
    <w:p w14:paraId="481DC895">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1、考核目的：规范院区安保服务管理，压实履约责任，保障医院治安、消防、交通、秩序及应急处置工作落地，保障医患人身及财产安全。</w:t>
      </w:r>
    </w:p>
    <w:p w14:paraId="649E00F3">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2、适用对象：本项目全部在岗安保人员（18人定岗：队长2人、消防值班3人、交通管理7人、巡逻6人）及服务承接单位。</w:t>
      </w:r>
    </w:p>
    <w:p w14:paraId="254161DF">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3、考核组织：由医院后勤科牵头，保卫科、财务科、内审室联合组成考核小组，负责日常督查、月度打分、整改督办、结果应用。</w:t>
      </w:r>
    </w:p>
    <w:p w14:paraId="7EE7EE69">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4、考核方式：日常抽查 + 现场核查 + 资料审核 + 月度综合评议，满分100分，按月考核、结果与服务费结算直接挂钩。</w:t>
      </w:r>
    </w:p>
    <w:p w14:paraId="1DFB0CAF">
      <w:pPr>
        <w:spacing w:before="320" w:after="120" w:line="288" w:lineRule="auto"/>
        <w:ind w:left="0"/>
        <w:jc w:val="left"/>
        <w:outlineLvl w:val="1"/>
        <w:rPr>
          <w:rFonts w:hint="eastAsia" w:ascii="微软雅黑" w:hAnsi="微软雅黑" w:eastAsia="微软雅黑" w:cs="微软雅黑"/>
        </w:rPr>
      </w:pPr>
      <w:r>
        <w:rPr>
          <w:rFonts w:hint="eastAsia" w:ascii="微软雅黑" w:hAnsi="微软雅黑" w:eastAsia="微软雅黑" w:cs="微软雅黑"/>
          <w:b/>
          <w:sz w:val="32"/>
        </w:rPr>
        <w:t>二、考核等级标准</w:t>
      </w:r>
    </w:p>
    <w:p w14:paraId="77D3CAA8">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1、优秀：95分及以上（无违规、无隐患、服务优良）</w:t>
      </w:r>
    </w:p>
    <w:p w14:paraId="5C4FD504">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2、合格：90–94分（轻微问题可闭环整改）</w:t>
      </w:r>
    </w:p>
    <w:p w14:paraId="135BC4F6">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3、基本合格：80–89分（存在不规范问题，需限期整改）</w:t>
      </w:r>
    </w:p>
    <w:p w14:paraId="140D6D7B">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4、不合格：80分以下（履职不到位、问题较多）</w:t>
      </w:r>
    </w:p>
    <w:p w14:paraId="517365B1">
      <w:pPr>
        <w:spacing w:before="320" w:after="120" w:line="288" w:lineRule="auto"/>
        <w:ind w:left="0"/>
        <w:jc w:val="left"/>
        <w:outlineLvl w:val="1"/>
        <w:rPr>
          <w:rFonts w:hint="eastAsia" w:ascii="微软雅黑" w:hAnsi="微软雅黑" w:eastAsia="微软雅黑" w:cs="微软雅黑"/>
        </w:rPr>
      </w:pPr>
      <w:r>
        <w:rPr>
          <w:rFonts w:hint="eastAsia" w:ascii="微软雅黑" w:hAnsi="微软雅黑" w:eastAsia="微软雅黑" w:cs="微软雅黑"/>
          <w:b/>
          <w:sz w:val="32"/>
        </w:rPr>
        <w:t>三、月度量化考核评分表（100分）</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2"/>
        <w:gridCol w:w="1560"/>
        <w:gridCol w:w="1087"/>
        <w:gridCol w:w="6329"/>
      </w:tblGrid>
      <w:tr w14:paraId="5E892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1" w:hRule="atLeast"/>
        </w:trPr>
        <w:tc>
          <w:tcPr>
            <w:tcW w:w="702" w:type="dxa"/>
            <w:noWrap w:val="0"/>
            <w:tcMar>
              <w:top w:w="60" w:type="dxa"/>
              <w:left w:w="120" w:type="dxa"/>
              <w:bottom w:w="30" w:type="dxa"/>
              <w:right w:w="120" w:type="dxa"/>
            </w:tcMar>
            <w:vAlign w:val="top"/>
          </w:tcPr>
          <w:p w14:paraId="43C476AC">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序号</w:t>
            </w:r>
          </w:p>
        </w:tc>
        <w:tc>
          <w:tcPr>
            <w:tcW w:w="1560" w:type="dxa"/>
            <w:noWrap w:val="0"/>
            <w:tcMar>
              <w:top w:w="60" w:type="dxa"/>
              <w:left w:w="120" w:type="dxa"/>
              <w:bottom w:w="30" w:type="dxa"/>
              <w:right w:w="120" w:type="dxa"/>
            </w:tcMar>
            <w:vAlign w:val="top"/>
          </w:tcPr>
          <w:p w14:paraId="1377174B">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考核项目</w:t>
            </w:r>
          </w:p>
        </w:tc>
        <w:tc>
          <w:tcPr>
            <w:tcW w:w="1087" w:type="dxa"/>
            <w:noWrap w:val="0"/>
            <w:tcMar>
              <w:top w:w="60" w:type="dxa"/>
              <w:left w:w="120" w:type="dxa"/>
              <w:bottom w:w="30" w:type="dxa"/>
              <w:right w:w="120" w:type="dxa"/>
            </w:tcMar>
            <w:vAlign w:val="top"/>
          </w:tcPr>
          <w:p w14:paraId="6C42DC22">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分值</w:t>
            </w:r>
          </w:p>
        </w:tc>
        <w:tc>
          <w:tcPr>
            <w:tcW w:w="6329" w:type="dxa"/>
            <w:noWrap w:val="0"/>
            <w:tcMar>
              <w:top w:w="60" w:type="dxa"/>
              <w:left w:w="120" w:type="dxa"/>
              <w:bottom w:w="30" w:type="dxa"/>
              <w:right w:w="120" w:type="dxa"/>
            </w:tcMar>
            <w:vAlign w:val="top"/>
          </w:tcPr>
          <w:p w14:paraId="04F77934">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扣分标准</w:t>
            </w:r>
          </w:p>
        </w:tc>
      </w:tr>
      <w:tr w14:paraId="4251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33" w:hRule="atLeast"/>
        </w:trPr>
        <w:tc>
          <w:tcPr>
            <w:tcW w:w="702" w:type="dxa"/>
            <w:noWrap w:val="0"/>
            <w:tcMar>
              <w:top w:w="60" w:type="dxa"/>
              <w:left w:w="120" w:type="dxa"/>
              <w:bottom w:w="30" w:type="dxa"/>
              <w:right w:w="120" w:type="dxa"/>
            </w:tcMar>
            <w:vAlign w:val="top"/>
          </w:tcPr>
          <w:p w14:paraId="12D2B377">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1</w:t>
            </w:r>
          </w:p>
        </w:tc>
        <w:tc>
          <w:tcPr>
            <w:tcW w:w="1560" w:type="dxa"/>
            <w:noWrap w:val="0"/>
            <w:tcMar>
              <w:top w:w="60" w:type="dxa"/>
              <w:left w:w="120" w:type="dxa"/>
              <w:bottom w:w="30" w:type="dxa"/>
              <w:right w:w="120" w:type="dxa"/>
            </w:tcMar>
            <w:vAlign w:val="top"/>
          </w:tcPr>
          <w:p w14:paraId="443F6966">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在岗考勤与人员配置</w:t>
            </w:r>
          </w:p>
        </w:tc>
        <w:tc>
          <w:tcPr>
            <w:tcW w:w="1087" w:type="dxa"/>
            <w:noWrap w:val="0"/>
            <w:tcMar>
              <w:top w:w="60" w:type="dxa"/>
              <w:left w:w="120" w:type="dxa"/>
              <w:bottom w:w="30" w:type="dxa"/>
              <w:right w:w="120" w:type="dxa"/>
            </w:tcMar>
            <w:vAlign w:val="top"/>
          </w:tcPr>
          <w:p w14:paraId="534E29E2">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20</w:t>
            </w:r>
          </w:p>
        </w:tc>
        <w:tc>
          <w:tcPr>
            <w:tcW w:w="6329" w:type="dxa"/>
            <w:noWrap w:val="0"/>
            <w:tcMar>
              <w:top w:w="60" w:type="dxa"/>
              <w:left w:w="120" w:type="dxa"/>
              <w:bottom w:w="30" w:type="dxa"/>
              <w:right w:w="120" w:type="dxa"/>
            </w:tcMar>
            <w:vAlign w:val="top"/>
          </w:tcPr>
          <w:p w14:paraId="45022965">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1.脱岗、空岗、睡岗、擅自离岗，每次扣5分；2.迟到、早退、擅自换岗，每次扣2分；3.擅自更换人员未报备，每次扣5分；4.在岗人数低于18人最低配置，本项归零。</w:t>
            </w:r>
          </w:p>
        </w:tc>
      </w:tr>
      <w:tr w14:paraId="15050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22" w:hRule="atLeast"/>
        </w:trPr>
        <w:tc>
          <w:tcPr>
            <w:tcW w:w="702" w:type="dxa"/>
            <w:noWrap w:val="0"/>
            <w:tcMar>
              <w:top w:w="60" w:type="dxa"/>
              <w:left w:w="120" w:type="dxa"/>
              <w:bottom w:w="30" w:type="dxa"/>
              <w:right w:w="120" w:type="dxa"/>
            </w:tcMar>
            <w:vAlign w:val="top"/>
          </w:tcPr>
          <w:p w14:paraId="02D99DFC">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2</w:t>
            </w:r>
          </w:p>
        </w:tc>
        <w:tc>
          <w:tcPr>
            <w:tcW w:w="1560" w:type="dxa"/>
            <w:noWrap w:val="0"/>
            <w:tcMar>
              <w:top w:w="60" w:type="dxa"/>
              <w:left w:w="120" w:type="dxa"/>
              <w:bottom w:w="30" w:type="dxa"/>
              <w:right w:w="120" w:type="dxa"/>
            </w:tcMar>
            <w:vAlign w:val="top"/>
          </w:tcPr>
          <w:p w14:paraId="1532F303">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仪容仪表与文明礼仪</w:t>
            </w:r>
          </w:p>
        </w:tc>
        <w:tc>
          <w:tcPr>
            <w:tcW w:w="1087" w:type="dxa"/>
            <w:noWrap w:val="0"/>
            <w:tcMar>
              <w:top w:w="60" w:type="dxa"/>
              <w:left w:w="120" w:type="dxa"/>
              <w:bottom w:w="30" w:type="dxa"/>
              <w:right w:w="120" w:type="dxa"/>
            </w:tcMar>
            <w:vAlign w:val="top"/>
          </w:tcPr>
          <w:p w14:paraId="7BFE631B">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15</w:t>
            </w:r>
          </w:p>
        </w:tc>
        <w:tc>
          <w:tcPr>
            <w:tcW w:w="6329" w:type="dxa"/>
            <w:noWrap w:val="0"/>
            <w:tcMar>
              <w:top w:w="60" w:type="dxa"/>
              <w:left w:w="120" w:type="dxa"/>
              <w:bottom w:w="30" w:type="dxa"/>
              <w:right w:w="120" w:type="dxa"/>
            </w:tcMar>
            <w:vAlign w:val="top"/>
          </w:tcPr>
          <w:p w14:paraId="3F942322">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1.着装不规范、仪容不达标，每人次扣1分；2.服务态度差、与医患发生争执，每次扣3分；3.执勤礼仪不规范，每次扣1分。</w:t>
            </w:r>
          </w:p>
        </w:tc>
      </w:tr>
      <w:tr w14:paraId="6BA0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345" w:hRule="atLeast"/>
        </w:trPr>
        <w:tc>
          <w:tcPr>
            <w:tcW w:w="702" w:type="dxa"/>
            <w:noWrap w:val="0"/>
            <w:tcMar>
              <w:top w:w="60" w:type="dxa"/>
              <w:left w:w="120" w:type="dxa"/>
              <w:bottom w:w="30" w:type="dxa"/>
              <w:right w:w="120" w:type="dxa"/>
            </w:tcMar>
            <w:vAlign w:val="top"/>
          </w:tcPr>
          <w:p w14:paraId="6C661BE2">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3</w:t>
            </w:r>
          </w:p>
        </w:tc>
        <w:tc>
          <w:tcPr>
            <w:tcW w:w="1560" w:type="dxa"/>
            <w:noWrap w:val="0"/>
            <w:tcMar>
              <w:top w:w="60" w:type="dxa"/>
              <w:left w:w="120" w:type="dxa"/>
              <w:bottom w:w="30" w:type="dxa"/>
              <w:right w:w="120" w:type="dxa"/>
            </w:tcMar>
            <w:vAlign w:val="top"/>
          </w:tcPr>
          <w:p w14:paraId="03E2ABA2">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岗位履职服务</w:t>
            </w:r>
          </w:p>
        </w:tc>
        <w:tc>
          <w:tcPr>
            <w:tcW w:w="1087" w:type="dxa"/>
            <w:noWrap w:val="0"/>
            <w:tcMar>
              <w:top w:w="60" w:type="dxa"/>
              <w:left w:w="120" w:type="dxa"/>
              <w:bottom w:w="30" w:type="dxa"/>
              <w:right w:w="120" w:type="dxa"/>
            </w:tcMar>
            <w:vAlign w:val="top"/>
          </w:tcPr>
          <w:p w14:paraId="60554F85">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30</w:t>
            </w:r>
          </w:p>
        </w:tc>
        <w:tc>
          <w:tcPr>
            <w:tcW w:w="6329" w:type="dxa"/>
            <w:noWrap w:val="0"/>
            <w:tcMar>
              <w:top w:w="60" w:type="dxa"/>
              <w:left w:w="120" w:type="dxa"/>
              <w:bottom w:w="30" w:type="dxa"/>
              <w:right w:w="120" w:type="dxa"/>
            </w:tcMar>
            <w:vAlign w:val="top"/>
          </w:tcPr>
          <w:p w14:paraId="3D9DC621">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门卫值守(8分)：进出登记、查验漏项每次扣2分；院区巡逻(8分)：漏巡、记录造假、隐患未上报每次扣2-3分；消防值守(7分)：无证上岗、巡检缺失、记录不全每次扣3分；交通管理(7分)：车辆秩序混乱、疏导不到位每次扣2分。</w:t>
            </w:r>
          </w:p>
        </w:tc>
      </w:tr>
      <w:tr w14:paraId="7240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1" w:hRule="atLeast"/>
        </w:trPr>
        <w:tc>
          <w:tcPr>
            <w:tcW w:w="702" w:type="dxa"/>
            <w:noWrap w:val="0"/>
            <w:tcMar>
              <w:top w:w="60" w:type="dxa"/>
              <w:left w:w="120" w:type="dxa"/>
              <w:bottom w:w="30" w:type="dxa"/>
              <w:right w:w="120" w:type="dxa"/>
            </w:tcMar>
            <w:vAlign w:val="top"/>
          </w:tcPr>
          <w:p w14:paraId="64E4851F">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4</w:t>
            </w:r>
          </w:p>
        </w:tc>
        <w:tc>
          <w:tcPr>
            <w:tcW w:w="1560" w:type="dxa"/>
            <w:noWrap w:val="0"/>
            <w:tcMar>
              <w:top w:w="60" w:type="dxa"/>
              <w:left w:w="120" w:type="dxa"/>
              <w:bottom w:w="30" w:type="dxa"/>
              <w:right w:w="120" w:type="dxa"/>
            </w:tcMar>
            <w:vAlign w:val="top"/>
          </w:tcPr>
          <w:p w14:paraId="53719D8F">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台账资料管理</w:t>
            </w:r>
          </w:p>
        </w:tc>
        <w:tc>
          <w:tcPr>
            <w:tcW w:w="1087" w:type="dxa"/>
            <w:noWrap w:val="0"/>
            <w:tcMar>
              <w:top w:w="60" w:type="dxa"/>
              <w:left w:w="120" w:type="dxa"/>
              <w:bottom w:w="30" w:type="dxa"/>
              <w:right w:w="120" w:type="dxa"/>
            </w:tcMar>
            <w:vAlign w:val="top"/>
          </w:tcPr>
          <w:p w14:paraId="061D3265">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15</w:t>
            </w:r>
          </w:p>
        </w:tc>
        <w:tc>
          <w:tcPr>
            <w:tcW w:w="6329" w:type="dxa"/>
            <w:noWrap w:val="0"/>
            <w:tcMar>
              <w:top w:w="60" w:type="dxa"/>
              <w:left w:w="120" w:type="dxa"/>
              <w:bottom w:w="30" w:type="dxa"/>
              <w:right w:w="120" w:type="dxa"/>
            </w:tcMar>
            <w:vAlign w:val="top"/>
          </w:tcPr>
          <w:p w14:paraId="6CE92B40">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1.值班、巡更、消防、登记、整改台账缺项不规范，每次扣1分；2.资质、体检、培训、月度资料未归档，扣3-5分；3.台账造假、篡改，每次扣5分。</w:t>
            </w:r>
          </w:p>
        </w:tc>
      </w:tr>
      <w:tr w14:paraId="3C6B9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33" w:hRule="atLeast"/>
        </w:trPr>
        <w:tc>
          <w:tcPr>
            <w:tcW w:w="702" w:type="dxa"/>
            <w:noWrap w:val="0"/>
            <w:tcMar>
              <w:top w:w="60" w:type="dxa"/>
              <w:left w:w="120" w:type="dxa"/>
              <w:bottom w:w="30" w:type="dxa"/>
              <w:right w:w="120" w:type="dxa"/>
            </w:tcMar>
            <w:vAlign w:val="top"/>
          </w:tcPr>
          <w:p w14:paraId="1278041C">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5</w:t>
            </w:r>
          </w:p>
        </w:tc>
        <w:tc>
          <w:tcPr>
            <w:tcW w:w="1560" w:type="dxa"/>
            <w:noWrap w:val="0"/>
            <w:tcMar>
              <w:top w:w="60" w:type="dxa"/>
              <w:left w:w="120" w:type="dxa"/>
              <w:bottom w:w="30" w:type="dxa"/>
              <w:right w:w="120" w:type="dxa"/>
            </w:tcMar>
            <w:vAlign w:val="top"/>
          </w:tcPr>
          <w:p w14:paraId="7025BAEA">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应急处置与重大保障</w:t>
            </w:r>
          </w:p>
        </w:tc>
        <w:tc>
          <w:tcPr>
            <w:tcW w:w="1087" w:type="dxa"/>
            <w:noWrap w:val="0"/>
            <w:tcMar>
              <w:top w:w="60" w:type="dxa"/>
              <w:left w:w="120" w:type="dxa"/>
              <w:bottom w:w="30" w:type="dxa"/>
              <w:right w:w="120" w:type="dxa"/>
            </w:tcMar>
            <w:vAlign w:val="top"/>
          </w:tcPr>
          <w:p w14:paraId="7084690C">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10</w:t>
            </w:r>
          </w:p>
        </w:tc>
        <w:tc>
          <w:tcPr>
            <w:tcW w:w="6329" w:type="dxa"/>
            <w:noWrap w:val="0"/>
            <w:tcMar>
              <w:top w:w="60" w:type="dxa"/>
              <w:left w:w="120" w:type="dxa"/>
              <w:bottom w:w="30" w:type="dxa"/>
              <w:right w:w="120" w:type="dxa"/>
            </w:tcMar>
            <w:vAlign w:val="top"/>
          </w:tcPr>
          <w:p w14:paraId="08F16269">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1.突发纠纷、隐患、险情未及时处置上报，每次扣3分；2.节假日、重大活动、迎检保障不到位，每次扣3分；3.应急流程不熟练、处置不规范，每次扣2分。</w:t>
            </w:r>
          </w:p>
        </w:tc>
      </w:tr>
      <w:tr w14:paraId="1F5B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3" w:hRule="atLeast"/>
        </w:trPr>
        <w:tc>
          <w:tcPr>
            <w:tcW w:w="702" w:type="dxa"/>
            <w:noWrap w:val="0"/>
            <w:tcMar>
              <w:top w:w="60" w:type="dxa"/>
              <w:left w:w="120" w:type="dxa"/>
              <w:bottom w:w="30" w:type="dxa"/>
              <w:right w:w="120" w:type="dxa"/>
            </w:tcMar>
            <w:vAlign w:val="top"/>
          </w:tcPr>
          <w:p w14:paraId="210B3A8A">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6</w:t>
            </w:r>
          </w:p>
        </w:tc>
        <w:tc>
          <w:tcPr>
            <w:tcW w:w="1560" w:type="dxa"/>
            <w:noWrap w:val="0"/>
            <w:tcMar>
              <w:top w:w="60" w:type="dxa"/>
              <w:left w:w="120" w:type="dxa"/>
              <w:bottom w:w="30" w:type="dxa"/>
              <w:right w:w="120" w:type="dxa"/>
            </w:tcMar>
            <w:vAlign w:val="top"/>
          </w:tcPr>
          <w:p w14:paraId="2E35ABEE">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队伍管理与纪律</w:t>
            </w:r>
          </w:p>
        </w:tc>
        <w:tc>
          <w:tcPr>
            <w:tcW w:w="1087" w:type="dxa"/>
            <w:noWrap w:val="0"/>
            <w:tcMar>
              <w:top w:w="60" w:type="dxa"/>
              <w:left w:w="120" w:type="dxa"/>
              <w:bottom w:w="30" w:type="dxa"/>
              <w:right w:w="120" w:type="dxa"/>
            </w:tcMar>
            <w:vAlign w:val="top"/>
          </w:tcPr>
          <w:p w14:paraId="6E8EB92D">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10</w:t>
            </w:r>
          </w:p>
        </w:tc>
        <w:tc>
          <w:tcPr>
            <w:tcW w:w="6329" w:type="dxa"/>
            <w:noWrap w:val="0"/>
            <w:tcMar>
              <w:top w:w="60" w:type="dxa"/>
              <w:left w:w="120" w:type="dxa"/>
              <w:bottom w:w="30" w:type="dxa"/>
              <w:right w:w="120" w:type="dxa"/>
            </w:tcMar>
            <w:vAlign w:val="top"/>
          </w:tcPr>
          <w:p w14:paraId="205A1001">
            <w:pPr>
              <w:bidi w:val="0"/>
              <w:rPr>
                <w:rFonts w:hint="eastAsia" w:ascii="微软雅黑" w:hAnsi="微软雅黑" w:eastAsia="微软雅黑" w:cs="微软雅黑"/>
                <w:sz w:val="18"/>
                <w:szCs w:val="18"/>
              </w:rPr>
            </w:pPr>
            <w:r>
              <w:rPr>
                <w:rFonts w:hint="eastAsia" w:ascii="微软雅黑" w:hAnsi="微软雅黑" w:eastAsia="微软雅黑" w:cs="微软雅黑"/>
                <w:sz w:val="18"/>
                <w:szCs w:val="18"/>
              </w:rPr>
              <w:t>1.在岗违纪、收受财物、打闹酗酒，每次扣3分；2.未按要求开展培训，每次扣2分；3.队伍管理松散、人员流动超标，酌情扣2-5分。</w:t>
            </w:r>
          </w:p>
        </w:tc>
      </w:tr>
    </w:tbl>
    <w:p w14:paraId="4CA87A38">
      <w:pPr>
        <w:spacing w:before="320" w:after="120" w:line="288" w:lineRule="auto"/>
        <w:ind w:left="0"/>
        <w:jc w:val="left"/>
        <w:outlineLvl w:val="1"/>
        <w:rPr>
          <w:rFonts w:hint="eastAsia" w:ascii="微软雅黑" w:hAnsi="微软雅黑" w:eastAsia="微软雅黑" w:cs="微软雅黑"/>
        </w:rPr>
      </w:pPr>
      <w:r>
        <w:rPr>
          <w:rFonts w:hint="eastAsia" w:ascii="微软雅黑" w:hAnsi="微软雅黑" w:eastAsia="微软雅黑" w:cs="微软雅黑"/>
          <w:b/>
          <w:sz w:val="32"/>
        </w:rPr>
        <w:t>四、一票否决（当月直接不合格）</w:t>
      </w:r>
    </w:p>
    <w:p w14:paraId="4CA2586E">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1、发生治安、火灾、财物丢失等安保责任事故；</w:t>
      </w:r>
    </w:p>
    <w:p w14:paraId="7CAB82E4">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2、履职不当引发重大医患纠纷、负面舆情；</w:t>
      </w:r>
    </w:p>
    <w:p w14:paraId="79973342">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3、人员无证上岗、资质造假、政审不合格；</w:t>
      </w:r>
    </w:p>
    <w:p w14:paraId="7743A543">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4、擅自减员空编、拒不配合医院管理及整改；</w:t>
      </w:r>
    </w:p>
    <w:p w14:paraId="35E7C50F">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5、隐瞒事故、台账造假、拖延应急处置等严重违规行为。</w:t>
      </w:r>
    </w:p>
    <w:p w14:paraId="7D5FD511">
      <w:pPr>
        <w:spacing w:before="320" w:after="120" w:line="288" w:lineRule="auto"/>
        <w:ind w:left="0"/>
        <w:jc w:val="left"/>
        <w:outlineLvl w:val="1"/>
        <w:rPr>
          <w:rFonts w:hint="eastAsia" w:ascii="微软雅黑" w:hAnsi="微软雅黑" w:eastAsia="微软雅黑" w:cs="微软雅黑"/>
        </w:rPr>
      </w:pPr>
      <w:r>
        <w:rPr>
          <w:rFonts w:hint="eastAsia" w:ascii="微软雅黑" w:hAnsi="微软雅黑" w:eastAsia="微软雅黑" w:cs="微软雅黑"/>
          <w:b/>
          <w:sz w:val="32"/>
        </w:rPr>
        <w:t>五、考核结果应用</w:t>
      </w:r>
    </w:p>
    <w:p w14:paraId="5C3D6891">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1、合格及以上：全额结算当月服务费；</w:t>
      </w:r>
    </w:p>
    <w:p w14:paraId="2D8533F7">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2、基本合格：限期整改，整改闭环后方可正常结算；</w:t>
      </w:r>
    </w:p>
    <w:p w14:paraId="39BFFC4E">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3、月度不合格：约谈整改，扣除当月10%-20%服务费；</w:t>
      </w:r>
    </w:p>
    <w:p w14:paraId="4FFFC3B3">
      <w:pPr>
        <w:spacing w:before="120" w:after="120" w:line="288" w:lineRule="auto"/>
        <w:ind w:left="0"/>
        <w:jc w:val="left"/>
        <w:rPr>
          <w:rFonts w:hint="eastAsia" w:ascii="微软雅黑" w:hAnsi="微软雅黑" w:eastAsia="微软雅黑" w:cs="微软雅黑"/>
          <w:lang w:eastAsia="zh-CN"/>
        </w:rPr>
      </w:pPr>
      <w:r>
        <w:rPr>
          <w:rFonts w:hint="eastAsia" w:ascii="微软雅黑" w:hAnsi="微软雅黑" w:eastAsia="微软雅黑" w:cs="微软雅黑"/>
          <w:sz w:val="22"/>
        </w:rPr>
        <w:t>4、连续两月不合格：暂停结算</w:t>
      </w:r>
      <w:r>
        <w:rPr>
          <w:rFonts w:hint="eastAsia" w:ascii="微软雅黑" w:hAnsi="微软雅黑" w:eastAsia="微软雅黑" w:cs="微软雅黑"/>
          <w:sz w:val="22"/>
          <w:lang w:eastAsia="zh-CN"/>
        </w:rPr>
        <w:t>。</w:t>
      </w:r>
      <w:bookmarkStart w:id="36" w:name="_GoBack"/>
      <w:bookmarkEnd w:id="36"/>
    </w:p>
    <w:p w14:paraId="6679D28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86A29A"/>
    <w:multiLevelType w:val="singleLevel"/>
    <w:tmpl w:val="5486A29A"/>
    <w:lvl w:ilvl="0" w:tentative="0">
      <w:start w:val="4"/>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2C1A6B"/>
    <w:rsid w:val="052C1A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2026-08-28T07:14:00Z</dcterms:created>
  <dc:creator>Administrator</dc:creator>
  <cp:lastModifiedBy>Administrator</cp:lastModifiedBy>
  <dcterms:modified xsi:type="dcterms:W3CDTF">2026-08-28T07:14:59Z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A44F70CDACA7451BB122EC83852C9271_11</vt:lpwstr>
  </property>
  <property fmtid="{D5CDD505-2E9C-101B-9397-08002B2CF9AE}" pid="4" name="KSOTemplateDocerSaveRecord">
    <vt:lpwstr>eyJoZGlkIjoiOWUxMzRkMjJhNTAxOTJlYjYzMDhjYTFjMDYxN2I0MWIiLCJ1c2VySWQiOiIzNzIzMTExNjMifQ==</vt:lpwstr>
  </property>
</Properties>
</file>