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ED2E9">
      <w:pPr>
        <w:keepNext w:val="0"/>
        <w:widowControl w:val="0"/>
        <w:adjustRightInd w:val="0"/>
        <w:snapToGrid w:val="0"/>
        <w:spacing w:before="156" w:beforeLines="50" w:line="360" w:lineRule="auto"/>
        <w:jc w:val="center"/>
        <w:outlineLvl w:val="0"/>
        <w:rPr>
          <w:rFonts w:ascii="黑体" w:hAnsi="华文中宋" w:eastAsia="黑体" w:cs="Times New Roman"/>
          <w:b/>
          <w:bCs/>
          <w:color w:val="000000"/>
          <w:kern w:val="2"/>
          <w:sz w:val="32"/>
          <w:szCs w:val="32"/>
          <w:highlight w:val="none"/>
          <w:lang w:val="en-US" w:eastAsia="zh-CN" w:bidi="ar-SA"/>
        </w:rPr>
      </w:pPr>
      <w:r>
        <w:rPr>
          <w:rFonts w:hint="eastAsia" w:ascii="黑体" w:hAnsi="华文中宋" w:eastAsia="黑体" w:cs="Times New Roman"/>
          <w:b/>
          <w:bCs/>
          <w:color w:val="000000"/>
          <w:kern w:val="2"/>
          <w:sz w:val="32"/>
          <w:szCs w:val="32"/>
          <w:highlight w:val="none"/>
          <w:lang w:val="en-US" w:eastAsia="zh-CN" w:bidi="ar-SA"/>
        </w:rPr>
        <w:t>采购需求</w:t>
      </w:r>
    </w:p>
    <w:p w14:paraId="31342079">
      <w:pPr>
        <w:keepNext/>
        <w:keepLines/>
        <w:adjustRightInd w:val="0"/>
        <w:snapToGrid w:val="0"/>
        <w:spacing w:before="156" w:beforeLines="50" w:line="360" w:lineRule="auto"/>
        <w:jc w:val="center"/>
        <w:outlineLvl w:val="1"/>
        <w:rPr>
          <w:rFonts w:hint="eastAsia" w:ascii="黑体" w:hAnsi="黑体" w:eastAsia="黑体"/>
          <w:color w:val="000000"/>
          <w:sz w:val="28"/>
          <w:szCs w:val="28"/>
          <w:highlight w:val="none"/>
        </w:rPr>
      </w:pPr>
      <w:bookmarkStart w:id="0" w:name="_Toc31736"/>
      <w:bookmarkStart w:id="1" w:name="_Toc4045"/>
      <w:r>
        <w:rPr>
          <w:rFonts w:hint="eastAsia" w:ascii="黑体" w:hAnsi="黑体" w:eastAsia="黑体"/>
          <w:color w:val="000000"/>
          <w:sz w:val="28"/>
          <w:szCs w:val="28"/>
          <w:highlight w:val="none"/>
        </w:rPr>
        <w:t>第一节 采购清单一览表</w:t>
      </w:r>
      <w:bookmarkEnd w:id="0"/>
      <w:bookmarkEnd w:id="1"/>
    </w:p>
    <w:tbl>
      <w:tblPr>
        <w:tblStyle w:val="7"/>
        <w:tblW w:w="93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9"/>
        <w:gridCol w:w="1697"/>
        <w:gridCol w:w="2167"/>
        <w:gridCol w:w="1857"/>
        <w:gridCol w:w="929"/>
        <w:gridCol w:w="658"/>
        <w:gridCol w:w="787"/>
        <w:gridCol w:w="715"/>
      </w:tblGrid>
      <w:tr w14:paraId="437CFB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509" w:type="dxa"/>
            <w:noWrap w:val="0"/>
            <w:vAlign w:val="center"/>
          </w:tcPr>
          <w:p w14:paraId="747F4F1F">
            <w:pPr>
              <w:adjustRightInd w:val="0"/>
              <w:snapToGrid w:val="0"/>
              <w:jc w:val="center"/>
              <w:rPr>
                <w:rFonts w:eastAsia="宋体"/>
                <w:color w:val="000000"/>
                <w:szCs w:val="21"/>
                <w:highlight w:val="none"/>
              </w:rPr>
            </w:pPr>
            <w:r>
              <w:rPr>
                <w:rFonts w:hint="eastAsia" w:eastAsia="宋体"/>
                <w:color w:val="000000"/>
                <w:szCs w:val="21"/>
                <w:highlight w:val="none"/>
              </w:rPr>
              <w:t xml:space="preserve">包号 </w:t>
            </w:r>
          </w:p>
        </w:tc>
        <w:tc>
          <w:tcPr>
            <w:tcW w:w="1697" w:type="dxa"/>
            <w:noWrap w:val="0"/>
            <w:vAlign w:val="center"/>
          </w:tcPr>
          <w:p w14:paraId="4B9C7CE8">
            <w:pPr>
              <w:adjustRightInd w:val="0"/>
              <w:snapToGrid w:val="0"/>
              <w:jc w:val="center"/>
              <w:rPr>
                <w:rFonts w:eastAsia="宋体"/>
                <w:color w:val="000000"/>
                <w:szCs w:val="21"/>
                <w:highlight w:val="none"/>
              </w:rPr>
            </w:pPr>
            <w:r>
              <w:rPr>
                <w:rFonts w:hint="eastAsia" w:eastAsia="宋体"/>
                <w:color w:val="000000"/>
                <w:szCs w:val="21"/>
                <w:highlight w:val="none"/>
              </w:rPr>
              <w:t>包名称</w:t>
            </w:r>
          </w:p>
        </w:tc>
        <w:tc>
          <w:tcPr>
            <w:tcW w:w="2167" w:type="dxa"/>
            <w:noWrap w:val="0"/>
            <w:vAlign w:val="center"/>
          </w:tcPr>
          <w:p w14:paraId="77641D80">
            <w:pPr>
              <w:adjustRightInd w:val="0"/>
              <w:snapToGrid w:val="0"/>
              <w:jc w:val="center"/>
              <w:rPr>
                <w:rFonts w:eastAsia="宋体"/>
                <w:color w:val="000000"/>
                <w:szCs w:val="21"/>
                <w:highlight w:val="none"/>
              </w:rPr>
            </w:pPr>
            <w:r>
              <w:rPr>
                <w:rFonts w:hint="eastAsia" w:eastAsia="宋体"/>
                <w:color w:val="000000"/>
                <w:szCs w:val="21"/>
                <w:highlight w:val="none"/>
              </w:rPr>
              <w:t>标的名称</w:t>
            </w:r>
          </w:p>
        </w:tc>
        <w:tc>
          <w:tcPr>
            <w:tcW w:w="1857" w:type="dxa"/>
            <w:tcBorders>
              <w:left w:val="single" w:color="auto" w:sz="4" w:space="0"/>
            </w:tcBorders>
            <w:noWrap w:val="0"/>
            <w:vAlign w:val="center"/>
          </w:tcPr>
          <w:p w14:paraId="15B805D0">
            <w:pPr>
              <w:adjustRightInd w:val="0"/>
              <w:snapToGrid w:val="0"/>
              <w:jc w:val="center"/>
              <w:rPr>
                <w:rFonts w:eastAsia="宋体"/>
                <w:color w:val="000000"/>
                <w:szCs w:val="21"/>
                <w:highlight w:val="none"/>
              </w:rPr>
            </w:pPr>
            <w:r>
              <w:rPr>
                <w:rFonts w:hint="eastAsia" w:eastAsia="宋体"/>
                <w:color w:val="000000"/>
                <w:szCs w:val="21"/>
                <w:highlight w:val="none"/>
              </w:rPr>
              <w:t>简要技术要求</w:t>
            </w:r>
          </w:p>
        </w:tc>
        <w:tc>
          <w:tcPr>
            <w:tcW w:w="929" w:type="dxa"/>
            <w:tcBorders>
              <w:left w:val="single" w:color="auto" w:sz="4" w:space="0"/>
            </w:tcBorders>
            <w:noWrap w:val="0"/>
            <w:vAlign w:val="center"/>
          </w:tcPr>
          <w:p w14:paraId="72C8F465">
            <w:pPr>
              <w:adjustRightInd w:val="0"/>
              <w:snapToGrid w:val="0"/>
              <w:jc w:val="center"/>
              <w:rPr>
                <w:rFonts w:ascii="宋体" w:hAnsi="宋体" w:eastAsia="宋体" w:cs="宋体"/>
                <w:color w:val="000000"/>
                <w:kern w:val="0"/>
                <w:szCs w:val="21"/>
                <w:highlight w:val="none"/>
              </w:rPr>
            </w:pPr>
            <w:r>
              <w:rPr>
                <w:rFonts w:hint="eastAsia" w:eastAsia="宋体"/>
                <w:color w:val="000000"/>
                <w:szCs w:val="21"/>
                <w:highlight w:val="none"/>
              </w:rPr>
              <w:t>数量</w:t>
            </w:r>
          </w:p>
        </w:tc>
        <w:tc>
          <w:tcPr>
            <w:tcW w:w="658" w:type="dxa"/>
            <w:noWrap w:val="0"/>
            <w:vAlign w:val="center"/>
          </w:tcPr>
          <w:p w14:paraId="3B5533F4">
            <w:pPr>
              <w:adjustRightInd w:val="0"/>
              <w:snapToGrid w:val="0"/>
              <w:jc w:val="center"/>
              <w:rPr>
                <w:rFonts w:eastAsia="宋体"/>
                <w:color w:val="000000"/>
                <w:szCs w:val="21"/>
                <w:highlight w:val="none"/>
              </w:rPr>
            </w:pPr>
            <w:r>
              <w:rPr>
                <w:rFonts w:hint="eastAsia" w:eastAsia="宋体"/>
                <w:color w:val="000000"/>
                <w:szCs w:val="21"/>
                <w:highlight w:val="none"/>
              </w:rPr>
              <w:t>核心产品</w:t>
            </w:r>
          </w:p>
        </w:tc>
        <w:tc>
          <w:tcPr>
            <w:tcW w:w="787" w:type="dxa"/>
            <w:noWrap w:val="0"/>
            <w:vAlign w:val="center"/>
          </w:tcPr>
          <w:p w14:paraId="659859FE">
            <w:pPr>
              <w:adjustRightInd w:val="0"/>
              <w:snapToGrid w:val="0"/>
              <w:jc w:val="center"/>
              <w:rPr>
                <w:rFonts w:eastAsia="宋体"/>
                <w:color w:val="000000"/>
                <w:szCs w:val="21"/>
                <w:highlight w:val="none"/>
              </w:rPr>
            </w:pPr>
            <w:r>
              <w:rPr>
                <w:rFonts w:hint="eastAsia" w:eastAsia="宋体"/>
                <w:color w:val="000000"/>
                <w:szCs w:val="21"/>
                <w:highlight w:val="none"/>
              </w:rPr>
              <w:t>节能产品</w:t>
            </w:r>
          </w:p>
        </w:tc>
        <w:tc>
          <w:tcPr>
            <w:tcW w:w="715" w:type="dxa"/>
            <w:noWrap w:val="0"/>
            <w:vAlign w:val="center"/>
          </w:tcPr>
          <w:p w14:paraId="683499FD">
            <w:pPr>
              <w:adjustRightInd w:val="0"/>
              <w:snapToGrid w:val="0"/>
              <w:jc w:val="center"/>
              <w:rPr>
                <w:rFonts w:eastAsia="宋体"/>
                <w:color w:val="000000"/>
                <w:szCs w:val="21"/>
                <w:highlight w:val="none"/>
              </w:rPr>
            </w:pPr>
            <w:r>
              <w:rPr>
                <w:rFonts w:hint="eastAsia" w:eastAsia="宋体"/>
                <w:color w:val="000000"/>
                <w:szCs w:val="21"/>
                <w:highlight w:val="none"/>
              </w:rPr>
              <w:t>进口产品</w:t>
            </w:r>
          </w:p>
        </w:tc>
      </w:tr>
      <w:tr w14:paraId="4756D4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509" w:type="dxa"/>
            <w:noWrap w:val="0"/>
            <w:vAlign w:val="center"/>
          </w:tcPr>
          <w:p w14:paraId="11E4127B">
            <w:pPr>
              <w:adjustRightInd w:val="0"/>
              <w:snapToGrid w:val="0"/>
              <w:spacing w:before="156" w:beforeLines="50"/>
              <w:jc w:val="center"/>
              <w:rPr>
                <w:rFonts w:hint="eastAsia" w:eastAsia="宋体"/>
                <w:color w:val="000000"/>
                <w:szCs w:val="21"/>
                <w:highlight w:val="none"/>
              </w:rPr>
            </w:pPr>
            <w:r>
              <w:rPr>
                <w:rFonts w:hint="eastAsia" w:eastAsia="宋体"/>
                <w:color w:val="000000"/>
                <w:szCs w:val="21"/>
                <w:highlight w:val="none"/>
              </w:rPr>
              <w:t>1</w:t>
            </w:r>
          </w:p>
        </w:tc>
        <w:tc>
          <w:tcPr>
            <w:tcW w:w="1697" w:type="dxa"/>
            <w:noWrap w:val="0"/>
            <w:vAlign w:val="center"/>
          </w:tcPr>
          <w:p w14:paraId="4B48C403">
            <w:pPr>
              <w:adjustRightInd w:val="0"/>
              <w:snapToGrid w:val="0"/>
              <w:spacing w:before="156" w:beforeLines="50" w:line="360" w:lineRule="auto"/>
              <w:jc w:val="center"/>
              <w:rPr>
                <w:rFonts w:hint="eastAsia" w:ascii="宋体" w:hAnsi="宋体" w:eastAsia="宋体" w:cs="宋体"/>
                <w:snapToGrid w:val="0"/>
                <w:color w:val="000000"/>
                <w:spacing w:val="7"/>
                <w:kern w:val="0"/>
                <w:sz w:val="21"/>
                <w:szCs w:val="21"/>
                <w:highlight w:val="none"/>
                <w:lang w:val="en-US" w:eastAsia="zh-CN" w:bidi="ar-SA"/>
              </w:rPr>
            </w:pPr>
            <w:r>
              <w:rPr>
                <w:rFonts w:hint="eastAsia" w:ascii="宋体" w:hAnsi="宋体" w:eastAsia="宋体" w:cs="宋体"/>
                <w:color w:val="000000"/>
                <w:szCs w:val="21"/>
                <w:highlight w:val="none"/>
                <w:lang w:eastAsia="zh-CN"/>
              </w:rPr>
              <w:t>株洲市特殊教育学校食堂原材料采购</w:t>
            </w:r>
          </w:p>
        </w:tc>
        <w:tc>
          <w:tcPr>
            <w:tcW w:w="2167" w:type="dxa"/>
            <w:noWrap w:val="0"/>
            <w:vAlign w:val="center"/>
          </w:tcPr>
          <w:p w14:paraId="526DC574">
            <w:pPr>
              <w:adjustRightInd w:val="0"/>
              <w:snapToGrid w:val="0"/>
              <w:spacing w:before="156" w:beforeLines="50" w:line="360" w:lineRule="auto"/>
              <w:jc w:val="center"/>
              <w:rPr>
                <w:rFonts w:hint="eastAsia" w:hAnsi="宋体" w:eastAsia="宋体"/>
                <w:color w:val="000000"/>
                <w:kern w:val="0"/>
                <w:highlight w:val="none"/>
              </w:rPr>
            </w:pPr>
            <w:r>
              <w:rPr>
                <w:rFonts w:hint="eastAsia" w:ascii="宋体" w:hAnsi="宋体" w:eastAsia="宋体" w:cs="宋体"/>
                <w:color w:val="000000"/>
                <w:szCs w:val="21"/>
                <w:highlight w:val="none"/>
                <w:lang w:eastAsia="zh-CN"/>
              </w:rPr>
              <w:t>株洲市特殊教育学校食堂原材料采购</w:t>
            </w:r>
          </w:p>
        </w:tc>
        <w:tc>
          <w:tcPr>
            <w:tcW w:w="1857" w:type="dxa"/>
            <w:tcBorders>
              <w:left w:val="single" w:color="auto" w:sz="4" w:space="0"/>
            </w:tcBorders>
            <w:noWrap w:val="0"/>
            <w:vAlign w:val="center"/>
          </w:tcPr>
          <w:p w14:paraId="069EDC23">
            <w:pPr>
              <w:widowControl w:val="0"/>
              <w:spacing w:after="0" w:afterAutospacing="0" w:line="240" w:lineRule="auto"/>
              <w:ind w:left="0" w:leftChars="0" w:firstLine="0" w:firstLineChars="0"/>
              <w:jc w:val="center"/>
              <w:rPr>
                <w:rFonts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color w:val="000000"/>
                <w:spacing w:val="-2"/>
                <w:kern w:val="2"/>
                <w:sz w:val="21"/>
                <w:szCs w:val="21"/>
                <w:highlight w:val="none"/>
                <w:lang w:val="en-US" w:eastAsia="zh-CN" w:bidi="ar-SA"/>
              </w:rPr>
              <w:t>详见第五章采购需求</w:t>
            </w:r>
          </w:p>
        </w:tc>
        <w:tc>
          <w:tcPr>
            <w:tcW w:w="929" w:type="dxa"/>
            <w:tcBorders>
              <w:left w:val="single" w:color="auto" w:sz="4" w:space="0"/>
            </w:tcBorders>
            <w:noWrap w:val="0"/>
            <w:vAlign w:val="center"/>
          </w:tcPr>
          <w:p w14:paraId="42A4FB2C">
            <w:pPr>
              <w:widowControl w:val="0"/>
              <w:spacing w:after="0" w:afterAutospacing="0" w:line="240" w:lineRule="auto"/>
              <w:ind w:left="0" w:leftChars="0" w:firstLine="0" w:firstLineChars="0"/>
              <w:jc w:val="center"/>
              <w:rPr>
                <w:rFonts w:hint="eastAsia" w:ascii="Times New Roman" w:hAnsi="宋体" w:eastAsia="宋体" w:cs="Times New Roman"/>
                <w:color w:val="000000"/>
                <w:kern w:val="0"/>
                <w:sz w:val="21"/>
                <w:szCs w:val="24"/>
                <w:highlight w:val="none"/>
                <w:lang w:val="en-US" w:eastAsia="zh-CN" w:bidi="ar-SA"/>
              </w:rPr>
            </w:pPr>
            <w:r>
              <w:rPr>
                <w:rFonts w:hint="eastAsia" w:ascii="宋体" w:hAnsi="宋体" w:eastAsia="宋体" w:cs="宋体"/>
                <w:color w:val="000000"/>
                <w:kern w:val="0"/>
                <w:sz w:val="21"/>
                <w:szCs w:val="21"/>
                <w:highlight w:val="none"/>
                <w:lang w:val="en-US" w:eastAsia="zh-CN" w:bidi="ar-SA"/>
              </w:rPr>
              <w:t>1批</w:t>
            </w:r>
          </w:p>
        </w:tc>
        <w:tc>
          <w:tcPr>
            <w:tcW w:w="658" w:type="dxa"/>
            <w:noWrap w:val="0"/>
            <w:vAlign w:val="center"/>
          </w:tcPr>
          <w:p w14:paraId="765B579C">
            <w:pPr>
              <w:adjustRightInd w:val="0"/>
              <w:snapToGrid w:val="0"/>
              <w:spacing w:before="156" w:beforeLines="50"/>
              <w:jc w:val="center"/>
              <w:rPr>
                <w:rFonts w:hint="eastAsia" w:eastAsia="宋体"/>
                <w:color w:val="000000"/>
                <w:szCs w:val="21"/>
                <w:highlight w:val="none"/>
              </w:rPr>
            </w:pPr>
            <w:r>
              <w:rPr>
                <w:rFonts w:hint="eastAsia" w:ascii="宋体" w:hAnsi="宋体" w:eastAsia="宋体"/>
                <w:iCs/>
                <w:color w:val="000000"/>
                <w:szCs w:val="21"/>
                <w:highlight w:val="none"/>
              </w:rPr>
              <w:sym w:font="Wingdings" w:char="00FE"/>
            </w:r>
          </w:p>
        </w:tc>
        <w:tc>
          <w:tcPr>
            <w:tcW w:w="787" w:type="dxa"/>
            <w:noWrap w:val="0"/>
            <w:vAlign w:val="center"/>
          </w:tcPr>
          <w:p w14:paraId="1B3966A3">
            <w:pPr>
              <w:adjustRightInd w:val="0"/>
              <w:snapToGrid w:val="0"/>
              <w:spacing w:before="156" w:beforeLines="50"/>
              <w:jc w:val="center"/>
              <w:rPr>
                <w:rFonts w:eastAsia="宋体"/>
                <w:color w:val="000000"/>
                <w:szCs w:val="21"/>
                <w:highlight w:val="none"/>
              </w:rPr>
            </w:pPr>
            <w:r>
              <w:rPr>
                <w:rFonts w:hint="eastAsia" w:ascii="宋体" w:hAnsi="宋体" w:eastAsia="宋体"/>
                <w:iCs/>
                <w:color w:val="000000"/>
                <w:szCs w:val="21"/>
                <w:highlight w:val="none"/>
              </w:rPr>
              <w:sym w:font="Wingdings" w:char="00A8"/>
            </w:r>
          </w:p>
        </w:tc>
        <w:tc>
          <w:tcPr>
            <w:tcW w:w="715" w:type="dxa"/>
            <w:noWrap w:val="0"/>
            <w:vAlign w:val="center"/>
          </w:tcPr>
          <w:p w14:paraId="54983EF9">
            <w:pPr>
              <w:adjustRightInd w:val="0"/>
              <w:snapToGrid w:val="0"/>
              <w:spacing w:before="156" w:beforeLines="50"/>
              <w:jc w:val="center"/>
              <w:rPr>
                <w:rFonts w:eastAsia="宋体"/>
                <w:color w:val="000000"/>
                <w:szCs w:val="21"/>
                <w:highlight w:val="none"/>
              </w:rPr>
            </w:pPr>
            <w:r>
              <w:rPr>
                <w:rFonts w:hint="eastAsia" w:ascii="宋体" w:hAnsi="宋体" w:eastAsia="宋体"/>
                <w:iCs/>
                <w:color w:val="000000"/>
                <w:szCs w:val="21"/>
                <w:highlight w:val="none"/>
              </w:rPr>
              <w:sym w:font="Wingdings" w:char="00A8"/>
            </w:r>
          </w:p>
        </w:tc>
      </w:tr>
    </w:tbl>
    <w:p w14:paraId="5C23F1B8">
      <w:pPr>
        <w:adjustRightInd w:val="0"/>
        <w:snapToGrid w:val="0"/>
        <w:spacing w:before="156" w:beforeLines="50" w:line="360" w:lineRule="auto"/>
        <w:rPr>
          <w:rFonts w:ascii="宋体" w:hAnsi="宋体" w:eastAsia="宋体"/>
          <w:color w:val="000000"/>
          <w:szCs w:val="21"/>
          <w:highlight w:val="none"/>
        </w:rPr>
      </w:pPr>
      <w:r>
        <w:rPr>
          <w:rFonts w:hint="eastAsia" w:ascii="宋体" w:hAnsi="宋体" w:eastAsia="宋体"/>
          <w:color w:val="000000"/>
          <w:szCs w:val="21"/>
          <w:highlight w:val="none"/>
        </w:rPr>
        <w:t>注：1.“包”为最小合同单位（最小投标单位）。每“包”内容应细化到具体标的。</w:t>
      </w:r>
    </w:p>
    <w:p w14:paraId="7DAD06A4">
      <w:pPr>
        <w:adjustRightInd w:val="0"/>
        <w:snapToGrid w:val="0"/>
        <w:spacing w:before="156" w:beforeLines="50" w:line="360" w:lineRule="auto"/>
        <w:ind w:firstLine="420" w:firstLineChars="200"/>
        <w:rPr>
          <w:rFonts w:ascii="宋体" w:hAnsi="宋体" w:eastAsia="宋体"/>
          <w:color w:val="000000"/>
          <w:szCs w:val="21"/>
          <w:highlight w:val="none"/>
        </w:rPr>
      </w:pPr>
      <w:r>
        <w:rPr>
          <w:rFonts w:hint="eastAsia" w:ascii="宋体" w:hAnsi="宋体" w:eastAsia="宋体"/>
          <w:color w:val="000000"/>
          <w:szCs w:val="21"/>
          <w:highlight w:val="none"/>
        </w:rPr>
        <w:t>2.投标人必须对一个完整、独立的包进行投标，不得仅对一个包中的部分标的投标，否则</w:t>
      </w:r>
      <w:r>
        <w:rPr>
          <w:rFonts w:hint="eastAsia" w:ascii="宋体" w:hAnsi="宋体" w:eastAsia="宋体"/>
          <w:b/>
          <w:color w:val="000000"/>
          <w:szCs w:val="21"/>
          <w:highlight w:val="none"/>
        </w:rPr>
        <w:t>投标无效。</w:t>
      </w:r>
    </w:p>
    <w:p w14:paraId="29B8CE6B">
      <w:pPr>
        <w:adjustRightInd w:val="0"/>
        <w:snapToGrid w:val="0"/>
        <w:spacing w:before="156" w:beforeLines="50" w:line="360" w:lineRule="auto"/>
        <w:ind w:firstLine="420" w:firstLineChars="200"/>
        <w:rPr>
          <w:rFonts w:ascii="宋体" w:hAnsi="宋体" w:eastAsia="宋体" w:cs="宋体"/>
          <w:color w:val="000000"/>
          <w:kern w:val="0"/>
          <w:szCs w:val="21"/>
          <w:highlight w:val="none"/>
        </w:rPr>
      </w:pPr>
      <w:r>
        <w:rPr>
          <w:rFonts w:hint="eastAsia" w:ascii="宋体" w:hAnsi="宋体" w:eastAsia="宋体"/>
          <w:color w:val="000000"/>
          <w:szCs w:val="21"/>
          <w:highlight w:val="none"/>
        </w:rPr>
        <w:t>3.货物的主要技术参数或规格：</w:t>
      </w:r>
      <w:r>
        <w:rPr>
          <w:rFonts w:ascii="宋体" w:hAnsi="宋体" w:eastAsia="宋体" w:cs="宋体"/>
          <w:color w:val="000000"/>
          <w:kern w:val="0"/>
          <w:szCs w:val="21"/>
          <w:highlight w:val="none"/>
        </w:rPr>
        <w:t>详见“技术要求”中的具体技术参数</w:t>
      </w:r>
      <w:r>
        <w:rPr>
          <w:rFonts w:hint="eastAsia" w:ascii="宋体" w:hAnsi="宋体" w:eastAsia="宋体" w:cs="宋体"/>
          <w:color w:val="000000"/>
          <w:kern w:val="0"/>
          <w:szCs w:val="21"/>
          <w:highlight w:val="none"/>
        </w:rPr>
        <w:t>。</w:t>
      </w:r>
    </w:p>
    <w:p w14:paraId="4C1A2022">
      <w:pPr>
        <w:adjustRightInd w:val="0"/>
        <w:snapToGrid w:val="0"/>
        <w:spacing w:before="156" w:beforeLines="50" w:line="360" w:lineRule="auto"/>
        <w:ind w:firstLine="420" w:firstLineChars="200"/>
        <w:rPr>
          <w:rFonts w:ascii="宋体" w:hAnsi="宋体" w:eastAsia="宋体"/>
          <w:color w:val="000000"/>
          <w:szCs w:val="21"/>
          <w:highlight w:val="none"/>
        </w:rPr>
      </w:pPr>
      <w:r>
        <w:rPr>
          <w:rFonts w:hint="eastAsia" w:ascii="宋体" w:hAnsi="宋体" w:eastAsia="宋体"/>
          <w:color w:val="000000"/>
          <w:szCs w:val="21"/>
          <w:highlight w:val="none"/>
        </w:rPr>
        <w:t>4.投标人应在投标文件《分项报价明细表》中按标的名称顺序逐项填写，且每个标的中的条目均需按招标文件规定报价。如有缺项、漏项，其投标无效。</w:t>
      </w:r>
    </w:p>
    <w:p w14:paraId="7E87BFA6">
      <w:pPr>
        <w:adjustRightInd w:val="0"/>
        <w:snapToGrid w:val="0"/>
        <w:spacing w:before="156" w:beforeLines="50" w:line="360" w:lineRule="auto"/>
        <w:ind w:firstLine="420" w:firstLineChars="200"/>
        <w:rPr>
          <w:rFonts w:hint="eastAsia" w:ascii="宋体" w:hAnsi="宋体" w:eastAsia="宋体"/>
          <w:color w:val="000000"/>
          <w:szCs w:val="21"/>
          <w:highlight w:val="none"/>
        </w:rPr>
      </w:pPr>
      <w:r>
        <w:rPr>
          <w:rFonts w:hint="eastAsia" w:ascii="宋体" w:hAnsi="宋体" w:eastAsia="宋体"/>
          <w:color w:val="000000"/>
          <w:szCs w:val="21"/>
          <w:highlight w:val="none"/>
        </w:rPr>
        <w:t>5.</w:t>
      </w:r>
      <w:r>
        <w:rPr>
          <w:rFonts w:hint="eastAsia" w:ascii="宋体" w:hAnsi="宋体" w:eastAsia="宋体"/>
          <w:b/>
          <w:color w:val="000000"/>
          <w:szCs w:val="21"/>
          <w:highlight w:val="none"/>
        </w:rPr>
        <w:t>强制节能产品</w:t>
      </w:r>
      <w:r>
        <w:rPr>
          <w:rFonts w:hint="eastAsia" w:ascii="宋体" w:hAnsi="宋体" w:eastAsia="宋体"/>
          <w:color w:val="000000"/>
          <w:szCs w:val="21"/>
          <w:highlight w:val="none"/>
        </w:rPr>
        <w:t>：上表“</w:t>
      </w:r>
      <w:r>
        <w:rPr>
          <w:rFonts w:hint="eastAsia" w:ascii="宋体" w:hAnsi="宋体" w:eastAsia="宋体"/>
          <w:b/>
          <w:color w:val="000000"/>
          <w:szCs w:val="21"/>
          <w:highlight w:val="none"/>
        </w:rPr>
        <w:t>是否为强制节能产品</w:t>
      </w:r>
      <w:r>
        <w:rPr>
          <w:rFonts w:hint="eastAsia" w:ascii="宋体" w:hAnsi="宋体" w:eastAsia="宋体"/>
          <w:color w:val="000000"/>
          <w:szCs w:val="21"/>
          <w:highlight w:val="none"/>
        </w:rPr>
        <w:t>”栏中标注“是”的为强制节能产品，投标人投标产品应当取得国家确定的认证机构出具的、处于有效期之内的节能产品认证证书，否则其</w:t>
      </w:r>
      <w:r>
        <w:rPr>
          <w:rFonts w:hint="eastAsia" w:ascii="宋体" w:hAnsi="宋体" w:eastAsia="宋体"/>
          <w:b/>
          <w:color w:val="000000"/>
          <w:szCs w:val="21"/>
          <w:highlight w:val="none"/>
        </w:rPr>
        <w:t>投标无效</w:t>
      </w:r>
      <w:r>
        <w:rPr>
          <w:rFonts w:hint="eastAsia" w:ascii="宋体" w:hAnsi="宋体" w:eastAsia="宋体"/>
          <w:color w:val="000000"/>
          <w:szCs w:val="21"/>
          <w:highlight w:val="none"/>
        </w:rPr>
        <w:t>。</w:t>
      </w:r>
    </w:p>
    <w:p w14:paraId="26F1DB47">
      <w:pPr>
        <w:adjustRightInd w:val="0"/>
        <w:snapToGrid w:val="0"/>
        <w:spacing w:before="156" w:beforeLines="50" w:line="360" w:lineRule="auto"/>
        <w:ind w:firstLine="420" w:firstLineChars="200"/>
        <w:rPr>
          <w:rFonts w:hint="eastAsia" w:ascii="宋体" w:hAnsi="宋体" w:eastAsia="宋体"/>
          <w:color w:val="000000"/>
          <w:szCs w:val="21"/>
          <w:highlight w:val="none"/>
        </w:rPr>
      </w:pPr>
      <w:r>
        <w:rPr>
          <w:rFonts w:hint="eastAsia" w:ascii="宋体" w:hAnsi="宋体" w:eastAsia="宋体"/>
          <w:color w:val="000000"/>
          <w:szCs w:val="21"/>
          <w:highlight w:val="none"/>
        </w:rPr>
        <w:t>6.</w:t>
      </w:r>
      <w:r>
        <w:rPr>
          <w:rFonts w:hint="eastAsia" w:ascii="宋体" w:hAnsi="宋体" w:eastAsia="宋体"/>
          <w:b/>
          <w:color w:val="000000"/>
          <w:szCs w:val="21"/>
          <w:highlight w:val="none"/>
        </w:rPr>
        <w:t>核心产品：</w:t>
      </w:r>
      <w:r>
        <w:rPr>
          <w:rFonts w:hint="eastAsia" w:ascii="宋体" w:hAnsi="宋体" w:eastAsia="宋体"/>
          <w:color w:val="000000"/>
          <w:szCs w:val="21"/>
          <w:highlight w:val="none"/>
        </w:rPr>
        <w:t>上表</w:t>
      </w:r>
      <w:r>
        <w:rPr>
          <w:rFonts w:hint="eastAsia" w:ascii="宋体" w:hAnsi="宋体" w:eastAsia="宋体"/>
          <w:b/>
          <w:color w:val="000000"/>
          <w:szCs w:val="21"/>
          <w:highlight w:val="none"/>
        </w:rPr>
        <w:t>“是否为核心产品”</w:t>
      </w:r>
      <w:r>
        <w:rPr>
          <w:rFonts w:hint="eastAsia" w:ascii="宋体" w:hAnsi="宋体" w:eastAsia="宋体"/>
          <w:color w:val="000000"/>
          <w:szCs w:val="21"/>
          <w:highlight w:val="none"/>
        </w:rPr>
        <w:t>栏中标注“是”的为核心产品，多家投标人提供的核心产品品牌相同的，按一个有效投标人处理。</w:t>
      </w:r>
    </w:p>
    <w:p w14:paraId="62FEE1D6">
      <w:pPr>
        <w:adjustRightInd w:val="0"/>
        <w:snapToGrid w:val="0"/>
        <w:spacing w:before="156" w:beforeLines="50" w:line="360" w:lineRule="auto"/>
        <w:ind w:firstLine="420" w:firstLineChars="200"/>
        <w:rPr>
          <w:rFonts w:hint="eastAsia" w:ascii="宋体" w:hAnsi="宋体" w:eastAsia="宋体"/>
          <w:color w:val="000000"/>
          <w:szCs w:val="21"/>
          <w:highlight w:val="none"/>
        </w:rPr>
      </w:pPr>
      <w:r>
        <w:rPr>
          <w:rFonts w:hint="eastAsia" w:ascii="宋体" w:hAnsi="宋体" w:eastAsia="宋体"/>
          <w:color w:val="000000"/>
          <w:szCs w:val="21"/>
          <w:highlight w:val="none"/>
        </w:rPr>
        <w:t>7.依据</w:t>
      </w:r>
      <w:r>
        <w:rPr>
          <w:rFonts w:ascii="宋体" w:hAnsi="宋体" w:eastAsia="宋体"/>
          <w:b/>
          <w:color w:val="000000"/>
          <w:szCs w:val="21"/>
          <w:highlight w:val="none"/>
        </w:rPr>
        <w:t>《关于印发中小企业划型标准规定的通知》</w:t>
      </w:r>
      <w:r>
        <w:rPr>
          <w:rFonts w:ascii="宋体" w:hAnsi="宋体" w:eastAsia="宋体"/>
          <w:color w:val="000000"/>
          <w:szCs w:val="21"/>
          <w:highlight w:val="none"/>
        </w:rPr>
        <w:t>（工信部联企业〔2011〕300号）</w:t>
      </w:r>
      <w:r>
        <w:rPr>
          <w:rFonts w:hint="eastAsia" w:ascii="宋体" w:hAnsi="宋体" w:eastAsia="宋体"/>
          <w:color w:val="000000"/>
          <w:szCs w:val="21"/>
          <w:highlight w:val="none"/>
        </w:rPr>
        <w:t>规定，本项目中小企业划分标准所属行业为</w:t>
      </w:r>
      <w:r>
        <w:rPr>
          <w:rFonts w:hint="eastAsia" w:ascii="宋体" w:hAnsi="宋体" w:eastAsia="宋体"/>
          <w:b/>
          <w:color w:val="000000"/>
          <w:szCs w:val="21"/>
          <w:highlight w:val="none"/>
        </w:rPr>
        <w:t>“</w:t>
      </w:r>
      <w:r>
        <w:rPr>
          <w:rFonts w:hint="eastAsia" w:ascii="宋体" w:hAnsi="宋体" w:eastAsia="宋体"/>
          <w:b/>
          <w:color w:val="000000"/>
          <w:szCs w:val="21"/>
          <w:highlight w:val="none"/>
          <w:lang w:val="en-US" w:eastAsia="zh-CN"/>
        </w:rPr>
        <w:t>批发业</w:t>
      </w:r>
      <w:r>
        <w:rPr>
          <w:rFonts w:hint="eastAsia" w:ascii="宋体" w:hAnsi="宋体" w:eastAsia="宋体"/>
          <w:b/>
          <w:color w:val="000000"/>
          <w:szCs w:val="21"/>
          <w:highlight w:val="none"/>
        </w:rPr>
        <w:t>”</w:t>
      </w:r>
      <w:r>
        <w:rPr>
          <w:rFonts w:hint="eastAsia" w:ascii="宋体" w:hAnsi="宋体" w:eastAsia="宋体"/>
          <w:color w:val="000000"/>
          <w:szCs w:val="21"/>
          <w:highlight w:val="none"/>
        </w:rPr>
        <w:t>，在货物采购项目中，供应商提供的货物既有中小企业制造货物，也有大型企业制造货物的，不享受招标文件规定的中小企业扶持政策。</w:t>
      </w:r>
    </w:p>
    <w:p w14:paraId="185C8C4A">
      <w:pPr>
        <w:adjustRightInd w:val="0"/>
        <w:snapToGrid w:val="0"/>
        <w:spacing w:before="156" w:beforeLines="50" w:line="360" w:lineRule="auto"/>
        <w:ind w:firstLine="420" w:firstLineChars="200"/>
        <w:rPr>
          <w:rFonts w:hint="eastAsia" w:ascii="宋体" w:hAnsi="宋体" w:eastAsia="宋体" w:cs="宋体"/>
          <w:color w:val="000000"/>
          <w:kern w:val="0"/>
          <w:szCs w:val="21"/>
          <w:highlight w:val="none"/>
        </w:rPr>
      </w:pPr>
    </w:p>
    <w:p w14:paraId="0565D34E">
      <w:pPr>
        <w:adjustRightInd w:val="0"/>
        <w:snapToGrid w:val="0"/>
        <w:spacing w:before="156" w:beforeLines="50" w:line="360" w:lineRule="auto"/>
        <w:ind w:firstLine="420" w:firstLineChars="200"/>
        <w:rPr>
          <w:rFonts w:hint="eastAsia" w:ascii="宋体" w:hAnsi="宋体" w:eastAsia="宋体" w:cs="宋体"/>
          <w:color w:val="000000"/>
          <w:kern w:val="0"/>
          <w:szCs w:val="21"/>
          <w:highlight w:val="none"/>
        </w:rPr>
        <w:sectPr>
          <w:footerReference r:id="rId3" w:type="default"/>
          <w:pgSz w:w="11906" w:h="16838"/>
          <w:pgMar w:top="1474" w:right="1474" w:bottom="1474" w:left="1588" w:header="851" w:footer="992" w:gutter="0"/>
          <w:pgNumType w:fmt="decimal"/>
          <w:cols w:space="720" w:num="1"/>
          <w:docGrid w:type="lines" w:linePitch="312" w:charSpace="0"/>
        </w:sectPr>
      </w:pPr>
    </w:p>
    <w:p w14:paraId="66D222FD">
      <w:pPr>
        <w:keepNext/>
        <w:keepLines/>
        <w:adjustRightInd w:val="0"/>
        <w:snapToGrid w:val="0"/>
        <w:spacing w:before="156" w:beforeLines="50" w:line="360" w:lineRule="auto"/>
        <w:jc w:val="center"/>
        <w:outlineLvl w:val="1"/>
        <w:rPr>
          <w:rFonts w:hint="eastAsia" w:ascii="宋体" w:hAnsi="宋体" w:eastAsia="宋体" w:cs="宋体"/>
          <w:b/>
          <w:bCs/>
          <w:color w:val="000000"/>
          <w:sz w:val="28"/>
          <w:szCs w:val="28"/>
          <w:highlight w:val="none"/>
        </w:rPr>
      </w:pPr>
      <w:bookmarkStart w:id="2" w:name="_Toc15484"/>
      <w:r>
        <w:rPr>
          <w:rFonts w:hint="eastAsia" w:ascii="宋体" w:hAnsi="宋体" w:eastAsia="宋体" w:cs="宋体"/>
          <w:b/>
          <w:bCs/>
          <w:color w:val="000000"/>
          <w:sz w:val="28"/>
          <w:szCs w:val="28"/>
          <w:highlight w:val="none"/>
        </w:rPr>
        <w:t>第二节 技术要求</w:t>
      </w:r>
      <w:bookmarkEnd w:id="2"/>
    </w:p>
    <w:p w14:paraId="2EA3AF4A">
      <w:pPr>
        <w:numPr>
          <w:ilvl w:val="0"/>
          <w:numId w:val="0"/>
        </w:numPr>
        <w:spacing w:line="360" w:lineRule="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kern w:val="2"/>
          <w:sz w:val="24"/>
          <w:szCs w:val="24"/>
          <w:highlight w:val="none"/>
          <w:lang w:val="en-US" w:eastAsia="zh-CN" w:bidi="ar-SA"/>
        </w:rPr>
        <w:t>一、</w:t>
      </w:r>
      <w:r>
        <w:rPr>
          <w:rFonts w:hint="eastAsia" w:ascii="宋体" w:hAnsi="宋体" w:eastAsia="宋体" w:cs="宋体"/>
          <w:b/>
          <w:bCs/>
          <w:color w:val="000000"/>
          <w:sz w:val="24"/>
          <w:szCs w:val="24"/>
          <w:highlight w:val="none"/>
        </w:rPr>
        <w:t>项目</w:t>
      </w:r>
      <w:r>
        <w:rPr>
          <w:rFonts w:hint="eastAsia" w:ascii="宋体" w:hAnsi="宋体" w:eastAsia="宋体" w:cs="宋体"/>
          <w:b/>
          <w:bCs/>
          <w:color w:val="000000"/>
          <w:sz w:val="24"/>
          <w:szCs w:val="24"/>
          <w:highlight w:val="none"/>
          <w:lang w:val="en-US" w:eastAsia="zh-CN"/>
        </w:rPr>
        <w:t>概况</w:t>
      </w:r>
    </w:p>
    <w:p w14:paraId="4385789E">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rPr>
      </w:pPr>
      <w:r>
        <w:rPr>
          <w:rFonts w:hint="eastAsia" w:ascii="宋体" w:hAnsi="宋体" w:eastAsia="宋体" w:cs="宋体"/>
          <w:bCs/>
          <w:color w:val="000000"/>
          <w:spacing w:val="-2"/>
          <w:szCs w:val="21"/>
          <w:highlight w:val="none"/>
        </w:rPr>
        <w:t>1、项目名称：</w:t>
      </w:r>
      <w:r>
        <w:rPr>
          <w:rFonts w:hint="eastAsia" w:ascii="宋体" w:hAnsi="宋体" w:eastAsia="宋体" w:cs="宋体"/>
          <w:bCs/>
          <w:color w:val="000000"/>
          <w:spacing w:val="-2"/>
          <w:szCs w:val="21"/>
          <w:highlight w:val="none"/>
          <w:lang w:eastAsia="zh-CN"/>
        </w:rPr>
        <w:t>株洲市特殊教育学校食堂原材料采购</w:t>
      </w:r>
    </w:p>
    <w:p w14:paraId="11ADE99C">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rPr>
      </w:pPr>
      <w:r>
        <w:rPr>
          <w:rFonts w:hint="eastAsia" w:ascii="宋体" w:hAnsi="宋体" w:eastAsia="宋体" w:cs="宋体"/>
          <w:bCs/>
          <w:color w:val="000000"/>
          <w:spacing w:val="-2"/>
          <w:szCs w:val="21"/>
          <w:highlight w:val="none"/>
        </w:rPr>
        <w:t>2、政府采购计划编号：</w:t>
      </w:r>
      <w:r>
        <w:rPr>
          <w:rFonts w:hint="eastAsia" w:ascii="宋体" w:hAnsi="宋体" w:eastAsia="宋体" w:cs="宋体"/>
          <w:bCs/>
          <w:color w:val="000000"/>
          <w:spacing w:val="-2"/>
          <w:szCs w:val="21"/>
          <w:highlight w:val="none"/>
          <w:lang w:eastAsia="zh-CN"/>
        </w:rPr>
        <w:t>(2026)430200000021-1</w:t>
      </w:r>
    </w:p>
    <w:p w14:paraId="6174FEA8">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rPr>
      </w:pPr>
      <w:r>
        <w:rPr>
          <w:rFonts w:hint="eastAsia" w:ascii="宋体" w:hAnsi="宋体" w:eastAsia="宋体" w:cs="宋体"/>
          <w:bCs/>
          <w:color w:val="000000"/>
          <w:spacing w:val="-2"/>
          <w:szCs w:val="21"/>
          <w:highlight w:val="none"/>
        </w:rPr>
        <w:t>3、委托代理编号：</w:t>
      </w:r>
      <w:r>
        <w:rPr>
          <w:rFonts w:hint="eastAsia" w:ascii="宋体" w:hAnsi="宋体" w:eastAsia="宋体" w:cs="宋体"/>
          <w:bCs/>
          <w:color w:val="000000"/>
          <w:spacing w:val="-2"/>
          <w:szCs w:val="21"/>
          <w:highlight w:val="none"/>
          <w:lang w:eastAsia="zh-CN"/>
        </w:rPr>
        <w:t>HNZY-20260806</w:t>
      </w:r>
    </w:p>
    <w:p w14:paraId="6DEC2A18">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rPr>
      </w:pPr>
      <w:r>
        <w:rPr>
          <w:rFonts w:hint="eastAsia" w:ascii="宋体" w:hAnsi="宋体" w:eastAsia="宋体" w:cs="宋体"/>
          <w:bCs/>
          <w:color w:val="000000"/>
          <w:spacing w:val="-2"/>
          <w:szCs w:val="21"/>
          <w:highlight w:val="none"/>
          <w:lang w:val="en-US" w:eastAsia="zh-CN"/>
        </w:rPr>
        <w:t>4</w:t>
      </w:r>
      <w:r>
        <w:rPr>
          <w:rFonts w:hint="eastAsia" w:ascii="宋体" w:hAnsi="宋体" w:eastAsia="宋体" w:cs="宋体"/>
          <w:bCs/>
          <w:color w:val="000000"/>
          <w:spacing w:val="-2"/>
          <w:szCs w:val="21"/>
          <w:highlight w:val="none"/>
        </w:rPr>
        <w:t>、服务期限：</w:t>
      </w:r>
      <w:r>
        <w:rPr>
          <w:rFonts w:hint="eastAsia" w:ascii="宋体" w:hAnsi="宋体" w:eastAsia="宋体" w:cs="宋体"/>
          <w:bCs/>
          <w:color w:val="000000"/>
          <w:spacing w:val="-2"/>
          <w:szCs w:val="21"/>
          <w:highlight w:val="none"/>
          <w:lang w:val="en-US" w:eastAsia="zh-CN"/>
        </w:rPr>
        <w:t>一年</w:t>
      </w:r>
      <w:r>
        <w:rPr>
          <w:rFonts w:hint="eastAsia" w:ascii="宋体" w:hAnsi="宋体" w:eastAsia="宋体" w:cs="宋体"/>
          <w:bCs/>
          <w:color w:val="000000"/>
          <w:spacing w:val="-2"/>
          <w:szCs w:val="21"/>
          <w:highlight w:val="none"/>
        </w:rPr>
        <w:t>。</w:t>
      </w:r>
    </w:p>
    <w:p w14:paraId="51C4E959">
      <w:pPr>
        <w:wordWrap w:val="0"/>
        <w:adjustRightInd w:val="0"/>
        <w:snapToGrid w:val="0"/>
        <w:spacing w:line="360" w:lineRule="auto"/>
        <w:ind w:firstLine="412" w:firstLineChars="200"/>
        <w:rPr>
          <w:rFonts w:hint="eastAsia" w:ascii="宋体" w:hAnsi="宋体" w:eastAsia="宋体" w:cs="宋体"/>
          <w:b w:val="0"/>
          <w:bCs w:val="0"/>
          <w:color w:val="000000"/>
          <w:szCs w:val="21"/>
          <w:highlight w:val="none"/>
          <w:lang w:eastAsia="zh-CN"/>
        </w:rPr>
      </w:pPr>
      <w:r>
        <w:rPr>
          <w:rFonts w:hint="eastAsia" w:ascii="宋体" w:hAnsi="宋体" w:eastAsia="宋体" w:cs="宋体"/>
          <w:bCs/>
          <w:color w:val="000000"/>
          <w:spacing w:val="-2"/>
          <w:szCs w:val="21"/>
          <w:highlight w:val="none"/>
          <w:lang w:val="en-US" w:eastAsia="zh-CN"/>
        </w:rPr>
        <w:t>5、采购内容及要求：（1）学校食堂日常所需所有原材料；包含米、面及其制品；食用油；调味品；南北货；肉类（猪肉、牛羊肉）；禽类；豆制品类；蔬菜类；禽蛋；水果类；淡水产品类；海产品类等，</w:t>
      </w:r>
      <w:r>
        <w:rPr>
          <w:rFonts w:hint="eastAsia" w:ascii="宋体" w:hAnsi="宋体" w:eastAsia="宋体" w:cs="宋体"/>
          <w:b w:val="0"/>
          <w:bCs w:val="0"/>
          <w:color w:val="000000"/>
          <w:szCs w:val="21"/>
          <w:highlight w:val="none"/>
          <w:lang w:eastAsia="zh-CN"/>
        </w:rPr>
        <w:t>包括但不限于完成项目所需食材的供货、包装、运输、装卸、安全质量保证等内容。</w:t>
      </w:r>
    </w:p>
    <w:p w14:paraId="2B2220DC">
      <w:pPr>
        <w:keepNext w:val="0"/>
        <w:keepLines w:val="0"/>
        <w:pageBreakBefore w:val="0"/>
        <w:kinsoku/>
        <w:wordWrap/>
        <w:overflowPunct/>
        <w:topLinePunct w:val="0"/>
        <w:autoSpaceDE/>
        <w:autoSpaceDN/>
        <w:bidi w:val="0"/>
        <w:spacing w:line="360" w:lineRule="auto"/>
        <w:ind w:left="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 xml:space="preserve">  （2）售后服务：中标（成交）供应商提供的食材有质量问题的，应及时更换，且更换的食材必须符</w:t>
      </w:r>
      <w:r>
        <w:rPr>
          <w:rFonts w:hint="eastAsia" w:ascii="宋体" w:hAnsi="宋体" w:eastAsia="宋体" w:cs="宋体"/>
          <w:color w:val="000000"/>
          <w:kern w:val="2"/>
          <w:sz w:val="21"/>
          <w:szCs w:val="21"/>
          <w:highlight w:val="none"/>
          <w:lang w:val="en-US" w:eastAsia="zh-CN" w:bidi="ar-SA"/>
        </w:rPr>
        <w:t>合招标文件规定的要求及国家食品安全标准。</w:t>
      </w:r>
    </w:p>
    <w:p w14:paraId="6B0FF128">
      <w:pPr>
        <w:numPr>
          <w:ilvl w:val="0"/>
          <w:numId w:val="0"/>
        </w:num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二、</w:t>
      </w:r>
      <w:r>
        <w:rPr>
          <w:rFonts w:hint="eastAsia" w:ascii="宋体" w:hAnsi="宋体" w:eastAsia="宋体" w:cs="宋体"/>
          <w:b/>
          <w:bCs/>
          <w:color w:val="000000"/>
          <w:sz w:val="24"/>
          <w:szCs w:val="24"/>
          <w:highlight w:val="none"/>
          <w:lang w:eastAsia="zh-CN"/>
        </w:rPr>
        <w:t>供货基本要求及执行标准</w:t>
      </w:r>
    </w:p>
    <w:p w14:paraId="5F7A05A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b/>
          <w:bCs/>
          <w:snapToGrid w:val="0"/>
          <w:color w:val="auto"/>
          <w:sz w:val="21"/>
          <w:szCs w:val="21"/>
          <w:highlight w:val="none"/>
          <w:lang w:val="en-US" w:eastAsia="zh-CN"/>
        </w:rPr>
      </w:pPr>
      <w:r>
        <w:rPr>
          <w:rFonts w:hint="eastAsia" w:ascii="宋体" w:hAnsi="宋体" w:eastAsia="宋体" w:cs="宋体"/>
          <w:b/>
          <w:bCs/>
          <w:snapToGrid w:val="0"/>
          <w:color w:val="auto"/>
          <w:sz w:val="21"/>
          <w:szCs w:val="21"/>
          <w:highlight w:val="none"/>
          <w:lang w:val="en-US" w:eastAsia="zh-CN"/>
        </w:rPr>
        <w:t>（一）基本要求：</w:t>
      </w:r>
    </w:p>
    <w:p w14:paraId="51D46D63">
      <w:pPr>
        <w:keepNext w:val="0"/>
        <w:keepLines w:val="0"/>
        <w:pageBreakBefore w:val="0"/>
        <w:widowControl w:val="0"/>
        <w:kinsoku/>
        <w:wordWrap/>
        <w:overflowPunct/>
        <w:topLinePunct w:val="0"/>
        <w:autoSpaceDE w:val="0"/>
        <w:autoSpaceDN w:val="0"/>
        <w:bidi w:val="0"/>
        <w:spacing w:line="360" w:lineRule="auto"/>
        <w:ind w:firstLine="420" w:firstLineChars="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1、禁止中标人向学校提供以下产品（包括但不限于）：</w:t>
      </w:r>
    </w:p>
    <w:p w14:paraId="6C2C25C4">
      <w:pPr>
        <w:keepNext w:val="0"/>
        <w:keepLines w:val="0"/>
        <w:pageBreakBefore w:val="0"/>
        <w:widowControl w:val="0"/>
        <w:kinsoku/>
        <w:wordWrap/>
        <w:overflowPunct/>
        <w:topLinePunct w:val="0"/>
        <w:autoSpaceDE w:val="0"/>
        <w:autoSpaceDN w:val="0"/>
        <w:bidi w:val="0"/>
        <w:spacing w:line="360" w:lineRule="auto"/>
        <w:ind w:firstLine="420" w:firstLineChars="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（1）腐败变质、油脂酸败、霉变、生虫、污秽不洁、混有异物或者其他感官性状异常，可能对人体健康有害的；</w:t>
      </w:r>
    </w:p>
    <w:p w14:paraId="1BF736E1">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（2）含有毒、有害物质或者被有毒、有害物质污染，可能对人体健康有害的；</w:t>
      </w:r>
    </w:p>
    <w:p w14:paraId="08E12960">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（3）含有致病性寄生虫、微生物的，或者微生物毒素含量超过国家限定标准的；</w:t>
      </w:r>
    </w:p>
    <w:p w14:paraId="1DA076F0">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en-US"/>
        </w:rPr>
      </w:pPr>
      <w:r>
        <w:rPr>
          <w:rFonts w:hint="eastAsia" w:ascii="宋体" w:hAnsi="宋体" w:eastAsia="宋体" w:cs="宋体"/>
          <w:color w:val="auto"/>
          <w:szCs w:val="21"/>
          <w:highlight w:val="none"/>
          <w:lang w:val="en-US" w:eastAsia="en-US"/>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en-US" w:eastAsia="en-US"/>
        </w:rPr>
        <w:t>）含有昆虫或其它异物的；</w:t>
      </w:r>
    </w:p>
    <w:p w14:paraId="6CBFEBFC">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（5）容器包装污秽不洁，严重破损或运输工具不洁造成污染的；</w:t>
      </w:r>
    </w:p>
    <w:p w14:paraId="6647CB0C">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（6）掺假、掺杂、伪造，影响营养、卫生的；</w:t>
      </w:r>
    </w:p>
    <w:p w14:paraId="7B33F929">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（7）用非食品原料加工的，加入非食品用化学物质的或者将非食品当作食品的；</w:t>
      </w:r>
    </w:p>
    <w:p w14:paraId="4385DB60">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（8）超过保质期限的；</w:t>
      </w:r>
    </w:p>
    <w:p w14:paraId="70EC9794">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（9）为防病等特殊需要，国务院卫生行政部门或者省、自治区、直辖市人民政府专门规定禁止出售的；</w:t>
      </w:r>
    </w:p>
    <w:p w14:paraId="686B5979">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（10）含有未经国务院卫生行政部门批准使用的添加剂的或者农药残留超过国家规定容许量的；</w:t>
      </w:r>
    </w:p>
    <w:p w14:paraId="2D8274A0">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（11）擅自加入药物的食品及食品原料；</w:t>
      </w:r>
    </w:p>
    <w:p w14:paraId="00B2DA95">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（12）未经卫生部批准的新资源食品；</w:t>
      </w:r>
    </w:p>
    <w:p w14:paraId="1BBD5797">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（13）未经检验或检验不合格出厂的食品及食品原辅材料；</w:t>
      </w:r>
    </w:p>
    <w:p w14:paraId="4BF0B775">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（14）未按规定索证的食品及食品原辅材料；</w:t>
      </w:r>
    </w:p>
    <w:p w14:paraId="2116FEDF">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（15）无卫生许可证者生产的食品及食品原辅材料（初级农产品除外）；</w:t>
      </w:r>
    </w:p>
    <w:p w14:paraId="536A4BDF">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（16）不符合国家卫生标准或者卫生管理办法的进口食品及食品原辅材料；</w:t>
      </w:r>
    </w:p>
    <w:p w14:paraId="2FE186B3">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（17）其他不符合食品卫生标准和要求的食品及食品原辅材料；</w:t>
      </w:r>
    </w:p>
    <w:p w14:paraId="6D800106">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（18）转基因产品。</w:t>
      </w:r>
    </w:p>
    <w:p w14:paraId="65488C94">
      <w:pPr>
        <w:keepNext w:val="0"/>
        <w:keepLines w:val="0"/>
        <w:pageBreakBefore w:val="0"/>
        <w:widowControl w:val="0"/>
        <w:tabs>
          <w:tab w:val="left" w:pos="1096"/>
        </w:tabs>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投标人具有符合国家食品卫生法规定及满足配送需要的仓储、交通运输等设施设备，确保食品原料的安全储存和安全运输。</w:t>
      </w:r>
    </w:p>
    <w:p w14:paraId="2893391E">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3、有明确保质期的包装食品，应保证剩余保质期不低于保质期限的80%（以货送到学校之日起计算）。</w:t>
      </w:r>
    </w:p>
    <w:p w14:paraId="1F2D3EC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napToGrid w:val="0"/>
          <w:color w:val="auto"/>
          <w:sz w:val="21"/>
          <w:szCs w:val="21"/>
          <w:highlight w:val="none"/>
        </w:rPr>
      </w:pPr>
      <w:r>
        <w:rPr>
          <w:rFonts w:hint="eastAsia" w:ascii="宋体" w:hAnsi="宋体" w:eastAsia="宋体" w:cs="宋体"/>
          <w:b/>
          <w:bCs/>
          <w:snapToGrid w:val="0"/>
          <w:color w:val="auto"/>
          <w:sz w:val="21"/>
          <w:szCs w:val="21"/>
          <w:highlight w:val="none"/>
          <w:lang w:val="en-US" w:eastAsia="zh-CN"/>
        </w:rPr>
        <w:t>（二）</w:t>
      </w:r>
      <w:r>
        <w:rPr>
          <w:rFonts w:hint="eastAsia" w:ascii="宋体" w:hAnsi="宋体" w:eastAsia="宋体" w:cs="宋体"/>
          <w:b/>
          <w:bCs/>
          <w:snapToGrid w:val="0"/>
          <w:color w:val="auto"/>
          <w:sz w:val="21"/>
          <w:szCs w:val="21"/>
          <w:highlight w:val="none"/>
        </w:rPr>
        <w:t>执行标准</w:t>
      </w:r>
    </w:p>
    <w:p w14:paraId="15B3664E">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1、《中华人民共和国食品安全法》；</w:t>
      </w:r>
    </w:p>
    <w:p w14:paraId="1C686B06">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2、《中华人民共和国食品安全法实施条例》；</w:t>
      </w:r>
    </w:p>
    <w:p w14:paraId="3C9750D5">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3、《食品生产许可管理办法》；</w:t>
      </w:r>
    </w:p>
    <w:p w14:paraId="73814944">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4、《食品安全抽样检验管理办法》；</w:t>
      </w:r>
    </w:p>
    <w:p w14:paraId="7A9B1F14">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5、《食品添加剂使用标准》；</w:t>
      </w:r>
    </w:p>
    <w:p w14:paraId="17DC0441">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6、《餐饮服务食品安全监督管理办法》及其他相关食品质量安全标准；</w:t>
      </w:r>
    </w:p>
    <w:p w14:paraId="193884F7">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食品包装标签应符合《食品安全国家标准预包装食品标签通则》（GB7718-2011）要求，包括食品名称、配料表、净含量、规格、生产者（或）经销者的名称、地址和联系方式、生产日期和保质期、贮存条件、食品生产许可证编号、产品标准代号等内容。货物包装应完好无破漏，可视的内容物无腐败霉变或影响使用的变型，不存在危及人身、财产安全的不合理危险；</w:t>
      </w:r>
    </w:p>
    <w:p w14:paraId="03FA5FF8">
      <w:pPr>
        <w:keepNext w:val="0"/>
        <w:keepLines w:val="0"/>
        <w:pageBreakBefore w:val="0"/>
        <w:widowControl w:val="0"/>
        <w:kinsoku/>
        <w:wordWrap/>
        <w:overflowPunct/>
        <w:topLinePunct w:val="0"/>
        <w:autoSpaceDE w:val="0"/>
        <w:autoSpaceDN w:val="0"/>
        <w:bidi w:val="0"/>
        <w:spacing w:line="360" w:lineRule="auto"/>
        <w:ind w:firstLine="420" w:firstLineChars="200"/>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color w:val="auto"/>
          <w:szCs w:val="21"/>
          <w:highlight w:val="none"/>
          <w:lang w:val="en-US" w:eastAsia="zh-CN"/>
        </w:rPr>
        <w:t>8、中标人提供产品必须符合《中华人民共和国食品卫生法》及《中华人民共和国食品安全法实施条例》、《食品添加剂使用标准》等法律规定及食品安全标准要求，产品质量标准均按国家颁布的最新标准执行，应为正规生产的新鲜（冷冻食品除外）、检验合格、无毒无辐射产品，符合国家有关卫生、质量、包装和保质标准。</w:t>
      </w:r>
    </w:p>
    <w:p w14:paraId="2C1E43C8">
      <w:pPr>
        <w:numPr>
          <w:ilvl w:val="0"/>
          <w:numId w:val="0"/>
        </w:numPr>
        <w:spacing w:line="360" w:lineRule="auto"/>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三、投标报价及结算原则</w:t>
      </w:r>
    </w:p>
    <w:p w14:paraId="2679DD66">
      <w:pPr>
        <w:widowControl w:val="0"/>
        <w:autoSpaceDE w:val="0"/>
        <w:autoSpaceDN w:val="0"/>
        <w:spacing w:before="157" w:after="0" w:line="360" w:lineRule="auto"/>
        <w:ind w:right="0"/>
        <w:jc w:val="left"/>
        <w:outlineLvl w:val="5"/>
        <w:rPr>
          <w:rFonts w:hint="eastAsia" w:ascii="宋体" w:hAnsi="宋体" w:eastAsia="宋体" w:cs="宋体"/>
          <w:b/>
          <w:bCs/>
          <w:color w:val="auto"/>
          <w:sz w:val="21"/>
          <w:szCs w:val="21"/>
          <w:highlight w:val="none"/>
          <w:lang w:val="en-US" w:eastAsia="en-US" w:bidi="ar-SA"/>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 w:val="21"/>
          <w:szCs w:val="21"/>
          <w:highlight w:val="none"/>
          <w:lang w:val="en-US" w:eastAsia="en-US" w:bidi="ar-SA"/>
        </w:rPr>
        <w:t>投标报价要求</w:t>
      </w:r>
    </w:p>
    <w:p w14:paraId="4843ECA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napToGrid w:val="0"/>
          <w:color w:val="auto"/>
          <w:szCs w:val="21"/>
          <w:highlight w:val="none"/>
          <w:lang w:eastAsia="zh-CN"/>
        </w:rPr>
      </w:pPr>
      <w:r>
        <w:rPr>
          <w:rFonts w:hint="eastAsia" w:ascii="宋体" w:hAnsi="宋体" w:eastAsia="宋体" w:cs="宋体"/>
          <w:b/>
          <w:bCs/>
          <w:color w:val="auto"/>
          <w:sz w:val="21"/>
          <w:szCs w:val="21"/>
          <w:highlight w:val="none"/>
          <w:lang w:val="en-US" w:eastAsia="zh-CN" w:bidi="ar-SA"/>
        </w:rPr>
        <w:t xml:space="preserve">1.1  </w:t>
      </w:r>
      <w:r>
        <w:rPr>
          <w:rFonts w:hint="eastAsia" w:ascii="宋体" w:hAnsi="宋体" w:eastAsia="宋体" w:cs="宋体"/>
          <w:b/>
          <w:bCs/>
          <w:color w:val="auto"/>
          <w:sz w:val="21"/>
          <w:szCs w:val="21"/>
          <w:highlight w:val="none"/>
          <w:lang w:val="en-US" w:eastAsia="en-US" w:bidi="ar-SA"/>
        </w:rPr>
        <w:t>报价说明：</w:t>
      </w:r>
      <w:r>
        <w:rPr>
          <w:rFonts w:hint="eastAsia" w:ascii="宋体" w:hAnsi="宋体" w:eastAsia="宋体" w:cs="宋体"/>
          <w:b/>
          <w:bCs/>
          <w:color w:val="auto"/>
          <w:sz w:val="21"/>
          <w:szCs w:val="21"/>
          <w:highlight w:val="none"/>
          <w:u w:val="none"/>
          <w:lang w:val="en-US" w:eastAsia="zh-CN"/>
        </w:rPr>
        <w:t>以采购人调查确定的货品价格</w:t>
      </w:r>
      <w:r>
        <w:rPr>
          <w:rFonts w:hint="eastAsia" w:ascii="宋体" w:hAnsi="宋体" w:eastAsia="宋体" w:cs="宋体"/>
          <w:b/>
          <w:bCs/>
          <w:snapToGrid w:val="0"/>
          <w:color w:val="auto"/>
          <w:szCs w:val="21"/>
          <w:highlight w:val="none"/>
          <w:lang w:eastAsia="zh-CN"/>
        </w:rPr>
        <w:t>为基准价</w:t>
      </w:r>
      <w:r>
        <w:rPr>
          <w:rFonts w:hint="eastAsia" w:ascii="宋体" w:hAnsi="宋体" w:eastAsia="宋体" w:cs="宋体"/>
          <w:b/>
          <w:bCs/>
          <w:snapToGrid w:val="0"/>
          <w:color w:val="auto"/>
          <w:szCs w:val="21"/>
          <w:highlight w:val="none"/>
          <w:lang w:val="en-US" w:eastAsia="zh-CN"/>
        </w:rPr>
        <w:t>投标,</w:t>
      </w:r>
      <w:r>
        <w:rPr>
          <w:rFonts w:hint="eastAsia" w:ascii="宋体" w:hAnsi="宋体" w:eastAsia="宋体" w:cs="宋体"/>
          <w:b/>
          <w:bCs/>
          <w:snapToGrid w:val="0"/>
          <w:color w:val="auto"/>
          <w:szCs w:val="21"/>
          <w:highlight w:val="none"/>
          <w:lang w:eastAsia="zh-CN"/>
        </w:rPr>
        <w:t>且</w:t>
      </w:r>
      <w:r>
        <w:rPr>
          <w:rFonts w:hint="eastAsia" w:ascii="宋体" w:hAnsi="宋体" w:eastAsia="宋体" w:cs="宋体"/>
          <w:b/>
          <w:bCs/>
          <w:snapToGrid w:val="0"/>
          <w:color w:val="auto"/>
          <w:szCs w:val="21"/>
          <w:highlight w:val="none"/>
          <w:lang w:val="en-US" w:eastAsia="zh-CN"/>
        </w:rPr>
        <w:t>投标报价折扣率不得高于100%</w:t>
      </w:r>
      <w:r>
        <w:rPr>
          <w:rFonts w:hint="eastAsia" w:ascii="宋体" w:hAnsi="宋体" w:eastAsia="宋体" w:cs="宋体"/>
          <w:b/>
          <w:bCs/>
          <w:snapToGrid w:val="0"/>
          <w:color w:val="auto"/>
          <w:szCs w:val="21"/>
          <w:highlight w:val="none"/>
          <w:lang w:eastAsia="zh-CN"/>
        </w:rPr>
        <w:t>，否则视为无效投标。</w:t>
      </w:r>
    </w:p>
    <w:p w14:paraId="6FCC285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highlight w:val="none"/>
          <w:lang w:val="en-US" w:eastAsia="en-US" w:bidi="ar-SA"/>
        </w:rPr>
      </w:pPr>
      <w:r>
        <w:rPr>
          <w:rFonts w:hint="eastAsia" w:ascii="宋体" w:hAnsi="宋体" w:eastAsia="宋体" w:cs="宋体"/>
          <w:b/>
          <w:bCs/>
          <w:snapToGrid w:val="0"/>
          <w:color w:val="auto"/>
          <w:sz w:val="21"/>
          <w:szCs w:val="21"/>
          <w:highlight w:val="none"/>
          <w:lang w:val="en-US" w:eastAsia="zh-CN"/>
        </w:rPr>
        <w:t>投标人应根据企业自身成本合理填报投标折扣率，投标人所投报价应充分考虑完成合同所需的货物成本、人工费、搬运费、包装、运输、保险、税费、相关服务价格及其它附加费用等全部费用。</w:t>
      </w:r>
    </w:p>
    <w:p w14:paraId="75A43260">
      <w:pPr>
        <w:widowControl w:val="0"/>
        <w:autoSpaceDE w:val="0"/>
        <w:autoSpaceDN w:val="0"/>
        <w:spacing w:before="0" w:after="0" w:line="360" w:lineRule="auto"/>
        <w:ind w:right="0" w:firstLine="422" w:firstLineChars="200"/>
        <w:jc w:val="left"/>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 xml:space="preserve">1.2  </w:t>
      </w:r>
      <w:r>
        <w:rPr>
          <w:rFonts w:hint="eastAsia" w:ascii="宋体" w:hAnsi="宋体" w:eastAsia="宋体" w:cs="宋体"/>
          <w:b/>
          <w:bCs/>
          <w:color w:val="auto"/>
          <w:sz w:val="21"/>
          <w:szCs w:val="21"/>
          <w:highlight w:val="none"/>
          <w:lang w:val="en-US" w:eastAsia="en-US" w:bidi="ar-SA"/>
        </w:rPr>
        <w:t>食材结算</w:t>
      </w:r>
      <w:r>
        <w:rPr>
          <w:rFonts w:hint="eastAsia" w:ascii="宋体" w:hAnsi="宋体" w:eastAsia="宋体" w:cs="宋体"/>
          <w:b/>
          <w:bCs/>
          <w:color w:val="auto"/>
          <w:sz w:val="21"/>
          <w:szCs w:val="21"/>
          <w:highlight w:val="none"/>
          <w:lang w:val="en-US" w:eastAsia="zh-CN" w:bidi="ar-SA"/>
        </w:rPr>
        <w:t>价格</w:t>
      </w:r>
    </w:p>
    <w:p w14:paraId="64171A95">
      <w:pPr>
        <w:keepLines w:val="0"/>
        <w:pageBreakBefore w:val="0"/>
        <w:widowControl w:val="0"/>
        <w:kinsoku/>
        <w:wordWrap/>
        <w:overflowPunct/>
        <w:topLinePunct w:val="0"/>
        <w:autoSpaceDE/>
        <w:bidi w:val="0"/>
        <w:adjustRightInd/>
        <w:spacing w:line="360" w:lineRule="auto"/>
        <w:ind w:firstLine="422" w:firstLineChars="200"/>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1.2.1、</w:t>
      </w:r>
      <w:r>
        <w:rPr>
          <w:rFonts w:hint="eastAsia" w:ascii="宋体" w:hAnsi="宋体" w:eastAsia="宋体" w:cs="宋体"/>
          <w:b/>
          <w:bCs/>
          <w:color w:val="auto"/>
          <w:szCs w:val="21"/>
          <w:highlight w:val="none"/>
          <w:lang w:val="en-US" w:eastAsia="zh-CN"/>
        </w:rPr>
        <w:t>结算价=实际采购量×采购人审定后的基准价格×中标折扣率；注：以采购人调查确定的货品价格为基准价格,中标单位所报的折扣率将作为采购人在采购期间购买货物的款项计算依据。例如：采购人需要采购大米 1000 斤，依据采购人当月审定的货品基准价，以基准价2.8 元/斤为例，若折扣率为：90%，则需要付给供应商的款项计算如下：1000 斤×2.8 元/斤×90%=2520 元。</w:t>
      </w:r>
      <w:r>
        <w:rPr>
          <w:rFonts w:hint="eastAsia" w:ascii="宋体" w:hAnsi="宋体" w:eastAsia="宋体" w:cs="宋体"/>
          <w:b/>
          <w:bCs/>
          <w:color w:val="auto"/>
          <w:sz w:val="21"/>
          <w:szCs w:val="21"/>
          <w:highlight w:val="none"/>
          <w:u w:val="none"/>
          <w:lang w:val="en-US" w:eastAsia="zh-CN"/>
        </w:rPr>
        <w:t xml:space="preserve"> </w:t>
      </w:r>
    </w:p>
    <w:p w14:paraId="267CDB18">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val="en-US" w:eastAsia="zh-CN"/>
        </w:rPr>
        <w:t xml:space="preserve">1.2.2、采购时应按以下原则确认实际供货价： </w:t>
      </w:r>
    </w:p>
    <w:p w14:paraId="1C4E597B">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val="en-US" w:eastAsia="zh-CN"/>
        </w:rPr>
        <w:t xml:space="preserve">实际采购价格≤市场货物价格×折扣率； </w:t>
      </w:r>
    </w:p>
    <w:p w14:paraId="09F04F5E">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val="en-US" w:eastAsia="zh-CN"/>
        </w:rPr>
        <w:t xml:space="preserve">1.2.3、中标单位每月按照采购人验收的实际数量和双方规定价格开票，结算时，双方对当月供应金额核对无误后，由采购人依据相关的支付程序向中标单位付款； </w:t>
      </w:r>
    </w:p>
    <w:p w14:paraId="2DBDAAD4">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val="en-US" w:eastAsia="zh-CN"/>
        </w:rPr>
        <w:t>1.2.4、中标单位每月5日前需提供上月配送结算清单送采购人核对并按要求提供发票，10日内采购人依照对账结果一次性支付上月货款，</w:t>
      </w:r>
      <w:r>
        <w:rPr>
          <w:rFonts w:hint="eastAsia" w:ascii="宋体" w:hAnsi="宋体" w:eastAsia="宋体"/>
          <w:color w:val="000000"/>
          <w:szCs w:val="21"/>
          <w:highlight w:val="none"/>
        </w:rPr>
        <w:t>付款方式以采购人财务要求为准</w:t>
      </w:r>
      <w:r>
        <w:rPr>
          <w:rFonts w:hint="eastAsia" w:ascii="宋体" w:hAnsi="宋体" w:eastAsia="宋体" w:cs="宋体"/>
          <w:b w:val="0"/>
          <w:bCs w:val="0"/>
          <w:color w:val="auto"/>
          <w:sz w:val="21"/>
          <w:szCs w:val="21"/>
          <w:highlight w:val="none"/>
          <w:u w:val="none"/>
          <w:lang w:val="en-US" w:eastAsia="zh-CN"/>
        </w:rPr>
        <w:t xml:space="preserve">。 </w:t>
      </w:r>
    </w:p>
    <w:p w14:paraId="02DFAF6E">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val="en-US" w:eastAsia="zh-CN"/>
        </w:rPr>
        <w:t>1.2.5、中标单位需开具国家正式发票。中标单位按采购人实际采购数量开具发票。</w:t>
      </w:r>
    </w:p>
    <w:p w14:paraId="70B4D2E9">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zh-CN" w:bidi="ar-SA"/>
        </w:rPr>
        <w:t xml:space="preserve">★1.3 </w:t>
      </w:r>
      <w:r>
        <w:rPr>
          <w:rFonts w:hint="eastAsia" w:ascii="宋体" w:hAnsi="宋体" w:eastAsia="宋体" w:cs="宋体"/>
          <w:color w:val="auto"/>
          <w:sz w:val="21"/>
          <w:szCs w:val="21"/>
          <w:highlight w:val="none"/>
          <w:lang w:val="en-US" w:eastAsia="en-US" w:bidi="ar-SA"/>
        </w:rPr>
        <w:t>投标人所投报价应充分考虑完成合同所需的食材成本、食材种类、食材价格波动、配送周期、相关配送服务的人工费、搬运费、包装、运输、保险、管理、税费、财务及其它附加费用等全部费用，投标人还应根据项目要求和现场情况，详细考虑项目所需的设备配备及材料购置，以及运输保险储藏、食材不合格再次配送、紧急情况等风险因素，投标人如一旦中标，在项目实施中出现任何遗漏，均由中标人免费提供，</w:t>
      </w:r>
      <w:r>
        <w:rPr>
          <w:rFonts w:hint="eastAsia" w:ascii="宋体" w:hAnsi="宋体" w:eastAsia="宋体" w:cs="宋体"/>
          <w:color w:val="auto"/>
          <w:sz w:val="21"/>
          <w:szCs w:val="21"/>
          <w:highlight w:val="none"/>
          <w:lang w:val="en-US" w:eastAsia="zh-CN" w:bidi="ar-SA"/>
        </w:rPr>
        <w:t>学校</w:t>
      </w:r>
      <w:r>
        <w:rPr>
          <w:rFonts w:hint="eastAsia" w:ascii="宋体" w:hAnsi="宋体" w:eastAsia="宋体" w:cs="宋体"/>
          <w:color w:val="auto"/>
          <w:sz w:val="21"/>
          <w:szCs w:val="21"/>
          <w:highlight w:val="none"/>
          <w:lang w:val="en-US" w:eastAsia="en-US" w:bidi="ar-SA"/>
        </w:rPr>
        <w:t>不再支付任何其他费用。</w:t>
      </w:r>
    </w:p>
    <w:p w14:paraId="32376AE6">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zh-CN" w:bidi="ar-SA"/>
        </w:rPr>
        <w:t xml:space="preserve">★1.4 </w:t>
      </w:r>
      <w:r>
        <w:rPr>
          <w:rFonts w:hint="eastAsia" w:ascii="宋体" w:hAnsi="宋体" w:eastAsia="宋体" w:cs="宋体"/>
          <w:color w:val="auto"/>
          <w:sz w:val="21"/>
          <w:szCs w:val="21"/>
          <w:highlight w:val="none"/>
          <w:lang w:val="en-US" w:eastAsia="en-US" w:bidi="ar-SA"/>
        </w:rPr>
        <w:t>如果在评标过程中，评标委员会发现投标人的报价明显低于其他通过符合性审查投标人的报价，有可能影响食品质量或者不能诚信履约的，该投标人应当按评标委员会的要求在评标现场合理的时间内提供书面说明，必要时提交相关证明材料；投标人不能证明其报价合理性的，评标委员会应当将其作为无效投标处理。</w:t>
      </w:r>
    </w:p>
    <w:p w14:paraId="5B616F26">
      <w:pPr>
        <w:keepLines w:val="0"/>
        <w:pageBreakBefore w:val="0"/>
        <w:widowControl w:val="0"/>
        <w:kinsoku/>
        <w:wordWrap/>
        <w:overflowPunct/>
        <w:topLinePunct w:val="0"/>
        <w:autoSpaceDE/>
        <w:bidi w:val="0"/>
        <w:adjustRightInd/>
        <w:spacing w:line="360" w:lineRule="auto"/>
        <w:ind w:firstLine="402" w:firstLineChars="200"/>
        <w:textAlignment w:val="auto"/>
        <w:rPr>
          <w:rFonts w:hint="eastAsia" w:ascii="宋体" w:hAnsi="宋体" w:eastAsia="宋体" w:cs="宋体"/>
          <w:b/>
          <w:bCs/>
          <w:color w:val="auto"/>
          <w:sz w:val="20"/>
          <w:szCs w:val="20"/>
          <w:highlight w:val="none"/>
          <w:u w:val="none"/>
        </w:rPr>
      </w:pPr>
      <w:r>
        <w:rPr>
          <w:rFonts w:hint="eastAsia" w:ascii="宋体" w:hAnsi="宋体" w:eastAsia="宋体" w:cs="宋体"/>
          <w:b/>
          <w:bCs/>
          <w:color w:val="auto"/>
          <w:sz w:val="20"/>
          <w:szCs w:val="20"/>
          <w:highlight w:val="none"/>
          <w:u w:val="none"/>
          <w:lang w:val="en-US" w:eastAsia="zh-CN"/>
        </w:rPr>
        <w:t xml:space="preserve">2、价格调查方式和价格约定 </w:t>
      </w:r>
    </w:p>
    <w:p w14:paraId="0D139A30">
      <w:pPr>
        <w:keepLines w:val="0"/>
        <w:pageBreakBefore w:val="0"/>
        <w:widowControl w:val="0"/>
        <w:kinsoku/>
        <w:wordWrap/>
        <w:overflowPunct/>
        <w:topLinePunct w:val="0"/>
        <w:autoSpaceDE/>
        <w:bidi w:val="0"/>
        <w:adjustRightInd/>
        <w:spacing w:line="360" w:lineRule="auto"/>
        <w:ind w:firstLine="400" w:firstLineChars="200"/>
        <w:textAlignment w:val="auto"/>
        <w:rPr>
          <w:rFonts w:hint="default" w:ascii="宋体" w:hAnsi="宋体" w:eastAsia="宋体" w:cs="宋体"/>
          <w:b w:val="0"/>
          <w:bCs w:val="0"/>
          <w:color w:val="auto"/>
          <w:sz w:val="20"/>
          <w:szCs w:val="20"/>
          <w:highlight w:val="none"/>
          <w:u w:val="none"/>
          <w:lang w:val="en-US"/>
        </w:rPr>
      </w:pPr>
      <w:r>
        <w:rPr>
          <w:rFonts w:hint="eastAsia" w:ascii="宋体" w:hAnsi="宋体" w:eastAsia="宋体" w:cs="宋体"/>
          <w:b w:val="0"/>
          <w:bCs w:val="0"/>
          <w:color w:val="auto"/>
          <w:sz w:val="20"/>
          <w:szCs w:val="20"/>
          <w:highlight w:val="none"/>
          <w:u w:val="none"/>
          <w:lang w:val="en-US" w:eastAsia="zh-CN"/>
        </w:rPr>
        <w:t>1、价格调查方式:采购人每月不定时安排人员对供应商配送的食材到株洲市百货超市或同等类型超市进行三次及以上调价，可以要求供应商指派一名代表共同参加。每月的调价材料作为本月食材的定价参考依据，每月的定价单出来后，双方确定签字盖章，各执壹份；定价周期： 一个月一次定价。</w:t>
      </w:r>
    </w:p>
    <w:p w14:paraId="47D6985C">
      <w:pPr>
        <w:keepLines w:val="0"/>
        <w:pageBreakBefore w:val="0"/>
        <w:widowControl w:val="0"/>
        <w:kinsoku/>
        <w:wordWrap/>
        <w:overflowPunct/>
        <w:topLinePunct w:val="0"/>
        <w:autoSpaceDE/>
        <w:bidi w:val="0"/>
        <w:adjustRightInd/>
        <w:spacing w:line="360" w:lineRule="auto"/>
        <w:ind w:firstLine="400" w:firstLineChars="200"/>
        <w:textAlignment w:val="auto"/>
        <w:rPr>
          <w:rFonts w:hint="eastAsia" w:ascii="宋体" w:hAnsi="宋体" w:eastAsia="宋体" w:cs="宋体"/>
          <w:b w:val="0"/>
          <w:bCs w:val="0"/>
          <w:color w:val="auto"/>
          <w:sz w:val="20"/>
          <w:szCs w:val="20"/>
          <w:highlight w:val="none"/>
          <w:u w:val="none"/>
        </w:rPr>
      </w:pPr>
      <w:r>
        <w:rPr>
          <w:rFonts w:hint="eastAsia" w:ascii="宋体" w:hAnsi="宋体" w:eastAsia="宋体" w:cs="宋体"/>
          <w:b w:val="0"/>
          <w:bCs w:val="0"/>
          <w:color w:val="auto"/>
          <w:sz w:val="20"/>
          <w:szCs w:val="20"/>
          <w:highlight w:val="none"/>
          <w:u w:val="none"/>
          <w:lang w:val="en-US" w:eastAsia="zh-CN"/>
        </w:rPr>
        <w:t xml:space="preserve">2、如遇所供食品市场价格上浮超过 5%时，中标单位要以书面形式提出申请，待采购人进行市场调查确定属实并按规定办理相关审批手续，三天内调整价格； </w:t>
      </w:r>
    </w:p>
    <w:p w14:paraId="1AB79166">
      <w:pPr>
        <w:keepLines w:val="0"/>
        <w:pageBreakBefore w:val="0"/>
        <w:widowControl w:val="0"/>
        <w:kinsoku/>
        <w:wordWrap/>
        <w:overflowPunct/>
        <w:topLinePunct w:val="0"/>
        <w:autoSpaceDE/>
        <w:bidi w:val="0"/>
        <w:adjustRightInd/>
        <w:spacing w:line="360" w:lineRule="auto"/>
        <w:ind w:firstLine="400" w:firstLineChars="200"/>
        <w:textAlignment w:val="auto"/>
        <w:rPr>
          <w:rFonts w:hint="eastAsia" w:ascii="宋体" w:hAnsi="宋体" w:eastAsia="宋体" w:cs="宋体"/>
          <w:b w:val="0"/>
          <w:bCs w:val="0"/>
          <w:color w:val="auto"/>
          <w:sz w:val="20"/>
          <w:szCs w:val="20"/>
          <w:highlight w:val="none"/>
          <w:u w:val="none"/>
        </w:rPr>
      </w:pPr>
      <w:r>
        <w:rPr>
          <w:rFonts w:hint="eastAsia" w:ascii="宋体" w:hAnsi="宋体" w:eastAsia="宋体" w:cs="宋体"/>
          <w:b w:val="0"/>
          <w:bCs w:val="0"/>
          <w:color w:val="auto"/>
          <w:sz w:val="20"/>
          <w:szCs w:val="20"/>
          <w:highlight w:val="none"/>
          <w:u w:val="none"/>
          <w:lang w:val="en-US" w:eastAsia="zh-CN"/>
        </w:rPr>
        <w:t xml:space="preserve">3、如遇所供食物市场价格下浮达5%时，中标单位必须立即通知采购人，并于三天内调整价格。如中标单位未及时通知采购人并且未将供货价格下调，致使供货价格高于当时当地市场价，采购人有权执行同期市场价格并下浮10%以上。 </w:t>
      </w:r>
    </w:p>
    <w:p w14:paraId="39C9610C">
      <w:pPr>
        <w:numPr>
          <w:ilvl w:val="0"/>
          <w:numId w:val="0"/>
        </w:numPr>
        <w:spacing w:line="360" w:lineRule="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三、配送要求</w:t>
      </w:r>
    </w:p>
    <w:p w14:paraId="2D49E0BF">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b w:val="0"/>
          <w:bCs w:val="0"/>
          <w:color w:val="auto"/>
          <w:sz w:val="21"/>
          <w:szCs w:val="21"/>
          <w:highlight w:val="none"/>
        </w:rPr>
        <w:t>配送时间</w:t>
      </w:r>
    </w:p>
    <w:p w14:paraId="2919F692">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采购人</w:t>
      </w:r>
      <w:r>
        <w:rPr>
          <w:rFonts w:hint="eastAsia" w:ascii="宋体" w:hAnsi="宋体" w:eastAsia="宋体" w:cs="宋体"/>
          <w:b w:val="0"/>
          <w:bCs w:val="0"/>
          <w:color w:val="auto"/>
          <w:sz w:val="21"/>
          <w:szCs w:val="21"/>
          <w:highlight w:val="none"/>
          <w:lang w:val="en-US" w:eastAsia="zh-CN"/>
        </w:rPr>
        <w:t>需至少</w:t>
      </w:r>
      <w:r>
        <w:rPr>
          <w:rFonts w:hint="eastAsia" w:ascii="宋体" w:hAnsi="宋体" w:eastAsia="宋体" w:cs="宋体"/>
          <w:b w:val="0"/>
          <w:bCs w:val="0"/>
          <w:color w:val="auto"/>
          <w:sz w:val="21"/>
          <w:szCs w:val="21"/>
          <w:highlight w:val="none"/>
        </w:rPr>
        <w:t xml:space="preserve">提前 </w:t>
      </w:r>
      <w:r>
        <w:rPr>
          <w:rFonts w:hint="eastAsia" w:ascii="宋体" w:hAnsi="宋体" w:eastAsia="微软雅黑"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天向供应商提供“采购计划单”一式两份，供应商需</w:t>
      </w:r>
      <w:r>
        <w:rPr>
          <w:rFonts w:hint="eastAsia" w:ascii="宋体" w:hAnsi="宋体" w:eastAsia="宋体" w:cs="宋体"/>
          <w:b w:val="0"/>
          <w:bCs w:val="0"/>
          <w:color w:val="auto"/>
          <w:sz w:val="21"/>
          <w:szCs w:val="21"/>
          <w:highlight w:val="none"/>
          <w:lang w:val="en-US" w:eastAsia="zh-CN"/>
        </w:rPr>
        <w:t>按采购人要求的时间</w:t>
      </w:r>
      <w:r>
        <w:rPr>
          <w:rFonts w:hint="eastAsia" w:ascii="宋体" w:hAnsi="宋体" w:eastAsia="宋体" w:cs="宋体"/>
          <w:b w:val="0"/>
          <w:bCs w:val="0"/>
          <w:color w:val="auto"/>
          <w:sz w:val="21"/>
          <w:szCs w:val="21"/>
          <w:highlight w:val="none"/>
        </w:rPr>
        <w:t>按“采购计划单”明细运输至指定地点并进行分类</w:t>
      </w:r>
      <w:r>
        <w:rPr>
          <w:rFonts w:hint="eastAsia" w:ascii="宋体" w:hAnsi="宋体" w:eastAsia="宋体" w:cs="宋体"/>
          <w:b w:val="0"/>
          <w:bCs w:val="0"/>
          <w:color w:val="auto"/>
          <w:sz w:val="21"/>
          <w:szCs w:val="21"/>
          <w:highlight w:val="none"/>
          <w:lang w:eastAsia="zh-CN"/>
        </w:rPr>
        <w:t>处理</w:t>
      </w:r>
      <w:r>
        <w:rPr>
          <w:rFonts w:hint="eastAsia" w:ascii="宋体" w:hAnsi="宋体" w:eastAsia="宋体" w:cs="宋体"/>
          <w:b w:val="0"/>
          <w:bCs w:val="0"/>
          <w:color w:val="auto"/>
          <w:sz w:val="21"/>
          <w:szCs w:val="21"/>
          <w:highlight w:val="none"/>
        </w:rPr>
        <w:t>（双方有特殊约定的按照约定时间配送）</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Cs/>
          <w:color w:val="000000"/>
          <w:spacing w:val="-2"/>
          <w:szCs w:val="21"/>
          <w:highlight w:val="none"/>
          <w:lang w:val="en-US" w:eastAsia="zh-CN"/>
        </w:rPr>
        <w:t>经采购单位验收人员查验入库后方可入账</w:t>
      </w:r>
      <w:r>
        <w:rPr>
          <w:rFonts w:hint="eastAsia" w:ascii="宋体" w:hAnsi="宋体" w:eastAsia="宋体" w:cs="宋体"/>
          <w:b w:val="0"/>
          <w:bCs w:val="0"/>
          <w:color w:val="auto"/>
          <w:sz w:val="21"/>
          <w:szCs w:val="21"/>
          <w:highlight w:val="none"/>
        </w:rPr>
        <w:t>。</w:t>
      </w:r>
    </w:p>
    <w:p w14:paraId="2510EC61">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bidi="ar-SA"/>
        </w:rPr>
        <w:t>2、配</w:t>
      </w:r>
      <w:r>
        <w:rPr>
          <w:rFonts w:hint="eastAsia" w:ascii="宋体" w:hAnsi="宋体" w:eastAsia="宋体" w:cs="宋体"/>
          <w:b w:val="0"/>
          <w:bCs w:val="0"/>
          <w:color w:val="auto"/>
          <w:sz w:val="21"/>
          <w:szCs w:val="21"/>
          <w:highlight w:val="none"/>
        </w:rPr>
        <w:t>送要求</w:t>
      </w:r>
    </w:p>
    <w:p w14:paraId="12D9206D">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供应商必须具备符合行业规定及满足配送需要的仓储、交通运输等设施设备，确保食品原料的安全储存和安全运输。</w:t>
      </w:r>
    </w:p>
    <w:p w14:paraId="39690940">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供应商提供的食品原料必须是符合国家标准及行业标准的食品</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kern w:val="2"/>
          <w:sz w:val="21"/>
          <w:szCs w:val="21"/>
          <w:highlight w:val="none"/>
          <w:lang w:eastAsia="zh-CN"/>
        </w:rPr>
        <w:t>并提供《食品安全</w:t>
      </w:r>
      <w:r>
        <w:rPr>
          <w:rFonts w:hint="eastAsia" w:ascii="宋体" w:hAnsi="宋体" w:eastAsia="宋体" w:cs="宋体"/>
          <w:b w:val="0"/>
          <w:bCs w:val="0"/>
          <w:color w:val="auto"/>
          <w:kern w:val="2"/>
          <w:sz w:val="21"/>
          <w:szCs w:val="21"/>
          <w:highlight w:val="none"/>
          <w:lang w:val="en-US" w:eastAsia="zh-CN"/>
        </w:rPr>
        <w:t>生产许可证</w:t>
      </w:r>
      <w:r>
        <w:rPr>
          <w:rFonts w:hint="eastAsia" w:ascii="宋体" w:hAnsi="宋体" w:eastAsia="宋体" w:cs="宋体"/>
          <w:b w:val="0"/>
          <w:bCs w:val="0"/>
          <w:color w:val="auto"/>
          <w:kern w:val="2"/>
          <w:sz w:val="21"/>
          <w:szCs w:val="21"/>
          <w:highlight w:val="none"/>
          <w:lang w:eastAsia="zh-CN"/>
        </w:rPr>
        <w:t>》及相关检疫证明材料</w:t>
      </w:r>
      <w:r>
        <w:rPr>
          <w:rFonts w:hint="eastAsia" w:ascii="宋体" w:hAnsi="宋体" w:eastAsia="宋体" w:cs="宋体"/>
          <w:b w:val="0"/>
          <w:bCs w:val="0"/>
          <w:color w:val="auto"/>
          <w:kern w:val="2"/>
          <w:sz w:val="21"/>
          <w:szCs w:val="21"/>
          <w:highlight w:val="none"/>
        </w:rPr>
        <w:t>。</w:t>
      </w:r>
    </w:p>
    <w:p w14:paraId="6D467DCE">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供应商</w:t>
      </w:r>
      <w:r>
        <w:rPr>
          <w:rFonts w:hint="eastAsia" w:ascii="宋体" w:hAnsi="宋体" w:eastAsia="宋体" w:cs="宋体"/>
          <w:b w:val="0"/>
          <w:bCs w:val="0"/>
          <w:color w:val="auto"/>
          <w:sz w:val="21"/>
          <w:szCs w:val="21"/>
          <w:highlight w:val="none"/>
          <w:lang w:eastAsia="zh-CN"/>
        </w:rPr>
        <w:t>指定专人作为本项目联系人，明确联系方式，如需更换，须提前和采购人报备，经采购人同意后方可更换</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送货人员应固定人员配送，明确联系方式，如需更换，须提前一个工作日和采购人报备。</w:t>
      </w:r>
    </w:p>
    <w:p w14:paraId="0757D215">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食品运输必须采用符合卫生标准的外包装和运载工具，并且要保持清洁和定期消毒。运输车厢的内仓，应使用抗腐蚀、防潮，易清洁消毒的材料。车厢内无不良气味、异味。食品堆放科学合理，避免造成食品的交叉污染，如对温度有要求的食品应确定食品温度。</w:t>
      </w:r>
    </w:p>
    <w:p w14:paraId="0C2FBA1A">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冷藏、冷冻食品和肉类必须用冷藏、冷冻载具运输，应当有必要的保温设备并在整个运输过程中保持安全的冷藏、冷冻温度。整个运输过程应科学合理，运输车辆应定期清洁，保持性能稳定，符合规定的温度要求，使运输食品处于恒定的环境中。</w:t>
      </w:r>
    </w:p>
    <w:p w14:paraId="1D12122D">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运输过程须保证食品的卫生与安全，交通工具应停放在采购人指定的地点。</w:t>
      </w:r>
    </w:p>
    <w:p w14:paraId="41684881">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供应商需自有或合作的无公害农产品蔬菜种植基地。</w:t>
      </w:r>
    </w:p>
    <w:p w14:paraId="024899CF">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供应商需自有或合作的农副产品检测实验室，具有出具检测报告的能力。</w:t>
      </w:r>
    </w:p>
    <w:p w14:paraId="48BA3200">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u w:val="none"/>
        </w:rPr>
        <w:t>配送过程中如采购人验收质量不合格的，供应商必须于一个小时内重新送货上门</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供应商如送货迟到超过30分钟以上一次提出口头警告，并要求作出书面保证，三次以上，采购人</w:t>
      </w:r>
      <w:r>
        <w:rPr>
          <w:rFonts w:hint="eastAsia" w:ascii="宋体" w:hAnsi="宋体" w:eastAsia="宋体" w:cs="宋体"/>
          <w:b w:val="0"/>
          <w:bCs w:val="0"/>
          <w:color w:val="auto"/>
          <w:sz w:val="21"/>
          <w:szCs w:val="21"/>
          <w:highlight w:val="none"/>
          <w:u w:val="none"/>
          <w:lang w:val="en-US" w:eastAsia="zh-CN"/>
        </w:rPr>
        <w:t>有权</w:t>
      </w:r>
      <w:r>
        <w:rPr>
          <w:rFonts w:hint="eastAsia" w:ascii="宋体" w:hAnsi="宋体" w:eastAsia="宋体" w:cs="宋体"/>
          <w:b w:val="0"/>
          <w:bCs w:val="0"/>
          <w:color w:val="auto"/>
          <w:sz w:val="21"/>
          <w:szCs w:val="21"/>
          <w:highlight w:val="none"/>
          <w:u w:val="none"/>
        </w:rPr>
        <w:t>解除其供应合同，由此造成的所有损失由供应商自行承担。</w:t>
      </w:r>
    </w:p>
    <w:p w14:paraId="2D149C7E">
      <w:pPr>
        <w:keepLines w:val="0"/>
        <w:pageBreakBefore w:val="0"/>
        <w:widowControl w:val="0"/>
        <w:kinsoku/>
        <w:wordWrap/>
        <w:overflowPunct/>
        <w:topLinePunct w:val="0"/>
        <w:autoSpaceDE/>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供应商配送时需提供“送货清单”一式两份给采购人，“送货清单”内容需包含产品名称、产品来源、产品重量、产品单价及总价等内容，由采购人根据 “送货清单”核准称重。</w:t>
      </w:r>
    </w:p>
    <w:p w14:paraId="266C9444">
      <w:pPr>
        <w:keepLines w:val="0"/>
        <w:pageBreakBefore w:val="0"/>
        <w:widowControl w:val="0"/>
        <w:kinsoku/>
        <w:wordWrap/>
        <w:overflowPunct/>
        <w:topLinePunct w:val="0"/>
        <w:autoSpaceDE/>
        <w:bidi w:val="0"/>
        <w:adjustRightInd/>
        <w:spacing w:line="360" w:lineRule="auto"/>
        <w:ind w:firstLine="422" w:firstLineChars="200"/>
        <w:textAlignment w:val="auto"/>
        <w:rPr>
          <w:rFonts w:hint="eastAsia" w:ascii="Calibri" w:hAnsi="Calibri" w:eastAsia="微软雅黑" w:cs="Times New Roman"/>
          <w:sz w:val="21"/>
          <w:szCs w:val="21"/>
          <w:highlight w:val="none"/>
        </w:rPr>
      </w:pPr>
      <w:r>
        <w:rPr>
          <w:rFonts w:hint="eastAsia" w:ascii="宋体" w:hAnsi="宋体" w:eastAsia="宋体" w:cs="宋体"/>
          <w:b/>
          <w:bCs/>
          <w:color w:val="auto"/>
          <w:sz w:val="21"/>
          <w:szCs w:val="21"/>
          <w:highlight w:val="none"/>
          <w:lang w:val="en-US" w:eastAsia="zh-CN"/>
        </w:rPr>
        <w:t>（11）采购人有临时采购需求时，供应商应随时在采购规定时间内进行供货并保证质量。</w:t>
      </w:r>
    </w:p>
    <w:p w14:paraId="62C56F4E">
      <w:pPr>
        <w:numPr>
          <w:ilvl w:val="0"/>
          <w:numId w:val="0"/>
        </w:numPr>
        <w:spacing w:line="360" w:lineRule="auto"/>
        <w:rPr>
          <w:rFonts w:hint="eastAsia" w:ascii="宋体" w:hAnsi="宋体" w:eastAsia="宋体" w:cs="宋体"/>
          <w:b/>
          <w:bCs/>
          <w:color w:val="000000"/>
          <w:sz w:val="24"/>
          <w:szCs w:val="24"/>
          <w:highlight w:val="none"/>
          <w:lang w:val="en-US" w:eastAsia="en-US"/>
        </w:rPr>
      </w:pPr>
      <w:r>
        <w:rPr>
          <w:rFonts w:hint="eastAsia" w:ascii="宋体" w:hAnsi="宋体" w:eastAsia="宋体" w:cs="宋体"/>
          <w:b/>
          <w:bCs/>
          <w:color w:val="000000"/>
          <w:sz w:val="24"/>
          <w:szCs w:val="24"/>
          <w:highlight w:val="none"/>
          <w:lang w:val="en-US" w:eastAsia="zh-CN"/>
        </w:rPr>
        <w:t>四、</w:t>
      </w:r>
      <w:r>
        <w:rPr>
          <w:rFonts w:hint="eastAsia" w:ascii="宋体" w:hAnsi="宋体" w:eastAsia="宋体" w:cs="宋体"/>
          <w:b/>
          <w:bCs/>
          <w:color w:val="000000"/>
          <w:sz w:val="24"/>
          <w:szCs w:val="24"/>
          <w:highlight w:val="none"/>
          <w:lang w:val="en-US" w:eastAsia="en-US"/>
        </w:rPr>
        <w:t>质量保障要求</w:t>
      </w:r>
    </w:p>
    <w:p w14:paraId="76DAC760">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w:t>
      </w: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val="en-US" w:eastAsia="en-US" w:bidi="ar-SA"/>
        </w:rPr>
        <w:t>）投标人投标文件应给出所投食材的主要技术指标数据。</w:t>
      </w:r>
    </w:p>
    <w:p w14:paraId="742E752E">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（2）投标人确保所供食材技术指标符合招标文件、以及国家或行业标准要求。</w:t>
      </w:r>
    </w:p>
    <w:p w14:paraId="67EBF151">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w:t>
      </w: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en-US" w:bidi="ar-SA"/>
        </w:rPr>
        <w:t>）中标人必须拥有正规合法的配送运输设备、</w:t>
      </w:r>
      <w:r>
        <w:rPr>
          <w:rFonts w:hint="eastAsia" w:ascii="宋体" w:hAnsi="宋体" w:eastAsia="宋体" w:cs="宋体"/>
          <w:color w:val="auto"/>
          <w:sz w:val="21"/>
          <w:szCs w:val="21"/>
          <w:highlight w:val="none"/>
          <w:lang w:val="en-US" w:eastAsia="zh-CN" w:bidi="ar-SA"/>
        </w:rPr>
        <w:t>物</w:t>
      </w:r>
      <w:r>
        <w:rPr>
          <w:rFonts w:hint="eastAsia" w:ascii="宋体" w:hAnsi="宋体" w:eastAsia="宋体" w:cs="宋体"/>
          <w:color w:val="auto"/>
          <w:sz w:val="21"/>
          <w:szCs w:val="21"/>
          <w:highlight w:val="none"/>
          <w:lang w:val="en-US" w:eastAsia="en-US" w:bidi="ar-SA"/>
        </w:rPr>
        <w:t>流配送车辆,确保所配送的食材(特别是夏季)保持新鲜优质。</w:t>
      </w:r>
    </w:p>
    <w:p w14:paraId="53275B63">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lang w:val="en-US" w:eastAsia="en-US" w:bidi="ar-SA"/>
        </w:rPr>
        <w:t>肉类、鱼类、蔬菜类配送重量不允许存在总重量负误差，账、物必须同时送达，供货数量以</w:t>
      </w:r>
      <w:r>
        <w:rPr>
          <w:rFonts w:hint="eastAsia" w:ascii="宋体" w:hAnsi="宋体" w:eastAsia="宋体" w:cs="宋体"/>
          <w:color w:val="auto"/>
          <w:sz w:val="21"/>
          <w:szCs w:val="21"/>
          <w:highlight w:val="none"/>
          <w:lang w:val="en-US" w:eastAsia="zh-CN" w:bidi="ar-SA"/>
        </w:rPr>
        <w:t>学校</w:t>
      </w:r>
      <w:r>
        <w:rPr>
          <w:rFonts w:hint="eastAsia" w:ascii="宋体" w:hAnsi="宋体" w:eastAsia="宋体" w:cs="宋体"/>
          <w:color w:val="auto"/>
          <w:sz w:val="21"/>
          <w:szCs w:val="21"/>
          <w:highlight w:val="none"/>
          <w:lang w:val="en-US" w:eastAsia="en-US" w:bidi="ar-SA"/>
        </w:rPr>
        <w:t>提供的采购单预算为准。</w:t>
      </w:r>
    </w:p>
    <w:p w14:paraId="5B4A3A3F">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w:t>
      </w:r>
      <w:r>
        <w:rPr>
          <w:rFonts w:hint="eastAsia" w:ascii="宋体" w:hAnsi="宋体" w:eastAsia="宋体" w:cs="宋体"/>
          <w:color w:val="auto"/>
          <w:sz w:val="21"/>
          <w:szCs w:val="21"/>
          <w:highlight w:val="none"/>
          <w:lang w:val="en-US" w:eastAsia="zh-CN" w:bidi="ar-SA"/>
        </w:rPr>
        <w:t>5</w:t>
      </w:r>
      <w:r>
        <w:rPr>
          <w:rFonts w:hint="eastAsia" w:ascii="宋体" w:hAnsi="宋体" w:eastAsia="宋体" w:cs="宋体"/>
          <w:color w:val="auto"/>
          <w:sz w:val="21"/>
          <w:szCs w:val="21"/>
          <w:highlight w:val="none"/>
          <w:lang w:val="en-US" w:eastAsia="en-US" w:bidi="ar-SA"/>
        </w:rPr>
        <w:t>）所有食材须分类摆放,要干湿分开、冻鲜分开、肉类和蔬菜分开,易污染与不污染的分开, 所有食材不得直接接触地面,需用筐和袋、食品冷藏保温箱直接分开包装运输途中要注意易脆、易损食材不得重叠,要保持食材原有物理特性并保持车辆和人员清洁卫生。</w:t>
      </w:r>
    </w:p>
    <w:p w14:paraId="2D6DEBBF">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w:t>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）中标人要保证供应的食材是优质和安全的，须经过验收人员的感官检验和外观检验，一旦发现质量低劣的不合格食材，一律退回，中标人无条件在2小时内重新更换配送，更换后仍然不符合标准的</w:t>
      </w:r>
      <w:r>
        <w:rPr>
          <w:rFonts w:hint="eastAsia" w:ascii="宋体" w:hAnsi="宋体" w:eastAsia="宋体" w:cs="宋体"/>
          <w:color w:val="auto"/>
          <w:sz w:val="21"/>
          <w:szCs w:val="21"/>
          <w:highlight w:val="none"/>
          <w:lang w:val="en-US" w:eastAsia="zh-CN" w:bidi="ar-SA"/>
        </w:rPr>
        <w:t>学校</w:t>
      </w:r>
      <w:r>
        <w:rPr>
          <w:rFonts w:hint="eastAsia" w:ascii="宋体" w:hAnsi="宋体" w:eastAsia="宋体" w:cs="宋体"/>
          <w:color w:val="auto"/>
          <w:sz w:val="21"/>
          <w:szCs w:val="21"/>
          <w:highlight w:val="none"/>
          <w:lang w:val="en-US" w:eastAsia="en-US" w:bidi="ar-SA"/>
        </w:rPr>
        <w:t>有权对中标人处以一定金额的罚款。如中标人供应食材不能满足饮食质量及服务要求时，</w:t>
      </w:r>
      <w:r>
        <w:rPr>
          <w:rFonts w:hint="eastAsia" w:ascii="宋体" w:hAnsi="宋体" w:eastAsia="宋体" w:cs="宋体"/>
          <w:color w:val="auto"/>
          <w:sz w:val="21"/>
          <w:szCs w:val="21"/>
          <w:highlight w:val="none"/>
          <w:lang w:val="en-US" w:eastAsia="zh-CN" w:bidi="ar-SA"/>
        </w:rPr>
        <w:t>学校</w:t>
      </w:r>
      <w:r>
        <w:rPr>
          <w:rFonts w:hint="eastAsia" w:ascii="宋体" w:hAnsi="宋体" w:eastAsia="宋体" w:cs="宋体"/>
          <w:color w:val="auto"/>
          <w:sz w:val="21"/>
          <w:szCs w:val="21"/>
          <w:highlight w:val="none"/>
          <w:lang w:val="en-US" w:eastAsia="en-US" w:bidi="ar-SA"/>
        </w:rPr>
        <w:t>有权进行经济处罚直至终止合同。</w:t>
      </w:r>
    </w:p>
    <w:p w14:paraId="53B0365C">
      <w:pPr>
        <w:numPr>
          <w:ilvl w:val="0"/>
          <w:numId w:val="0"/>
        </w:numPr>
        <w:spacing w:line="360" w:lineRule="auto"/>
        <w:rPr>
          <w:rFonts w:hint="eastAsia" w:ascii="宋体" w:hAnsi="宋体" w:eastAsia="宋体" w:cs="宋体"/>
          <w:b/>
          <w:bCs/>
          <w:color w:val="000000"/>
          <w:sz w:val="24"/>
          <w:szCs w:val="24"/>
          <w:highlight w:val="none"/>
          <w:lang w:val="en-US" w:eastAsia="en-US"/>
        </w:rPr>
      </w:pPr>
      <w:r>
        <w:rPr>
          <w:rFonts w:hint="eastAsia" w:ascii="宋体" w:hAnsi="宋体" w:eastAsia="宋体" w:cs="宋体"/>
          <w:b/>
          <w:bCs/>
          <w:color w:val="000000"/>
          <w:sz w:val="24"/>
          <w:szCs w:val="24"/>
          <w:highlight w:val="none"/>
          <w:lang w:val="en-US" w:eastAsia="zh-CN"/>
        </w:rPr>
        <w:t>五、</w:t>
      </w:r>
      <w:r>
        <w:rPr>
          <w:rFonts w:hint="eastAsia" w:ascii="宋体" w:hAnsi="宋体" w:eastAsia="宋体" w:cs="宋体"/>
          <w:b/>
          <w:bCs/>
          <w:color w:val="000000"/>
          <w:sz w:val="24"/>
          <w:szCs w:val="24"/>
          <w:highlight w:val="none"/>
          <w:lang w:val="en-US" w:eastAsia="en-US"/>
        </w:rPr>
        <w:t>产品包装</w:t>
      </w:r>
    </w:p>
    <w:p w14:paraId="1690E731">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pacing w:val="-9"/>
          <w:sz w:val="21"/>
          <w:szCs w:val="21"/>
          <w:highlight w:val="none"/>
          <w:lang w:val="en-US" w:eastAsia="en-US" w:bidi="ar-SA"/>
        </w:rPr>
        <w:t>肉类、水产品、蔬菜、蛋类和干货等半成品等非定量简易包装的食材应使用独立洁净的食</w:t>
      </w:r>
      <w:r>
        <w:rPr>
          <w:rFonts w:hint="eastAsia" w:ascii="宋体" w:hAnsi="宋体" w:eastAsia="宋体" w:cs="宋体"/>
          <w:color w:val="auto"/>
          <w:spacing w:val="-13"/>
          <w:sz w:val="21"/>
          <w:szCs w:val="21"/>
          <w:highlight w:val="none"/>
          <w:lang w:val="en-US" w:eastAsia="en-US" w:bidi="ar-SA"/>
        </w:rPr>
        <w:t>品盛放箱</w:t>
      </w:r>
      <w:r>
        <w:rPr>
          <w:rFonts w:hint="eastAsia" w:ascii="宋体" w:hAnsi="宋体" w:eastAsia="宋体" w:cs="宋体"/>
          <w:color w:val="auto"/>
          <w:sz w:val="21"/>
          <w:szCs w:val="21"/>
          <w:highlight w:val="none"/>
          <w:lang w:val="en-US" w:eastAsia="en-US" w:bidi="ar-SA"/>
        </w:rPr>
        <w:t>（筐</w:t>
      </w:r>
      <w:r>
        <w:rPr>
          <w:rFonts w:hint="eastAsia" w:ascii="宋体" w:hAnsi="宋体" w:eastAsia="宋体" w:cs="宋体"/>
          <w:color w:val="auto"/>
          <w:spacing w:val="-20"/>
          <w:sz w:val="21"/>
          <w:szCs w:val="21"/>
          <w:highlight w:val="none"/>
          <w:lang w:val="en-US" w:eastAsia="en-US" w:bidi="ar-SA"/>
        </w:rPr>
        <w:t>）</w:t>
      </w:r>
      <w:r>
        <w:rPr>
          <w:rFonts w:hint="eastAsia" w:ascii="宋体" w:hAnsi="宋体" w:eastAsia="宋体" w:cs="宋体"/>
          <w:color w:val="auto"/>
          <w:spacing w:val="-7"/>
          <w:sz w:val="21"/>
          <w:szCs w:val="21"/>
          <w:highlight w:val="none"/>
          <w:lang w:val="en-US" w:eastAsia="en-US" w:bidi="ar-SA"/>
        </w:rPr>
        <w:t>放置，避免挤压。投标人应保证具有对各类食材进行冷冻储藏或保鲜储藏的设施， 所有储藏设施符合国家、行业标准和规范，以保持食材新鲜度。</w:t>
      </w:r>
    </w:p>
    <w:p w14:paraId="6A26246D">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2）调料品等生产厂家定量预包装的食材应符合《预包装食品标签通则》和《预包装饮料酒标签通则》的规定，标识内容必须包括食品名称、配料清单、净含量和沥干物(固形物)含量、制造者的名称和地址、生产日期（或包装日期）和保质期、产品标准号等。保证应标示食品的制造、包装或经销单位经依法登记注册的名称和地址。</w:t>
      </w:r>
    </w:p>
    <w:p w14:paraId="057B647F">
      <w:pPr>
        <w:keepNext w:val="0"/>
        <w:keepLines w:val="0"/>
        <w:pageBreakBefore w:val="0"/>
        <w:widowControl w:val="0"/>
        <w:kinsoku/>
        <w:wordWrap/>
        <w:overflowPunct/>
        <w:topLinePunct w:val="0"/>
        <w:autoSpaceDE w:val="0"/>
        <w:autoSpaceDN w:val="0"/>
        <w:bidi w:val="0"/>
        <w:adjustRightInd/>
        <w:snapToGrid/>
        <w:spacing w:after="0" w:line="360" w:lineRule="auto"/>
        <w:ind w:left="0" w:right="0" w:firstLine="420" w:firstLineChars="200"/>
        <w:jc w:val="left"/>
        <w:textAlignment w:val="auto"/>
        <w:rPr>
          <w:rFonts w:hint="default" w:eastAsia="宋体"/>
          <w:highlight w:val="none"/>
          <w:lang w:val="en-US" w:eastAsia="zh-CN"/>
        </w:rPr>
      </w:pPr>
      <w:r>
        <w:rPr>
          <w:rFonts w:hint="eastAsia" w:ascii="宋体" w:hAnsi="宋体" w:eastAsia="宋体" w:cs="宋体"/>
          <w:color w:val="auto"/>
          <w:sz w:val="21"/>
          <w:szCs w:val="21"/>
          <w:highlight w:val="none"/>
          <w:lang w:val="en-US" w:eastAsia="en-US" w:bidi="ar-SA"/>
        </w:rPr>
        <w:t>（</w:t>
      </w: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en-US" w:bidi="ar-SA"/>
        </w:rPr>
        <w:t>）在以上两点包装的基础上，投标人应根据食材实际特点进行额外的坚固包装使其防水、防潮、防腐、防锈、防震等，并在正常情况下适于</w:t>
      </w:r>
      <w:r>
        <w:rPr>
          <w:rFonts w:hint="eastAsia" w:ascii="宋体" w:hAnsi="宋体" w:eastAsia="宋体" w:cs="宋体"/>
          <w:color w:val="auto"/>
          <w:sz w:val="21"/>
          <w:szCs w:val="21"/>
          <w:highlight w:val="none"/>
          <w:lang w:val="en-US" w:eastAsia="zh-CN" w:bidi="ar-SA"/>
        </w:rPr>
        <w:t>各类运输方式</w:t>
      </w:r>
      <w:r>
        <w:rPr>
          <w:rFonts w:hint="eastAsia" w:ascii="宋体" w:hAnsi="宋体" w:eastAsia="宋体" w:cs="宋体"/>
          <w:color w:val="auto"/>
          <w:sz w:val="21"/>
          <w:szCs w:val="21"/>
          <w:highlight w:val="none"/>
          <w:lang w:val="en-US" w:eastAsia="en-US" w:bidi="ar-SA"/>
        </w:rPr>
        <w:t>及反复装卸和搬运的要求，保证所送食材包装完好无损。包装费用由投标人承担。另外投标人应根据食材的特点及其对装卸操作的要求在包装箱显著位置以英文或中文标明“保持干燥”，“小心轻放”，“此面向上”等国际惯用图示。</w:t>
      </w:r>
    </w:p>
    <w:p w14:paraId="7F0D0E74">
      <w:pPr>
        <w:numPr>
          <w:ilvl w:val="0"/>
          <w:numId w:val="0"/>
        </w:numPr>
        <w:spacing w:line="360" w:lineRule="auto"/>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六、管理要求</w:t>
      </w:r>
    </w:p>
    <w:p w14:paraId="3FD6B7AD">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lang w:val="en-US" w:eastAsia="zh-CN"/>
        </w:rPr>
      </w:pPr>
      <w:r>
        <w:rPr>
          <w:rFonts w:hint="eastAsia" w:ascii="宋体" w:hAnsi="宋体" w:eastAsia="宋体" w:cs="宋体"/>
          <w:bCs/>
          <w:color w:val="000000"/>
          <w:spacing w:val="-2"/>
          <w:szCs w:val="21"/>
          <w:highlight w:val="none"/>
          <w:lang w:val="en-US" w:eastAsia="zh-CN"/>
        </w:rPr>
        <w:t>1、投标人需严格遵守《中华人民共和国食品安全法》等国家相关法律、法规。所提供的原材料必须是正规渠道的合格产品，外观及内在品质良好，符合国家和行业食品卫生安全标准。</w:t>
      </w:r>
    </w:p>
    <w:p w14:paraId="4D5261EC">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lang w:val="en-US" w:eastAsia="zh-CN"/>
        </w:rPr>
      </w:pPr>
      <w:r>
        <w:rPr>
          <w:rFonts w:hint="eastAsia" w:ascii="宋体" w:hAnsi="宋体" w:eastAsia="宋体" w:cs="宋体"/>
          <w:bCs/>
          <w:color w:val="000000"/>
          <w:spacing w:val="-2"/>
          <w:szCs w:val="21"/>
          <w:highlight w:val="none"/>
          <w:lang w:val="en-US" w:eastAsia="zh-CN"/>
        </w:rPr>
        <w:t>2、投标人提供的原材料的安全与质量必须符合《中华人民共和国食品安全法》、国家教育部、市场监管总局、卫健委等三部委《学校食品安全与营养健康管理规定》、《湖南省中小学学生食堂管理办法》（湘教发【2024】41号）、《株洲市教育局直属学校大宗食品及原辅材料公开采购实施方案（试行)》，如出现经政府监管部门确认的食品质量、卫生等影响食品安全的，投标人承担一切责任。</w:t>
      </w:r>
    </w:p>
    <w:p w14:paraId="1B602A50">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lang w:val="en-US" w:eastAsia="zh-CN"/>
        </w:rPr>
      </w:pPr>
      <w:r>
        <w:rPr>
          <w:rFonts w:hint="default" w:ascii="宋体" w:hAnsi="宋体" w:eastAsia="宋体" w:cs="宋体"/>
          <w:bCs/>
          <w:color w:val="000000"/>
          <w:spacing w:val="-2"/>
          <w:szCs w:val="21"/>
          <w:highlight w:val="none"/>
          <w:lang w:val="en-US" w:eastAsia="zh-CN"/>
        </w:rPr>
        <w:t>3</w:t>
      </w:r>
      <w:r>
        <w:rPr>
          <w:rFonts w:hint="eastAsia" w:ascii="宋体" w:hAnsi="宋体" w:eastAsia="宋体" w:cs="宋体"/>
          <w:bCs/>
          <w:color w:val="000000"/>
          <w:spacing w:val="-2"/>
          <w:szCs w:val="21"/>
          <w:highlight w:val="none"/>
          <w:lang w:val="en-US" w:eastAsia="zh-CN"/>
        </w:rPr>
        <w:t>、采购单位对中标单位经营场所、货物来源实行严格管控，不符合要求的停止中标单位供应此类货物并对中标单位处以10倍罚金。</w:t>
      </w:r>
    </w:p>
    <w:p w14:paraId="5E3369B9">
      <w:pPr>
        <w:numPr>
          <w:ilvl w:val="0"/>
          <w:numId w:val="0"/>
        </w:numPr>
        <w:spacing w:line="360" w:lineRule="auto"/>
        <w:rPr>
          <w:rFonts w:hint="eastAsia" w:ascii="宋体" w:hAnsi="宋体" w:eastAsia="宋体"/>
          <w:b/>
          <w:bCs/>
          <w:color w:val="000000"/>
          <w:sz w:val="24"/>
          <w:szCs w:val="24"/>
          <w:highlight w:val="none"/>
        </w:rPr>
      </w:pPr>
      <w:r>
        <w:rPr>
          <w:rFonts w:hint="eastAsia" w:ascii="宋体" w:hAnsi="宋体" w:eastAsia="宋体" w:cs="宋体"/>
          <w:b/>
          <w:bCs/>
          <w:color w:val="000000"/>
          <w:kern w:val="2"/>
          <w:sz w:val="24"/>
          <w:szCs w:val="24"/>
          <w:highlight w:val="none"/>
          <w:lang w:val="en-US" w:eastAsia="zh-CN" w:bidi="ar-SA"/>
        </w:rPr>
        <w:t>七、</w:t>
      </w:r>
      <w:r>
        <w:rPr>
          <w:rFonts w:hint="eastAsia" w:ascii="宋体" w:hAnsi="宋体" w:eastAsia="宋体"/>
          <w:b/>
          <w:bCs/>
          <w:color w:val="000000"/>
          <w:sz w:val="24"/>
          <w:szCs w:val="24"/>
          <w:highlight w:val="none"/>
        </w:rPr>
        <w:t>付款方式</w:t>
      </w:r>
    </w:p>
    <w:p w14:paraId="53C57F34">
      <w:pPr>
        <w:wordWrap w:val="0"/>
        <w:adjustRightInd w:val="0"/>
        <w:snapToGrid w:val="0"/>
        <w:spacing w:line="360" w:lineRule="auto"/>
        <w:ind w:firstLine="412" w:firstLineChars="200"/>
        <w:rPr>
          <w:rFonts w:hint="eastAsia" w:ascii="宋体" w:hAnsi="宋体" w:eastAsia="宋体"/>
          <w:b/>
          <w:bCs/>
          <w:color w:val="000000"/>
          <w:sz w:val="24"/>
          <w:szCs w:val="24"/>
          <w:highlight w:val="none"/>
          <w:lang w:val="en-US" w:eastAsia="zh-CN"/>
        </w:rPr>
      </w:pPr>
      <w:r>
        <w:rPr>
          <w:rFonts w:hint="eastAsia" w:ascii="宋体" w:hAnsi="宋体" w:eastAsia="宋体" w:cs="宋体"/>
          <w:bCs/>
          <w:color w:val="000000"/>
          <w:spacing w:val="-2"/>
          <w:szCs w:val="21"/>
          <w:highlight w:val="none"/>
          <w:lang w:val="en-US" w:eastAsia="zh-CN"/>
        </w:rPr>
        <w:t>学生食堂原材料款由中标单位以上月台帐明细分类提供正规发票，在中标单位开具上月货款发票10个工作日内一次性转账。货款按实结算。</w:t>
      </w:r>
    </w:p>
    <w:p w14:paraId="5D40EBE8">
      <w:pPr>
        <w:numPr>
          <w:ilvl w:val="0"/>
          <w:numId w:val="0"/>
        </w:numPr>
        <w:spacing w:line="360" w:lineRule="auto"/>
        <w:rPr>
          <w:rFonts w:hint="default"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八、其他要求</w:t>
      </w:r>
    </w:p>
    <w:p w14:paraId="4C56F9F7">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lang w:val="en-US" w:eastAsia="zh-CN"/>
        </w:rPr>
      </w:pPr>
      <w:r>
        <w:rPr>
          <w:rFonts w:hint="eastAsia" w:ascii="宋体" w:hAnsi="宋体" w:eastAsia="宋体" w:cs="宋体"/>
          <w:bCs/>
          <w:color w:val="000000"/>
          <w:spacing w:val="-2"/>
          <w:szCs w:val="21"/>
          <w:highlight w:val="none"/>
          <w:lang w:val="en-US" w:eastAsia="zh-CN"/>
        </w:rPr>
        <w:t>中标单位必须接受采购单位的膳食委员会监督，对提出的问题及时整改。</w:t>
      </w:r>
    </w:p>
    <w:p w14:paraId="7CE0F193">
      <w:pPr>
        <w:numPr>
          <w:ilvl w:val="0"/>
          <w:numId w:val="0"/>
        </w:numPr>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br w:type="page"/>
      </w:r>
      <w:r>
        <w:rPr>
          <w:rFonts w:hint="eastAsia" w:ascii="宋体" w:hAnsi="宋体" w:eastAsia="宋体" w:cs="宋体"/>
          <w:b/>
          <w:bCs/>
          <w:color w:val="000000"/>
          <w:kern w:val="2"/>
          <w:sz w:val="24"/>
          <w:szCs w:val="24"/>
          <w:highlight w:val="none"/>
          <w:lang w:val="en-US" w:eastAsia="zh-CN" w:bidi="ar-SA"/>
        </w:rPr>
        <w:t>九、质量要求</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7762"/>
      </w:tblGrid>
      <w:tr w14:paraId="66B8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top"/>
          </w:tcPr>
          <w:p w14:paraId="2E365C5E">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品类</w:t>
            </w:r>
          </w:p>
        </w:tc>
        <w:tc>
          <w:tcPr>
            <w:tcW w:w="7762" w:type="dxa"/>
            <w:noWrap w:val="0"/>
            <w:vAlign w:val="top"/>
          </w:tcPr>
          <w:p w14:paraId="776EE189">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具体要求</w:t>
            </w:r>
          </w:p>
        </w:tc>
      </w:tr>
      <w:tr w14:paraId="73F2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2" w:hRule="atLeast"/>
        </w:trPr>
        <w:tc>
          <w:tcPr>
            <w:tcW w:w="760" w:type="dxa"/>
            <w:noWrap w:val="0"/>
            <w:vAlign w:val="center"/>
          </w:tcPr>
          <w:p w14:paraId="6B23AACD">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米</w:t>
            </w:r>
          </w:p>
          <w:p w14:paraId="22BD19CD">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面</w:t>
            </w:r>
          </w:p>
          <w:p w14:paraId="5E784109">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油</w:t>
            </w:r>
          </w:p>
        </w:tc>
        <w:tc>
          <w:tcPr>
            <w:tcW w:w="7762" w:type="dxa"/>
            <w:noWrap w:val="0"/>
            <w:vAlign w:val="top"/>
          </w:tcPr>
          <w:p w14:paraId="4D626DFC">
            <w:pPr>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（一）大米</w:t>
            </w:r>
          </w:p>
          <w:p w14:paraId="75E43C07">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1.有“SC”标志或“QS”标志，标明加工厂名称、品名、生产日期，质量等级、产品标准号、产品合格证，质量符合大米国标（GB1354-86）与国家粮食卫生标准（GB2715-2005）。</w:t>
            </w:r>
          </w:p>
          <w:p w14:paraId="6AA972CC">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2.必须符合中华人民共和国主席令第二十一号《中华人民共和国食品安全法》的相关规定。</w:t>
            </w:r>
          </w:p>
          <w:p w14:paraId="53622DC8">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3.具有固有色泽和香味，无污染、无虫害，色泽、气味、口味正常，无异味或霉味（霉变），无虫蛀结块挂丝或杂质异等，符合国家粮食卫生标准。</w:t>
            </w:r>
          </w:p>
          <w:p w14:paraId="10EB34A8">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4.重金属元素不超过《食品中污染物限量》（GB2762-2012）的标准。</w:t>
            </w:r>
          </w:p>
          <w:p w14:paraId="6B17BC76">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5.非转基因米。</w:t>
            </w:r>
          </w:p>
          <w:p w14:paraId="4DF29486">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6.大米要求的检测报告：</w:t>
            </w:r>
          </w:p>
          <w:p w14:paraId="1554712D">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（1）《食品质量检验报告》由</w:t>
            </w:r>
            <w:r>
              <w:rPr>
                <w:rFonts w:hint="eastAsia" w:ascii="宋体" w:hAnsi="宋体" w:eastAsia="宋体" w:cs="宋体"/>
                <w:bCs/>
                <w:color w:val="000000"/>
                <w:sz w:val="21"/>
                <w:szCs w:val="21"/>
                <w:highlight w:val="none"/>
                <w:lang w:val="en-US" w:eastAsia="zh-CN"/>
              </w:rPr>
              <w:t>食品卫生监督机构或质量检验监管部门或第三方检测机构（需通过CMA（中国计量认证）或CNAS（中国合格评定国家认可委员会）认证）</w:t>
            </w:r>
            <w:r>
              <w:rPr>
                <w:rFonts w:hint="eastAsia" w:ascii="宋体" w:hAnsi="宋体" w:eastAsia="宋体" w:cs="宋体"/>
                <w:bCs/>
                <w:color w:val="000000"/>
                <w:sz w:val="21"/>
                <w:szCs w:val="21"/>
                <w:highlight w:val="none"/>
              </w:rPr>
              <w:t>出具，每季度提供一次。</w:t>
            </w:r>
          </w:p>
          <w:p w14:paraId="05108021">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w:t>
            </w:r>
            <w:r>
              <w:rPr>
                <w:rFonts w:hint="eastAsia" w:ascii="宋体" w:hAnsi="宋体" w:eastAsia="宋体" w:cs="宋体"/>
                <w:bCs/>
                <w:color w:val="000000"/>
                <w:sz w:val="21"/>
                <w:szCs w:val="21"/>
                <w:highlight w:val="none"/>
                <w:lang w:val="en-US" w:eastAsia="zh-CN"/>
              </w:rPr>
              <w:t>1</w:t>
            </w:r>
            <w:r>
              <w:rPr>
                <w:rFonts w:hint="eastAsia" w:ascii="宋体" w:hAnsi="宋体" w:eastAsia="宋体" w:cs="宋体"/>
                <w:bCs/>
                <w:color w:val="000000"/>
                <w:sz w:val="21"/>
                <w:szCs w:val="21"/>
                <w:highlight w:val="none"/>
              </w:rPr>
              <w:t>）《出厂检验报告》交货时提供本批次产品的出厂（库）检验合格。</w:t>
            </w:r>
          </w:p>
          <w:p w14:paraId="208C313A">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7.大米品种要求：粳米，质量标准如下：</w:t>
            </w:r>
          </w:p>
          <w:tbl>
            <w:tblPr>
              <w:tblStyle w:val="7"/>
              <w:tblW w:w="721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709"/>
              <w:gridCol w:w="977"/>
              <w:gridCol w:w="2992"/>
              <w:gridCol w:w="1564"/>
              <w:gridCol w:w="973"/>
            </w:tblGrid>
            <w:tr w14:paraId="20E838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709" w:type="dxa"/>
                  <w:tcBorders>
                    <w:tl2br w:val="nil"/>
                    <w:tr2bl w:val="nil"/>
                  </w:tcBorders>
                  <w:noWrap w:val="0"/>
                  <w:vAlign w:val="center"/>
                </w:tcPr>
                <w:p w14:paraId="2FFBDDB2">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序号</w:t>
                  </w:r>
                </w:p>
              </w:tc>
              <w:tc>
                <w:tcPr>
                  <w:tcW w:w="3969" w:type="dxa"/>
                  <w:gridSpan w:val="2"/>
                  <w:tcBorders>
                    <w:tl2br w:val="nil"/>
                    <w:tr2bl w:val="nil"/>
                  </w:tcBorders>
                  <w:noWrap w:val="0"/>
                  <w:vAlign w:val="center"/>
                </w:tcPr>
                <w:p w14:paraId="670AA104">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内容</w:t>
                  </w:r>
                </w:p>
              </w:tc>
              <w:tc>
                <w:tcPr>
                  <w:tcW w:w="2537" w:type="dxa"/>
                  <w:gridSpan w:val="2"/>
                  <w:tcBorders>
                    <w:tl2br w:val="nil"/>
                    <w:tr2bl w:val="nil"/>
                  </w:tcBorders>
                  <w:noWrap w:val="0"/>
                  <w:vAlign w:val="center"/>
                </w:tcPr>
                <w:p w14:paraId="2B75D77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质量标准</w:t>
                  </w:r>
                </w:p>
              </w:tc>
            </w:tr>
            <w:tr w14:paraId="74A0FF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37EB8AD8">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w:t>
                  </w:r>
                </w:p>
              </w:tc>
              <w:tc>
                <w:tcPr>
                  <w:tcW w:w="3969" w:type="dxa"/>
                  <w:gridSpan w:val="2"/>
                  <w:tcBorders>
                    <w:tl2br w:val="nil"/>
                    <w:tr2bl w:val="nil"/>
                  </w:tcBorders>
                  <w:noWrap w:val="0"/>
                  <w:vAlign w:val="center"/>
                </w:tcPr>
                <w:p w14:paraId="4BB58977">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加工精度</w:t>
                  </w:r>
                </w:p>
              </w:tc>
              <w:tc>
                <w:tcPr>
                  <w:tcW w:w="2537" w:type="dxa"/>
                  <w:gridSpan w:val="2"/>
                  <w:tcBorders>
                    <w:tl2br w:val="nil"/>
                    <w:tr2bl w:val="nil"/>
                  </w:tcBorders>
                  <w:noWrap w:val="0"/>
                  <w:vAlign w:val="center"/>
                </w:tcPr>
                <w:p w14:paraId="2F11027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符合</w:t>
                  </w:r>
                  <w:r>
                    <w:rPr>
                      <w:rFonts w:hint="eastAsia" w:ascii="宋体" w:hAnsi="宋体" w:eastAsia="宋体" w:cs="宋体"/>
                      <w:color w:val="000000"/>
                      <w:sz w:val="21"/>
                      <w:szCs w:val="21"/>
                      <w:highlight w:val="none"/>
                    </w:rPr>
                    <w:t>一</w:t>
                  </w:r>
                  <w:r>
                    <w:rPr>
                      <w:rFonts w:hint="eastAsia" w:ascii="宋体" w:hAnsi="宋体" w:eastAsia="宋体" w:cs="宋体"/>
                      <w:color w:val="000000"/>
                      <w:sz w:val="21"/>
                      <w:szCs w:val="21"/>
                      <w:highlight w:val="none"/>
                      <w:lang w:eastAsia="en-US"/>
                    </w:rPr>
                    <w:t>等品要求</w:t>
                  </w:r>
                </w:p>
              </w:tc>
            </w:tr>
            <w:tr w14:paraId="657904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2708043D">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w:t>
                  </w:r>
                </w:p>
              </w:tc>
              <w:tc>
                <w:tcPr>
                  <w:tcW w:w="3969" w:type="dxa"/>
                  <w:gridSpan w:val="2"/>
                  <w:tcBorders>
                    <w:tl2br w:val="nil"/>
                    <w:tr2bl w:val="nil"/>
                  </w:tcBorders>
                  <w:noWrap w:val="0"/>
                  <w:vAlign w:val="center"/>
                </w:tcPr>
                <w:p w14:paraId="25C378E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不完善粒%</w:t>
                  </w:r>
                </w:p>
              </w:tc>
              <w:tc>
                <w:tcPr>
                  <w:tcW w:w="2537" w:type="dxa"/>
                  <w:gridSpan w:val="2"/>
                  <w:tcBorders>
                    <w:tl2br w:val="nil"/>
                    <w:tr2bl w:val="nil"/>
                  </w:tcBorders>
                  <w:noWrap w:val="0"/>
                  <w:vAlign w:val="center"/>
                </w:tcPr>
                <w:p w14:paraId="03B4B309">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≤6.0</w:t>
                  </w:r>
                </w:p>
              </w:tc>
            </w:tr>
            <w:tr w14:paraId="3C28B2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145AA5C2">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3</w:t>
                  </w:r>
                </w:p>
              </w:tc>
              <w:tc>
                <w:tcPr>
                  <w:tcW w:w="977" w:type="dxa"/>
                  <w:vMerge w:val="restart"/>
                  <w:tcBorders>
                    <w:tl2br w:val="nil"/>
                    <w:tr2bl w:val="nil"/>
                  </w:tcBorders>
                  <w:noWrap w:val="0"/>
                  <w:vAlign w:val="center"/>
                </w:tcPr>
                <w:p w14:paraId="33BE9276">
                  <w:pPr>
                    <w:autoSpaceDE w:val="0"/>
                    <w:autoSpaceDN w:val="0"/>
                    <w:spacing w:line="360" w:lineRule="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最大限度杂质</w:t>
                  </w:r>
                </w:p>
              </w:tc>
              <w:tc>
                <w:tcPr>
                  <w:tcW w:w="2992" w:type="dxa"/>
                  <w:tcBorders>
                    <w:tl2br w:val="nil"/>
                    <w:tr2bl w:val="nil"/>
                  </w:tcBorders>
                  <w:noWrap w:val="0"/>
                  <w:vAlign w:val="center"/>
                </w:tcPr>
                <w:p w14:paraId="795C321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总量%</w:t>
                  </w:r>
                </w:p>
              </w:tc>
              <w:tc>
                <w:tcPr>
                  <w:tcW w:w="2537" w:type="dxa"/>
                  <w:gridSpan w:val="2"/>
                  <w:tcBorders>
                    <w:tl2br w:val="nil"/>
                    <w:tr2bl w:val="nil"/>
                  </w:tcBorders>
                  <w:noWrap w:val="0"/>
                  <w:vAlign w:val="center"/>
                </w:tcPr>
                <w:p w14:paraId="78589546">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≤0.40</w:t>
                  </w:r>
                </w:p>
              </w:tc>
            </w:tr>
            <w:tr w14:paraId="3B7A76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748AFF79">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4</w:t>
                  </w:r>
                </w:p>
              </w:tc>
              <w:tc>
                <w:tcPr>
                  <w:tcW w:w="977" w:type="dxa"/>
                  <w:vMerge w:val="continue"/>
                  <w:tcBorders>
                    <w:tl2br w:val="nil"/>
                    <w:tr2bl w:val="nil"/>
                  </w:tcBorders>
                  <w:noWrap w:val="0"/>
                  <w:vAlign w:val="center"/>
                </w:tcPr>
                <w:p w14:paraId="18B4ECE1">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2992" w:type="dxa"/>
                  <w:tcBorders>
                    <w:tl2br w:val="nil"/>
                    <w:tr2bl w:val="nil"/>
                  </w:tcBorders>
                  <w:noWrap w:val="0"/>
                  <w:vAlign w:val="center"/>
                </w:tcPr>
                <w:p w14:paraId="1FFC372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糠粉%</w:t>
                  </w:r>
                </w:p>
              </w:tc>
              <w:tc>
                <w:tcPr>
                  <w:tcW w:w="2537" w:type="dxa"/>
                  <w:gridSpan w:val="2"/>
                  <w:tcBorders>
                    <w:tl2br w:val="nil"/>
                    <w:tr2bl w:val="nil"/>
                  </w:tcBorders>
                  <w:noWrap w:val="0"/>
                  <w:vAlign w:val="center"/>
                </w:tcPr>
                <w:p w14:paraId="68E871CD">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≤0.20</w:t>
                  </w:r>
                </w:p>
              </w:tc>
            </w:tr>
            <w:tr w14:paraId="1FB7E2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709" w:type="dxa"/>
                  <w:tcBorders>
                    <w:tl2br w:val="nil"/>
                    <w:tr2bl w:val="nil"/>
                  </w:tcBorders>
                  <w:noWrap w:val="0"/>
                  <w:vAlign w:val="center"/>
                </w:tcPr>
                <w:p w14:paraId="2CD2EED6">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5</w:t>
                  </w:r>
                </w:p>
              </w:tc>
              <w:tc>
                <w:tcPr>
                  <w:tcW w:w="977" w:type="dxa"/>
                  <w:vMerge w:val="continue"/>
                  <w:tcBorders>
                    <w:tl2br w:val="nil"/>
                    <w:tr2bl w:val="nil"/>
                  </w:tcBorders>
                  <w:noWrap w:val="0"/>
                  <w:vAlign w:val="center"/>
                </w:tcPr>
                <w:p w14:paraId="4A8AC702">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2992" w:type="dxa"/>
                  <w:tcBorders>
                    <w:tl2br w:val="nil"/>
                    <w:tr2bl w:val="nil"/>
                  </w:tcBorders>
                  <w:noWrap w:val="0"/>
                  <w:vAlign w:val="center"/>
                </w:tcPr>
                <w:p w14:paraId="1C20ECFA">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矿物质%</w:t>
                  </w:r>
                </w:p>
              </w:tc>
              <w:tc>
                <w:tcPr>
                  <w:tcW w:w="2537" w:type="dxa"/>
                  <w:gridSpan w:val="2"/>
                  <w:tcBorders>
                    <w:tl2br w:val="nil"/>
                    <w:tr2bl w:val="nil"/>
                  </w:tcBorders>
                  <w:noWrap w:val="0"/>
                  <w:vAlign w:val="center"/>
                </w:tcPr>
                <w:p w14:paraId="1C28CA4C">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≤0.02</w:t>
                  </w:r>
                </w:p>
              </w:tc>
            </w:tr>
            <w:tr w14:paraId="7CE16C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7A71C293">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6</w:t>
                  </w:r>
                </w:p>
              </w:tc>
              <w:tc>
                <w:tcPr>
                  <w:tcW w:w="977" w:type="dxa"/>
                  <w:vMerge w:val="continue"/>
                  <w:tcBorders>
                    <w:tl2br w:val="nil"/>
                    <w:tr2bl w:val="nil"/>
                  </w:tcBorders>
                  <w:noWrap w:val="0"/>
                  <w:vAlign w:val="center"/>
                </w:tcPr>
                <w:p w14:paraId="0B1984DE">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2992" w:type="dxa"/>
                  <w:tcBorders>
                    <w:tl2br w:val="nil"/>
                    <w:tr2bl w:val="nil"/>
                  </w:tcBorders>
                  <w:noWrap w:val="0"/>
                  <w:vAlign w:val="center"/>
                </w:tcPr>
                <w:p w14:paraId="65527AE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带壳稞粒（粒/kg）</w:t>
                  </w:r>
                </w:p>
              </w:tc>
              <w:tc>
                <w:tcPr>
                  <w:tcW w:w="2537" w:type="dxa"/>
                  <w:gridSpan w:val="2"/>
                  <w:tcBorders>
                    <w:tl2br w:val="nil"/>
                    <w:tr2bl w:val="nil"/>
                  </w:tcBorders>
                  <w:noWrap w:val="0"/>
                  <w:vAlign w:val="center"/>
                </w:tcPr>
                <w:p w14:paraId="5B57833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≤70</w:t>
                  </w:r>
                </w:p>
              </w:tc>
            </w:tr>
            <w:tr w14:paraId="4ED758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6F0114C6">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7</w:t>
                  </w:r>
                </w:p>
              </w:tc>
              <w:tc>
                <w:tcPr>
                  <w:tcW w:w="977" w:type="dxa"/>
                  <w:vMerge w:val="continue"/>
                  <w:tcBorders>
                    <w:tl2br w:val="nil"/>
                    <w:tr2bl w:val="nil"/>
                  </w:tcBorders>
                  <w:noWrap w:val="0"/>
                  <w:vAlign w:val="center"/>
                </w:tcPr>
                <w:p w14:paraId="71BEEC4A">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2992" w:type="dxa"/>
                  <w:tcBorders>
                    <w:tl2br w:val="nil"/>
                    <w:tr2bl w:val="nil"/>
                  </w:tcBorders>
                  <w:noWrap w:val="0"/>
                  <w:vAlign w:val="center"/>
                </w:tcPr>
                <w:p w14:paraId="06F86F9C">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稻谷粒（粒/kg）</w:t>
                  </w:r>
                </w:p>
              </w:tc>
              <w:tc>
                <w:tcPr>
                  <w:tcW w:w="2537" w:type="dxa"/>
                  <w:gridSpan w:val="2"/>
                  <w:tcBorders>
                    <w:tl2br w:val="nil"/>
                    <w:tr2bl w:val="nil"/>
                  </w:tcBorders>
                  <w:noWrap w:val="0"/>
                  <w:vAlign w:val="center"/>
                </w:tcPr>
                <w:p w14:paraId="0BCEBD1D">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≤16</w:t>
                  </w:r>
                </w:p>
              </w:tc>
            </w:tr>
            <w:tr w14:paraId="237EEB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6B60DCB3">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8</w:t>
                  </w:r>
                </w:p>
              </w:tc>
              <w:tc>
                <w:tcPr>
                  <w:tcW w:w="3969" w:type="dxa"/>
                  <w:gridSpan w:val="2"/>
                  <w:tcBorders>
                    <w:tl2br w:val="nil"/>
                    <w:tr2bl w:val="nil"/>
                  </w:tcBorders>
                  <w:noWrap w:val="0"/>
                  <w:vAlign w:val="center"/>
                </w:tcPr>
                <w:p w14:paraId="41C6F3C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碎米总量%</w:t>
                  </w:r>
                </w:p>
              </w:tc>
              <w:tc>
                <w:tcPr>
                  <w:tcW w:w="2537" w:type="dxa"/>
                  <w:gridSpan w:val="2"/>
                  <w:tcBorders>
                    <w:tl2br w:val="nil"/>
                    <w:tr2bl w:val="nil"/>
                  </w:tcBorders>
                  <w:noWrap w:val="0"/>
                  <w:vAlign w:val="center"/>
                </w:tcPr>
                <w:p w14:paraId="69928275">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≤35.0</w:t>
                  </w:r>
                </w:p>
              </w:tc>
            </w:tr>
            <w:tr w14:paraId="5C313A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tcBorders>
                    <w:tl2br w:val="nil"/>
                    <w:tr2bl w:val="nil"/>
                  </w:tcBorders>
                  <w:noWrap w:val="0"/>
                  <w:vAlign w:val="center"/>
                </w:tcPr>
                <w:p w14:paraId="6F6E9C43">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9</w:t>
                  </w:r>
                </w:p>
              </w:tc>
              <w:tc>
                <w:tcPr>
                  <w:tcW w:w="3969" w:type="dxa"/>
                  <w:gridSpan w:val="2"/>
                  <w:tcBorders>
                    <w:tl2br w:val="nil"/>
                    <w:tr2bl w:val="nil"/>
                  </w:tcBorders>
                  <w:noWrap w:val="0"/>
                  <w:vAlign w:val="center"/>
                </w:tcPr>
                <w:p w14:paraId="7EFDAB3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小碎米%</w:t>
                  </w:r>
                </w:p>
              </w:tc>
              <w:tc>
                <w:tcPr>
                  <w:tcW w:w="2537" w:type="dxa"/>
                  <w:gridSpan w:val="2"/>
                  <w:tcBorders>
                    <w:tl2br w:val="nil"/>
                    <w:tr2bl w:val="nil"/>
                  </w:tcBorders>
                  <w:noWrap w:val="0"/>
                  <w:vAlign w:val="center"/>
                </w:tcPr>
                <w:p w14:paraId="212ACF56">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≤2.5</w:t>
                  </w:r>
                </w:p>
              </w:tc>
            </w:tr>
            <w:tr w14:paraId="16A938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709" w:type="dxa"/>
                  <w:tcBorders>
                    <w:tl2br w:val="nil"/>
                    <w:tr2bl w:val="nil"/>
                  </w:tcBorders>
                  <w:noWrap w:val="0"/>
                  <w:vAlign w:val="center"/>
                </w:tcPr>
                <w:p w14:paraId="04317D87">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10</w:t>
                  </w:r>
                </w:p>
              </w:tc>
              <w:tc>
                <w:tcPr>
                  <w:tcW w:w="3969" w:type="dxa"/>
                  <w:gridSpan w:val="2"/>
                  <w:tcBorders>
                    <w:tl2br w:val="nil"/>
                    <w:tr2bl w:val="nil"/>
                  </w:tcBorders>
                  <w:noWrap w:val="0"/>
                  <w:vAlign w:val="center"/>
                </w:tcPr>
                <w:p w14:paraId="555ED345">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黄粒米%</w:t>
                  </w:r>
                </w:p>
              </w:tc>
              <w:tc>
                <w:tcPr>
                  <w:tcW w:w="2537" w:type="dxa"/>
                  <w:gridSpan w:val="2"/>
                  <w:tcBorders>
                    <w:tl2br w:val="nil"/>
                    <w:tr2bl w:val="nil"/>
                  </w:tcBorders>
                  <w:noWrap w:val="0"/>
                  <w:vAlign w:val="center"/>
                </w:tcPr>
                <w:p w14:paraId="7772473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≤2.0</w:t>
                  </w:r>
                </w:p>
              </w:tc>
            </w:tr>
            <w:tr w14:paraId="3A690E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709" w:type="dxa"/>
                  <w:tcBorders>
                    <w:tl2br w:val="nil"/>
                    <w:tr2bl w:val="nil"/>
                  </w:tcBorders>
                  <w:noWrap w:val="0"/>
                  <w:vAlign w:val="center"/>
                </w:tcPr>
                <w:p w14:paraId="27BDD5A6">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11</w:t>
                  </w:r>
                </w:p>
              </w:tc>
              <w:tc>
                <w:tcPr>
                  <w:tcW w:w="3969" w:type="dxa"/>
                  <w:gridSpan w:val="2"/>
                  <w:tcBorders>
                    <w:tl2br w:val="nil"/>
                    <w:tr2bl w:val="nil"/>
                  </w:tcBorders>
                  <w:noWrap w:val="0"/>
                  <w:vAlign w:val="center"/>
                </w:tcPr>
                <w:p w14:paraId="7C79F318">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水份%</w:t>
                  </w:r>
                </w:p>
              </w:tc>
              <w:tc>
                <w:tcPr>
                  <w:tcW w:w="2537" w:type="dxa"/>
                  <w:gridSpan w:val="2"/>
                  <w:tcBorders>
                    <w:tl2br w:val="nil"/>
                    <w:tr2bl w:val="nil"/>
                  </w:tcBorders>
                  <w:noWrap w:val="0"/>
                  <w:vAlign w:val="center"/>
                </w:tcPr>
                <w:p w14:paraId="70C76E07">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≤14.0</w:t>
                  </w:r>
                </w:p>
              </w:tc>
            </w:tr>
            <w:tr w14:paraId="2DADF9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709" w:type="dxa"/>
                  <w:tcBorders>
                    <w:tl2br w:val="nil"/>
                    <w:tr2bl w:val="nil"/>
                  </w:tcBorders>
                  <w:noWrap w:val="0"/>
                  <w:vAlign w:val="center"/>
                </w:tcPr>
                <w:p w14:paraId="464A8C1A">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12</w:t>
                  </w:r>
                </w:p>
              </w:tc>
              <w:tc>
                <w:tcPr>
                  <w:tcW w:w="3969" w:type="dxa"/>
                  <w:gridSpan w:val="2"/>
                  <w:tcBorders>
                    <w:tl2br w:val="nil"/>
                    <w:tr2bl w:val="nil"/>
                  </w:tcBorders>
                  <w:noWrap w:val="0"/>
                  <w:vAlign w:val="center"/>
                </w:tcPr>
                <w:p w14:paraId="0C97CA0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黄曲霉毒素B1μg/kg</w:t>
                  </w:r>
                </w:p>
              </w:tc>
              <w:tc>
                <w:tcPr>
                  <w:tcW w:w="2537" w:type="dxa"/>
                  <w:gridSpan w:val="2"/>
                  <w:tcBorders>
                    <w:tl2br w:val="nil"/>
                    <w:tr2bl w:val="nil"/>
                  </w:tcBorders>
                  <w:noWrap w:val="0"/>
                  <w:vAlign w:val="center"/>
                </w:tcPr>
                <w:p w14:paraId="1CA27423">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≤10</w:t>
                  </w:r>
                </w:p>
              </w:tc>
            </w:tr>
            <w:tr w14:paraId="104A79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3" w:hRule="atLeast"/>
                <w:jc w:val="center"/>
              </w:trPr>
              <w:tc>
                <w:tcPr>
                  <w:tcW w:w="709" w:type="dxa"/>
                  <w:tcBorders>
                    <w:tl2br w:val="nil"/>
                    <w:tr2bl w:val="nil"/>
                  </w:tcBorders>
                  <w:noWrap w:val="0"/>
                  <w:vAlign w:val="center"/>
                </w:tcPr>
                <w:p w14:paraId="6CC30D3C">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13</w:t>
                  </w:r>
                </w:p>
              </w:tc>
              <w:tc>
                <w:tcPr>
                  <w:tcW w:w="977" w:type="dxa"/>
                  <w:tcBorders>
                    <w:tl2br w:val="nil"/>
                    <w:tr2bl w:val="nil"/>
                  </w:tcBorders>
                  <w:noWrap w:val="0"/>
                  <w:vAlign w:val="center"/>
                </w:tcPr>
                <w:p w14:paraId="6B84A654">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rPr>
                    <w:t>汞</w:t>
                  </w:r>
                  <w:r>
                    <w:rPr>
                      <w:rFonts w:hint="eastAsia" w:ascii="宋体" w:hAnsi="宋体" w:eastAsia="宋体" w:cs="宋体"/>
                      <w:color w:val="000000"/>
                      <w:sz w:val="21"/>
                      <w:szCs w:val="21"/>
                      <w:highlight w:val="none"/>
                      <w:lang w:eastAsia="en-US"/>
                    </w:rPr>
                    <w:t>（</w:t>
                  </w:r>
                  <w:r>
                    <w:rPr>
                      <w:rFonts w:hint="eastAsia" w:ascii="宋体" w:hAnsi="宋体" w:eastAsia="宋体" w:cs="宋体"/>
                      <w:color w:val="000000"/>
                      <w:spacing w:val="-28"/>
                      <w:sz w:val="21"/>
                      <w:szCs w:val="21"/>
                      <w:highlight w:val="none"/>
                      <w:lang w:eastAsia="en-US"/>
                    </w:rPr>
                    <w:t>以</w:t>
                  </w:r>
                  <w:r>
                    <w:rPr>
                      <w:rFonts w:hint="eastAsia" w:ascii="宋体" w:hAnsi="宋体" w:eastAsia="宋体" w:cs="宋体"/>
                      <w:color w:val="000000"/>
                      <w:sz w:val="21"/>
                      <w:szCs w:val="21"/>
                      <w:highlight w:val="none"/>
                      <w:lang w:eastAsia="en-US"/>
                    </w:rPr>
                    <w:t>Hg</w:t>
                  </w:r>
                  <w:r>
                    <w:rPr>
                      <w:rFonts w:hint="eastAsia" w:ascii="宋体" w:hAnsi="宋体" w:eastAsia="宋体" w:cs="宋体"/>
                      <w:color w:val="000000"/>
                      <w:spacing w:val="-27"/>
                      <w:sz w:val="21"/>
                      <w:szCs w:val="21"/>
                      <w:highlight w:val="none"/>
                      <w:lang w:eastAsia="en-US"/>
                    </w:rPr>
                    <w:t>计</w:t>
                  </w:r>
                  <w:r>
                    <w:rPr>
                      <w:rFonts w:hint="eastAsia" w:ascii="宋体" w:hAnsi="宋体" w:eastAsia="宋体" w:cs="宋体"/>
                      <w:color w:val="000000"/>
                      <w:spacing w:val="-27"/>
                      <w:sz w:val="21"/>
                      <w:szCs w:val="21"/>
                      <w:highlight w:val="none"/>
                    </w:rPr>
                    <w:t>）</w:t>
                  </w:r>
                  <w:r>
                    <w:rPr>
                      <w:rFonts w:hint="eastAsia" w:ascii="宋体" w:hAnsi="宋体" w:eastAsia="宋体" w:cs="宋体"/>
                      <w:color w:val="000000"/>
                      <w:sz w:val="21"/>
                      <w:szCs w:val="21"/>
                      <w:highlight w:val="none"/>
                      <w:lang w:eastAsia="en-US"/>
                    </w:rPr>
                    <w:t>mg/kg</w:t>
                  </w:r>
                </w:p>
              </w:tc>
              <w:tc>
                <w:tcPr>
                  <w:tcW w:w="2992" w:type="dxa"/>
                  <w:tcBorders>
                    <w:tl2br w:val="nil"/>
                    <w:tr2bl w:val="nil"/>
                  </w:tcBorders>
                  <w:noWrap w:val="0"/>
                  <w:vAlign w:val="center"/>
                </w:tcPr>
                <w:p w14:paraId="1851532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稻谷、糙米、大米、玉米、玉米面（渣、片）、小麦、小麦粉</w:t>
                  </w:r>
                </w:p>
              </w:tc>
              <w:tc>
                <w:tcPr>
                  <w:tcW w:w="2537" w:type="dxa"/>
                  <w:gridSpan w:val="2"/>
                  <w:tcBorders>
                    <w:tl2br w:val="nil"/>
                    <w:tr2bl w:val="nil"/>
                  </w:tcBorders>
                  <w:noWrap w:val="0"/>
                  <w:vAlign w:val="center"/>
                </w:tcPr>
                <w:p w14:paraId="619F33D2">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≤0.02</w:t>
                  </w:r>
                </w:p>
              </w:tc>
            </w:tr>
            <w:tr w14:paraId="75C56B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709" w:type="dxa"/>
                  <w:tcBorders>
                    <w:tl2br w:val="nil"/>
                    <w:tr2bl w:val="nil"/>
                  </w:tcBorders>
                  <w:noWrap w:val="0"/>
                  <w:vAlign w:val="center"/>
                </w:tcPr>
                <w:p w14:paraId="555377A3">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14</w:t>
                  </w:r>
                </w:p>
              </w:tc>
              <w:tc>
                <w:tcPr>
                  <w:tcW w:w="3969" w:type="dxa"/>
                  <w:gridSpan w:val="2"/>
                  <w:tcBorders>
                    <w:tl2br w:val="nil"/>
                    <w:tr2bl w:val="nil"/>
                  </w:tcBorders>
                  <w:noWrap w:val="0"/>
                  <w:vAlign w:val="center"/>
                </w:tcPr>
                <w:p w14:paraId="61F9F73A">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色泽</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en-US"/>
                    </w:rPr>
                    <w:t>气味</w:t>
                  </w:r>
                  <w:r>
                    <w:rPr>
                      <w:rFonts w:hint="eastAsia" w:ascii="宋体" w:hAnsi="宋体" w:eastAsia="宋体" w:cs="宋体"/>
                      <w:color w:val="000000"/>
                      <w:sz w:val="21"/>
                      <w:szCs w:val="21"/>
                      <w:highlight w:val="none"/>
                    </w:rPr>
                    <w:t>、口</w:t>
                  </w:r>
                  <w:r>
                    <w:rPr>
                      <w:rFonts w:hint="eastAsia" w:ascii="宋体" w:hAnsi="宋体" w:eastAsia="宋体" w:cs="宋体"/>
                      <w:color w:val="000000"/>
                      <w:sz w:val="21"/>
                      <w:szCs w:val="21"/>
                      <w:highlight w:val="none"/>
                      <w:lang w:eastAsia="en-US"/>
                    </w:rPr>
                    <w:t>味</w:t>
                  </w:r>
                </w:p>
              </w:tc>
              <w:tc>
                <w:tcPr>
                  <w:tcW w:w="2537" w:type="dxa"/>
                  <w:gridSpan w:val="2"/>
                  <w:tcBorders>
                    <w:tl2br w:val="nil"/>
                    <w:tr2bl w:val="nil"/>
                  </w:tcBorders>
                  <w:noWrap w:val="0"/>
                  <w:vAlign w:val="center"/>
                </w:tcPr>
                <w:p w14:paraId="643A9B53">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正常</w:t>
                  </w:r>
                </w:p>
              </w:tc>
            </w:tr>
            <w:tr w14:paraId="130446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709" w:type="dxa"/>
                  <w:tcBorders>
                    <w:tl2br w:val="nil"/>
                    <w:tr2bl w:val="nil"/>
                  </w:tcBorders>
                  <w:noWrap w:val="0"/>
                  <w:vAlign w:val="center"/>
                </w:tcPr>
                <w:p w14:paraId="4CD98369">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15</w:t>
                  </w:r>
                </w:p>
              </w:tc>
              <w:tc>
                <w:tcPr>
                  <w:tcW w:w="3969" w:type="dxa"/>
                  <w:gridSpan w:val="2"/>
                  <w:tcBorders>
                    <w:tl2br w:val="nil"/>
                    <w:tr2bl w:val="nil"/>
                  </w:tcBorders>
                  <w:noWrap w:val="0"/>
                  <w:vAlign w:val="center"/>
                </w:tcPr>
                <w:p w14:paraId="43827663">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标签检验</w:t>
                  </w:r>
                </w:p>
              </w:tc>
              <w:tc>
                <w:tcPr>
                  <w:tcW w:w="2537" w:type="dxa"/>
                  <w:gridSpan w:val="2"/>
                  <w:tcBorders>
                    <w:tl2br w:val="nil"/>
                    <w:tr2bl w:val="nil"/>
                  </w:tcBorders>
                  <w:noWrap w:val="0"/>
                  <w:vAlign w:val="center"/>
                </w:tcPr>
                <w:p w14:paraId="45CF533A">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符合GB2715-2005标准第九款要求</w:t>
                  </w:r>
                </w:p>
              </w:tc>
            </w:tr>
            <w:tr w14:paraId="1843BD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709" w:type="dxa"/>
                  <w:vMerge w:val="restart"/>
                  <w:tcBorders>
                    <w:tl2br w:val="nil"/>
                    <w:tr2bl w:val="nil"/>
                  </w:tcBorders>
                  <w:noWrap w:val="0"/>
                  <w:vAlign w:val="center"/>
                </w:tcPr>
                <w:p w14:paraId="7CF230F8">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16</w:t>
                  </w:r>
                </w:p>
              </w:tc>
              <w:tc>
                <w:tcPr>
                  <w:tcW w:w="977" w:type="dxa"/>
                  <w:vMerge w:val="restart"/>
                  <w:tcBorders>
                    <w:tl2br w:val="nil"/>
                    <w:tr2bl w:val="nil"/>
                  </w:tcBorders>
                  <w:noWrap w:val="0"/>
                  <w:vAlign w:val="center"/>
                </w:tcPr>
                <w:p w14:paraId="5A486EC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镉（以Cd计）mg/kg</w:t>
                  </w:r>
                </w:p>
              </w:tc>
              <w:tc>
                <w:tcPr>
                  <w:tcW w:w="2992" w:type="dxa"/>
                  <w:tcBorders>
                    <w:tl2br w:val="nil"/>
                    <w:tr2bl w:val="nil"/>
                  </w:tcBorders>
                  <w:noWrap w:val="0"/>
                  <w:vAlign w:val="center"/>
                </w:tcPr>
                <w:p w14:paraId="21739EA2">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谷物（稻谷除外）</w:t>
                  </w:r>
                </w:p>
              </w:tc>
              <w:tc>
                <w:tcPr>
                  <w:tcW w:w="2537" w:type="dxa"/>
                  <w:gridSpan w:val="2"/>
                  <w:tcBorders>
                    <w:tl2br w:val="nil"/>
                    <w:tr2bl w:val="nil"/>
                  </w:tcBorders>
                  <w:noWrap w:val="0"/>
                  <w:vAlign w:val="center"/>
                </w:tcPr>
                <w:p w14:paraId="483A398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≤0.1</w:t>
                  </w:r>
                </w:p>
              </w:tc>
            </w:tr>
            <w:tr w14:paraId="0C834C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83" w:hRule="atLeast"/>
                <w:jc w:val="center"/>
              </w:trPr>
              <w:tc>
                <w:tcPr>
                  <w:tcW w:w="709" w:type="dxa"/>
                  <w:vMerge w:val="continue"/>
                  <w:tcBorders>
                    <w:tl2br w:val="nil"/>
                    <w:tr2bl w:val="nil"/>
                  </w:tcBorders>
                  <w:noWrap w:val="0"/>
                  <w:vAlign w:val="center"/>
                </w:tcPr>
                <w:p w14:paraId="5AE450AA">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977" w:type="dxa"/>
                  <w:vMerge w:val="continue"/>
                  <w:tcBorders>
                    <w:tl2br w:val="nil"/>
                    <w:tr2bl w:val="nil"/>
                  </w:tcBorders>
                  <w:noWrap w:val="0"/>
                  <w:vAlign w:val="center"/>
                </w:tcPr>
                <w:p w14:paraId="53BD6EFB">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2992" w:type="dxa"/>
                  <w:tcBorders>
                    <w:tl2br w:val="nil"/>
                    <w:tr2bl w:val="nil"/>
                  </w:tcBorders>
                  <w:noWrap w:val="0"/>
                  <w:vAlign w:val="center"/>
                </w:tcPr>
                <w:p w14:paraId="182AE0D1">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谷物碾磨加工品</w:t>
                  </w:r>
                </w:p>
                <w:p w14:paraId="57E6E3FA">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（糙米、大米除外）</w:t>
                  </w:r>
                </w:p>
              </w:tc>
              <w:tc>
                <w:tcPr>
                  <w:tcW w:w="2537" w:type="dxa"/>
                  <w:gridSpan w:val="2"/>
                  <w:tcBorders>
                    <w:tl2br w:val="nil"/>
                    <w:tr2bl w:val="nil"/>
                  </w:tcBorders>
                  <w:noWrap w:val="0"/>
                  <w:vAlign w:val="center"/>
                </w:tcPr>
                <w:p w14:paraId="054F5610">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≤0.1</w:t>
                  </w:r>
                </w:p>
              </w:tc>
            </w:tr>
            <w:tr w14:paraId="78632D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5" w:hRule="atLeast"/>
                <w:jc w:val="center"/>
              </w:trPr>
              <w:tc>
                <w:tcPr>
                  <w:tcW w:w="709" w:type="dxa"/>
                  <w:vMerge w:val="continue"/>
                  <w:tcBorders>
                    <w:tl2br w:val="nil"/>
                    <w:tr2bl w:val="nil"/>
                  </w:tcBorders>
                  <w:noWrap w:val="0"/>
                  <w:vAlign w:val="center"/>
                </w:tcPr>
                <w:p w14:paraId="4D2A5912">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977" w:type="dxa"/>
                  <w:vMerge w:val="continue"/>
                  <w:tcBorders>
                    <w:tl2br w:val="nil"/>
                    <w:tr2bl w:val="nil"/>
                  </w:tcBorders>
                  <w:noWrap w:val="0"/>
                  <w:vAlign w:val="center"/>
                </w:tcPr>
                <w:p w14:paraId="6A694482">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2992" w:type="dxa"/>
                  <w:tcBorders>
                    <w:tl2br w:val="nil"/>
                    <w:tr2bl w:val="nil"/>
                  </w:tcBorders>
                  <w:noWrap w:val="0"/>
                  <w:vAlign w:val="center"/>
                </w:tcPr>
                <w:p w14:paraId="20C9E97D">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稻谷、糙米、大米</w:t>
                  </w:r>
                </w:p>
              </w:tc>
              <w:tc>
                <w:tcPr>
                  <w:tcW w:w="2537" w:type="dxa"/>
                  <w:gridSpan w:val="2"/>
                  <w:tcBorders>
                    <w:tl2br w:val="nil"/>
                    <w:tr2bl w:val="nil"/>
                  </w:tcBorders>
                  <w:noWrap w:val="0"/>
                  <w:vAlign w:val="center"/>
                </w:tcPr>
                <w:p w14:paraId="03D3D60D">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≤0.2</w:t>
                  </w:r>
                </w:p>
              </w:tc>
            </w:tr>
            <w:tr w14:paraId="58C0DC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709" w:type="dxa"/>
                  <w:vMerge w:val="restart"/>
                  <w:tcBorders>
                    <w:tl2br w:val="nil"/>
                    <w:tr2bl w:val="nil"/>
                  </w:tcBorders>
                  <w:noWrap w:val="0"/>
                  <w:vAlign w:val="center"/>
                </w:tcPr>
                <w:p w14:paraId="1E652BBA">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17</w:t>
                  </w:r>
                </w:p>
              </w:tc>
              <w:tc>
                <w:tcPr>
                  <w:tcW w:w="977" w:type="dxa"/>
                  <w:vMerge w:val="restart"/>
                  <w:tcBorders>
                    <w:tl2br w:val="nil"/>
                    <w:tr2bl w:val="nil"/>
                  </w:tcBorders>
                  <w:noWrap w:val="0"/>
                  <w:vAlign w:val="center"/>
                </w:tcPr>
                <w:p w14:paraId="734A966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砷（以As计）mg/kg</w:t>
                  </w:r>
                </w:p>
              </w:tc>
              <w:tc>
                <w:tcPr>
                  <w:tcW w:w="2992" w:type="dxa"/>
                  <w:tcBorders>
                    <w:tl2br w:val="nil"/>
                    <w:tr2bl w:val="nil"/>
                  </w:tcBorders>
                  <w:noWrap w:val="0"/>
                  <w:vAlign w:val="center"/>
                </w:tcPr>
                <w:p w14:paraId="26FE014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品种</w:t>
                  </w:r>
                </w:p>
              </w:tc>
              <w:tc>
                <w:tcPr>
                  <w:tcW w:w="1564" w:type="dxa"/>
                  <w:tcBorders>
                    <w:tl2br w:val="nil"/>
                    <w:tr2bl w:val="nil"/>
                  </w:tcBorders>
                  <w:noWrap w:val="0"/>
                  <w:vAlign w:val="center"/>
                </w:tcPr>
                <w:p w14:paraId="7290816F">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总砷</w:t>
                  </w:r>
                </w:p>
              </w:tc>
              <w:tc>
                <w:tcPr>
                  <w:tcW w:w="973" w:type="dxa"/>
                  <w:tcBorders>
                    <w:tl2br w:val="nil"/>
                    <w:tr2bl w:val="nil"/>
                  </w:tcBorders>
                  <w:noWrap w:val="0"/>
                  <w:vAlign w:val="center"/>
                </w:tcPr>
                <w:p w14:paraId="6934152D">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无机砷</w:t>
                  </w:r>
                </w:p>
              </w:tc>
            </w:tr>
            <w:tr w14:paraId="6CDB54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709" w:type="dxa"/>
                  <w:vMerge w:val="continue"/>
                  <w:tcBorders>
                    <w:tl2br w:val="nil"/>
                    <w:tr2bl w:val="nil"/>
                  </w:tcBorders>
                  <w:noWrap w:val="0"/>
                  <w:vAlign w:val="center"/>
                </w:tcPr>
                <w:p w14:paraId="792C681B">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977" w:type="dxa"/>
                  <w:vMerge w:val="continue"/>
                  <w:tcBorders>
                    <w:tl2br w:val="nil"/>
                    <w:tr2bl w:val="nil"/>
                  </w:tcBorders>
                  <w:noWrap w:val="0"/>
                  <w:vAlign w:val="center"/>
                </w:tcPr>
                <w:p w14:paraId="28268E1A">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2992" w:type="dxa"/>
                  <w:tcBorders>
                    <w:tl2br w:val="nil"/>
                    <w:tr2bl w:val="nil"/>
                  </w:tcBorders>
                  <w:noWrap w:val="0"/>
                  <w:vAlign w:val="center"/>
                </w:tcPr>
                <w:p w14:paraId="2C215E5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谷物（稻谷除外）</w:t>
                  </w:r>
                </w:p>
              </w:tc>
              <w:tc>
                <w:tcPr>
                  <w:tcW w:w="1564" w:type="dxa"/>
                  <w:tcBorders>
                    <w:tl2br w:val="nil"/>
                    <w:tr2bl w:val="nil"/>
                  </w:tcBorders>
                  <w:noWrap w:val="0"/>
                  <w:vAlign w:val="center"/>
                </w:tcPr>
                <w:p w14:paraId="757E3775">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≤0.5</w:t>
                  </w:r>
                </w:p>
              </w:tc>
              <w:tc>
                <w:tcPr>
                  <w:tcW w:w="973" w:type="dxa"/>
                  <w:tcBorders>
                    <w:tl2br w:val="nil"/>
                    <w:tr2bl w:val="nil"/>
                  </w:tcBorders>
                  <w:noWrap w:val="0"/>
                  <w:vAlign w:val="center"/>
                </w:tcPr>
                <w:p w14:paraId="58ADA89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w w:val="99"/>
                      <w:sz w:val="21"/>
                      <w:szCs w:val="21"/>
                      <w:highlight w:val="none"/>
                      <w:lang w:eastAsia="en-US"/>
                    </w:rPr>
                    <w:t>—</w:t>
                  </w:r>
                </w:p>
              </w:tc>
            </w:tr>
            <w:tr w14:paraId="4080D0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87" w:hRule="atLeast"/>
                <w:jc w:val="center"/>
              </w:trPr>
              <w:tc>
                <w:tcPr>
                  <w:tcW w:w="709" w:type="dxa"/>
                  <w:vMerge w:val="continue"/>
                  <w:tcBorders>
                    <w:tl2br w:val="nil"/>
                    <w:tr2bl w:val="nil"/>
                  </w:tcBorders>
                  <w:noWrap w:val="0"/>
                  <w:vAlign w:val="center"/>
                </w:tcPr>
                <w:p w14:paraId="29406D9E">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977" w:type="dxa"/>
                  <w:vMerge w:val="continue"/>
                  <w:tcBorders>
                    <w:tl2br w:val="nil"/>
                    <w:tr2bl w:val="nil"/>
                  </w:tcBorders>
                  <w:noWrap w:val="0"/>
                  <w:vAlign w:val="center"/>
                </w:tcPr>
                <w:p w14:paraId="6B102D6B">
                  <w:pPr>
                    <w:autoSpaceDE w:val="0"/>
                    <w:autoSpaceDN w:val="0"/>
                    <w:spacing w:line="360" w:lineRule="auto"/>
                    <w:jc w:val="center"/>
                    <w:rPr>
                      <w:rFonts w:hint="eastAsia" w:ascii="宋体" w:hAnsi="宋体" w:eastAsia="宋体" w:cs="宋体"/>
                      <w:color w:val="000000"/>
                      <w:kern w:val="0"/>
                      <w:sz w:val="21"/>
                      <w:szCs w:val="21"/>
                      <w:highlight w:val="none"/>
                      <w:lang w:eastAsia="en-US"/>
                    </w:rPr>
                  </w:pPr>
                </w:p>
              </w:tc>
              <w:tc>
                <w:tcPr>
                  <w:tcW w:w="2992" w:type="dxa"/>
                  <w:tcBorders>
                    <w:tl2br w:val="nil"/>
                    <w:tr2bl w:val="nil"/>
                  </w:tcBorders>
                  <w:noWrap w:val="0"/>
                  <w:vAlign w:val="center"/>
                </w:tcPr>
                <w:p w14:paraId="05D2730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谷物碾磨加工品（糙米、大米除外）</w:t>
                  </w:r>
                </w:p>
              </w:tc>
              <w:tc>
                <w:tcPr>
                  <w:tcW w:w="1564" w:type="dxa"/>
                  <w:tcBorders>
                    <w:tl2br w:val="nil"/>
                    <w:tr2bl w:val="nil"/>
                  </w:tcBorders>
                  <w:noWrap w:val="0"/>
                  <w:vAlign w:val="center"/>
                </w:tcPr>
                <w:p w14:paraId="6E800201">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≤0.5</w:t>
                  </w:r>
                </w:p>
              </w:tc>
              <w:tc>
                <w:tcPr>
                  <w:tcW w:w="973" w:type="dxa"/>
                  <w:tcBorders>
                    <w:tl2br w:val="nil"/>
                    <w:tr2bl w:val="nil"/>
                  </w:tcBorders>
                  <w:noWrap w:val="0"/>
                  <w:vAlign w:val="center"/>
                </w:tcPr>
                <w:p w14:paraId="0C1C18A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w w:val="99"/>
                      <w:sz w:val="21"/>
                      <w:szCs w:val="21"/>
                      <w:highlight w:val="none"/>
                    </w:rPr>
                    <w:t>—</w:t>
                  </w:r>
                </w:p>
              </w:tc>
            </w:tr>
            <w:tr w14:paraId="46D2D4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709" w:type="dxa"/>
                  <w:vMerge w:val="continue"/>
                  <w:tcBorders>
                    <w:tl2br w:val="nil"/>
                    <w:tr2bl w:val="nil"/>
                  </w:tcBorders>
                  <w:noWrap w:val="0"/>
                  <w:vAlign w:val="center"/>
                </w:tcPr>
                <w:p w14:paraId="50D24555">
                  <w:pPr>
                    <w:autoSpaceDE w:val="0"/>
                    <w:autoSpaceDN w:val="0"/>
                    <w:spacing w:line="360" w:lineRule="auto"/>
                    <w:jc w:val="center"/>
                    <w:rPr>
                      <w:rFonts w:hint="eastAsia" w:ascii="宋体" w:hAnsi="宋体" w:eastAsia="宋体" w:cs="宋体"/>
                      <w:color w:val="000000"/>
                      <w:kern w:val="0"/>
                      <w:sz w:val="21"/>
                      <w:szCs w:val="21"/>
                      <w:highlight w:val="none"/>
                    </w:rPr>
                  </w:pPr>
                </w:p>
              </w:tc>
              <w:tc>
                <w:tcPr>
                  <w:tcW w:w="977" w:type="dxa"/>
                  <w:vMerge w:val="continue"/>
                  <w:tcBorders>
                    <w:tl2br w:val="nil"/>
                    <w:tr2bl w:val="nil"/>
                  </w:tcBorders>
                  <w:noWrap w:val="0"/>
                  <w:vAlign w:val="center"/>
                </w:tcPr>
                <w:p w14:paraId="708A12E1">
                  <w:pPr>
                    <w:autoSpaceDE w:val="0"/>
                    <w:autoSpaceDN w:val="0"/>
                    <w:spacing w:line="360" w:lineRule="auto"/>
                    <w:jc w:val="center"/>
                    <w:rPr>
                      <w:rFonts w:hint="eastAsia" w:ascii="宋体" w:hAnsi="宋体" w:eastAsia="宋体" w:cs="宋体"/>
                      <w:color w:val="000000"/>
                      <w:kern w:val="0"/>
                      <w:sz w:val="21"/>
                      <w:szCs w:val="21"/>
                      <w:highlight w:val="none"/>
                    </w:rPr>
                  </w:pPr>
                </w:p>
              </w:tc>
              <w:tc>
                <w:tcPr>
                  <w:tcW w:w="2992" w:type="dxa"/>
                  <w:tcBorders>
                    <w:tl2br w:val="nil"/>
                    <w:tr2bl w:val="nil"/>
                  </w:tcBorders>
                  <w:noWrap w:val="0"/>
                  <w:vAlign w:val="center"/>
                </w:tcPr>
                <w:p w14:paraId="25A0A871">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稻谷、糙米、大米</w:t>
                  </w:r>
                </w:p>
              </w:tc>
              <w:tc>
                <w:tcPr>
                  <w:tcW w:w="1564" w:type="dxa"/>
                  <w:tcBorders>
                    <w:tl2br w:val="nil"/>
                    <w:tr2bl w:val="nil"/>
                  </w:tcBorders>
                  <w:noWrap w:val="0"/>
                  <w:vAlign w:val="center"/>
                </w:tcPr>
                <w:p w14:paraId="1BF74172">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w w:val="99"/>
                      <w:sz w:val="21"/>
                      <w:szCs w:val="21"/>
                      <w:highlight w:val="none"/>
                    </w:rPr>
                    <w:t>—</w:t>
                  </w:r>
                </w:p>
              </w:tc>
              <w:tc>
                <w:tcPr>
                  <w:tcW w:w="973" w:type="dxa"/>
                  <w:tcBorders>
                    <w:tl2br w:val="nil"/>
                    <w:tr2bl w:val="nil"/>
                  </w:tcBorders>
                  <w:noWrap w:val="0"/>
                  <w:vAlign w:val="center"/>
                </w:tcPr>
                <w:p w14:paraId="49EC603A">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≤0.2</w:t>
                  </w:r>
                </w:p>
              </w:tc>
            </w:tr>
          </w:tbl>
          <w:p w14:paraId="34CD7DE1">
            <w:pPr>
              <w:spacing w:line="360" w:lineRule="auto"/>
              <w:rPr>
                <w:rFonts w:hint="eastAsia" w:ascii="宋体" w:hAnsi="宋体" w:eastAsia="宋体" w:cs="宋体"/>
                <w:bCs/>
                <w:color w:val="000000"/>
                <w:sz w:val="21"/>
                <w:szCs w:val="21"/>
                <w:highlight w:val="none"/>
              </w:rPr>
            </w:pPr>
          </w:p>
        </w:tc>
      </w:tr>
      <w:tr w14:paraId="4C6F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trPr>
        <w:tc>
          <w:tcPr>
            <w:tcW w:w="760" w:type="dxa"/>
            <w:noWrap w:val="0"/>
            <w:vAlign w:val="center"/>
          </w:tcPr>
          <w:p w14:paraId="71173557">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米</w:t>
            </w:r>
          </w:p>
          <w:p w14:paraId="65AF8FA0">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面</w:t>
            </w:r>
          </w:p>
          <w:p w14:paraId="0C53ADC6">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油</w:t>
            </w:r>
          </w:p>
        </w:tc>
        <w:tc>
          <w:tcPr>
            <w:tcW w:w="7762" w:type="dxa"/>
            <w:noWrap w:val="0"/>
            <w:vAlign w:val="top"/>
          </w:tcPr>
          <w:p w14:paraId="50C6138A">
            <w:pPr>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（二）面粉</w:t>
            </w:r>
          </w:p>
          <w:p w14:paraId="60D3F9C6">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质量达到国家标准，无霉变，无杂质，一年内新粮研磨所制，可加工制作包子、馒头、米糕等食品。包装袋上必须要有产品名称、产品类型、产品标准号、质量等级、保质期限、生产日期和净含量等标识且符合食品安全法要求。面粉、米粉的生产商必须为国内合法注册的厂家，须取得合法的相关证照。符合GB/T 1355标准，含沙量≤0.02%，水分≤14.5%。</w:t>
            </w:r>
          </w:p>
        </w:tc>
      </w:tr>
      <w:tr w14:paraId="0902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trPr>
        <w:tc>
          <w:tcPr>
            <w:tcW w:w="760" w:type="dxa"/>
            <w:noWrap w:val="0"/>
            <w:vAlign w:val="center"/>
          </w:tcPr>
          <w:p w14:paraId="08D72FB4">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米</w:t>
            </w:r>
          </w:p>
          <w:p w14:paraId="28875369">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面</w:t>
            </w:r>
          </w:p>
          <w:p w14:paraId="6144B8F7">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油</w:t>
            </w:r>
          </w:p>
        </w:tc>
        <w:tc>
          <w:tcPr>
            <w:tcW w:w="7762" w:type="dxa"/>
            <w:noWrap w:val="0"/>
            <w:vAlign w:val="top"/>
          </w:tcPr>
          <w:p w14:paraId="379E12B3">
            <w:pPr>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（三）食用油</w:t>
            </w:r>
          </w:p>
          <w:p w14:paraId="31C21C09">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非转基因，外包装完好，有“SC”标志或“QS”标志，标明品名、厂名、重量、生产日期、保质期或保存期、执行标准，具有产品合格证。具有正常植物油的色泽、透明度、气味和滋味，无焦臭、酸败及其他异味，植物油应符合《食用植物油卫生标准》（GB2716-2005），重金属元素不超过《食品中污染物限量》（GB2762-2012）的标准。具体要求如下：</w:t>
            </w:r>
          </w:p>
          <w:p w14:paraId="547975E4">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（1）气味、滋味：具有固有的气味和滋味，无异味；</w:t>
            </w:r>
          </w:p>
          <w:p w14:paraId="4889E174">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（2）加热试验（280℃）油色不得变深，无析出物；</w:t>
            </w:r>
          </w:p>
          <w:p w14:paraId="6BF1905E">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（3）不得混有其他食用油或非食用油；</w:t>
            </w:r>
          </w:p>
          <w:p w14:paraId="35E850FF">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（4）卫生标准和动植物检疫项目，按照国家有关规定执行；</w:t>
            </w:r>
          </w:p>
          <w:p w14:paraId="43074257">
            <w:pPr>
              <w:spacing w:line="360" w:lineRule="auto"/>
              <w:ind w:firstLine="420" w:firstLineChars="200"/>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（5）必须符合中华人民共和国主席令第二十一号《中华人民共和国食品安全法》的相关规定。</w:t>
            </w:r>
          </w:p>
          <w:p w14:paraId="49DB2687">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2.非转基因压榨工艺，大豆油需符合GB/T 1535，花生油需符合GB/T 1534，提供每批次质检报告。</w:t>
            </w:r>
          </w:p>
          <w:p w14:paraId="7AAD0163">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3.米、食用油生产厂家必须是独立的企业法人，具有全国工业（食品）生产许可证；具有近三个月内市级以上质量技术监督部门产品质量检验报告。</w:t>
            </w:r>
            <w:r>
              <w:rPr>
                <w:rFonts w:hint="eastAsia" w:ascii="宋体" w:hAnsi="宋体" w:eastAsia="宋体" w:cs="宋体"/>
                <w:bCs/>
                <w:color w:val="000000"/>
                <w:sz w:val="21"/>
                <w:szCs w:val="21"/>
                <w:lang w:eastAsia="zh-CN"/>
              </w:rPr>
              <w:t>投标人</w:t>
            </w:r>
            <w:r>
              <w:rPr>
                <w:rFonts w:hint="eastAsia" w:ascii="宋体" w:hAnsi="宋体" w:eastAsia="宋体" w:cs="宋体"/>
                <w:bCs/>
                <w:color w:val="000000"/>
                <w:sz w:val="21"/>
                <w:szCs w:val="21"/>
              </w:rPr>
              <w:t>需</w:t>
            </w:r>
            <w:r>
              <w:rPr>
                <w:rFonts w:hint="eastAsia" w:ascii="宋体" w:hAnsi="宋体" w:eastAsia="宋体" w:cs="宋体"/>
                <w:bCs/>
                <w:color w:val="000000"/>
                <w:sz w:val="21"/>
                <w:szCs w:val="21"/>
                <w:lang w:val="en-US" w:eastAsia="zh-CN"/>
              </w:rPr>
              <w:t>具备</w:t>
            </w:r>
            <w:r>
              <w:rPr>
                <w:rFonts w:hint="eastAsia" w:ascii="宋体" w:hAnsi="宋体" w:eastAsia="宋体" w:cs="宋体"/>
                <w:bCs/>
                <w:color w:val="000000"/>
                <w:sz w:val="21"/>
                <w:szCs w:val="21"/>
              </w:rPr>
              <w:t>生产厂家的授权书。</w:t>
            </w:r>
          </w:p>
        </w:tc>
      </w:tr>
      <w:tr w14:paraId="53CC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9" w:hRule="atLeast"/>
        </w:trPr>
        <w:tc>
          <w:tcPr>
            <w:tcW w:w="760" w:type="dxa"/>
            <w:noWrap w:val="0"/>
            <w:vAlign w:val="center"/>
          </w:tcPr>
          <w:p w14:paraId="66D17AF5">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干</w:t>
            </w:r>
          </w:p>
          <w:p w14:paraId="7D5ECD2E">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货</w:t>
            </w:r>
          </w:p>
          <w:p w14:paraId="331E717C">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调</w:t>
            </w:r>
          </w:p>
          <w:p w14:paraId="053A6A63">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味</w:t>
            </w:r>
          </w:p>
          <w:p w14:paraId="54162CAE">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品</w:t>
            </w:r>
          </w:p>
          <w:p w14:paraId="6EC8B4C6">
            <w:pPr>
              <w:spacing w:line="360" w:lineRule="auto"/>
              <w:jc w:val="center"/>
              <w:rPr>
                <w:rFonts w:hint="eastAsia" w:ascii="宋体" w:hAnsi="宋体" w:eastAsia="宋体" w:cs="宋体"/>
                <w:b/>
                <w:color w:val="000000"/>
                <w:sz w:val="21"/>
                <w:szCs w:val="21"/>
                <w:highlight w:val="none"/>
              </w:rPr>
            </w:pPr>
          </w:p>
        </w:tc>
        <w:tc>
          <w:tcPr>
            <w:tcW w:w="7762" w:type="dxa"/>
            <w:noWrap w:val="0"/>
            <w:vAlign w:val="top"/>
          </w:tcPr>
          <w:p w14:paraId="1154F1EA">
            <w:pPr>
              <w:widowControl/>
              <w:spacing w:line="360" w:lineRule="auto"/>
              <w:jc w:val="left"/>
              <w:rPr>
                <w:rFonts w:hint="eastAsia" w:ascii="宋体" w:hAnsi="宋体" w:eastAsia="宋体" w:cs="宋体"/>
                <w:bCs/>
                <w:color w:val="000000"/>
                <w:sz w:val="21"/>
                <w:szCs w:val="21"/>
                <w:highlight w:val="none"/>
              </w:rPr>
            </w:pPr>
          </w:p>
          <w:p w14:paraId="048AC016">
            <w:pPr>
              <w:widowControl/>
              <w:spacing w:line="360" w:lineRule="auto"/>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1.调味品：</w:t>
            </w:r>
            <w:r>
              <w:rPr>
                <w:rFonts w:hint="eastAsia" w:ascii="宋体" w:hAnsi="宋体" w:eastAsia="宋体" w:cs="宋体"/>
                <w:color w:val="000000"/>
                <w:spacing w:val="1"/>
                <w:sz w:val="21"/>
                <w:szCs w:val="21"/>
                <w:highlight w:val="none"/>
              </w:rPr>
              <w:t>酱油、盐、鸡精、味精、米醋、料酒、淀粉、酵母、糖等，各项产品符合《GB 2763-2014 食品安全国家标准》及其他相关标准。</w:t>
            </w:r>
          </w:p>
          <w:p w14:paraId="1939F27C">
            <w:pPr>
              <w:widowControl/>
              <w:spacing w:line="360" w:lineRule="auto"/>
              <w:jc w:val="left"/>
              <w:rPr>
                <w:rFonts w:hint="eastAsia" w:ascii="宋体" w:hAnsi="宋体" w:eastAsia="宋体" w:cs="宋体"/>
                <w:color w:val="000000"/>
                <w:spacing w:val="1"/>
                <w:sz w:val="21"/>
                <w:szCs w:val="21"/>
                <w:highlight w:val="none"/>
              </w:rPr>
            </w:pPr>
            <w:r>
              <w:rPr>
                <w:rFonts w:hint="eastAsia" w:ascii="宋体" w:hAnsi="宋体" w:eastAsia="宋体" w:cs="宋体"/>
                <w:bCs/>
                <w:color w:val="000000"/>
                <w:sz w:val="21"/>
                <w:szCs w:val="21"/>
                <w:highlight w:val="none"/>
              </w:rPr>
              <w:t>2.干货</w:t>
            </w:r>
            <w:r>
              <w:rPr>
                <w:rFonts w:hint="eastAsia" w:ascii="宋体" w:hAnsi="宋体" w:eastAsia="宋体" w:cs="宋体"/>
                <w:color w:val="000000"/>
                <w:spacing w:val="1"/>
                <w:sz w:val="21"/>
                <w:szCs w:val="21"/>
                <w:highlight w:val="none"/>
              </w:rPr>
              <w:t>要求“三无</w:t>
            </w:r>
            <w:r>
              <w:rPr>
                <w:rFonts w:hint="eastAsia" w:ascii="宋体" w:hAnsi="宋体" w:eastAsia="宋体" w:cs="宋体"/>
                <w:color w:val="000000"/>
                <w:spacing w:val="4"/>
                <w:sz w:val="21"/>
                <w:szCs w:val="21"/>
                <w:highlight w:val="none"/>
              </w:rPr>
              <w:t>”（</w:t>
            </w:r>
            <w:r>
              <w:rPr>
                <w:rFonts w:hint="eastAsia" w:ascii="宋体" w:hAnsi="宋体" w:eastAsia="宋体" w:cs="宋体"/>
                <w:color w:val="000000"/>
                <w:sz w:val="21"/>
                <w:szCs w:val="21"/>
                <w:highlight w:val="none"/>
              </w:rPr>
              <w:t>无过期、无霉变、无腐败</w:t>
            </w:r>
            <w:r>
              <w:rPr>
                <w:rFonts w:hint="eastAsia" w:ascii="宋体" w:hAnsi="宋体" w:eastAsia="宋体" w:cs="宋体"/>
                <w:color w:val="000000"/>
                <w:spacing w:val="3"/>
                <w:sz w:val="21"/>
                <w:szCs w:val="21"/>
                <w:highlight w:val="none"/>
              </w:rPr>
              <w:t>）</w:t>
            </w:r>
            <w:r>
              <w:rPr>
                <w:rFonts w:hint="eastAsia" w:ascii="宋体" w:hAnsi="宋体" w:eastAsia="宋体" w:cs="宋体"/>
                <w:color w:val="000000"/>
                <w:sz w:val="21"/>
                <w:szCs w:val="21"/>
                <w:highlight w:val="none"/>
              </w:rPr>
              <w:t>，可溯源到批发商并符合食品安全法要求。干货制品的质量要求符合《食品添加剂使用标准》等国家相关行业标准，食品包装标签应符合《食品安全国家标</w:t>
            </w:r>
            <w:r>
              <w:rPr>
                <w:rFonts w:hint="eastAsia" w:ascii="宋体" w:hAnsi="宋体" w:eastAsia="宋体" w:cs="宋体"/>
                <w:color w:val="000000"/>
                <w:spacing w:val="1"/>
                <w:sz w:val="21"/>
                <w:szCs w:val="21"/>
                <w:highlight w:val="none"/>
              </w:rPr>
              <w:t>准预包装食品标签通则》（GB7718-2011）要求，包括食品名称、配料表、净含量、规格、生产者（或）经销者的名称、地址和联系方式、生产日期和保质期、贮存条件、食品生产许可证编号、产品标准代号等内容。</w:t>
            </w:r>
          </w:p>
          <w:p w14:paraId="4BD57848">
            <w:pPr>
              <w:widowControl/>
              <w:spacing w:line="360" w:lineRule="auto"/>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3.木耳、香菇等：无霉变、虫蛀，SO₂残留≤0.2g/kg（符合 GB 2760），需提供第三方检测报告。</w:t>
            </w:r>
          </w:p>
        </w:tc>
      </w:tr>
      <w:tr w14:paraId="14B2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9" w:hRule="atLeast"/>
        </w:trPr>
        <w:tc>
          <w:tcPr>
            <w:tcW w:w="760" w:type="dxa"/>
            <w:vMerge w:val="restart"/>
            <w:noWrap w:val="0"/>
            <w:vAlign w:val="center"/>
          </w:tcPr>
          <w:p w14:paraId="345C13FE">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新</w:t>
            </w:r>
          </w:p>
          <w:p w14:paraId="56B96E43">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鲜</w:t>
            </w:r>
          </w:p>
          <w:p w14:paraId="701756D8">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蔬</w:t>
            </w:r>
          </w:p>
          <w:p w14:paraId="3CC4BACC">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菜</w:t>
            </w:r>
          </w:p>
          <w:p w14:paraId="51CFEF31">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水</w:t>
            </w:r>
          </w:p>
          <w:p w14:paraId="34CE0C11">
            <w:pPr>
              <w:spacing w:line="360" w:lineRule="auto"/>
              <w:jc w:val="center"/>
              <w:rPr>
                <w:rFonts w:hint="eastAsia" w:ascii="宋体" w:hAnsi="宋体" w:eastAsia="宋体" w:cs="宋体"/>
                <w:bCs/>
                <w:color w:val="000000"/>
                <w:sz w:val="21"/>
                <w:szCs w:val="21"/>
                <w:highlight w:val="none"/>
              </w:rPr>
            </w:pPr>
            <w:r>
              <w:rPr>
                <w:rFonts w:hint="eastAsia" w:ascii="宋体" w:hAnsi="宋体" w:eastAsia="宋体" w:cs="宋体"/>
                <w:b/>
                <w:color w:val="000000"/>
                <w:sz w:val="21"/>
                <w:szCs w:val="21"/>
                <w:highlight w:val="none"/>
              </w:rPr>
              <w:t>果</w:t>
            </w:r>
          </w:p>
        </w:tc>
        <w:tc>
          <w:tcPr>
            <w:tcW w:w="7762" w:type="dxa"/>
            <w:noWrap w:val="0"/>
            <w:vAlign w:val="top"/>
          </w:tcPr>
          <w:p w14:paraId="0054DC8B">
            <w:pPr>
              <w:tabs>
                <w:tab w:val="left" w:pos="312"/>
              </w:tabs>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（一）蔬菜</w:t>
            </w:r>
          </w:p>
          <w:p w14:paraId="787C0AEE">
            <w:pPr>
              <w:autoSpaceDE w:val="0"/>
              <w:autoSpaceDN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1.</w:t>
            </w:r>
            <w:r>
              <w:rPr>
                <w:rFonts w:hint="eastAsia" w:ascii="宋体" w:hAnsi="宋体" w:eastAsia="宋体" w:cs="宋体"/>
                <w:color w:val="000000"/>
                <w:sz w:val="21"/>
                <w:szCs w:val="21"/>
                <w:highlight w:val="none"/>
              </w:rPr>
              <w:t>要求所有蔬菜必须符合国家有关标准，保证新鲜、无异味、无霉烂变质。</w:t>
            </w:r>
          </w:p>
          <w:p w14:paraId="07A4177D">
            <w:pPr>
              <w:autoSpaceDE w:val="0"/>
              <w:autoSpaceDN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2.所有蔬菜必须保证食用安全，农药残留不超过GB2763-2016食品中农药最大残留限量；</w:t>
            </w:r>
            <w:r>
              <w:rPr>
                <w:rFonts w:hint="eastAsia" w:ascii="宋体" w:hAnsi="宋体" w:eastAsia="宋体" w:cs="宋体"/>
                <w:bCs/>
                <w:color w:val="000000"/>
                <w:sz w:val="21"/>
                <w:szCs w:val="21"/>
                <w:highlight w:val="none"/>
              </w:rPr>
              <w:t>需提供当天农残检测报告。</w:t>
            </w:r>
          </w:p>
          <w:p w14:paraId="3FB08836">
            <w:pPr>
              <w:autoSpaceDE w:val="0"/>
              <w:autoSpaceDN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3.所有蔬菜在交付学校前必须经过前期处理，使用率达到95%以上。</w:t>
            </w:r>
          </w:p>
          <w:p w14:paraId="4532A27A">
            <w:pPr>
              <w:autoSpaceDE w:val="0"/>
              <w:autoSpaceDN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4.必须符合《食用农产品市场销售质量安全监督管理办法》国家食品药品监督管理总局令第20号的相关规定。</w:t>
            </w:r>
          </w:p>
          <w:p w14:paraId="51D876FA">
            <w:pPr>
              <w:autoSpaceDE w:val="0"/>
              <w:autoSpaceDN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5.不采购食材：发芽土豆、新鲜黄花菜、四季豆及野生菌均不在本次招标范围内。</w:t>
            </w:r>
          </w:p>
          <w:p w14:paraId="5503557D">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6.所供蔬菜重金属元素不超过《食品中污染物限量》（GB2762-2012）的标准；其中铅、镉、汞、砷等质量标准如下：</w:t>
            </w:r>
          </w:p>
          <w:tbl>
            <w:tblPr>
              <w:tblStyle w:val="7"/>
              <w:tblW w:w="722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797"/>
              <w:gridCol w:w="1633"/>
              <w:gridCol w:w="3446"/>
              <w:gridCol w:w="1353"/>
            </w:tblGrid>
            <w:tr w14:paraId="1D9465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797" w:type="dxa"/>
                  <w:tcBorders>
                    <w:tl2br w:val="nil"/>
                    <w:tr2bl w:val="nil"/>
                  </w:tcBorders>
                  <w:noWrap w:val="0"/>
                  <w:vAlign w:val="center"/>
                </w:tcPr>
                <w:p w14:paraId="63368EB7">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序号</w:t>
                  </w:r>
                </w:p>
              </w:tc>
              <w:tc>
                <w:tcPr>
                  <w:tcW w:w="5079" w:type="dxa"/>
                  <w:gridSpan w:val="2"/>
                  <w:tcBorders>
                    <w:tl2br w:val="nil"/>
                    <w:tr2bl w:val="nil"/>
                  </w:tcBorders>
                  <w:noWrap w:val="0"/>
                  <w:vAlign w:val="center"/>
                </w:tcPr>
                <w:p w14:paraId="7D805A91">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内容</w:t>
                  </w:r>
                </w:p>
              </w:tc>
              <w:tc>
                <w:tcPr>
                  <w:tcW w:w="1353" w:type="dxa"/>
                  <w:tcBorders>
                    <w:tl2br w:val="nil"/>
                    <w:tr2bl w:val="nil"/>
                  </w:tcBorders>
                  <w:noWrap w:val="0"/>
                  <w:vAlign w:val="center"/>
                </w:tcPr>
                <w:p w14:paraId="2EB53DB8">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质量标准</w:t>
                  </w:r>
                </w:p>
              </w:tc>
            </w:tr>
            <w:tr w14:paraId="0678F5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81" w:hRule="atLeast"/>
                <w:jc w:val="center"/>
              </w:trPr>
              <w:tc>
                <w:tcPr>
                  <w:tcW w:w="797" w:type="dxa"/>
                  <w:vMerge w:val="restart"/>
                  <w:tcBorders>
                    <w:tl2br w:val="nil"/>
                    <w:tr2bl w:val="nil"/>
                  </w:tcBorders>
                  <w:noWrap w:val="0"/>
                  <w:vAlign w:val="center"/>
                </w:tcPr>
                <w:p w14:paraId="3ED19532">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w:t>
                  </w:r>
                </w:p>
              </w:tc>
              <w:tc>
                <w:tcPr>
                  <w:tcW w:w="1633" w:type="dxa"/>
                  <w:vMerge w:val="restart"/>
                  <w:tcBorders>
                    <w:tl2br w:val="nil"/>
                    <w:tr2bl w:val="nil"/>
                  </w:tcBorders>
                  <w:noWrap w:val="0"/>
                  <w:vAlign w:val="center"/>
                </w:tcPr>
                <w:p w14:paraId="56D96ED9">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铅（以Pb计）mg/kg</w:t>
                  </w:r>
                </w:p>
              </w:tc>
              <w:tc>
                <w:tcPr>
                  <w:tcW w:w="3446" w:type="dxa"/>
                  <w:tcBorders>
                    <w:tl2br w:val="nil"/>
                    <w:tr2bl w:val="nil"/>
                  </w:tcBorders>
                  <w:noWrap w:val="0"/>
                  <w:vAlign w:val="center"/>
                </w:tcPr>
                <w:p w14:paraId="2C740DB4">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新鲜蔬菜（芸薹类蔬菜、叶类蔬菜、豆类蔬菜、薯类除外）</w:t>
                  </w:r>
                </w:p>
              </w:tc>
              <w:tc>
                <w:tcPr>
                  <w:tcW w:w="1353" w:type="dxa"/>
                  <w:tcBorders>
                    <w:tl2br w:val="nil"/>
                    <w:tr2bl w:val="nil"/>
                  </w:tcBorders>
                  <w:noWrap w:val="0"/>
                  <w:vAlign w:val="center"/>
                </w:tcPr>
                <w:p w14:paraId="741991C8">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≤0.1</w:t>
                  </w:r>
                </w:p>
              </w:tc>
            </w:tr>
            <w:tr w14:paraId="630D8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797" w:type="dxa"/>
                  <w:vMerge w:val="continue"/>
                  <w:tcBorders>
                    <w:tl2br w:val="nil"/>
                    <w:tr2bl w:val="nil"/>
                  </w:tcBorders>
                  <w:noWrap w:val="0"/>
                  <w:vAlign w:val="center"/>
                </w:tcPr>
                <w:p w14:paraId="48776758">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1633" w:type="dxa"/>
                  <w:vMerge w:val="continue"/>
                  <w:tcBorders>
                    <w:tl2br w:val="nil"/>
                    <w:tr2bl w:val="nil"/>
                  </w:tcBorders>
                  <w:noWrap w:val="0"/>
                  <w:vAlign w:val="center"/>
                </w:tcPr>
                <w:p w14:paraId="45E54AEC">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3446" w:type="dxa"/>
                  <w:tcBorders>
                    <w:tl2br w:val="nil"/>
                    <w:tr2bl w:val="nil"/>
                  </w:tcBorders>
                  <w:noWrap w:val="0"/>
                  <w:vAlign w:val="center"/>
                </w:tcPr>
                <w:p w14:paraId="25790219">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芸薹类蔬菜、叶类蔬菜</w:t>
                  </w:r>
                </w:p>
              </w:tc>
              <w:tc>
                <w:tcPr>
                  <w:tcW w:w="1353" w:type="dxa"/>
                  <w:tcBorders>
                    <w:tl2br w:val="nil"/>
                    <w:tr2bl w:val="nil"/>
                  </w:tcBorders>
                  <w:noWrap w:val="0"/>
                  <w:vAlign w:val="center"/>
                </w:tcPr>
                <w:p w14:paraId="5DF5FEB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≤0.3</w:t>
                  </w:r>
                </w:p>
              </w:tc>
            </w:tr>
            <w:tr w14:paraId="6D32CF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797" w:type="dxa"/>
                  <w:vMerge w:val="continue"/>
                  <w:tcBorders>
                    <w:tl2br w:val="nil"/>
                    <w:tr2bl w:val="nil"/>
                  </w:tcBorders>
                  <w:noWrap w:val="0"/>
                  <w:vAlign w:val="center"/>
                </w:tcPr>
                <w:p w14:paraId="30962F77">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1633" w:type="dxa"/>
                  <w:vMerge w:val="continue"/>
                  <w:tcBorders>
                    <w:tl2br w:val="nil"/>
                    <w:tr2bl w:val="nil"/>
                  </w:tcBorders>
                  <w:noWrap w:val="0"/>
                  <w:vAlign w:val="center"/>
                </w:tcPr>
                <w:p w14:paraId="30CCD809">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3446" w:type="dxa"/>
                  <w:tcBorders>
                    <w:tl2br w:val="nil"/>
                    <w:tr2bl w:val="nil"/>
                  </w:tcBorders>
                  <w:noWrap w:val="0"/>
                  <w:vAlign w:val="center"/>
                </w:tcPr>
                <w:p w14:paraId="20226811">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豆类蔬菜、薯类</w:t>
                  </w:r>
                </w:p>
              </w:tc>
              <w:tc>
                <w:tcPr>
                  <w:tcW w:w="1353" w:type="dxa"/>
                  <w:tcBorders>
                    <w:tl2br w:val="nil"/>
                    <w:tr2bl w:val="nil"/>
                  </w:tcBorders>
                  <w:noWrap w:val="0"/>
                  <w:vAlign w:val="center"/>
                </w:tcPr>
                <w:p w14:paraId="51E819F7">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≤0.2</w:t>
                  </w:r>
                </w:p>
              </w:tc>
            </w:tr>
            <w:tr w14:paraId="1BD2E2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797" w:type="dxa"/>
                  <w:vMerge w:val="continue"/>
                  <w:tcBorders>
                    <w:tl2br w:val="nil"/>
                    <w:tr2bl w:val="nil"/>
                  </w:tcBorders>
                  <w:noWrap w:val="0"/>
                  <w:vAlign w:val="center"/>
                </w:tcPr>
                <w:p w14:paraId="0628FF35">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1633" w:type="dxa"/>
                  <w:vMerge w:val="continue"/>
                  <w:tcBorders>
                    <w:tl2br w:val="nil"/>
                    <w:tr2bl w:val="nil"/>
                  </w:tcBorders>
                  <w:noWrap w:val="0"/>
                  <w:vAlign w:val="center"/>
                </w:tcPr>
                <w:p w14:paraId="7918A4F6">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3446" w:type="dxa"/>
                  <w:tcBorders>
                    <w:tl2br w:val="nil"/>
                    <w:tr2bl w:val="nil"/>
                  </w:tcBorders>
                  <w:noWrap w:val="0"/>
                  <w:vAlign w:val="center"/>
                </w:tcPr>
                <w:p w14:paraId="5953DF3E">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蔬菜制品</w:t>
                  </w:r>
                </w:p>
              </w:tc>
              <w:tc>
                <w:tcPr>
                  <w:tcW w:w="1353" w:type="dxa"/>
                  <w:tcBorders>
                    <w:tl2br w:val="nil"/>
                    <w:tr2bl w:val="nil"/>
                  </w:tcBorders>
                  <w:noWrap w:val="0"/>
                  <w:vAlign w:val="center"/>
                </w:tcPr>
                <w:p w14:paraId="0B88FDDC">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≤1.0</w:t>
                  </w:r>
                </w:p>
              </w:tc>
            </w:tr>
            <w:tr w14:paraId="6AA9E4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81" w:hRule="atLeast"/>
                <w:jc w:val="center"/>
              </w:trPr>
              <w:tc>
                <w:tcPr>
                  <w:tcW w:w="797" w:type="dxa"/>
                  <w:vMerge w:val="restart"/>
                  <w:tcBorders>
                    <w:tl2br w:val="nil"/>
                    <w:tr2bl w:val="nil"/>
                  </w:tcBorders>
                  <w:noWrap w:val="0"/>
                  <w:vAlign w:val="center"/>
                </w:tcPr>
                <w:p w14:paraId="5EF15ECD">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w:t>
                  </w:r>
                </w:p>
              </w:tc>
              <w:tc>
                <w:tcPr>
                  <w:tcW w:w="1633" w:type="dxa"/>
                  <w:vMerge w:val="restart"/>
                  <w:tcBorders>
                    <w:tl2br w:val="nil"/>
                    <w:tr2bl w:val="nil"/>
                  </w:tcBorders>
                  <w:noWrap w:val="0"/>
                  <w:vAlign w:val="center"/>
                </w:tcPr>
                <w:p w14:paraId="23EA5C3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镉（以Cd计）mg/kg</w:t>
                  </w:r>
                </w:p>
              </w:tc>
              <w:tc>
                <w:tcPr>
                  <w:tcW w:w="3446" w:type="dxa"/>
                  <w:tcBorders>
                    <w:tl2br w:val="nil"/>
                    <w:tr2bl w:val="nil"/>
                  </w:tcBorders>
                  <w:noWrap w:val="0"/>
                  <w:vAlign w:val="center"/>
                </w:tcPr>
                <w:p w14:paraId="42442265">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新鲜蔬菜（叶类蔬菜、豆类蔬菜、块根和块茎蔬菜茎类蔬菜除外）</w:t>
                  </w:r>
                </w:p>
              </w:tc>
              <w:tc>
                <w:tcPr>
                  <w:tcW w:w="1353" w:type="dxa"/>
                  <w:tcBorders>
                    <w:tl2br w:val="nil"/>
                    <w:tr2bl w:val="nil"/>
                  </w:tcBorders>
                  <w:noWrap w:val="0"/>
                  <w:vAlign w:val="center"/>
                </w:tcPr>
                <w:p w14:paraId="0D1E4AF6">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≤0.05</w:t>
                  </w:r>
                </w:p>
              </w:tc>
            </w:tr>
            <w:tr w14:paraId="528092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797" w:type="dxa"/>
                  <w:vMerge w:val="continue"/>
                  <w:tcBorders>
                    <w:tl2br w:val="nil"/>
                    <w:tr2bl w:val="nil"/>
                  </w:tcBorders>
                  <w:noWrap w:val="0"/>
                  <w:vAlign w:val="center"/>
                </w:tcPr>
                <w:p w14:paraId="5EB09BB2">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1633" w:type="dxa"/>
                  <w:vMerge w:val="continue"/>
                  <w:tcBorders>
                    <w:tl2br w:val="nil"/>
                    <w:tr2bl w:val="nil"/>
                  </w:tcBorders>
                  <w:noWrap w:val="0"/>
                  <w:vAlign w:val="center"/>
                </w:tcPr>
                <w:p w14:paraId="6A90B05A">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3446" w:type="dxa"/>
                  <w:tcBorders>
                    <w:tl2br w:val="nil"/>
                    <w:tr2bl w:val="nil"/>
                  </w:tcBorders>
                  <w:noWrap w:val="0"/>
                  <w:vAlign w:val="center"/>
                </w:tcPr>
                <w:p w14:paraId="1B4CA887">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叶类蔬菜</w:t>
                  </w:r>
                </w:p>
              </w:tc>
              <w:tc>
                <w:tcPr>
                  <w:tcW w:w="1353" w:type="dxa"/>
                  <w:tcBorders>
                    <w:tl2br w:val="nil"/>
                    <w:tr2bl w:val="nil"/>
                  </w:tcBorders>
                  <w:noWrap w:val="0"/>
                  <w:vAlign w:val="center"/>
                </w:tcPr>
                <w:p w14:paraId="32B72C55">
                  <w:pPr>
                    <w:autoSpaceDE w:val="0"/>
                    <w:autoSpaceDN w:val="0"/>
                    <w:spacing w:line="360" w:lineRule="auto"/>
                    <w:jc w:val="center"/>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≤0.2</w:t>
                  </w:r>
                </w:p>
              </w:tc>
            </w:tr>
            <w:tr w14:paraId="4BE653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797" w:type="dxa"/>
                  <w:vMerge w:val="continue"/>
                  <w:tcBorders>
                    <w:tl2br w:val="nil"/>
                    <w:tr2bl w:val="nil"/>
                  </w:tcBorders>
                  <w:noWrap w:val="0"/>
                  <w:vAlign w:val="center"/>
                </w:tcPr>
                <w:p w14:paraId="36E89761">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1633" w:type="dxa"/>
                  <w:vMerge w:val="continue"/>
                  <w:tcBorders>
                    <w:tl2br w:val="nil"/>
                    <w:tr2bl w:val="nil"/>
                  </w:tcBorders>
                  <w:noWrap w:val="0"/>
                  <w:vAlign w:val="center"/>
                </w:tcPr>
                <w:p w14:paraId="612F834B">
                  <w:pPr>
                    <w:autoSpaceDE w:val="0"/>
                    <w:autoSpaceDN w:val="0"/>
                    <w:spacing w:line="360" w:lineRule="auto"/>
                    <w:jc w:val="center"/>
                    <w:rPr>
                      <w:rFonts w:hint="eastAsia" w:ascii="宋体" w:hAnsi="宋体" w:eastAsia="宋体" w:cs="宋体"/>
                      <w:color w:val="000000"/>
                      <w:sz w:val="21"/>
                      <w:szCs w:val="21"/>
                      <w:highlight w:val="none"/>
                      <w:lang w:eastAsia="en-US"/>
                    </w:rPr>
                  </w:pPr>
                </w:p>
              </w:tc>
              <w:tc>
                <w:tcPr>
                  <w:tcW w:w="3446" w:type="dxa"/>
                  <w:tcBorders>
                    <w:tl2br w:val="nil"/>
                    <w:tr2bl w:val="nil"/>
                  </w:tcBorders>
                  <w:noWrap w:val="0"/>
                  <w:vAlign w:val="center"/>
                </w:tcPr>
                <w:p w14:paraId="1E34B539">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豆类蔬菜、块根和块茎蔬菜、茎类蔬菜（芹菜除外）</w:t>
                  </w:r>
                </w:p>
              </w:tc>
              <w:tc>
                <w:tcPr>
                  <w:tcW w:w="1353" w:type="dxa"/>
                  <w:tcBorders>
                    <w:tl2br w:val="nil"/>
                    <w:tr2bl w:val="nil"/>
                  </w:tcBorders>
                  <w:noWrap w:val="0"/>
                  <w:vAlign w:val="center"/>
                </w:tcPr>
                <w:p w14:paraId="0900E96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≤0.1</w:t>
                  </w:r>
                </w:p>
              </w:tc>
            </w:tr>
            <w:tr w14:paraId="11339A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797" w:type="dxa"/>
                  <w:vMerge w:val="continue"/>
                  <w:tcBorders>
                    <w:tl2br w:val="nil"/>
                    <w:tr2bl w:val="nil"/>
                  </w:tcBorders>
                  <w:noWrap w:val="0"/>
                  <w:vAlign w:val="center"/>
                </w:tcPr>
                <w:p w14:paraId="4A031BE6">
                  <w:pPr>
                    <w:autoSpaceDE w:val="0"/>
                    <w:autoSpaceDN w:val="0"/>
                    <w:spacing w:line="360" w:lineRule="auto"/>
                    <w:jc w:val="center"/>
                    <w:rPr>
                      <w:rFonts w:hint="eastAsia" w:ascii="宋体" w:hAnsi="宋体" w:eastAsia="宋体" w:cs="宋体"/>
                      <w:color w:val="000000"/>
                      <w:sz w:val="21"/>
                      <w:szCs w:val="21"/>
                      <w:highlight w:val="none"/>
                    </w:rPr>
                  </w:pPr>
                </w:p>
              </w:tc>
              <w:tc>
                <w:tcPr>
                  <w:tcW w:w="1633" w:type="dxa"/>
                  <w:vMerge w:val="continue"/>
                  <w:tcBorders>
                    <w:tl2br w:val="nil"/>
                    <w:tr2bl w:val="nil"/>
                  </w:tcBorders>
                  <w:noWrap w:val="0"/>
                  <w:vAlign w:val="center"/>
                </w:tcPr>
                <w:p w14:paraId="58BE7683">
                  <w:pPr>
                    <w:autoSpaceDE w:val="0"/>
                    <w:autoSpaceDN w:val="0"/>
                    <w:spacing w:line="360" w:lineRule="auto"/>
                    <w:jc w:val="center"/>
                    <w:rPr>
                      <w:rFonts w:hint="eastAsia" w:ascii="宋体" w:hAnsi="宋体" w:eastAsia="宋体" w:cs="宋体"/>
                      <w:color w:val="000000"/>
                      <w:sz w:val="21"/>
                      <w:szCs w:val="21"/>
                      <w:highlight w:val="none"/>
                    </w:rPr>
                  </w:pPr>
                </w:p>
              </w:tc>
              <w:tc>
                <w:tcPr>
                  <w:tcW w:w="3446" w:type="dxa"/>
                  <w:tcBorders>
                    <w:tl2br w:val="nil"/>
                    <w:tr2bl w:val="nil"/>
                  </w:tcBorders>
                  <w:noWrap w:val="0"/>
                  <w:vAlign w:val="center"/>
                </w:tcPr>
                <w:p w14:paraId="64698C1D">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芹菜</w:t>
                  </w:r>
                </w:p>
              </w:tc>
              <w:tc>
                <w:tcPr>
                  <w:tcW w:w="1353" w:type="dxa"/>
                  <w:tcBorders>
                    <w:tl2br w:val="nil"/>
                    <w:tr2bl w:val="nil"/>
                  </w:tcBorders>
                  <w:noWrap w:val="0"/>
                  <w:vAlign w:val="center"/>
                </w:tcPr>
                <w:p w14:paraId="3774C64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≤0.2</w:t>
                  </w:r>
                </w:p>
              </w:tc>
            </w:tr>
            <w:tr w14:paraId="68058A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797" w:type="dxa"/>
                  <w:tcBorders>
                    <w:tl2br w:val="nil"/>
                    <w:tr2bl w:val="nil"/>
                  </w:tcBorders>
                  <w:noWrap w:val="0"/>
                  <w:vAlign w:val="center"/>
                </w:tcPr>
                <w:p w14:paraId="0C5BA841">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633" w:type="dxa"/>
                  <w:tcBorders>
                    <w:tl2br w:val="nil"/>
                    <w:tr2bl w:val="nil"/>
                  </w:tcBorders>
                  <w:noWrap w:val="0"/>
                  <w:vAlign w:val="center"/>
                </w:tcPr>
                <w:p w14:paraId="5C0227E2">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汞（以Hg计）mg/kg</w:t>
                  </w:r>
                </w:p>
              </w:tc>
              <w:tc>
                <w:tcPr>
                  <w:tcW w:w="3446" w:type="dxa"/>
                  <w:tcBorders>
                    <w:tl2br w:val="nil"/>
                    <w:tr2bl w:val="nil"/>
                  </w:tcBorders>
                  <w:noWrap w:val="0"/>
                  <w:vAlign w:val="center"/>
                </w:tcPr>
                <w:p w14:paraId="61132FB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新鲜蔬菜</w:t>
                  </w:r>
                </w:p>
              </w:tc>
              <w:tc>
                <w:tcPr>
                  <w:tcW w:w="1353" w:type="dxa"/>
                  <w:tcBorders>
                    <w:tl2br w:val="nil"/>
                    <w:tr2bl w:val="nil"/>
                  </w:tcBorders>
                  <w:noWrap w:val="0"/>
                  <w:vAlign w:val="center"/>
                </w:tcPr>
                <w:p w14:paraId="0982330F">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≤0.01</w:t>
                  </w:r>
                </w:p>
              </w:tc>
            </w:tr>
            <w:tr w14:paraId="1B1F84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82" w:hRule="atLeast"/>
                <w:jc w:val="center"/>
              </w:trPr>
              <w:tc>
                <w:tcPr>
                  <w:tcW w:w="797" w:type="dxa"/>
                  <w:tcBorders>
                    <w:tl2br w:val="nil"/>
                    <w:tr2bl w:val="nil"/>
                  </w:tcBorders>
                  <w:noWrap w:val="0"/>
                  <w:vAlign w:val="center"/>
                </w:tcPr>
                <w:p w14:paraId="6A6D4EC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633" w:type="dxa"/>
                  <w:tcBorders>
                    <w:tl2br w:val="nil"/>
                    <w:tr2bl w:val="nil"/>
                  </w:tcBorders>
                  <w:noWrap w:val="0"/>
                  <w:vAlign w:val="center"/>
                </w:tcPr>
                <w:p w14:paraId="613D37C1">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砷（以As计）mg/kg</w:t>
                  </w:r>
                </w:p>
              </w:tc>
              <w:tc>
                <w:tcPr>
                  <w:tcW w:w="3446" w:type="dxa"/>
                  <w:tcBorders>
                    <w:tl2br w:val="nil"/>
                    <w:tr2bl w:val="nil"/>
                  </w:tcBorders>
                  <w:noWrap w:val="0"/>
                  <w:vAlign w:val="center"/>
                </w:tcPr>
                <w:p w14:paraId="7B649776">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新鲜蔬菜</w:t>
                  </w:r>
                </w:p>
              </w:tc>
              <w:tc>
                <w:tcPr>
                  <w:tcW w:w="1353" w:type="dxa"/>
                  <w:tcBorders>
                    <w:tl2br w:val="nil"/>
                    <w:tr2bl w:val="nil"/>
                  </w:tcBorders>
                  <w:noWrap w:val="0"/>
                  <w:vAlign w:val="center"/>
                </w:tcPr>
                <w:p w14:paraId="2566ED4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≤0.5</w:t>
                  </w:r>
                </w:p>
              </w:tc>
            </w:tr>
          </w:tbl>
          <w:p w14:paraId="755A1341">
            <w:pPr>
              <w:spacing w:line="360" w:lineRule="auto"/>
              <w:jc w:val="left"/>
              <w:rPr>
                <w:rFonts w:hint="eastAsia" w:ascii="宋体" w:hAnsi="宋体" w:eastAsia="宋体" w:cs="宋体"/>
                <w:b/>
                <w:color w:val="000000"/>
                <w:sz w:val="21"/>
                <w:szCs w:val="21"/>
                <w:highlight w:val="none"/>
              </w:rPr>
            </w:pPr>
          </w:p>
        </w:tc>
      </w:tr>
      <w:tr w14:paraId="6F89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continue"/>
            <w:noWrap w:val="0"/>
            <w:vAlign w:val="top"/>
          </w:tcPr>
          <w:p w14:paraId="4AEBF1C9">
            <w:pPr>
              <w:spacing w:line="360" w:lineRule="auto"/>
              <w:rPr>
                <w:rFonts w:hint="eastAsia" w:ascii="宋体" w:hAnsi="宋体" w:eastAsia="宋体" w:cs="宋体"/>
                <w:b/>
                <w:color w:val="000000"/>
                <w:sz w:val="21"/>
                <w:szCs w:val="21"/>
                <w:highlight w:val="none"/>
              </w:rPr>
            </w:pPr>
          </w:p>
        </w:tc>
        <w:tc>
          <w:tcPr>
            <w:tcW w:w="7762" w:type="dxa"/>
            <w:noWrap w:val="0"/>
            <w:vAlign w:val="top"/>
          </w:tcPr>
          <w:p w14:paraId="70C2A84C">
            <w:pPr>
              <w:widowControl/>
              <w:spacing w:line="360" w:lineRule="auto"/>
              <w:jc w:val="left"/>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（二）水果</w:t>
            </w:r>
          </w:p>
          <w:p w14:paraId="3D92BF6A">
            <w:pPr>
              <w:widowControl/>
              <w:spacing w:line="360" w:lineRule="auto"/>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新鲜无腐烂，农药残留、重金属（如铅≤0.1mg/kg）符合国家标准，禁止使用催熟剂（特殊品种除外）。</w:t>
            </w:r>
          </w:p>
          <w:p w14:paraId="072B5C8E">
            <w:pPr>
              <w:widowControl/>
              <w:spacing w:line="360" w:lineRule="auto"/>
              <w:jc w:val="left"/>
              <w:rPr>
                <w:rFonts w:hint="eastAsia" w:ascii="宋体" w:hAnsi="宋体" w:eastAsia="宋体" w:cs="宋体"/>
                <w:bCs/>
                <w:color w:val="000000"/>
                <w:sz w:val="21"/>
                <w:szCs w:val="21"/>
                <w:highlight w:val="none"/>
              </w:rPr>
            </w:pPr>
          </w:p>
        </w:tc>
      </w:tr>
      <w:tr w14:paraId="4B4D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40C39C5E">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肉</w:t>
            </w:r>
          </w:p>
          <w:p w14:paraId="7765577F">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蛋</w:t>
            </w:r>
          </w:p>
          <w:p w14:paraId="7C554732">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水</w:t>
            </w:r>
          </w:p>
          <w:p w14:paraId="601F5775">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产</w:t>
            </w:r>
          </w:p>
          <w:p w14:paraId="72719DBB">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品</w:t>
            </w:r>
          </w:p>
          <w:p w14:paraId="428A3F14">
            <w:pPr>
              <w:spacing w:line="360" w:lineRule="auto"/>
              <w:jc w:val="center"/>
              <w:rPr>
                <w:rFonts w:hint="eastAsia" w:ascii="宋体" w:hAnsi="宋体" w:eastAsia="宋体" w:cs="宋体"/>
                <w:b/>
                <w:color w:val="000000"/>
                <w:sz w:val="21"/>
                <w:szCs w:val="21"/>
                <w:highlight w:val="none"/>
              </w:rPr>
            </w:pPr>
          </w:p>
        </w:tc>
        <w:tc>
          <w:tcPr>
            <w:tcW w:w="7762" w:type="dxa"/>
            <w:noWrap w:val="0"/>
            <w:vAlign w:val="top"/>
          </w:tcPr>
          <w:p w14:paraId="06F30A4C">
            <w:pPr>
              <w:widowControl/>
              <w:tabs>
                <w:tab w:val="left" w:pos="312"/>
              </w:tabs>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（一）肉类</w:t>
            </w:r>
          </w:p>
          <w:p w14:paraId="121B6A7B">
            <w:pPr>
              <w:widowControl/>
              <w:tabs>
                <w:tab w:val="left" w:pos="312"/>
              </w:tabs>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1.肉类产品需有“两证两章”（动物检疫合格证、检疫验讫章、肉品品质验讫章），冷鲜肉需0-4℃冷链运输。</w:t>
            </w:r>
          </w:p>
          <w:p w14:paraId="45844661">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2.色泽：具有其固有的正常颜色，肌肉红色均匀，有光泽不带骨头。</w:t>
            </w:r>
          </w:p>
          <w:p w14:paraId="5817A528">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3.外表：无泥污、无血污、放血状况良好，肉边整齐、无破碎肉、无粘液渗出或很干的表皮，无点状、块状等小颗粒灰白色寄生虫。</w:t>
            </w:r>
          </w:p>
          <w:p w14:paraId="1920EBC5">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4.气味：具有其固有的正常气味（猪肉微腥、牛肉微膻、羊肉重膻）、无臭味、腊味等异味。</w:t>
            </w:r>
          </w:p>
          <w:p w14:paraId="370A9BD7">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5.弹性：指压后凹陷、能恢复原状。</w:t>
            </w:r>
          </w:p>
          <w:p w14:paraId="418F1330">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6.猪肉、羊肉、牛肉均为（冷）鲜肉，不带骨头，牛肉为全瘦肉，不得提供冻肉或解冻肉。</w:t>
            </w:r>
          </w:p>
          <w:p w14:paraId="35ABAAD5">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7.学校按需采购当天屠宰分割肉类，中标人必须满足学校实际需求。</w:t>
            </w:r>
          </w:p>
          <w:p w14:paraId="0CC5681A">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8.中标人所供肉类产品不得以次充好，不得将病死、残剩肉、老母猪肉等不合格品掺杂其中，一经发现，取消其供货资格，并承担由此造成的一切后果，如构成违法，将依法追求其法律责任。</w:t>
            </w:r>
          </w:p>
          <w:p w14:paraId="6EF7850C">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9.安全卫生要求：</w:t>
            </w:r>
          </w:p>
          <w:p w14:paraId="2F222D6D">
            <w:pPr>
              <w:autoSpaceDE w:val="0"/>
              <w:autoSpaceDN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（1）中华人民共和国进出口商品检验法及其实施条例。</w:t>
            </w:r>
          </w:p>
          <w:p w14:paraId="2C83A08F">
            <w:pPr>
              <w:autoSpaceDE w:val="0"/>
              <w:autoSpaceDN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（2）中华人民共和国动植物检疫法及其实施条例。</w:t>
            </w:r>
          </w:p>
          <w:p w14:paraId="46F89EE4">
            <w:pPr>
              <w:autoSpaceDE w:val="0"/>
              <w:autoSpaceDN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（3）中华人民共和国动物防疫法。</w:t>
            </w:r>
          </w:p>
          <w:p w14:paraId="7A303D2B">
            <w:pPr>
              <w:autoSpaceDE w:val="0"/>
              <w:autoSpaceDN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（4）《GB2763-2016食品安全国家标准食品中农药最大残留限量》。</w:t>
            </w:r>
          </w:p>
          <w:p w14:paraId="6CB4F723">
            <w:pPr>
              <w:autoSpaceDE w:val="0"/>
              <w:autoSpaceDN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（5）其他可能适用于本招标文件内容的相关法律法规或质量标准。</w:t>
            </w:r>
          </w:p>
          <w:p w14:paraId="3B9C029A">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10.供货品牌参考或相当于：唐人神等。</w:t>
            </w:r>
          </w:p>
        </w:tc>
      </w:tr>
      <w:tr w14:paraId="094D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24F3D334">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肉</w:t>
            </w:r>
          </w:p>
          <w:p w14:paraId="798DB536">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蛋</w:t>
            </w:r>
          </w:p>
          <w:p w14:paraId="7D11827C">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水</w:t>
            </w:r>
          </w:p>
          <w:p w14:paraId="5982F15F">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产</w:t>
            </w:r>
          </w:p>
          <w:p w14:paraId="6D1D1AAF">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品</w:t>
            </w:r>
          </w:p>
          <w:p w14:paraId="36A064B9">
            <w:pPr>
              <w:spacing w:line="360" w:lineRule="auto"/>
              <w:rPr>
                <w:rFonts w:hint="eastAsia" w:ascii="宋体" w:hAnsi="宋体" w:eastAsia="宋体" w:cs="宋体"/>
                <w:b/>
                <w:color w:val="000000"/>
                <w:sz w:val="21"/>
                <w:szCs w:val="21"/>
                <w:highlight w:val="none"/>
              </w:rPr>
            </w:pPr>
          </w:p>
        </w:tc>
        <w:tc>
          <w:tcPr>
            <w:tcW w:w="7762" w:type="dxa"/>
            <w:noWrap w:val="0"/>
            <w:vAlign w:val="top"/>
          </w:tcPr>
          <w:p w14:paraId="1D412F70">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（二）禽蛋</w:t>
            </w:r>
          </w:p>
          <w:p w14:paraId="4FED6299">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1.新鲜无破损，菌落总数≤500CFU/g（GB 2749），土鸡蛋优先采购。无菌蛋，蛋壳清洁完整，无裂纹，无霉斑，灯光透视时蛋内无黑点及异物；去壳后蛋黄凸起完整并带有韧性，蛋白稀稠分明，无正常视力可见外来异物，鸡蛋保质期不少于30天。需符合《冷鲜禽加工经营卫生规范》、《鲜、冻禽产品》国家标准（GB16869－2005）、国家包装鸡蛋标准（</w:t>
            </w:r>
            <w:r>
              <w:rPr>
                <w:rFonts w:hint="eastAsia" w:ascii="宋体" w:hAnsi="宋体" w:eastAsia="宋体" w:cs="宋体"/>
                <w:color w:val="000000"/>
                <w:sz w:val="21"/>
                <w:szCs w:val="21"/>
                <w:highlight w:val="none"/>
              </w:rPr>
              <w:fldChar w:fldCharType="begin"/>
            </w:r>
            <w:r>
              <w:rPr>
                <w:rFonts w:hint="eastAsia" w:ascii="宋体" w:hAnsi="宋体" w:eastAsia="宋体" w:cs="宋体"/>
                <w:color w:val="000000"/>
                <w:sz w:val="21"/>
                <w:szCs w:val="21"/>
                <w:highlight w:val="none"/>
              </w:rPr>
              <w:instrText xml:space="preserve"> HYPERLINK "javascript:void(0)" </w:instrText>
            </w:r>
            <w:r>
              <w:rPr>
                <w:rFonts w:hint="eastAsia" w:ascii="宋体" w:hAnsi="宋体" w:eastAsia="宋体" w:cs="宋体"/>
                <w:color w:val="000000"/>
                <w:sz w:val="21"/>
                <w:szCs w:val="21"/>
                <w:highlight w:val="none"/>
              </w:rPr>
              <w:fldChar w:fldCharType="separate"/>
            </w:r>
            <w:r>
              <w:rPr>
                <w:rFonts w:hint="eastAsia" w:ascii="宋体" w:hAnsi="宋体" w:eastAsia="宋体" w:cs="宋体"/>
                <w:bCs/>
                <w:color w:val="000000"/>
                <w:sz w:val="21"/>
                <w:szCs w:val="21"/>
                <w:highlight w:val="none"/>
              </w:rPr>
              <w:t>GB/T 39438-202</w:t>
            </w:r>
            <w:r>
              <w:rPr>
                <w:rFonts w:hint="eastAsia" w:ascii="宋体" w:hAnsi="宋体" w:eastAsia="宋体" w:cs="宋体"/>
                <w:bCs/>
                <w:color w:val="000000"/>
                <w:sz w:val="21"/>
                <w:szCs w:val="21"/>
                <w:highlight w:val="none"/>
              </w:rPr>
              <w:fldChar w:fldCharType="end"/>
            </w:r>
            <w:r>
              <w:rPr>
                <w:rFonts w:hint="eastAsia" w:ascii="宋体" w:hAnsi="宋体" w:eastAsia="宋体" w:cs="宋体"/>
                <w:bCs/>
                <w:color w:val="000000"/>
                <w:sz w:val="21"/>
                <w:szCs w:val="21"/>
                <w:highlight w:val="none"/>
              </w:rPr>
              <w:t>0）要求。</w:t>
            </w:r>
          </w:p>
          <w:p w14:paraId="7F5FCB83">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2.禽类的鲜活宰杀时间不超过12个小时（货到学校时间开始往前算起），肉质紧密，富有弹性，皮无斑点，有光泽，无异味等。</w:t>
            </w:r>
          </w:p>
          <w:p w14:paraId="4F9951B2">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3.鲜禽（鸡、鸭、鹅）严禁供应整只冷冻鸡鸭、注水、注胶、病和死鸡鸭、内脏。</w:t>
            </w:r>
          </w:p>
          <w:p w14:paraId="6C36E5EC">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4.中标人所供禽类产品不得以次充好，不得将病死、残剩等不合格品掺杂其中，一经发现，取消其供货资格，并承担由此造成的一切后果，如构成违法，将依法追求其法律责任。</w:t>
            </w:r>
          </w:p>
          <w:p w14:paraId="4CE92D26">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color w:val="000000"/>
                <w:sz w:val="21"/>
                <w:szCs w:val="21"/>
                <w:highlight w:val="none"/>
              </w:rPr>
              <w:t>5.其他要求：不得送活禽，应脱毛去内脏后整只配送，不要内脏。</w:t>
            </w:r>
          </w:p>
        </w:tc>
      </w:tr>
      <w:tr w14:paraId="2BD6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79A71B96">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肉</w:t>
            </w:r>
          </w:p>
          <w:p w14:paraId="501D76D0">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蛋</w:t>
            </w:r>
          </w:p>
          <w:p w14:paraId="3D925288">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水</w:t>
            </w:r>
          </w:p>
          <w:p w14:paraId="305D2CEE">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产</w:t>
            </w:r>
          </w:p>
          <w:p w14:paraId="431516E6">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品</w:t>
            </w:r>
          </w:p>
          <w:p w14:paraId="06EA3271">
            <w:pPr>
              <w:spacing w:line="360" w:lineRule="auto"/>
              <w:rPr>
                <w:rFonts w:hint="eastAsia" w:ascii="宋体" w:hAnsi="宋体" w:eastAsia="宋体" w:cs="宋体"/>
                <w:b/>
                <w:color w:val="000000"/>
                <w:sz w:val="21"/>
                <w:szCs w:val="21"/>
                <w:highlight w:val="none"/>
              </w:rPr>
            </w:pPr>
          </w:p>
        </w:tc>
        <w:tc>
          <w:tcPr>
            <w:tcW w:w="7762" w:type="dxa"/>
            <w:noWrap w:val="0"/>
            <w:vAlign w:val="top"/>
          </w:tcPr>
          <w:p w14:paraId="2899AB94">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（三）水产品</w:t>
            </w:r>
            <w:r>
              <w:rPr>
                <w:rFonts w:hint="eastAsia" w:ascii="宋体" w:hAnsi="宋体" w:eastAsia="宋体" w:cs="宋体"/>
                <w:color w:val="000000"/>
                <w:sz w:val="21"/>
                <w:szCs w:val="21"/>
                <w:highlight w:val="none"/>
              </w:rPr>
              <w:t>（草鱼、鲢鱼、鲫鱼、雄鱼、边鱼、鲈鱼等淡水鱼类水产品）</w:t>
            </w:r>
          </w:p>
          <w:p w14:paraId="14F6A7D0">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1.鲜活宰杀时间：夏季不超过6小时，冬季不超过12个小时，春季和秋季不超过8小时（货到学校时间开始往前算起），肉质紧密，富有弹性；无异味、臭味等，符合食品安全法要求。</w:t>
            </w:r>
          </w:p>
          <w:p w14:paraId="6A3B50A2">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color w:val="000000"/>
                <w:sz w:val="21"/>
                <w:szCs w:val="21"/>
                <w:highlight w:val="none"/>
              </w:rPr>
              <w:t>2.鲜活产品在水中游动自如,反应敏捷，无伤残、无畸形、无病害；鳞片完整无损，无皮下出血现象及红色鳞片，速冻海水产品等均符合国家《GB 2763-2014 食品安全国家标准食品中农药最大残留限量》及其他相关标准。</w:t>
            </w:r>
          </w:p>
          <w:p w14:paraId="69111990">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3.按校方要求提供相关产品检测报告</w:t>
            </w:r>
          </w:p>
        </w:tc>
      </w:tr>
      <w:tr w14:paraId="52BD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3C530490">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豆</w:t>
            </w:r>
          </w:p>
          <w:p w14:paraId="2EA3A40C">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制</w:t>
            </w:r>
          </w:p>
          <w:p w14:paraId="1DC41914">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品</w:t>
            </w:r>
          </w:p>
        </w:tc>
        <w:tc>
          <w:tcPr>
            <w:tcW w:w="7762" w:type="dxa"/>
            <w:noWrap w:val="0"/>
            <w:vAlign w:val="center"/>
          </w:tcPr>
          <w:p w14:paraId="72F5E791">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1.豆腐、豆浆：使用非转基因大豆，加工过程符合GB 14881卫生规范，菌落总数≤10000CFU/g，大肠菌群≤10CFU/g。</w:t>
            </w:r>
          </w:p>
          <w:p w14:paraId="1DCCE566">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2.豆干、腐竹：无添加剂（除国标允许的凝固剂、防腐剂），存储需冷链或干燥环境，保质期内无酸败。</w:t>
            </w:r>
          </w:p>
          <w:p w14:paraId="7AE4E14D">
            <w:pPr>
              <w:widowControl/>
              <w:spacing w:line="360" w:lineRule="auto"/>
              <w:rPr>
                <w:rFonts w:hint="eastAsia" w:ascii="宋体" w:hAnsi="宋体" w:eastAsia="宋体" w:cs="宋体"/>
                <w:color w:val="000000"/>
                <w:spacing w:val="1"/>
                <w:sz w:val="21"/>
                <w:szCs w:val="21"/>
                <w:highlight w:val="none"/>
              </w:rPr>
            </w:pPr>
            <w:r>
              <w:rPr>
                <w:rFonts w:hint="eastAsia" w:ascii="宋体" w:hAnsi="宋体" w:eastAsia="宋体" w:cs="宋体"/>
                <w:color w:val="000000"/>
                <w:spacing w:val="1"/>
                <w:sz w:val="21"/>
                <w:szCs w:val="21"/>
                <w:highlight w:val="none"/>
              </w:rPr>
              <w:t>3.豆浆类、豆腐类、豆腐干类、腐竹类等产品要求达到《GB 2712-2014食品安全国家标准豆制品》；《GB/T 22106-2008 非发酵豆制品标准》及其他相关标准。</w:t>
            </w:r>
          </w:p>
          <w:p w14:paraId="7B484AE7">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要求预包装食品的包装上应当有标签，标签应当标明名称、规格、净含量、生产日期、成分或者配料表；生产者的名称、地址、联系方式；保质期、产品标准代号；贮存条件；所使用的食品添加剂在国家标准中的通用名称；生产许可证编号；法律法规或者食品安全标准规定应当标明的其他事项。</w:t>
            </w:r>
          </w:p>
        </w:tc>
      </w:tr>
      <w:tr w14:paraId="16D9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27B945A6">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冻</w:t>
            </w:r>
          </w:p>
          <w:p w14:paraId="4469AD77">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品</w:t>
            </w:r>
          </w:p>
        </w:tc>
        <w:tc>
          <w:tcPr>
            <w:tcW w:w="7762" w:type="dxa"/>
            <w:noWrap w:val="0"/>
            <w:vAlign w:val="top"/>
          </w:tcPr>
          <w:p w14:paraId="156B3782">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1.速冻肉类：中心温度≤-18℃，解冻后感官指标正常，无氧化变色；调理制品需标注原料成分及添加剂（符合GB 2760）。</w:t>
            </w:r>
          </w:p>
          <w:p w14:paraId="25EF3488">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2.速冻蔬菜：需预冷处理，无解冻后出水严重现象，农药残留符合GB 2763，所有预包装食品应当符合GB 7718-2011《食品安全国家标准预包装食品标签通则》及GB 31646-2018《食品安全国家标准速冻食品生产和经营卫生规范》以及GB 2733-2015《食品安全国家标准鲜、冻动物性水产品》等。</w:t>
            </w:r>
          </w:p>
          <w:p w14:paraId="2D527D94">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w:t>
            </w:r>
            <w:r>
              <w:rPr>
                <w:rFonts w:hint="eastAsia" w:ascii="宋体" w:hAnsi="宋体" w:eastAsia="宋体" w:cs="宋体"/>
                <w:color w:val="000000"/>
                <w:sz w:val="21"/>
                <w:szCs w:val="21"/>
                <w:highlight w:val="none"/>
              </w:rPr>
              <w:t>国内正规厂家生产，要求冷冻鸡（鸭）腿、翅、脚类产品厂家具备完善的溯源体系，提供动物产品检疫合格证，能追溯鸡（鸭）腿、翅、脚类鲜活宰杀日期，包装标签应符合《食品安全国家标准预包装食品标签通则》（GB7718-2011）要求，包括食品名称、净含量、批次、规格、生产者名称、地址和联系方式、生产日期和保质期、贮存条件、食品生产许可证编号、产品标准代号等内容，且质量符合《GB 2707-2016 食品安全国家标准鲜（冻）畜、禽产品》等国家相关规定。每次供应冷冻鸡（鸭）腿、翅、脚类等产品的生产日期不得超过6个月时间（货到学校时间开始往前算起）。</w:t>
            </w:r>
          </w:p>
          <w:p w14:paraId="4750DDCA">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4.所有产品应提供生产厂家资质，批次报告和第三方检测报告。</w:t>
            </w:r>
          </w:p>
        </w:tc>
      </w:tr>
      <w:tr w14:paraId="351D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6488B0A3">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其</w:t>
            </w:r>
          </w:p>
          <w:p w14:paraId="28D83CA4">
            <w:pPr>
              <w:spacing w:line="360" w:lineRule="auto"/>
              <w:jc w:val="center"/>
              <w:rPr>
                <w:rFonts w:hint="eastAsia" w:ascii="宋体" w:hAnsi="宋体" w:eastAsia="宋体" w:cs="宋体"/>
                <w:bCs/>
                <w:color w:val="000000"/>
                <w:sz w:val="21"/>
                <w:szCs w:val="21"/>
                <w:highlight w:val="none"/>
              </w:rPr>
            </w:pPr>
            <w:r>
              <w:rPr>
                <w:rFonts w:hint="eastAsia" w:ascii="宋体" w:hAnsi="宋体" w:eastAsia="宋体" w:cs="宋体"/>
                <w:b/>
                <w:color w:val="000000"/>
                <w:sz w:val="21"/>
                <w:szCs w:val="21"/>
                <w:highlight w:val="none"/>
              </w:rPr>
              <w:t>他</w:t>
            </w:r>
          </w:p>
        </w:tc>
        <w:tc>
          <w:tcPr>
            <w:tcW w:w="7762" w:type="dxa"/>
            <w:noWrap w:val="0"/>
            <w:vAlign w:val="top"/>
          </w:tcPr>
          <w:p w14:paraId="608D22F6">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1.杂粮（如玉米、红薯）：无虫蛀、霉变，杂质≤1%，符合GB 2715 粮食卫生标准。</w:t>
            </w:r>
          </w:p>
          <w:p w14:paraId="230DF398">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2.一次性餐具用品应符合国家食品接触材料安全标准（GB 4806系列），满足规格参数要求，并通过卫生检测（菌落总数≤200CFU/g，大肠菌群不得检出），建议优先选用可降解材料（如PLA、纸浆等）。</w:t>
            </w:r>
          </w:p>
          <w:p w14:paraId="0D1468F3">
            <w:pPr>
              <w:widowControl/>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3.包装食品：需标注生产日期、保质期、配料表，进口食品需有中文标签及海关检验检疫证明。</w:t>
            </w:r>
          </w:p>
          <w:p w14:paraId="1F901C88">
            <w:pPr>
              <w:spacing w:line="360" w:lineRule="auto"/>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w:t>
            </w:r>
            <w:r>
              <w:rPr>
                <w:rFonts w:hint="eastAsia" w:ascii="宋体" w:hAnsi="宋体" w:eastAsia="宋体" w:cs="宋体"/>
                <w:bCs/>
                <w:color w:val="000000"/>
                <w:sz w:val="21"/>
                <w:szCs w:val="21"/>
                <w:highlight w:val="none"/>
                <w:lang w:eastAsia="zh-CN"/>
              </w:rPr>
              <w:t>投标人</w:t>
            </w:r>
            <w:r>
              <w:rPr>
                <w:rFonts w:hint="eastAsia" w:ascii="宋体" w:hAnsi="宋体" w:eastAsia="宋体" w:cs="宋体"/>
                <w:bCs/>
                <w:color w:val="000000"/>
                <w:sz w:val="21"/>
                <w:szCs w:val="21"/>
                <w:highlight w:val="none"/>
              </w:rPr>
              <w:t>营业执证：须有经营范围有效期内的《食品经营许可证》</w:t>
            </w:r>
            <w:r>
              <w:rPr>
                <w:rFonts w:hint="eastAsia" w:ascii="宋体" w:hAnsi="宋体" w:eastAsia="宋体" w:cs="宋体"/>
                <w:bCs/>
                <w:color w:val="000000"/>
                <w:sz w:val="21"/>
                <w:szCs w:val="21"/>
                <w:highlight w:val="none"/>
                <w:lang w:val="en-US" w:eastAsia="zh-CN"/>
              </w:rPr>
              <w:t>或</w:t>
            </w:r>
            <w:r>
              <w:rPr>
                <w:rFonts w:hint="eastAsia" w:ascii="宋体" w:hAnsi="宋体" w:eastAsia="宋体" w:cs="宋体"/>
                <w:bCs/>
                <w:color w:val="000000"/>
                <w:sz w:val="21"/>
                <w:szCs w:val="21"/>
                <w:highlight w:val="none"/>
              </w:rPr>
              <w:t>《食品生产许可证》。</w:t>
            </w:r>
          </w:p>
        </w:tc>
      </w:tr>
      <w:tr w14:paraId="75C6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center"/>
          </w:tcPr>
          <w:p w14:paraId="0099B72D">
            <w:pPr>
              <w:spacing w:line="360" w:lineRule="auto"/>
              <w:rPr>
                <w:rFonts w:hint="default"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lang w:val="en-US" w:eastAsia="zh-CN"/>
              </w:rPr>
              <w:t>注：前表所述的授权书、厂家资质、检测报告或其他报告等内容投标时无需提供，仅供货时提供给采购人查验即可</w:t>
            </w:r>
            <w:bookmarkStart w:id="3" w:name="_GoBack"/>
            <w:bookmarkEnd w:id="3"/>
            <w:r>
              <w:rPr>
                <w:rFonts w:hint="eastAsia" w:ascii="宋体" w:hAnsi="宋体" w:eastAsia="宋体" w:cs="宋体"/>
                <w:bCs/>
                <w:color w:val="000000"/>
                <w:sz w:val="21"/>
                <w:szCs w:val="21"/>
                <w:highlight w:val="none"/>
                <w:lang w:val="en-US" w:eastAsia="zh-CN"/>
              </w:rPr>
              <w:t>，如中标人中标后质量要求达不到以上标准，采购人有权终止合同。</w:t>
            </w:r>
          </w:p>
        </w:tc>
      </w:tr>
    </w:tbl>
    <w:p w14:paraId="71D8BAF8">
      <w:pPr>
        <w:numPr>
          <w:ilvl w:val="0"/>
          <w:numId w:val="0"/>
        </w:numPr>
        <w:rPr>
          <w:rFonts w:hint="eastAsia" w:ascii="宋体" w:hAnsi="宋体" w:eastAsia="宋体" w:cs="宋体"/>
          <w:b/>
          <w:bCs/>
          <w:color w:val="000000"/>
          <w:kern w:val="2"/>
          <w:sz w:val="24"/>
          <w:szCs w:val="24"/>
          <w:highlight w:val="none"/>
          <w:lang w:val="en-US" w:eastAsia="zh-CN" w:bidi="ar-SA"/>
        </w:rPr>
      </w:pPr>
    </w:p>
    <w:p w14:paraId="36FD47C2">
      <w:pPr>
        <w:wordWrap w:val="0"/>
        <w:adjustRightInd w:val="0"/>
        <w:snapToGrid w:val="0"/>
        <w:spacing w:line="360" w:lineRule="auto"/>
        <w:ind w:firstLine="412" w:firstLineChars="200"/>
        <w:rPr>
          <w:rFonts w:hint="eastAsia" w:ascii="宋体" w:hAnsi="宋体" w:eastAsia="宋体" w:cs="宋体"/>
          <w:bCs/>
          <w:color w:val="000000"/>
          <w:spacing w:val="-2"/>
          <w:szCs w:val="21"/>
          <w:highlight w:val="none"/>
          <w:lang w:val="en-US" w:eastAsia="zh-CN"/>
        </w:rPr>
      </w:pPr>
    </w:p>
    <w:p w14:paraId="00AEA14E">
      <w:pPr>
        <w:wordWrap w:val="0"/>
        <w:adjustRightInd w:val="0"/>
        <w:snapToGrid w:val="0"/>
        <w:spacing w:line="360" w:lineRule="auto"/>
        <w:ind w:firstLine="412" w:firstLineChars="200"/>
        <w:rPr>
          <w:rFonts w:hint="default" w:ascii="宋体" w:hAnsi="宋体" w:eastAsia="宋体" w:cs="宋体"/>
          <w:bCs/>
          <w:color w:val="000000"/>
          <w:spacing w:val="-2"/>
          <w:szCs w:val="21"/>
          <w:highlight w:val="none"/>
          <w:lang w:val="en-US" w:eastAsia="zh-CN"/>
        </w:rPr>
      </w:pPr>
    </w:p>
    <w:p w14:paraId="4F32ED8A"/>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24B64">
    <w:pPr>
      <w:widowControl w:val="0"/>
      <w:snapToGrid w:val="0"/>
      <w:ind w:left="240" w:right="359" w:rightChars="171" w:hanging="240" w:hangingChars="100"/>
      <w:jc w:val="center"/>
      <w:rPr>
        <w:rFonts w:ascii="Times New Roman" w:hAnsi="Times New Roman" w:eastAsia="楷体_GB2312" w:cs="Times New Roman"/>
        <w:kern w:val="2"/>
        <w:sz w:val="24"/>
        <w:szCs w:val="24"/>
        <w:lang w:val="en-US" w:eastAsia="zh-CN" w:bidi="ar-SA"/>
      </w:rPr>
    </w:pPr>
    <w:r>
      <w:rPr>
        <w:rFonts w:ascii="Times New Roman" w:hAnsi="Times New Roman" w:eastAsia="宋体" w:cs="Times New Roman"/>
        <w:kern w:val="2"/>
        <w:sz w:val="24"/>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B695EE">
                          <w:pPr>
                            <w:widowControl w:val="0"/>
                            <w:snapToGrid w:val="0"/>
                            <w:jc w:val="lef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4</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1B695EE">
                    <w:pPr>
                      <w:widowControl w:val="0"/>
                      <w:snapToGrid w:val="0"/>
                      <w:jc w:val="lef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4</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14:paraId="1AE42C4C">
    <w:pPr>
      <w:widowControl w:val="0"/>
      <w:snapToGrid w:val="0"/>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37D22">
    <w:pPr>
      <w:pStyle w:val="5"/>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2CED4A">
                          <w:pPr>
                            <w:pStyle w:val="5"/>
                            <w:rPr>
                              <w:sz w:val="21"/>
                              <w:szCs w:val="21"/>
                            </w:rP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4F2CED4A">
                    <w:pPr>
                      <w:pStyle w:val="5"/>
                      <w:rPr>
                        <w:sz w:val="21"/>
                        <w:szCs w:val="21"/>
                      </w:rPr>
                    </w:pPr>
                    <w:r>
                      <w:fldChar w:fldCharType="begin"/>
                    </w:r>
                    <w:r>
                      <w:instrText xml:space="preserve"> PAGE  \* MERGEFORMAT </w:instrText>
                    </w:r>
                    <w:r>
                      <w:fldChar w:fldCharType="separate"/>
                    </w:r>
                    <w:r>
                      <w:t>4</w:t>
                    </w:r>
                    <w:r>
                      <w:fldChar w:fldCharType="end"/>
                    </w:r>
                  </w:p>
                </w:txbxContent>
              </v:textbox>
            </v:shape>
          </w:pict>
        </mc:Fallback>
      </mc:AlternateContent>
    </w:r>
  </w:p>
  <w:p w14:paraId="4E71A18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34680"/>
    <w:rsid w:val="51D72322"/>
    <w:rsid w:val="56F34680"/>
    <w:rsid w:val="6C5A5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Body Text Indent 2"/>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6">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8">
    <w:name w:val="Table Grid"/>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5892</Words>
  <Characters>6144</Characters>
  <Lines>0</Lines>
  <Paragraphs>0</Paragraphs>
  <TotalTime>0</TotalTime>
  <ScaleCrop>false</ScaleCrop>
  <LinksUpToDate>false</LinksUpToDate>
  <CharactersWithSpaces>6175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2026-08-14T07:30:00Z</dcterms:created>
  <dc:creator>Administrator</dc:creator>
  <cp:lastModifiedBy>Administrator</cp:lastModifiedBy>
  <dcterms:modified xsi:type="dcterms:W3CDTF">2026-08-17T02:28:48Z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30B00645A0CF430F8A7A08D390AD7E8A_11</vt:lpwstr>
  </property>
  <property fmtid="{D5CDD505-2E9C-101B-9397-08002B2CF9AE}" pid="4" name="KSOTemplateDocerSaveRecord">
    <vt:lpwstr>eyJoZGlkIjoiMGYxODVjYmI1MGFlZjI2N2U1MTcyZmRkOGRlNmIyZjIiLCJ1c2VySWQiOiIzODA3MzU1MzgifQ==</vt:lpwstr>
  </property>
</Properties>
</file>