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03616">
      <w:pPr>
        <w:pStyle w:val="2"/>
        <w:bidi w:val="0"/>
        <w:jc w:val="center"/>
        <w:rPr>
          <w:rFonts w:hint="eastAsia" w:ascii="宋体" w:hAnsi="宋体" w:eastAsia="宋体" w:cs="宋体"/>
          <w:b/>
          <w:bCs/>
          <w:kern w:val="0"/>
          <w:sz w:val="22"/>
          <w:szCs w:val="22"/>
          <w:lang w:val="en-US" w:eastAsia="zh-CN" w:bidi="ar"/>
        </w:rPr>
      </w:pPr>
      <w:r>
        <w:rPr>
          <w:rFonts w:hint="eastAsia" w:ascii="Times New Roman" w:hAnsi="Times New Roman" w:eastAsia="宋体" w:cs="Times New Roman"/>
          <w:color w:val="auto"/>
          <w:sz w:val="36"/>
          <w:szCs w:val="24"/>
        </w:rPr>
        <w:t>采购需求</w:t>
      </w:r>
      <w:bookmarkStart w:id="0" w:name="_GoBack"/>
      <w:bookmarkEnd w:id="0"/>
    </w:p>
    <w:p w14:paraId="651B9A34">
      <w:pPr>
        <w:keepNext w:val="0"/>
        <w:keepLines w:val="0"/>
        <w:widowControl/>
        <w:numPr>
          <w:ilvl w:val="0"/>
          <w:numId w:val="0"/>
        </w:numPr>
        <w:suppressLineNumbers w:val="0"/>
        <w:spacing w:before="0" w:beforeAutospacing="0" w:after="0" w:afterAutospacing="0"/>
        <w:ind w:left="0" w:leftChars="0" w:right="0" w:rightChars="0"/>
        <w:jc w:val="left"/>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一、</w:t>
      </w:r>
      <w:r>
        <w:rPr>
          <w:rFonts w:hint="eastAsia" w:ascii="宋体" w:hAnsi="宋体" w:eastAsia="宋体" w:cs="宋体"/>
          <w:b/>
          <w:bCs/>
          <w:kern w:val="0"/>
          <w:sz w:val="22"/>
          <w:szCs w:val="22"/>
          <w:lang w:val="en-US" w:eastAsia="zh-CN" w:bidi="ar"/>
        </w:rPr>
        <w:t>功能及要求：</w:t>
      </w:r>
    </w:p>
    <w:p w14:paraId="2FA1DC93">
      <w:pPr>
        <w:keepNext w:val="0"/>
        <w:keepLines w:val="0"/>
        <w:widowControl/>
        <w:numPr>
          <w:ilvl w:val="0"/>
          <w:numId w:val="0"/>
        </w:numPr>
        <w:suppressLineNumbers w:val="0"/>
        <w:spacing w:before="0" w:beforeAutospacing="0" w:after="0" w:afterAutospacing="0"/>
        <w:ind w:right="0" w:rightChars="0"/>
        <w:jc w:val="left"/>
        <w:rPr>
          <w:rFonts w:hint="eastAsia" w:ascii="宋体" w:hAnsi="宋体" w:eastAsia="宋体" w:cs="宋体"/>
          <w:kern w:val="0"/>
          <w:sz w:val="22"/>
          <w:szCs w:val="22"/>
        </w:rPr>
      </w:pPr>
      <w:r>
        <w:rPr>
          <w:rFonts w:hint="eastAsia" w:ascii="宋体" w:hAnsi="宋体" w:cs="宋体"/>
          <w:kern w:val="0"/>
          <w:sz w:val="22"/>
          <w:szCs w:val="22"/>
          <w:lang w:val="en-US" w:eastAsia="zh-CN" w:bidi="ar"/>
        </w:rPr>
        <w:t>（一）</w:t>
      </w:r>
      <w:r>
        <w:rPr>
          <w:rFonts w:hint="eastAsia" w:ascii="宋体" w:hAnsi="宋体" w:eastAsia="宋体" w:cs="宋体"/>
          <w:kern w:val="0"/>
          <w:sz w:val="22"/>
          <w:szCs w:val="22"/>
          <w:lang w:val="en-US" w:eastAsia="zh-CN" w:bidi="ar"/>
        </w:rPr>
        <w:t>项目名称：</w:t>
      </w:r>
      <w:r>
        <w:rPr>
          <w:rFonts w:hint="eastAsia" w:ascii="宋体" w:hAnsi="宋体" w:cs="宋体"/>
          <w:kern w:val="0"/>
          <w:sz w:val="22"/>
          <w:szCs w:val="22"/>
          <w:lang w:val="en-US" w:eastAsia="zh-CN" w:bidi="ar"/>
        </w:rPr>
        <w:t>岳阳县中医医院西门子DSA设备年度(三年)维保服务采购项目</w:t>
      </w:r>
      <w:r>
        <w:rPr>
          <w:rFonts w:hint="eastAsia" w:ascii="宋体" w:hAnsi="宋体" w:eastAsia="宋体" w:cs="宋体"/>
          <w:kern w:val="0"/>
          <w:sz w:val="22"/>
          <w:szCs w:val="22"/>
          <w:lang w:val="en-US" w:eastAsia="zh-CN" w:bidi="ar"/>
        </w:rPr>
        <w:br w:type="textWrapping"/>
      </w:r>
      <w:r>
        <w:rPr>
          <w:rFonts w:hint="eastAsia" w:ascii="宋体" w:hAnsi="宋体" w:cs="宋体"/>
          <w:kern w:val="0"/>
          <w:sz w:val="22"/>
          <w:szCs w:val="22"/>
          <w:lang w:val="en-US" w:eastAsia="zh-CN" w:bidi="ar"/>
        </w:rPr>
        <w:t>（二）</w:t>
      </w:r>
      <w:r>
        <w:rPr>
          <w:rFonts w:hint="eastAsia" w:ascii="宋体" w:hAnsi="宋体" w:eastAsia="宋体" w:cs="宋体"/>
          <w:kern w:val="0"/>
          <w:sz w:val="22"/>
          <w:szCs w:val="22"/>
          <w:lang w:val="en-US" w:eastAsia="zh-CN" w:bidi="ar"/>
        </w:rPr>
        <w:t>设备高保数量及预算：</w:t>
      </w:r>
    </w:p>
    <w:tbl>
      <w:tblPr>
        <w:tblStyle w:val="7"/>
        <w:tblW w:w="0" w:type="auto"/>
        <w:tblCellSpacing w:w="15" w:type="dxa"/>
        <w:tblInd w:w="48"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
      <w:tblGrid>
        <w:gridCol w:w="1182"/>
        <w:gridCol w:w="2850"/>
        <w:gridCol w:w="1534"/>
        <w:gridCol w:w="2216"/>
        <w:gridCol w:w="1984"/>
      </w:tblGrid>
      <w:tr w14:paraId="2AE394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blCellSpacing w:w="15" w:type="dxa"/>
        </w:trPr>
        <w:tc>
          <w:tcPr>
            <w:tcW w:w="1137" w:type="dxa"/>
            <w:tcBorders>
              <w:top w:val="outset" w:color="000000" w:sz="6" w:space="0"/>
              <w:left w:val="outset" w:color="000000" w:sz="6" w:space="0"/>
              <w:bottom w:val="outset" w:color="000000" w:sz="6" w:space="0"/>
              <w:right w:val="outset" w:color="000000" w:sz="6" w:space="0"/>
            </w:tcBorders>
            <w:noWrap w:val="0"/>
            <w:vAlign w:val="center"/>
          </w:tcPr>
          <w:p w14:paraId="765F23C3">
            <w:pPr>
              <w:keepNext w:val="0"/>
              <w:keepLines w:val="0"/>
              <w:widowControl/>
              <w:numPr>
                <w:ilvl w:val="0"/>
                <w:numId w:val="0"/>
              </w:numPr>
              <w:suppressLineNumbers w:val="0"/>
              <w:spacing w:before="0" w:beforeAutospacing="0" w:after="0" w:afterAutospacing="0"/>
              <w:ind w:right="0" w:rightChars="0"/>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设备名称</w:t>
            </w:r>
          </w:p>
        </w:tc>
        <w:tc>
          <w:tcPr>
            <w:tcW w:w="2820" w:type="dxa"/>
            <w:tcBorders>
              <w:top w:val="outset" w:color="000000" w:sz="6" w:space="0"/>
              <w:left w:val="outset" w:color="000000" w:sz="6" w:space="0"/>
              <w:bottom w:val="outset" w:color="000000" w:sz="6" w:space="0"/>
              <w:right w:val="outset" w:color="000000" w:sz="6" w:space="0"/>
            </w:tcBorders>
            <w:noWrap w:val="0"/>
            <w:vAlign w:val="center"/>
          </w:tcPr>
          <w:p w14:paraId="06041EFC">
            <w:pPr>
              <w:keepNext w:val="0"/>
              <w:keepLines w:val="0"/>
              <w:widowControl/>
              <w:numPr>
                <w:ilvl w:val="0"/>
                <w:numId w:val="0"/>
              </w:numPr>
              <w:suppressLineNumbers w:val="0"/>
              <w:spacing w:before="0" w:beforeAutospacing="0" w:after="0" w:afterAutospacing="0"/>
              <w:ind w:right="0" w:rightChars="0"/>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产地、品牌、型号</w:t>
            </w:r>
          </w:p>
        </w:tc>
        <w:tc>
          <w:tcPr>
            <w:tcW w:w="1504" w:type="dxa"/>
            <w:tcBorders>
              <w:top w:val="outset" w:color="000000" w:sz="6" w:space="0"/>
              <w:left w:val="outset" w:color="000000" w:sz="6" w:space="0"/>
              <w:bottom w:val="outset" w:color="000000" w:sz="6" w:space="0"/>
              <w:right w:val="outset" w:color="000000" w:sz="6" w:space="0"/>
            </w:tcBorders>
            <w:noWrap w:val="0"/>
            <w:vAlign w:val="center"/>
          </w:tcPr>
          <w:p w14:paraId="211DA568">
            <w:pPr>
              <w:keepNext w:val="0"/>
              <w:keepLines w:val="0"/>
              <w:widowControl/>
              <w:numPr>
                <w:ilvl w:val="0"/>
                <w:numId w:val="0"/>
              </w:numPr>
              <w:suppressLineNumbers w:val="0"/>
              <w:spacing w:before="0" w:beforeAutospacing="0" w:after="0" w:afterAutospacing="0"/>
              <w:ind w:right="0" w:rightChars="0"/>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启用时间</w:t>
            </w:r>
          </w:p>
        </w:tc>
        <w:tc>
          <w:tcPr>
            <w:tcW w:w="2186" w:type="dxa"/>
            <w:tcBorders>
              <w:top w:val="outset" w:color="000000" w:sz="6" w:space="0"/>
              <w:left w:val="outset" w:color="000000" w:sz="6" w:space="0"/>
              <w:bottom w:val="outset" w:color="000000" w:sz="6" w:space="0"/>
              <w:right w:val="outset" w:color="000000" w:sz="6" w:space="0"/>
            </w:tcBorders>
            <w:noWrap w:val="0"/>
            <w:vAlign w:val="center"/>
          </w:tcPr>
          <w:p w14:paraId="27F928C5">
            <w:pPr>
              <w:keepNext w:val="0"/>
              <w:keepLines w:val="0"/>
              <w:widowControl/>
              <w:numPr>
                <w:ilvl w:val="0"/>
                <w:numId w:val="0"/>
              </w:numPr>
              <w:suppressLineNumbers w:val="0"/>
              <w:spacing w:before="0" w:beforeAutospacing="0" w:after="0" w:afterAutospacing="0"/>
              <w:ind w:right="0" w:rightChars="0"/>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维保预算（元）/年</w:t>
            </w:r>
          </w:p>
        </w:tc>
        <w:tc>
          <w:tcPr>
            <w:tcW w:w="1939" w:type="dxa"/>
            <w:tcBorders>
              <w:top w:val="outset" w:color="000000" w:sz="6" w:space="0"/>
              <w:left w:val="outset" w:color="000000" w:sz="6" w:space="0"/>
              <w:bottom w:val="outset" w:color="000000" w:sz="6" w:space="0"/>
              <w:right w:val="outset" w:color="000000" w:sz="6" w:space="0"/>
            </w:tcBorders>
            <w:noWrap w:val="0"/>
            <w:vAlign w:val="center"/>
          </w:tcPr>
          <w:p w14:paraId="7443CE3E">
            <w:pPr>
              <w:keepNext w:val="0"/>
              <w:keepLines w:val="0"/>
              <w:widowControl/>
              <w:numPr>
                <w:ilvl w:val="0"/>
                <w:numId w:val="0"/>
              </w:numPr>
              <w:suppressLineNumbers w:val="0"/>
              <w:spacing w:before="0" w:beforeAutospacing="0" w:after="0" w:afterAutospacing="0"/>
              <w:ind w:right="0" w:rightChars="0"/>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三年总预算（元）</w:t>
            </w:r>
          </w:p>
        </w:tc>
      </w:tr>
      <w:tr w14:paraId="410F88F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blCellSpacing w:w="15" w:type="dxa"/>
        </w:trPr>
        <w:tc>
          <w:tcPr>
            <w:tcW w:w="1137" w:type="dxa"/>
            <w:tcBorders>
              <w:top w:val="outset" w:color="000000" w:sz="6" w:space="0"/>
              <w:left w:val="outset" w:color="000000" w:sz="6" w:space="0"/>
              <w:bottom w:val="outset" w:color="000000" w:sz="6" w:space="0"/>
              <w:right w:val="outset" w:color="000000" w:sz="6" w:space="0"/>
            </w:tcBorders>
            <w:noWrap w:val="0"/>
            <w:vAlign w:val="center"/>
          </w:tcPr>
          <w:p w14:paraId="298E6D0E">
            <w:pPr>
              <w:keepNext w:val="0"/>
              <w:keepLines w:val="0"/>
              <w:widowControl/>
              <w:numPr>
                <w:ilvl w:val="0"/>
                <w:numId w:val="0"/>
              </w:numPr>
              <w:suppressLineNumbers w:val="0"/>
              <w:spacing w:before="0" w:beforeAutospacing="0" w:after="0" w:afterAutospacing="0"/>
              <w:ind w:right="0" w:rightChars="0"/>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西门子DSA</w:t>
            </w:r>
          </w:p>
        </w:tc>
        <w:tc>
          <w:tcPr>
            <w:tcW w:w="2820" w:type="dxa"/>
            <w:tcBorders>
              <w:top w:val="outset" w:color="000000" w:sz="6" w:space="0"/>
              <w:left w:val="outset" w:color="000000" w:sz="6" w:space="0"/>
              <w:bottom w:val="outset" w:color="000000" w:sz="6" w:space="0"/>
              <w:right w:val="outset" w:color="000000" w:sz="6" w:space="0"/>
            </w:tcBorders>
            <w:noWrap w:val="0"/>
            <w:vAlign w:val="center"/>
          </w:tcPr>
          <w:p w14:paraId="5181EDC4">
            <w:pPr>
              <w:keepNext w:val="0"/>
              <w:keepLines w:val="0"/>
              <w:widowControl/>
              <w:numPr>
                <w:ilvl w:val="0"/>
                <w:numId w:val="0"/>
              </w:numPr>
              <w:suppressLineNumbers w:val="0"/>
              <w:spacing w:before="0" w:beforeAutospacing="0" w:after="0" w:afterAutospacing="0"/>
              <w:ind w:right="0" w:rightChars="0"/>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西门子 Artis zee ceiling</w:t>
            </w:r>
          </w:p>
        </w:tc>
        <w:tc>
          <w:tcPr>
            <w:tcW w:w="1504" w:type="dxa"/>
            <w:tcBorders>
              <w:top w:val="outset" w:color="000000" w:sz="6" w:space="0"/>
              <w:left w:val="outset" w:color="000000" w:sz="6" w:space="0"/>
              <w:bottom w:val="outset" w:color="000000" w:sz="6" w:space="0"/>
              <w:right w:val="outset" w:color="000000" w:sz="6" w:space="0"/>
            </w:tcBorders>
            <w:noWrap w:val="0"/>
            <w:vAlign w:val="center"/>
          </w:tcPr>
          <w:p w14:paraId="78C84018">
            <w:pPr>
              <w:keepNext w:val="0"/>
              <w:keepLines w:val="0"/>
              <w:widowControl/>
              <w:numPr>
                <w:ilvl w:val="0"/>
                <w:numId w:val="0"/>
              </w:numPr>
              <w:suppressLineNumbers w:val="0"/>
              <w:spacing w:before="0" w:beforeAutospacing="0" w:after="0" w:afterAutospacing="0"/>
              <w:ind w:right="0" w:rightChars="0"/>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2011年12月</w:t>
            </w:r>
          </w:p>
        </w:tc>
        <w:tc>
          <w:tcPr>
            <w:tcW w:w="2186" w:type="dxa"/>
            <w:tcBorders>
              <w:top w:val="outset" w:color="000000" w:sz="6" w:space="0"/>
              <w:left w:val="outset" w:color="000000" w:sz="6" w:space="0"/>
              <w:bottom w:val="outset" w:color="000000" w:sz="6" w:space="0"/>
              <w:right w:val="outset" w:color="000000" w:sz="6" w:space="0"/>
            </w:tcBorders>
            <w:noWrap w:val="0"/>
            <w:vAlign w:val="center"/>
          </w:tcPr>
          <w:p w14:paraId="4B240FEF">
            <w:pPr>
              <w:keepNext w:val="0"/>
              <w:keepLines w:val="0"/>
              <w:widowControl/>
              <w:numPr>
                <w:ilvl w:val="0"/>
                <w:numId w:val="0"/>
              </w:numPr>
              <w:suppressLineNumbers w:val="0"/>
              <w:spacing w:before="0" w:beforeAutospacing="0" w:after="0" w:afterAutospacing="0"/>
              <w:ind w:right="0" w:rightChars="0"/>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394420</w:t>
            </w:r>
          </w:p>
        </w:tc>
        <w:tc>
          <w:tcPr>
            <w:tcW w:w="1939" w:type="dxa"/>
            <w:tcBorders>
              <w:top w:val="outset" w:color="000000" w:sz="6" w:space="0"/>
              <w:left w:val="outset" w:color="000000" w:sz="6" w:space="0"/>
              <w:bottom w:val="outset" w:color="000000" w:sz="6" w:space="0"/>
              <w:right w:val="outset" w:color="000000" w:sz="6" w:space="0"/>
            </w:tcBorders>
            <w:noWrap w:val="0"/>
            <w:vAlign w:val="center"/>
          </w:tcPr>
          <w:p w14:paraId="5128A1F8">
            <w:pPr>
              <w:keepNext w:val="0"/>
              <w:keepLines w:val="0"/>
              <w:widowControl/>
              <w:numPr>
                <w:ilvl w:val="0"/>
                <w:numId w:val="0"/>
              </w:numPr>
              <w:suppressLineNumbers w:val="0"/>
              <w:spacing w:before="0" w:beforeAutospacing="0" w:after="0" w:afterAutospacing="0"/>
              <w:ind w:right="0" w:rightChars="0"/>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1183260</w:t>
            </w:r>
          </w:p>
        </w:tc>
      </w:tr>
    </w:tbl>
    <w:p w14:paraId="369711A9">
      <w:pPr>
        <w:keepNext w:val="0"/>
        <w:keepLines w:val="0"/>
        <w:widowControl/>
        <w:numPr>
          <w:ilvl w:val="0"/>
          <w:numId w:val="1"/>
        </w:numPr>
        <w:suppressLineNumbers w:val="0"/>
        <w:spacing w:before="0" w:beforeAutospacing="0" w:after="0" w:afterAutospacing="0"/>
        <w:ind w:left="0" w:right="0"/>
        <w:jc w:val="left"/>
        <w:rPr>
          <w:rFonts w:hint="eastAsia" w:ascii="宋体" w:hAnsi="宋体" w:cs="宋体"/>
          <w:kern w:val="0"/>
          <w:sz w:val="22"/>
          <w:szCs w:val="22"/>
          <w:lang w:val="en-US" w:eastAsia="zh-CN" w:bidi="ar"/>
        </w:rPr>
      </w:pPr>
      <w:r>
        <w:rPr>
          <w:rFonts w:hint="eastAsia" w:ascii="宋体" w:hAnsi="宋体" w:eastAsia="宋体" w:cs="宋体"/>
          <w:kern w:val="0"/>
          <w:sz w:val="22"/>
          <w:szCs w:val="22"/>
          <w:lang w:val="en-US" w:eastAsia="zh-CN" w:bidi="ar"/>
        </w:rPr>
        <w:t>维保内容</w:t>
      </w:r>
      <w:r>
        <w:rPr>
          <w:rFonts w:hint="eastAsia" w:ascii="宋体" w:hAnsi="宋体" w:cs="宋体"/>
          <w:kern w:val="0"/>
          <w:sz w:val="22"/>
          <w:szCs w:val="22"/>
          <w:lang w:val="en-US" w:eastAsia="zh-CN" w:bidi="ar"/>
        </w:rPr>
        <w:t>：</w:t>
      </w:r>
    </w:p>
    <w:p w14:paraId="2331C095">
      <w:pPr>
        <w:keepNext w:val="0"/>
        <w:keepLines w:val="0"/>
        <w:widowControl/>
        <w:numPr>
          <w:ilvl w:val="0"/>
          <w:numId w:val="2"/>
        </w:numPr>
        <w:suppressLineNumbers w:val="0"/>
        <w:spacing w:before="0" w:beforeAutospacing="0" w:after="0" w:afterAutospacing="0"/>
        <w:ind w:right="0" w:rightChars="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本项目是整机全保服务，包含：设备主机所有备件（主机、探测器、球管）及不限次数人工和每年两次保养服务（包保养耗材）。</w:t>
      </w:r>
      <w:r>
        <w:rPr>
          <w:rFonts w:hint="eastAsia" w:ascii="宋体" w:hAnsi="宋体" w:eastAsia="宋体" w:cs="宋体"/>
          <w:kern w:val="0"/>
          <w:sz w:val="22"/>
          <w:szCs w:val="22"/>
          <w:lang w:val="en-US" w:eastAsia="zh-CN" w:bidi="ar"/>
        </w:rPr>
        <w:br w:type="textWrapping"/>
      </w:r>
      <w:r>
        <w:rPr>
          <w:rFonts w:hint="eastAsia" w:ascii="宋体" w:hAnsi="宋体" w:cs="宋体"/>
          <w:kern w:val="0"/>
          <w:sz w:val="22"/>
          <w:szCs w:val="22"/>
          <w:lang w:val="en-US" w:eastAsia="zh-CN" w:bidi="ar"/>
        </w:rPr>
        <w:t>2</w:t>
      </w:r>
      <w:r>
        <w:rPr>
          <w:rFonts w:hint="eastAsia" w:ascii="宋体" w:hAnsi="宋体" w:eastAsia="宋体" w:cs="宋体"/>
          <w:kern w:val="0"/>
          <w:sz w:val="22"/>
          <w:szCs w:val="22"/>
          <w:lang w:val="en-US" w:eastAsia="zh-CN" w:bidi="ar"/>
        </w:rPr>
        <w:t>、设备的机械安全检查、电气安全检查、影像质量检查、设备除尘保养、运行状态检查等，保养中需要更换的损耗品由投标人提供，费用包含在投标总价中。维修或保养完成后，投标人需提供维修报告、保养报告及质控报告等。</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3、合同期内，每年至少提供2次/每台设备使用及维修相关培训。</w:t>
      </w:r>
      <w:r>
        <w:rPr>
          <w:rFonts w:hint="eastAsia" w:ascii="宋体" w:hAnsi="宋体" w:eastAsia="宋体" w:cs="宋体"/>
          <w:kern w:val="0"/>
          <w:sz w:val="22"/>
          <w:szCs w:val="22"/>
          <w:lang w:val="en-US" w:eastAsia="zh-CN" w:bidi="ar"/>
        </w:rPr>
        <w:br w:type="textWrapping"/>
      </w:r>
      <w:r>
        <w:rPr>
          <w:rFonts w:hint="eastAsia" w:ascii="宋体" w:hAnsi="宋体" w:cs="宋体"/>
          <w:kern w:val="0"/>
          <w:sz w:val="22"/>
          <w:szCs w:val="22"/>
          <w:lang w:val="en-US" w:eastAsia="zh-CN" w:bidi="ar"/>
        </w:rPr>
        <w:t>（四）</w:t>
      </w:r>
      <w:r>
        <w:rPr>
          <w:rFonts w:hint="eastAsia" w:ascii="宋体" w:hAnsi="宋体" w:eastAsia="宋体" w:cs="宋体"/>
          <w:kern w:val="0"/>
          <w:sz w:val="22"/>
          <w:szCs w:val="22"/>
          <w:lang w:val="en-US" w:eastAsia="zh-CN" w:bidi="ar"/>
        </w:rPr>
        <w:t>具体维保要求：</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1、保证至少95%的开机率（一年按365天、每天12小时计算），如果此开机率由于中标公司的原因未能达到，则停机时间超过5%的部分，按1:7顺延保修期。</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2、工时：保修期内，所有工时不另行支付，包含在本次投标报价中；</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3、备件：DSA整机西门子原厂备件全包，第三方以及其他厂家备件不包；保修期内，包含球管、探测器在内的所有备件更换，提供原厂原装备件；投标人需提供球管保障能力，提供原厂原装球管，且具备球管出厂证书；更换管球和平板探测器等关键部件之后，需使用漏电流表和接地测试仪进行漏电流和接地检测。</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4、预防性保养：每合同年度内两次；</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5、预防性保养耗材：保修期内由中标人提供原厂原装保养耗材，费用不另行支付，包含在本次投标报价中；</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6、安全检查：按照设备厂家标准及相关规定执行，具体包括：</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（1）指定检查计划；</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（2）机械安全检查；</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（3）电气安全检查；</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（4）记录检查结果。</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7、质量保证：通过以下任务和工作以保证设备质量达到质量标准：</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（1）指定检查计划；</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（2）图像质量（效果）检查；</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（3）评判参数结果；</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（4）记录检查结果。</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8、安全升级：</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（1）持续监控设备是否需要升级；</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（2）提供安全性升级；</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（3）提供建议性升级；</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（4）记录升级程序。</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9、备件库保证，保证在中国大陆有零备件库，且备件的来源合法；更换普通配件到场时间不得超过48小时，更换特殊配件到货时间不得超过5个工作日；更换零配件时提供零配件的相关材料，包括但不限于：进口产品须提供报关单（国外供货），且备件供应100%保障。</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10、具有专业维修资质的工程师。</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11、提供客户服务支持热线，为用户快速诊断和技术支持服务，热线支持服务时间24小时×7天；提供微信在线报修服务。</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12、在保修合同执行期间，如厂家有新的安全升级版本，且医院需要，投标人将为医院进行升级，费用不另行支付，包含在本次投标报价中。</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13、年检时，投标人负责并保证全部监测指标达标，通过相关部门检测，取得合格证。</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14、具备线上诊断服务。</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15、合同期内，医院将对中标人的服务质量进行考核（包括：软件安装升级、开机率、故障响应时间、故障排除时间及维保服务条款履行情况等），若考核不合格，医院有权要求中标公司赔偿由于设备停机造成的直接损失。每半年为一个考核周期。</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16、本项目是对设备全周期、全方位维修与保养服务，在此期间所有维修风险（如材料、人工、意外伤害等）及费用均由中标人承担，与招标人无关。</w:t>
      </w:r>
      <w:r>
        <w:rPr>
          <w:rFonts w:hint="eastAsia" w:ascii="宋体" w:hAnsi="宋体" w:eastAsia="宋体" w:cs="宋体"/>
          <w:kern w:val="0"/>
          <w:sz w:val="22"/>
          <w:szCs w:val="22"/>
          <w:lang w:val="en-US" w:eastAsia="zh-CN" w:bidi="ar"/>
        </w:rPr>
        <w:br w:type="textWrapping"/>
      </w:r>
      <w:r>
        <w:rPr>
          <w:rFonts w:hint="eastAsia" w:ascii="宋体" w:hAnsi="宋体" w:eastAsia="宋体" w:cs="宋体"/>
          <w:b/>
          <w:bCs/>
          <w:kern w:val="0"/>
          <w:sz w:val="22"/>
          <w:szCs w:val="22"/>
          <w:lang w:val="en-US" w:eastAsia="zh-CN" w:bidi="ar"/>
        </w:rPr>
        <w:t>二、交付时间和地点：</w:t>
      </w:r>
      <w:r>
        <w:rPr>
          <w:rFonts w:hint="eastAsia" w:ascii="宋体" w:hAnsi="宋体" w:eastAsia="宋体" w:cs="宋体"/>
          <w:b/>
          <w:bCs/>
          <w:kern w:val="0"/>
          <w:sz w:val="22"/>
          <w:szCs w:val="22"/>
          <w:lang w:val="en-US" w:eastAsia="zh-CN" w:bidi="ar"/>
        </w:rPr>
        <w:br w:type="textWrapping"/>
      </w:r>
      <w:r>
        <w:rPr>
          <w:rFonts w:hint="eastAsia" w:ascii="宋体" w:hAnsi="宋体" w:eastAsia="宋体" w:cs="宋体"/>
          <w:kern w:val="0"/>
          <w:sz w:val="22"/>
          <w:szCs w:val="22"/>
          <w:lang w:val="en-US" w:eastAsia="zh-CN" w:bidi="ar"/>
        </w:rPr>
        <w:t>服务期限：3年。（合同一年一签）</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项目实施地点：</w:t>
      </w:r>
      <w:r>
        <w:rPr>
          <w:rFonts w:hint="eastAsia" w:ascii="宋体" w:hAnsi="宋体" w:cs="宋体"/>
          <w:kern w:val="0"/>
          <w:sz w:val="22"/>
          <w:szCs w:val="22"/>
          <w:lang w:val="en-US" w:eastAsia="zh-CN" w:bidi="ar"/>
        </w:rPr>
        <w:t>岳阳县中医医院</w:t>
      </w:r>
      <w:r>
        <w:rPr>
          <w:rFonts w:hint="eastAsia" w:ascii="宋体" w:hAnsi="宋体" w:eastAsia="宋体" w:cs="宋体"/>
          <w:kern w:val="0"/>
          <w:sz w:val="22"/>
          <w:szCs w:val="22"/>
          <w:lang w:val="en-US" w:eastAsia="zh-CN" w:bidi="ar"/>
        </w:rPr>
        <w:t>。</w:t>
      </w:r>
    </w:p>
    <w:p w14:paraId="044B71AC">
      <w:pPr>
        <w:keepNext w:val="0"/>
        <w:keepLines w:val="0"/>
        <w:widowControl/>
        <w:numPr>
          <w:ilvl w:val="0"/>
          <w:numId w:val="0"/>
        </w:numPr>
        <w:suppressLineNumbers w:val="0"/>
        <w:spacing w:before="0" w:beforeAutospacing="0" w:after="0" w:afterAutospacing="0"/>
        <w:ind w:right="0" w:rightChars="0"/>
        <w:jc w:val="left"/>
        <w:rPr>
          <w:rFonts w:hint="eastAsia" w:ascii="宋体" w:hAnsi="宋体" w:eastAsia="宋体" w:cs="宋体"/>
          <w:kern w:val="0"/>
          <w:sz w:val="22"/>
          <w:szCs w:val="22"/>
        </w:rPr>
      </w:pPr>
      <w:r>
        <w:rPr>
          <w:rFonts w:hint="eastAsia" w:ascii="宋体" w:hAnsi="宋体" w:cs="宋体"/>
          <w:kern w:val="0"/>
          <w:sz w:val="22"/>
          <w:szCs w:val="22"/>
          <w:lang w:val="en-US" w:eastAsia="zh-CN" w:bidi="ar"/>
        </w:rPr>
        <w:t>付款方式：按季度平均支付</w:t>
      </w:r>
      <w:r>
        <w:rPr>
          <w:rFonts w:hint="eastAsia" w:ascii="宋体" w:hAnsi="宋体" w:eastAsia="宋体" w:cs="宋体"/>
          <w:kern w:val="0"/>
          <w:sz w:val="22"/>
          <w:szCs w:val="22"/>
          <w:lang w:val="en-US" w:eastAsia="zh-CN" w:bidi="ar"/>
        </w:rPr>
        <w:br w:type="textWrapping"/>
      </w:r>
      <w:r>
        <w:rPr>
          <w:rFonts w:hint="eastAsia" w:ascii="宋体" w:hAnsi="宋体" w:cs="宋体"/>
          <w:b/>
          <w:bCs/>
          <w:kern w:val="0"/>
          <w:sz w:val="22"/>
          <w:szCs w:val="22"/>
          <w:lang w:val="en-US" w:eastAsia="zh-CN" w:bidi="ar"/>
        </w:rPr>
        <w:t>三</w:t>
      </w:r>
      <w:r>
        <w:rPr>
          <w:rFonts w:hint="eastAsia" w:ascii="宋体" w:hAnsi="宋体" w:eastAsia="宋体" w:cs="宋体"/>
          <w:b/>
          <w:bCs/>
          <w:kern w:val="0"/>
          <w:sz w:val="22"/>
          <w:szCs w:val="22"/>
          <w:lang w:val="en-US" w:eastAsia="zh-CN" w:bidi="ar"/>
        </w:rPr>
        <w:t>、验收标准：</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合同期内，采购人将对中标人的服务质量进行考核（包括：开机率、故障响应时间、故障排除时间及维保服务条款履行情况等），每半年为一个考核周期，若考核不合格，采购人可解除合同并有权要求中标人赔偿由于设备停机造成的损失。</w:t>
      </w:r>
      <w:r>
        <w:rPr>
          <w:rFonts w:hint="eastAsia" w:ascii="宋体" w:hAnsi="宋体" w:eastAsia="宋体" w:cs="宋体"/>
          <w:kern w:val="0"/>
          <w:sz w:val="22"/>
          <w:szCs w:val="22"/>
          <w:lang w:val="en-US" w:eastAsia="zh-CN" w:bidi="ar"/>
        </w:rPr>
        <w:br w:type="textWrapping"/>
      </w:r>
      <w:r>
        <w:rPr>
          <w:rFonts w:hint="eastAsia" w:ascii="宋体" w:hAnsi="宋体" w:cs="宋体"/>
          <w:b/>
          <w:bCs/>
          <w:kern w:val="0"/>
          <w:sz w:val="22"/>
          <w:szCs w:val="22"/>
          <w:lang w:val="en-US" w:eastAsia="zh-CN" w:bidi="ar"/>
        </w:rPr>
        <w:t>四</w:t>
      </w:r>
      <w:r>
        <w:rPr>
          <w:rFonts w:hint="eastAsia" w:ascii="宋体" w:hAnsi="宋体" w:eastAsia="宋体" w:cs="宋体"/>
          <w:b/>
          <w:bCs/>
          <w:kern w:val="0"/>
          <w:sz w:val="22"/>
          <w:szCs w:val="22"/>
          <w:lang w:val="en-US" w:eastAsia="zh-CN" w:bidi="ar"/>
        </w:rPr>
        <w:t>、其他要求：</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1、中标人的工作人员人为错误造成设备损坏，由中标人负责，并赔偿采购人的损失。</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2、如一旦中标必须严格按采购文件各项要求执行，本项目采用费用包干方式，在项目实施中出现任何遗漏，均由中标人提供，采购人不再支付任何超出费用，如不能履行视为放弃中标，并承担相应责任。</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3、投标人或中标人在参与本项目的全部过程中，应负责其派出的所有工作人员的人身意外保险以及承担人身意外事故引发的责任、损失和所有费用。采购人不承担投标人或中标人工作人员因意外（包括但不限于：在驻场工作中发生的意外以及抵达驻场途中及返程中发生的意外）所致的任何责任。</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4、 采购人不组织踏勘，投标人在投标前，如需踏勘现场，有关费用自理，踏勘期间发生的意外自负。</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5、如因设备无法正常运行或报废，由采购人确认维护情况后，按实结算维护费用并终止合作协议。</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6、对于上述项目要求，投标人应在投标文件中进行回应，做出承诺及说明。</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采购需求仅供参考，相关内容以采购文件为准。</w:t>
      </w:r>
    </w:p>
    <w:p w14:paraId="45B56D49">
      <w:pPr>
        <w:pStyle w:val="3"/>
        <w:ind w:left="0" w:leftChars="0" w:firstLine="0" w:firstLineChars="0"/>
        <w:rPr>
          <w:rFonts w:hint="eastAsia" w:ascii="宋体" w:hAnsi="宋体"/>
          <w:color w:val="auto"/>
          <w:szCs w:val="21"/>
        </w:rPr>
      </w:pPr>
    </w:p>
    <w:p w14:paraId="50793794">
      <w:pPr>
        <w:rPr>
          <w:rFonts w:hint="eastAsia" w:ascii="宋体" w:hAnsi="宋体"/>
          <w:color w:val="auto"/>
          <w:szCs w:val="21"/>
        </w:rPr>
      </w:pPr>
    </w:p>
    <w:p w14:paraId="462322F4">
      <w:pPr>
        <w:pStyle w:val="6"/>
        <w:rPr>
          <w:rFonts w:hint="eastAsia" w:ascii="宋体" w:hAnsi="宋体"/>
          <w:color w:val="auto"/>
          <w:szCs w:val="21"/>
        </w:rPr>
      </w:pPr>
    </w:p>
    <w:p w14:paraId="770FCB79">
      <w:pPr>
        <w:pStyle w:val="3"/>
        <w:rPr>
          <w:rFonts w:hint="eastAsia" w:ascii="宋体" w:hAnsi="宋体"/>
          <w:color w:val="auto"/>
          <w:szCs w:val="21"/>
        </w:rPr>
      </w:pPr>
    </w:p>
    <w:p w14:paraId="45207B54">
      <w:pPr>
        <w:rPr>
          <w:rFonts w:hint="eastAsia" w:ascii="宋体" w:hAnsi="宋体"/>
          <w:color w:val="auto"/>
          <w:szCs w:val="21"/>
        </w:rPr>
        <w:sectPr>
          <w:pgSz w:w="11906" w:h="16838"/>
          <w:pgMar w:top="1440" w:right="1080" w:bottom="1440" w:left="1080" w:header="851" w:footer="992" w:gutter="0"/>
          <w:pgNumType w:fmt="decimal"/>
          <w:cols w:space="720" w:num="1"/>
          <w:docGrid w:type="linesAndChars" w:linePitch="312" w:charSpace="0"/>
        </w:sectPr>
      </w:pPr>
      <w:r>
        <w:rPr>
          <w:rFonts w:hint="eastAsia" w:ascii="宋体" w:hAnsi="宋体"/>
          <w:b/>
          <w:bCs/>
          <w:color w:val="auto"/>
          <w:szCs w:val="21"/>
        </w:rPr>
        <w:t>注：对于上述要求，供应商应在响应文件中进行回应。其他未尽事宜由采购人和中标供应商双方在采购合同中详细约定</w:t>
      </w:r>
    </w:p>
    <w:p w14:paraId="152CFF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A699D"/>
    <w:multiLevelType w:val="singleLevel"/>
    <w:tmpl w:val="0E7A699D"/>
    <w:lvl w:ilvl="0" w:tentative="0">
      <w:start w:val="3"/>
      <w:numFmt w:val="chineseCounting"/>
      <w:suff w:val="nothing"/>
      <w:lvlText w:val="（%1）"/>
      <w:lvlJc w:val="left"/>
      <w:rPr>
        <w:rFonts w:hint="eastAsia"/>
      </w:rPr>
    </w:lvl>
  </w:abstractNum>
  <w:abstractNum w:abstractNumId="1">
    <w:nsid w:val="19C3CC69"/>
    <w:multiLevelType w:val="singleLevel"/>
    <w:tmpl w:val="19C3CC6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B2324"/>
    <w:rsid w:val="099B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jc w:val="center"/>
      <w:outlineLvl w:val="0"/>
    </w:pPr>
    <w:rPr>
      <w:rFonts w:ascii="Times New Roman" w:hAnsi="Times New Roman" w:eastAsia="宋体" w:cs="Times New Roman"/>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Body Text Indent"/>
    <w:basedOn w:val="1"/>
    <w:next w:val="5"/>
    <w:qFormat/>
    <w:uiPriority w:val="0"/>
    <w:pPr>
      <w:spacing w:after="120"/>
      <w:ind w:left="420" w:leftChars="200"/>
    </w:pPr>
    <w:rPr>
      <w:rFonts w:ascii="Times New Roman" w:hAnsi="Times New Roman" w:eastAsia="宋体" w:cs="Times New Roman"/>
      <w:sz w:val="24"/>
      <w:szCs w:val="20"/>
    </w:rPr>
  </w:style>
  <w:style w:type="paragraph" w:customStyle="1" w:styleId="5">
    <w:name w:val="font5"/>
    <w:basedOn w:val="1"/>
    <w:qFormat/>
    <w:uiPriority w:val="0"/>
    <w:pPr>
      <w:widowControl/>
      <w:spacing w:before="100" w:beforeAutospacing="1" w:after="100" w:afterAutospacing="1"/>
      <w:jc w:val="left"/>
    </w:pPr>
    <w:rPr>
      <w:rFonts w:ascii="宋体"/>
      <w:kern w:val="0"/>
      <w:sz w:val="18"/>
      <w:szCs w:val="18"/>
    </w:rPr>
  </w:style>
  <w:style w:type="paragraph" w:styleId="6">
    <w:name w:val="Body Text First Indent 2"/>
    <w:basedOn w:val="4"/>
    <w:next w:val="3"/>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2026-07-17T02:50:00Z</dcterms:created>
  <dc:creator>白鹤</dc:creator>
  <cp:lastModifiedBy>白鹤</cp:lastModifiedBy>
  <dcterms:modified xsi:type="dcterms:W3CDTF">2026-07-17T02:51:39Z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9A029A017AAE4E19B8538DAD8787838A_11</vt:lpwstr>
  </property>
  <property fmtid="{D5CDD505-2E9C-101B-9397-08002B2CF9AE}" pid="4" name="KSOTemplateDocerSaveRecord">
    <vt:lpwstr>eyJoZGlkIjoiYzUyZmMzYmM4Y2M4MWZhYjRkMDRmYzljZDcwMjg1NzkiLCJ1c2VySWQiOiI1ODA4NDgzNDEifQ==</vt:lpwstr>
  </property>
</Properties>
</file>