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98D60">
      <w:pPr>
        <w:pStyle w:val="2"/>
        <w:numPr>
          <w:ilvl w:val="0"/>
          <w:numId w:val="0"/>
        </w:numPr>
        <w:rPr>
          <w:rFonts w:hint="eastAsia" w:ascii="宋体" w:hAnsi="宋体"/>
          <w:b/>
          <w:bCs w:val="0"/>
          <w:color w:val="auto"/>
          <w:sz w:val="32"/>
          <w:szCs w:val="32"/>
          <w:lang w:eastAsia="zh-CN"/>
        </w:rPr>
      </w:pPr>
      <w:r>
        <w:rPr>
          <w:rFonts w:hint="eastAsia" w:ascii="宋体" w:hAnsi="宋体"/>
          <w:b/>
          <w:bCs w:val="0"/>
          <w:color w:val="auto"/>
          <w:sz w:val="32"/>
          <w:szCs w:val="32"/>
          <w:lang w:eastAsia="zh-CN"/>
        </w:rPr>
        <w:t>第四章</w:t>
      </w:r>
      <w:r>
        <w:rPr>
          <w:rFonts w:hint="eastAsia" w:ascii="宋体" w:hAnsi="宋体"/>
          <w:b/>
          <w:bCs w:val="0"/>
          <w:color w:val="auto"/>
          <w:sz w:val="32"/>
          <w:szCs w:val="32"/>
          <w:lang w:val="en-US" w:eastAsia="zh-CN"/>
        </w:rPr>
        <w:t xml:space="preserve"> </w:t>
      </w:r>
      <w:r>
        <w:rPr>
          <w:rFonts w:hint="eastAsia" w:ascii="宋体" w:hAnsi="宋体"/>
          <w:b/>
          <w:bCs w:val="0"/>
          <w:color w:val="auto"/>
          <w:sz w:val="32"/>
          <w:szCs w:val="32"/>
          <w:lang w:eastAsia="zh-CN"/>
        </w:rPr>
        <w:t>采购需求</w:t>
      </w:r>
    </w:p>
    <w:p w14:paraId="5A9133E9">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一、项目名称：岳阳县公田镇人民政府2026-2027年度全镇生活垃圾收集转运服务政府采购项目</w:t>
      </w:r>
    </w:p>
    <w:p w14:paraId="11512B34">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二、项目基本情况：</w:t>
      </w:r>
    </w:p>
    <w:p w14:paraId="012B4952">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cs="宋体"/>
          <w:i w:val="0"/>
          <w:iCs w:val="0"/>
          <w:kern w:val="0"/>
          <w:sz w:val="22"/>
          <w:szCs w:val="22"/>
          <w:lang w:val="en-US" w:eastAsia="zh-CN" w:bidi="ar"/>
        </w:rPr>
        <w:t>主要内容包括：公田镇14个行政村（居），以及3个集镇（公田集镇，甘田集镇，大椴集镇）、政府机关、所有部门站所、学校等。生活垃圾收集并转运至指定垃圾压缩站点。公田集镇采取电动垃圾车流动收集模式，每日至少两遍</w:t>
      </w:r>
      <w:r>
        <w:rPr>
          <w:rFonts w:hint="eastAsia" w:ascii="宋体" w:hAnsi="宋体" w:cs="宋体"/>
          <w:b w:val="0"/>
          <w:bCs/>
          <w:color w:val="auto"/>
          <w:sz w:val="24"/>
          <w:szCs w:val="24"/>
          <w:highlight w:val="none"/>
          <w:u w:val="none"/>
          <w:lang w:val="en-US" w:eastAsia="zh-CN"/>
        </w:rPr>
        <w:t>。所有垃圾收集点的设备内保证垃圾不外溢，确保垃圾清运及时，无单位和无居民投诉。</w:t>
      </w:r>
    </w:p>
    <w:p w14:paraId="392CF472">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(时间安排:上午7:30-11:00,下午:14:00-18:00)</w:t>
      </w:r>
    </w:p>
    <w:p w14:paraId="6985E703">
      <w:pPr>
        <w:pStyle w:val="12"/>
        <w:numPr>
          <w:ilvl w:val="0"/>
          <w:numId w:val="0"/>
        </w:numPr>
        <w:spacing w:line="360" w:lineRule="auto"/>
        <w:rPr>
          <w:rFonts w:hint="eastAsia" w:ascii="宋体" w:hAnsi="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清运范围:</w:t>
      </w:r>
      <w:r>
        <w:rPr>
          <w:rFonts w:hint="eastAsia" w:ascii="宋体" w:hAnsi="宋体" w:cs="宋体"/>
          <w:i w:val="0"/>
          <w:iCs w:val="0"/>
          <w:kern w:val="0"/>
          <w:sz w:val="22"/>
          <w:szCs w:val="22"/>
          <w:lang w:val="en-US" w:eastAsia="zh-CN" w:bidi="ar"/>
        </w:rPr>
        <w:t>公田镇14个行政村（居），以及3个集镇（公田集镇，甘田集镇，大椴集镇）、政府机关、所有部门站所、学校等</w:t>
      </w:r>
      <w:r>
        <w:rPr>
          <w:rFonts w:hint="eastAsia" w:ascii="宋体" w:hAnsi="宋体" w:eastAsia="宋体" w:cs="宋体"/>
          <w:b w:val="0"/>
          <w:bCs/>
          <w:color w:val="auto"/>
          <w:sz w:val="24"/>
          <w:szCs w:val="24"/>
          <w:highlight w:val="none"/>
          <w:u w:val="none"/>
          <w:lang w:val="en-US" w:eastAsia="zh-CN"/>
        </w:rPr>
        <w:t>。</w:t>
      </w:r>
    </w:p>
    <w:p w14:paraId="0C4B9F8D">
      <w:pPr>
        <w:pStyle w:val="12"/>
        <w:numPr>
          <w:ilvl w:val="0"/>
          <w:numId w:val="0"/>
        </w:numPr>
        <w:spacing w:line="360" w:lineRule="auto"/>
        <w:rPr>
          <w:rFonts w:hint="eastAsia" w:ascii="宋体" w:hAnsi="宋体" w:eastAsia="宋体" w:cs="Times New Roman"/>
          <w:b/>
          <w:bCs/>
          <w:kern w:val="32"/>
          <w:sz w:val="24"/>
          <w:szCs w:val="24"/>
          <w:lang w:val="en-US" w:eastAsia="zh-CN" w:bidi="ar-SA"/>
        </w:rPr>
      </w:pPr>
      <w:r>
        <w:rPr>
          <w:rFonts w:hint="eastAsia" w:ascii="宋体" w:hAnsi="宋体" w:eastAsia="宋体" w:cs="Times New Roman"/>
          <w:b/>
          <w:bCs/>
          <w:kern w:val="32"/>
          <w:sz w:val="24"/>
          <w:szCs w:val="24"/>
          <w:lang w:val="en-US" w:eastAsia="zh-CN" w:bidi="ar-SA"/>
        </w:rPr>
        <w:t>三、人员配置及设备</w:t>
      </w:r>
    </w:p>
    <w:p w14:paraId="333C6A81">
      <w:pPr>
        <w:pStyle w:val="12"/>
        <w:numPr>
          <w:ilvl w:val="0"/>
          <w:numId w:val="0"/>
        </w:numPr>
        <w:spacing w:line="360" w:lineRule="auto"/>
        <w:ind w:leftChars="304"/>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1）人员配置</w:t>
      </w:r>
    </w:p>
    <w:tbl>
      <w:tblPr>
        <w:tblStyle w:val="9"/>
        <w:tblW w:w="8478" w:type="dxa"/>
        <w:tblInd w:w="283" w:type="dxa"/>
        <w:tblLayout w:type="fixed"/>
        <w:tblCellMar>
          <w:top w:w="0" w:type="dxa"/>
          <w:left w:w="0" w:type="dxa"/>
          <w:bottom w:w="0" w:type="dxa"/>
          <w:right w:w="0" w:type="dxa"/>
        </w:tblCellMar>
      </w:tblPr>
      <w:tblGrid>
        <w:gridCol w:w="992"/>
        <w:gridCol w:w="2621"/>
        <w:gridCol w:w="1671"/>
        <w:gridCol w:w="1579"/>
        <w:gridCol w:w="1615"/>
      </w:tblGrid>
      <w:tr w14:paraId="358517D2">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51C4B">
            <w:pPr>
              <w:pStyle w:val="12"/>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F4914">
            <w:pPr>
              <w:pStyle w:val="12"/>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人员名称</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F7A09">
            <w:pPr>
              <w:pStyle w:val="12"/>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单位</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D97AF">
            <w:pPr>
              <w:pStyle w:val="12"/>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9FDF8">
            <w:pPr>
              <w:pStyle w:val="12"/>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备注</w:t>
            </w:r>
          </w:p>
        </w:tc>
      </w:tr>
      <w:tr w14:paraId="3A67619A">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0F0D7">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BD8E7">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eastAsia="zh-CN"/>
              </w:rPr>
              <w:t>经理</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CA28D">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DE9C3">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7DD4D">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146753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2CEFB">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1D490">
            <w:pPr>
              <w:pStyle w:val="12"/>
              <w:spacing w:line="360" w:lineRule="auto"/>
              <w:ind w:left="151" w:firstLine="602"/>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巡查员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79C3E">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7FDC0">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811B7">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0897BD5">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052ED">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BD691">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C436">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5B462">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3527A">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47C35C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68F91">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A2F6C">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B7626">
            <w:pPr>
              <w:pStyle w:val="12"/>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607F0">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EAF36">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0587196">
        <w:tblPrEx>
          <w:tblCellMar>
            <w:top w:w="0" w:type="dxa"/>
            <w:left w:w="0" w:type="dxa"/>
            <w:bottom w:w="0" w:type="dxa"/>
            <w:right w:w="0" w:type="dxa"/>
          </w:tblCellMar>
        </w:tblPrEx>
        <w:trPr>
          <w:trHeight w:val="670" w:hRule="atLeast"/>
        </w:trPr>
        <w:tc>
          <w:tcPr>
            <w:tcW w:w="52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6257A">
            <w:pPr>
              <w:pStyle w:val="12"/>
              <w:spacing w:line="360" w:lineRule="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合计</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B8048">
            <w:pPr>
              <w:pStyle w:val="12"/>
              <w:spacing w:line="360" w:lineRule="auto"/>
              <w:ind w:left="151" w:firstLine="602"/>
              <w:jc w:val="both"/>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9FD5E">
            <w:pPr>
              <w:pStyle w:val="12"/>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bl>
    <w:p w14:paraId="4472D1ED">
      <w:pPr>
        <w:pStyle w:val="12"/>
        <w:numPr>
          <w:ilvl w:val="0"/>
          <w:numId w:val="0"/>
        </w:numPr>
        <w:spacing w:line="360" w:lineRule="auto"/>
        <w:ind w:leftChars="504"/>
        <w:jc w:val="left"/>
        <w:rPr>
          <w:rFonts w:hint="eastAsia" w:ascii="宋体" w:hAnsi="宋体" w:cs="宋体"/>
          <w:b w:val="0"/>
          <w:bCs/>
          <w:color w:val="auto"/>
          <w:sz w:val="24"/>
          <w:szCs w:val="24"/>
          <w:highlight w:val="none"/>
          <w:u w:val="none"/>
          <w:lang w:val="en-US" w:eastAsia="zh-CN"/>
        </w:rPr>
      </w:pPr>
    </w:p>
    <w:p w14:paraId="542D79FF">
      <w:pPr>
        <w:pStyle w:val="12"/>
        <w:numPr>
          <w:ilvl w:val="0"/>
          <w:numId w:val="1"/>
        </w:numPr>
        <w:spacing w:line="360" w:lineRule="auto"/>
        <w:ind w:left="638" w:leftChars="304" w:firstLine="480" w:firstLineChars="200"/>
        <w:rPr>
          <w:rFonts w:hint="eastAsia" w:ascii="宋体" w:hAnsi="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清运费用明细</w:t>
      </w:r>
    </w:p>
    <w:tbl>
      <w:tblPr>
        <w:tblStyle w:val="10"/>
        <w:tblW w:w="8059"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3739"/>
        <w:gridCol w:w="2034"/>
        <w:gridCol w:w="1185"/>
      </w:tblGrid>
      <w:tr w14:paraId="3E9F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01" w:type="dxa"/>
            <w:vAlign w:val="center"/>
          </w:tcPr>
          <w:p w14:paraId="347E3878">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3739" w:type="dxa"/>
            <w:vAlign w:val="center"/>
          </w:tcPr>
          <w:p w14:paraId="7F4D35DD">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名称</w:t>
            </w:r>
          </w:p>
        </w:tc>
        <w:tc>
          <w:tcPr>
            <w:tcW w:w="2034" w:type="dxa"/>
            <w:vAlign w:val="center"/>
          </w:tcPr>
          <w:p w14:paraId="41AF69CE">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185" w:type="dxa"/>
            <w:shd w:val="clear" w:color="auto" w:fill="auto"/>
            <w:vAlign w:val="center"/>
          </w:tcPr>
          <w:p w14:paraId="29A3C8C2">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单位</w:t>
            </w:r>
          </w:p>
        </w:tc>
      </w:tr>
      <w:tr w14:paraId="0EAA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101" w:type="dxa"/>
            <w:vAlign w:val="center"/>
          </w:tcPr>
          <w:p w14:paraId="5172C1D9">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3739" w:type="dxa"/>
            <w:shd w:val="clear" w:color="auto" w:fill="auto"/>
            <w:vAlign w:val="center"/>
          </w:tcPr>
          <w:p w14:paraId="4A1E7580">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项目经理</w:t>
            </w:r>
          </w:p>
        </w:tc>
        <w:tc>
          <w:tcPr>
            <w:tcW w:w="2034" w:type="dxa"/>
            <w:vAlign w:val="center"/>
          </w:tcPr>
          <w:p w14:paraId="31E617A3">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469DE9DC">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49BE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2169EA38">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3739" w:type="dxa"/>
            <w:shd w:val="clear" w:color="auto" w:fill="auto"/>
            <w:vAlign w:val="center"/>
          </w:tcPr>
          <w:p w14:paraId="5C0B8E43">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巡查员</w:t>
            </w:r>
          </w:p>
        </w:tc>
        <w:tc>
          <w:tcPr>
            <w:tcW w:w="2034" w:type="dxa"/>
            <w:vAlign w:val="center"/>
          </w:tcPr>
          <w:p w14:paraId="11090929">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239FCB49">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F47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01" w:type="dxa"/>
            <w:vAlign w:val="center"/>
          </w:tcPr>
          <w:p w14:paraId="096A1AFD">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3739" w:type="dxa"/>
            <w:shd w:val="clear" w:color="auto" w:fill="auto"/>
            <w:vAlign w:val="center"/>
          </w:tcPr>
          <w:p w14:paraId="14FEBE44">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2034" w:type="dxa"/>
            <w:vAlign w:val="center"/>
          </w:tcPr>
          <w:p w14:paraId="151CCFF5">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04159B66">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0816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vAlign w:val="center"/>
          </w:tcPr>
          <w:p w14:paraId="711C6D36">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3739" w:type="dxa"/>
            <w:shd w:val="clear" w:color="auto" w:fill="auto"/>
            <w:vAlign w:val="center"/>
          </w:tcPr>
          <w:p w14:paraId="1C80B436">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2034" w:type="dxa"/>
            <w:vAlign w:val="center"/>
          </w:tcPr>
          <w:p w14:paraId="5CED7CAA">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277279D4">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69F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01" w:type="dxa"/>
            <w:vAlign w:val="center"/>
          </w:tcPr>
          <w:p w14:paraId="69EA5252">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5</w:t>
            </w:r>
          </w:p>
        </w:tc>
        <w:tc>
          <w:tcPr>
            <w:tcW w:w="3739" w:type="dxa"/>
            <w:vAlign w:val="center"/>
          </w:tcPr>
          <w:p w14:paraId="0F156AA0">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人员保险</w:t>
            </w:r>
          </w:p>
        </w:tc>
        <w:tc>
          <w:tcPr>
            <w:tcW w:w="2034" w:type="dxa"/>
            <w:vAlign w:val="center"/>
          </w:tcPr>
          <w:p w14:paraId="297D7B21">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185" w:type="dxa"/>
            <w:shd w:val="clear" w:color="auto" w:fill="auto"/>
            <w:vAlign w:val="center"/>
          </w:tcPr>
          <w:p w14:paraId="7158CB8F">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2D9F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563544F1">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6</w:t>
            </w:r>
          </w:p>
        </w:tc>
        <w:tc>
          <w:tcPr>
            <w:tcW w:w="3739" w:type="dxa"/>
            <w:vAlign w:val="center"/>
          </w:tcPr>
          <w:p w14:paraId="6DADE2E2">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车辆维修保养</w:t>
            </w:r>
          </w:p>
        </w:tc>
        <w:tc>
          <w:tcPr>
            <w:tcW w:w="2034" w:type="dxa"/>
            <w:vAlign w:val="center"/>
          </w:tcPr>
          <w:p w14:paraId="4F0375A0">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66F70F19">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7EBD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01" w:type="dxa"/>
            <w:vAlign w:val="center"/>
          </w:tcPr>
          <w:p w14:paraId="657C1416">
            <w:pPr>
              <w:bidi w:val="0"/>
              <w:rPr>
                <w:rFonts w:hint="default"/>
                <w:sz w:val="24"/>
                <w:szCs w:val="32"/>
                <w:lang w:val="en-US" w:eastAsia="zh-CN"/>
              </w:rPr>
            </w:pPr>
            <w:r>
              <w:rPr>
                <w:rFonts w:hint="eastAsia"/>
                <w:sz w:val="24"/>
                <w:szCs w:val="32"/>
                <w:lang w:val="en-US" w:eastAsia="zh-CN"/>
              </w:rPr>
              <w:t>7</w:t>
            </w:r>
          </w:p>
        </w:tc>
        <w:tc>
          <w:tcPr>
            <w:tcW w:w="3739" w:type="dxa"/>
            <w:vAlign w:val="center"/>
          </w:tcPr>
          <w:p w14:paraId="2153A933">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车辆燃油</w:t>
            </w:r>
          </w:p>
        </w:tc>
        <w:tc>
          <w:tcPr>
            <w:tcW w:w="2034" w:type="dxa"/>
            <w:vAlign w:val="center"/>
          </w:tcPr>
          <w:p w14:paraId="6F54D3F4">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F447631">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18F9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01" w:type="dxa"/>
            <w:vAlign w:val="center"/>
          </w:tcPr>
          <w:p w14:paraId="5CEA5AE8">
            <w:pPr>
              <w:bidi w:val="0"/>
              <w:rPr>
                <w:rFonts w:hint="default"/>
                <w:sz w:val="24"/>
                <w:szCs w:val="32"/>
                <w:lang w:val="en-US" w:eastAsia="zh-CN"/>
              </w:rPr>
            </w:pPr>
            <w:r>
              <w:rPr>
                <w:rFonts w:hint="eastAsia"/>
                <w:sz w:val="24"/>
                <w:szCs w:val="32"/>
                <w:lang w:val="en-US" w:eastAsia="zh-CN"/>
              </w:rPr>
              <w:t>8</w:t>
            </w:r>
          </w:p>
        </w:tc>
        <w:tc>
          <w:tcPr>
            <w:tcW w:w="3739" w:type="dxa"/>
            <w:vAlign w:val="center"/>
          </w:tcPr>
          <w:p w14:paraId="6A4F8255">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车辆保险</w:t>
            </w:r>
          </w:p>
        </w:tc>
        <w:tc>
          <w:tcPr>
            <w:tcW w:w="2034" w:type="dxa"/>
            <w:vAlign w:val="center"/>
          </w:tcPr>
          <w:p w14:paraId="793CA1C6">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26B3BB4">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6E7D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01" w:type="dxa"/>
            <w:vAlign w:val="center"/>
          </w:tcPr>
          <w:p w14:paraId="03786C15">
            <w:pPr>
              <w:bidi w:val="0"/>
              <w:rPr>
                <w:rFonts w:hint="default"/>
                <w:sz w:val="24"/>
                <w:szCs w:val="32"/>
                <w:lang w:val="en-US" w:eastAsia="zh-CN"/>
              </w:rPr>
            </w:pPr>
            <w:r>
              <w:rPr>
                <w:rFonts w:hint="eastAsia"/>
                <w:sz w:val="24"/>
                <w:szCs w:val="32"/>
                <w:lang w:val="en-US" w:eastAsia="zh-CN"/>
              </w:rPr>
              <w:t>9</w:t>
            </w:r>
          </w:p>
        </w:tc>
        <w:tc>
          <w:tcPr>
            <w:tcW w:w="3739" w:type="dxa"/>
            <w:vAlign w:val="center"/>
          </w:tcPr>
          <w:p w14:paraId="6BB78BD5">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240L垃圾桶</w:t>
            </w:r>
          </w:p>
        </w:tc>
        <w:tc>
          <w:tcPr>
            <w:tcW w:w="2034" w:type="dxa"/>
            <w:vAlign w:val="center"/>
          </w:tcPr>
          <w:p w14:paraId="756E222B">
            <w:pPr>
              <w:pStyle w:val="12"/>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980</w:t>
            </w:r>
          </w:p>
        </w:tc>
        <w:tc>
          <w:tcPr>
            <w:tcW w:w="1185" w:type="dxa"/>
            <w:shd w:val="clear" w:color="auto" w:fill="auto"/>
            <w:vAlign w:val="center"/>
          </w:tcPr>
          <w:p w14:paraId="5234EE58">
            <w:pPr>
              <w:pStyle w:val="12"/>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个</w:t>
            </w:r>
          </w:p>
        </w:tc>
      </w:tr>
    </w:tbl>
    <w:p w14:paraId="53D3EE3E">
      <w:pPr>
        <w:pStyle w:val="12"/>
        <w:numPr>
          <w:ilvl w:val="0"/>
          <w:numId w:val="0"/>
        </w:numPr>
        <w:spacing w:line="360" w:lineRule="auto"/>
        <w:rPr>
          <w:rFonts w:hint="default" w:ascii="宋体" w:hAnsi="宋体" w:cs="宋体"/>
          <w:b w:val="0"/>
          <w:bCs/>
          <w:color w:val="auto"/>
          <w:sz w:val="24"/>
          <w:szCs w:val="24"/>
          <w:highlight w:val="none"/>
          <w:u w:val="none"/>
          <w:lang w:val="en-US" w:eastAsia="zh-CN"/>
        </w:rPr>
      </w:pPr>
    </w:p>
    <w:p w14:paraId="76C7ADA7">
      <w:pPr>
        <w:pStyle w:val="12"/>
        <w:numPr>
          <w:ilvl w:val="0"/>
          <w:numId w:val="0"/>
        </w:numPr>
        <w:spacing w:line="360" w:lineRule="auto"/>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四、服务标准：</w:t>
      </w:r>
    </w:p>
    <w:p w14:paraId="3CAC321A">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8"/>
          <w:szCs w:val="28"/>
          <w:lang w:eastAsia="zh-CN"/>
        </w:rPr>
        <w:t>　　</w:t>
      </w:r>
      <w:r>
        <w:rPr>
          <w:rFonts w:hint="eastAsia" w:ascii="宋体" w:hAnsi="宋体" w:cs="宋体"/>
          <w:b w:val="0"/>
          <w:bCs/>
          <w:color w:val="auto"/>
          <w:sz w:val="24"/>
          <w:szCs w:val="24"/>
          <w:highlight w:val="none"/>
          <w:u w:val="none"/>
          <w:lang w:val="en-US" w:eastAsia="zh-CN"/>
        </w:rPr>
        <w:t>（1）</w:t>
      </w:r>
      <w:r>
        <w:rPr>
          <w:rFonts w:hint="eastAsia" w:ascii="宋体" w:hAnsi="宋体" w:eastAsia="宋体" w:cs="宋体"/>
          <w:b w:val="0"/>
          <w:bCs/>
          <w:color w:val="auto"/>
          <w:sz w:val="24"/>
          <w:szCs w:val="24"/>
          <w:highlight w:val="none"/>
          <w:u w:val="none"/>
          <w:lang w:val="en-US" w:eastAsia="zh-CN"/>
        </w:rPr>
        <w:t>清运及时。</w:t>
      </w:r>
      <w:r>
        <w:rPr>
          <w:rFonts w:hint="eastAsia" w:ascii="宋体" w:hAnsi="宋体" w:cs="宋体"/>
          <w:b w:val="0"/>
          <w:bCs/>
          <w:color w:val="auto"/>
          <w:sz w:val="24"/>
          <w:szCs w:val="24"/>
          <w:highlight w:val="none"/>
          <w:u w:val="none"/>
          <w:lang w:val="en-US" w:eastAsia="zh-CN"/>
        </w:rPr>
        <w:t>甘田、大椴集镇</w:t>
      </w:r>
      <w:r>
        <w:rPr>
          <w:rFonts w:hint="eastAsia" w:ascii="宋体" w:hAnsi="宋体" w:eastAsia="宋体" w:cs="宋体"/>
          <w:b w:val="0"/>
          <w:bCs/>
          <w:color w:val="auto"/>
          <w:sz w:val="24"/>
          <w:szCs w:val="24"/>
          <w:highlight w:val="none"/>
          <w:u w:val="none"/>
          <w:lang w:val="en-US" w:eastAsia="zh-CN"/>
        </w:rPr>
        <w:t>保证至少一日一清运，其他村级垃圾收集点原则上</w:t>
      </w:r>
      <w:r>
        <w:rPr>
          <w:rFonts w:hint="eastAsia" w:ascii="宋体" w:hAnsi="宋体" w:cs="宋体"/>
          <w:b w:val="0"/>
          <w:bCs/>
          <w:color w:val="auto"/>
          <w:sz w:val="24"/>
          <w:szCs w:val="24"/>
          <w:highlight w:val="none"/>
          <w:u w:val="none"/>
          <w:lang w:val="en-US" w:eastAsia="zh-CN"/>
        </w:rPr>
        <w:t>二</w:t>
      </w:r>
      <w:r>
        <w:rPr>
          <w:rFonts w:hint="eastAsia" w:ascii="宋体" w:hAnsi="宋体" w:eastAsia="宋体" w:cs="宋体"/>
          <w:b w:val="0"/>
          <w:bCs/>
          <w:color w:val="auto"/>
          <w:sz w:val="24"/>
          <w:szCs w:val="24"/>
          <w:highlight w:val="none"/>
          <w:u w:val="none"/>
          <w:lang w:val="en-US" w:eastAsia="zh-CN"/>
        </w:rPr>
        <w:t>日一清运，具体标准为垃圾收集点的设备内保证垃圾不外溢。特殊情况（如遇重大事项或迎接上级检查等）另行通知增加清运，做到随叫随到。</w:t>
      </w:r>
    </w:p>
    <w:p w14:paraId="37270D80">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（2）</w:t>
      </w:r>
      <w:r>
        <w:rPr>
          <w:rFonts w:hint="eastAsia" w:ascii="宋体" w:hAnsi="宋体" w:eastAsia="宋体" w:cs="宋体"/>
          <w:b w:val="0"/>
          <w:bCs/>
          <w:color w:val="auto"/>
          <w:sz w:val="24"/>
          <w:szCs w:val="24"/>
          <w:highlight w:val="none"/>
          <w:u w:val="none"/>
          <w:lang w:val="en-US" w:eastAsia="zh-CN"/>
        </w:rPr>
        <w:t>车容整洁。垃圾清运车辆做到勤洗勤护，保持车辆设备卫生，确保无单位和无居民投诉。</w:t>
      </w:r>
    </w:p>
    <w:p w14:paraId="0FE2B8BF">
      <w:pPr>
        <w:pStyle w:val="12"/>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（3）</w:t>
      </w:r>
      <w:r>
        <w:rPr>
          <w:rFonts w:hint="eastAsia" w:ascii="宋体" w:hAnsi="宋体" w:eastAsia="宋体" w:cs="宋体"/>
          <w:b w:val="0"/>
          <w:bCs/>
          <w:color w:val="auto"/>
          <w:sz w:val="24"/>
          <w:szCs w:val="24"/>
          <w:highlight w:val="none"/>
          <w:u w:val="none"/>
          <w:lang w:val="en-US" w:eastAsia="zh-CN"/>
        </w:rPr>
        <w:t>不允许焚烧垃圾。</w:t>
      </w:r>
    </w:p>
    <w:p w14:paraId="561B7E3A">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）运行管理单位应分类收集、运输不同品类的生活垃圾，根据生活垃圾收集量、作业时间等因素，合理安排收运车辆和作业人员。</w:t>
      </w:r>
    </w:p>
    <w:p w14:paraId="465E0AE8">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）运行管理单位应合理规划收运时间和路线，科学确定收运频次，规范运输作业，实现生活垃圾及时清运。</w:t>
      </w:r>
    </w:p>
    <w:p w14:paraId="7B32BC3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）作业人员应按规定的路线和时间行驶，将生活垃圾运送到指定的收集站（点）</w:t>
      </w:r>
    </w:p>
    <w:p w14:paraId="2BB40394">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或符合规定的转运、处理设施，不应混装混运，不应将生活垃圾随意倾倒、丢弃、遗撒、堆放。</w:t>
      </w:r>
    </w:p>
    <w:p w14:paraId="3681CCC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）作业人员应遵守交通法规，文明行驶，确保行车安全。</w:t>
      </w:r>
    </w:p>
    <w:p w14:paraId="56A551B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）运输作业应符合国家和地方的有关法律法规和安全技术操作规程等，装载量不应超过额定载荷或有效容积，不应超重、超宽和超高运输。</w:t>
      </w:r>
    </w:p>
    <w:p w14:paraId="24D1DDD4">
      <w:pPr>
        <w:numPr>
          <w:ilvl w:val="0"/>
          <w:numId w:val="0"/>
        </w:numPr>
        <w:spacing w:line="36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）作业结束后，作业人员应将车辆清洗干净，按要求停放，并定期消杀。</w:t>
      </w:r>
    </w:p>
    <w:p w14:paraId="24FD99F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）垃圾应采取密闭方式进行转运，禁止敞开式运送垃圾。在垃圾运输过程中无垃圾扬、撒、拖挂和污水滴漏。</w:t>
      </w:r>
    </w:p>
    <w:p w14:paraId="33F313F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）吊桶垃圾车应加盖，不得超高超载、挂包运输垃圾。</w:t>
      </w:r>
    </w:p>
    <w:p w14:paraId="1E3DDF0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）经常检查车辆密封构件，集装箱式垃圾车应定期更换密封条，确保完好，不洒漏污水。</w:t>
      </w:r>
    </w:p>
    <w:p w14:paraId="4ACFEA3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13</w:t>
      </w:r>
      <w:r>
        <w:rPr>
          <w:rFonts w:hint="eastAsia" w:ascii="宋体" w:hAnsi="宋体" w:eastAsia="宋体" w:cs="宋体"/>
          <w:sz w:val="24"/>
          <w:szCs w:val="24"/>
          <w:lang w:val="en-US" w:eastAsia="zh-CN"/>
        </w:rPr>
        <w:t>）运输垃圾应尽量避开上下班高峰期。装卸垃圾符合作业要求，不得乱倒、乱卸、乱抛垃圾，在居民住宅附近的垃圾站装运垃圾时，应尽量避免扰民。</w:t>
      </w:r>
    </w:p>
    <w:p w14:paraId="3166574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）垃圾运输车辆应车容整洁，车况良好，车牌号码完整，车门喷印清晰的单位名称，车顶无乱焊铁架等现象。</w:t>
      </w:r>
    </w:p>
    <w:p w14:paraId="6F58401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）垃圾装运量应以车辆的额定荷载和有效容积为限，不得超重、超高运输。</w:t>
      </w:r>
    </w:p>
    <w:p w14:paraId="6C3FC53C">
      <w:pPr>
        <w:numPr>
          <w:ilvl w:val="0"/>
          <w:numId w:val="0"/>
        </w:numPr>
        <w:spacing w:line="360" w:lineRule="auto"/>
        <w:ind w:firstLine="480" w:firstLineChars="200"/>
        <w:jc w:val="left"/>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）车辆安全管理达到“四有一无”，即：有安全管理组织，有健全的安全管理制度；有完善的安全检查制度；有定期的安全培训制度；无安全事故发生。</w:t>
      </w:r>
    </w:p>
    <w:p w14:paraId="0237A4CD">
      <w:pPr>
        <w:pStyle w:val="12"/>
        <w:spacing w:line="360" w:lineRule="auto"/>
        <w:ind w:left="0" w:leftChars="0" w:firstLine="0" w:firstLineChars="0"/>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五、服务期限及费用支付方式</w:t>
      </w:r>
    </w:p>
    <w:p w14:paraId="4F34E960">
      <w:pPr>
        <w:pStyle w:val="6"/>
        <w:tabs>
          <w:tab w:val="left" w:pos="1620"/>
        </w:tabs>
        <w:adjustRightInd w:val="0"/>
        <w:snapToGrid w:val="0"/>
        <w:spacing w:line="480" w:lineRule="auto"/>
        <w:jc w:val="both"/>
        <w:outlineLvl w:val="0"/>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1、服务期限:一年</w:t>
      </w:r>
      <w:r>
        <w:rPr>
          <w:rFonts w:hint="eastAsia" w:hAnsi="宋体" w:cs="宋体"/>
          <w:b w:val="0"/>
          <w:bCs/>
          <w:color w:val="auto"/>
          <w:kern w:val="2"/>
          <w:sz w:val="24"/>
          <w:szCs w:val="24"/>
          <w:highlight w:val="none"/>
          <w:u w:val="none"/>
          <w:lang w:val="en-US" w:eastAsia="zh-CN" w:bidi="ar-SA"/>
        </w:rPr>
        <w:t>。</w:t>
      </w:r>
    </w:p>
    <w:p w14:paraId="705BCDC0">
      <w:pPr>
        <w:pStyle w:val="6"/>
        <w:tabs>
          <w:tab w:val="left" w:pos="1620"/>
        </w:tabs>
        <w:adjustRightInd w:val="0"/>
        <w:snapToGrid w:val="0"/>
        <w:spacing w:line="480" w:lineRule="auto"/>
        <w:jc w:val="both"/>
        <w:outlineLvl w:val="0"/>
        <w:rPr>
          <w:rFonts w:hint="eastAsia" w:hAnsi="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2、费用支付方式:付款方式按季度付，另外每个季度当中提出3万元为考核奖金，全年考核资金共12万元</w:t>
      </w:r>
      <w:r>
        <w:rPr>
          <w:rFonts w:hint="eastAsia" w:hAnsi="宋体" w:cs="宋体"/>
          <w:b w:val="0"/>
          <w:bCs/>
          <w:color w:val="auto"/>
          <w:kern w:val="2"/>
          <w:sz w:val="24"/>
          <w:szCs w:val="24"/>
          <w:highlight w:val="none"/>
          <w:u w:val="none"/>
          <w:lang w:val="en-US" w:eastAsia="zh-CN" w:bidi="ar-SA"/>
        </w:rPr>
        <w:t>。</w:t>
      </w:r>
    </w:p>
    <w:p w14:paraId="229B590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3</w:t>
      </w:r>
      <w:r>
        <w:rPr>
          <w:rFonts w:hint="eastAsia" w:ascii="宋体" w:hAnsi="宋体" w:eastAsia="宋体" w:cs="宋体"/>
          <w:sz w:val="24"/>
          <w:szCs w:val="24"/>
          <w:lang w:eastAsia="zh-CN"/>
        </w:rPr>
        <w:t>、投标人报价是供应商为完成本项目所需的一切费用，包括工资、福利、工具费、油费、维修费、安全服务费、管理费、税费、第三方责任险及其他各项应有费用，采购人不再单独支付其他任何费用。</w:t>
      </w:r>
    </w:p>
    <w:p w14:paraId="11F60AF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4</w:t>
      </w:r>
      <w:r>
        <w:rPr>
          <w:rFonts w:hint="eastAsia" w:ascii="宋体" w:hAnsi="宋体" w:eastAsia="宋体" w:cs="宋体"/>
          <w:sz w:val="24"/>
          <w:szCs w:val="24"/>
          <w:lang w:eastAsia="zh-CN"/>
        </w:rPr>
        <w:t>、合同履行期间中标单位为安全责任主体，必须落实安全，严防和杜绝发生安全事故。在履行本项目的全过程中，凡出现安全事故（含交通事故）等各种原因造成中标单位自身或第三方人身损害和财产损失，由中标单位承担全部赔偿责任。</w:t>
      </w:r>
    </w:p>
    <w:p w14:paraId="6CE55F1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b/>
          <w:bCs/>
          <w:kern w:val="32"/>
          <w:sz w:val="24"/>
          <w:szCs w:val="24"/>
          <w:lang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成交供应商</w:t>
      </w:r>
      <w:r>
        <w:rPr>
          <w:rFonts w:hint="eastAsia" w:ascii="宋体" w:hAnsi="宋体" w:eastAsia="宋体" w:cs="宋体"/>
          <w:sz w:val="24"/>
          <w:szCs w:val="24"/>
          <w:lang w:eastAsia="en-US"/>
        </w:rPr>
        <w:t>在服务过程中必须按照采购单位的要求按质按量完成各项工作，如服务中多次不能满足采购人的要求，拒不履行合同约定的条款终止资格外还要按照政府采购法及其他的相关法律法规进行处罚。</w:t>
      </w:r>
    </w:p>
    <w:p w14:paraId="388505A3">
      <w:pPr>
        <w:spacing w:line="360" w:lineRule="auto"/>
        <w:rPr>
          <w:rFonts w:hint="eastAsia" w:ascii="宋体" w:hAnsi="宋体"/>
          <w:b/>
          <w:bCs/>
          <w:kern w:val="32"/>
          <w:sz w:val="24"/>
          <w:szCs w:val="24"/>
          <w:lang w:eastAsia="zh-CN"/>
        </w:rPr>
      </w:pPr>
      <w:r>
        <w:rPr>
          <w:rFonts w:hint="eastAsia" w:ascii="宋体" w:hAnsi="宋体"/>
          <w:b/>
          <w:bCs/>
          <w:kern w:val="32"/>
          <w:sz w:val="24"/>
          <w:szCs w:val="24"/>
          <w:lang w:eastAsia="zh-CN"/>
        </w:rPr>
        <w:t>六</w:t>
      </w:r>
      <w:r>
        <w:rPr>
          <w:rFonts w:hint="eastAsia" w:ascii="宋体" w:hAnsi="宋体"/>
          <w:b/>
          <w:bCs/>
          <w:kern w:val="32"/>
          <w:sz w:val="24"/>
          <w:szCs w:val="24"/>
        </w:rPr>
        <w:t>、</w:t>
      </w:r>
      <w:r>
        <w:rPr>
          <w:rFonts w:hint="eastAsia" w:ascii="宋体" w:hAnsi="宋体"/>
          <w:b/>
          <w:bCs/>
          <w:kern w:val="32"/>
          <w:sz w:val="24"/>
          <w:szCs w:val="24"/>
          <w:lang w:eastAsia="zh-CN"/>
        </w:rPr>
        <w:t>其他未尽事宜，双方在合同中明确。</w:t>
      </w:r>
    </w:p>
    <w:p w14:paraId="32BE62E8">
      <w:pPr>
        <w:pStyle w:val="8"/>
        <w:rPr>
          <w:rFonts w:hint="eastAsia"/>
        </w:rPr>
      </w:pPr>
    </w:p>
    <w:p w14:paraId="0756ACE7">
      <w:pPr>
        <w:pStyle w:val="3"/>
        <w:spacing w:line="360" w:lineRule="auto"/>
        <w:ind w:firstLine="0"/>
        <w:rPr>
          <w:rFonts w:hint="eastAsia" w:ascii="宋体" w:hAnsi="宋体" w:eastAsia="宋体"/>
          <w:b/>
          <w:bCs/>
          <w:kern w:val="32"/>
          <w:sz w:val="21"/>
          <w:szCs w:val="21"/>
        </w:rPr>
      </w:pPr>
      <w:r>
        <w:rPr>
          <w:rFonts w:hint="eastAsia" w:ascii="宋体" w:hAnsi="宋体" w:eastAsia="宋体"/>
          <w:b/>
          <w:bCs/>
          <w:kern w:val="32"/>
          <w:sz w:val="21"/>
          <w:szCs w:val="21"/>
        </w:rPr>
        <w:t>对于上述项目要求，供应商应在响应文件中进行回应，作出承诺及说明。</w:t>
      </w:r>
    </w:p>
    <w:p w14:paraId="2C86F8B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4F719"/>
    <w:multiLevelType w:val="singleLevel"/>
    <w:tmpl w:val="FA84F71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6D17EA"/>
    <w:rsid w:val="556D1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Normal Indent"/>
    <w:basedOn w:val="1"/>
    <w:next w:val="4"/>
    <w:qFormat/>
    <w:uiPriority w:val="0"/>
    <w:pPr>
      <w:widowControl/>
      <w:ind w:firstLine="420"/>
      <w:jc w:val="left"/>
    </w:pPr>
    <w:rPr>
      <w:kern w:val="0"/>
      <w:sz w:val="20"/>
      <w:szCs w:val="20"/>
    </w:rPr>
  </w:style>
  <w:style w:type="paragraph" w:customStyle="1" w:styleId="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5">
    <w:name w:val="Body Text Indent"/>
    <w:basedOn w:val="1"/>
    <w:next w:val="1"/>
    <w:qFormat/>
    <w:uiPriority w:val="0"/>
    <w:pPr>
      <w:spacing w:after="120"/>
      <w:ind w:left="420" w:leftChars="20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Body Text First Indent 2"/>
    <w:basedOn w:val="5"/>
    <w:next w:val="3"/>
    <w:unhideWhenUsed/>
    <w:qFormat/>
    <w:uiPriority w:val="0"/>
    <w:pPr>
      <w:ind w:firstLine="420" w:firstLineChars="200"/>
    </w:pPr>
    <w:rPr>
      <w:kern w:val="2"/>
      <w:sz w:val="21"/>
      <w:lang w:val="en-US" w:eastAsia="zh-CN"/>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2026-09-19T06:48:00Z</dcterms:created>
  <dc:creator>陈卓</dc:creator>
  <cp:lastModifiedBy>陈卓</cp:lastModifiedBy>
  <dcterms:modified xsi:type="dcterms:W3CDTF">2026-09-19T06:48:56Z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A2BA144B2D5C45CF8449BCC20125D123_11</vt:lpwstr>
  </property>
  <property fmtid="{D5CDD505-2E9C-101B-9397-08002B2CF9AE}" pid="4" name="KSOTemplateDocerSaveRecord">
    <vt:lpwstr>eyJoZGlkIjoiNjk0ODMxZjdiNjg2YjdlNzVkOGIxZWJkYWY2ZjllYTkiLCJ1c2VySWQiOiI1NDU1NDE5NDgifQ==</vt:lpwstr>
  </property>
</Properties>
</file>