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E0741">
      <w:pPr>
        <w:pStyle w:val="2"/>
        <w:keepNext w:val="0"/>
        <w:adjustRightInd w:val="0"/>
        <w:snapToGrid w:val="0"/>
        <w:spacing w:before="156" w:beforeLines="50" w:line="360" w:lineRule="auto"/>
        <w:jc w:val="center"/>
        <w:rPr>
          <w:rFonts w:ascii="黑体" w:hAnsi="华文中宋" w:eastAsia="黑体"/>
          <w:sz w:val="32"/>
          <w:szCs w:val="32"/>
          <w:highlight w:val="none"/>
        </w:rPr>
      </w:pPr>
      <w:r>
        <w:rPr>
          <w:rFonts w:hint="eastAsia" w:ascii="黑体" w:hAnsi="华文中宋" w:eastAsia="黑体"/>
          <w:sz w:val="32"/>
          <w:szCs w:val="32"/>
          <w:highlight w:val="none"/>
        </w:rPr>
        <w:t>采购需求</w:t>
      </w:r>
    </w:p>
    <w:p w14:paraId="60BFAB48">
      <w:pPr>
        <w:pStyle w:val="3"/>
        <w:adjustRightInd w:val="0"/>
        <w:snapToGrid w:val="0"/>
        <w:spacing w:before="156" w:beforeLines="50"/>
        <w:jc w:val="center"/>
        <w:rPr>
          <w:rFonts w:hint="eastAsia" w:ascii="黑体" w:hAnsi="黑体" w:eastAsia="黑体"/>
          <w:sz w:val="28"/>
          <w:szCs w:val="28"/>
          <w:highlight w:val="none"/>
        </w:rPr>
      </w:pPr>
      <w:bookmarkStart w:id="0" w:name="_Toc18158"/>
      <w:bookmarkStart w:id="1" w:name="_Toc27822"/>
      <w:r>
        <w:rPr>
          <w:rFonts w:hint="eastAsia" w:ascii="黑体" w:hAnsi="黑体" w:eastAsia="黑体"/>
          <w:sz w:val="28"/>
          <w:szCs w:val="28"/>
          <w:highlight w:val="none"/>
        </w:rPr>
        <w:t>第一节 采购清单一览表</w:t>
      </w:r>
      <w:bookmarkEnd w:id="0"/>
      <w:bookmarkEnd w:id="1"/>
    </w:p>
    <w:tbl>
      <w:tblPr>
        <w:tblStyle w:val="8"/>
        <w:tblpPr w:leftFromText="180" w:rightFromText="180" w:vertAnchor="text" w:horzAnchor="page" w:tblpX="1358" w:tblpY="521"/>
        <w:tblOverlap w:val="never"/>
        <w:tblW w:w="919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9"/>
        <w:gridCol w:w="1602"/>
        <w:gridCol w:w="1378"/>
        <w:gridCol w:w="1361"/>
        <w:gridCol w:w="1411"/>
        <w:gridCol w:w="1668"/>
        <w:gridCol w:w="643"/>
        <w:gridCol w:w="643"/>
      </w:tblGrid>
      <w:tr w14:paraId="324A66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489" w:type="dxa"/>
            <w:noWrap w:val="0"/>
            <w:vAlign w:val="center"/>
          </w:tcPr>
          <w:p w14:paraId="5FABD9A3">
            <w:pPr>
              <w:adjustRightInd w:val="0"/>
              <w:snapToGrid w:val="0"/>
              <w:jc w:val="center"/>
              <w:rPr>
                <w:b/>
                <w:bCs/>
                <w:color w:val="auto"/>
                <w:szCs w:val="21"/>
              </w:rPr>
            </w:pPr>
            <w:r>
              <w:rPr>
                <w:rFonts w:hint="eastAsia"/>
                <w:b/>
                <w:bCs/>
                <w:color w:val="auto"/>
                <w:szCs w:val="21"/>
              </w:rPr>
              <w:t xml:space="preserve">包号 </w:t>
            </w:r>
          </w:p>
        </w:tc>
        <w:tc>
          <w:tcPr>
            <w:tcW w:w="1602" w:type="dxa"/>
            <w:noWrap w:val="0"/>
            <w:vAlign w:val="center"/>
          </w:tcPr>
          <w:p w14:paraId="70E3875D">
            <w:pPr>
              <w:adjustRightInd w:val="0"/>
              <w:snapToGrid w:val="0"/>
              <w:jc w:val="center"/>
              <w:rPr>
                <w:b/>
                <w:bCs/>
                <w:color w:val="auto"/>
                <w:szCs w:val="21"/>
              </w:rPr>
            </w:pPr>
            <w:r>
              <w:rPr>
                <w:rFonts w:hint="eastAsia"/>
                <w:b/>
                <w:bCs/>
                <w:color w:val="auto"/>
                <w:szCs w:val="21"/>
              </w:rPr>
              <w:t>包名称</w:t>
            </w:r>
          </w:p>
        </w:tc>
        <w:tc>
          <w:tcPr>
            <w:tcW w:w="1378" w:type="dxa"/>
            <w:noWrap w:val="0"/>
            <w:vAlign w:val="center"/>
          </w:tcPr>
          <w:p w14:paraId="0439B012">
            <w:pPr>
              <w:adjustRightInd w:val="0"/>
              <w:snapToGrid w:val="0"/>
              <w:jc w:val="center"/>
              <w:rPr>
                <w:b/>
                <w:bCs/>
                <w:color w:val="auto"/>
                <w:szCs w:val="21"/>
              </w:rPr>
            </w:pPr>
            <w:r>
              <w:rPr>
                <w:rFonts w:hint="eastAsia"/>
                <w:b/>
                <w:bCs/>
                <w:color w:val="auto"/>
                <w:szCs w:val="21"/>
              </w:rPr>
              <w:t>标的名称</w:t>
            </w:r>
          </w:p>
        </w:tc>
        <w:tc>
          <w:tcPr>
            <w:tcW w:w="1361" w:type="dxa"/>
            <w:tcBorders>
              <w:left w:val="single" w:color="auto" w:sz="4" w:space="0"/>
            </w:tcBorders>
            <w:noWrap w:val="0"/>
            <w:vAlign w:val="center"/>
          </w:tcPr>
          <w:p w14:paraId="07113791">
            <w:pPr>
              <w:adjustRightInd w:val="0"/>
              <w:snapToGrid w:val="0"/>
              <w:jc w:val="center"/>
              <w:rPr>
                <w:rFonts w:hint="eastAsia" w:eastAsia="宋体"/>
                <w:b/>
                <w:bCs/>
                <w:color w:val="auto"/>
                <w:szCs w:val="21"/>
                <w:lang w:val="en-US" w:eastAsia="zh-CN"/>
              </w:rPr>
            </w:pPr>
            <w:r>
              <w:rPr>
                <w:rFonts w:hint="eastAsia"/>
                <w:b/>
                <w:bCs/>
                <w:color w:val="auto"/>
                <w:szCs w:val="21"/>
                <w:lang w:val="en-US" w:eastAsia="zh-CN"/>
              </w:rPr>
              <w:t>数量</w:t>
            </w:r>
          </w:p>
        </w:tc>
        <w:tc>
          <w:tcPr>
            <w:tcW w:w="1411" w:type="dxa"/>
            <w:tcBorders>
              <w:left w:val="single" w:color="auto" w:sz="4" w:space="0"/>
            </w:tcBorders>
            <w:noWrap w:val="0"/>
            <w:vAlign w:val="center"/>
          </w:tcPr>
          <w:p w14:paraId="3FB00C80">
            <w:pPr>
              <w:adjustRightInd w:val="0"/>
              <w:snapToGrid w:val="0"/>
              <w:jc w:val="center"/>
              <w:rPr>
                <w:rFonts w:hint="default"/>
                <w:b/>
                <w:bCs/>
                <w:color w:val="auto"/>
                <w:szCs w:val="21"/>
                <w:lang w:val="en-US" w:eastAsia="zh-CN"/>
              </w:rPr>
            </w:pPr>
            <w:r>
              <w:rPr>
                <w:rFonts w:hint="eastAsia"/>
                <w:b/>
                <w:bCs/>
                <w:color w:val="auto"/>
                <w:szCs w:val="21"/>
                <w:lang w:val="en-US" w:eastAsia="zh-CN"/>
              </w:rPr>
              <w:t xml:space="preserve">最高限价 </w:t>
            </w:r>
          </w:p>
        </w:tc>
        <w:tc>
          <w:tcPr>
            <w:tcW w:w="1668" w:type="dxa"/>
            <w:tcBorders>
              <w:left w:val="single" w:color="auto" w:sz="4" w:space="0"/>
            </w:tcBorders>
            <w:noWrap w:val="0"/>
            <w:vAlign w:val="center"/>
          </w:tcPr>
          <w:p w14:paraId="4A736674">
            <w:pPr>
              <w:adjustRightInd w:val="0"/>
              <w:snapToGrid w:val="0"/>
              <w:jc w:val="center"/>
              <w:rPr>
                <w:b/>
                <w:bCs/>
                <w:color w:val="auto"/>
                <w:szCs w:val="21"/>
              </w:rPr>
            </w:pPr>
            <w:r>
              <w:rPr>
                <w:rFonts w:hint="eastAsia"/>
                <w:b/>
                <w:bCs/>
                <w:color w:val="auto"/>
                <w:szCs w:val="21"/>
              </w:rPr>
              <w:t>简要技术要求</w:t>
            </w:r>
          </w:p>
        </w:tc>
        <w:tc>
          <w:tcPr>
            <w:tcW w:w="643" w:type="dxa"/>
            <w:noWrap w:val="0"/>
            <w:vAlign w:val="center"/>
          </w:tcPr>
          <w:p w14:paraId="1D952564">
            <w:pPr>
              <w:adjustRightInd w:val="0"/>
              <w:snapToGrid w:val="0"/>
              <w:jc w:val="center"/>
              <w:rPr>
                <w:b/>
                <w:bCs/>
                <w:color w:val="auto"/>
                <w:szCs w:val="21"/>
              </w:rPr>
            </w:pPr>
            <w:r>
              <w:rPr>
                <w:rFonts w:hint="eastAsia"/>
                <w:b/>
                <w:bCs/>
                <w:color w:val="auto"/>
                <w:szCs w:val="21"/>
              </w:rPr>
              <w:t>节能产品</w:t>
            </w:r>
          </w:p>
        </w:tc>
        <w:tc>
          <w:tcPr>
            <w:tcW w:w="643" w:type="dxa"/>
            <w:noWrap w:val="0"/>
            <w:vAlign w:val="center"/>
          </w:tcPr>
          <w:p w14:paraId="7A2BF4DA">
            <w:pPr>
              <w:adjustRightInd w:val="0"/>
              <w:snapToGrid w:val="0"/>
              <w:jc w:val="center"/>
              <w:rPr>
                <w:b/>
                <w:bCs/>
                <w:color w:val="auto"/>
                <w:szCs w:val="21"/>
              </w:rPr>
            </w:pPr>
            <w:r>
              <w:rPr>
                <w:rFonts w:hint="eastAsia"/>
                <w:b/>
                <w:bCs/>
                <w:color w:val="auto"/>
                <w:szCs w:val="21"/>
              </w:rPr>
              <w:t>进口产品</w:t>
            </w:r>
          </w:p>
        </w:tc>
      </w:tr>
      <w:tr w14:paraId="6ABC62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75" w:hRule="atLeast"/>
        </w:trPr>
        <w:tc>
          <w:tcPr>
            <w:tcW w:w="489" w:type="dxa"/>
            <w:vMerge w:val="restart"/>
            <w:noWrap w:val="0"/>
            <w:vAlign w:val="center"/>
          </w:tcPr>
          <w:p w14:paraId="02C851DB">
            <w:pPr>
              <w:adjustRightInd w:val="0"/>
              <w:snapToGrid w:val="0"/>
              <w:spacing w:before="156" w:beforeLines="50" w:line="360" w:lineRule="auto"/>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602" w:type="dxa"/>
            <w:vMerge w:val="restart"/>
            <w:noWrap w:val="0"/>
            <w:vAlign w:val="center"/>
          </w:tcPr>
          <w:p w14:paraId="0F710E33">
            <w:pPr>
              <w:adjustRightInd w:val="0"/>
              <w:snapToGrid w:val="0"/>
              <w:spacing w:line="360" w:lineRule="auto"/>
              <w:ind w:firstLine="420" w:firstLineChars="200"/>
              <w:rPr>
                <w:rFonts w:hint="default" w:ascii="宋体" w:hAnsi="宋体" w:eastAsia="宋体" w:cs="宋体"/>
                <w:color w:val="auto"/>
                <w:szCs w:val="21"/>
                <w:highlight w:val="none"/>
                <w:u w:val="none"/>
                <w:lang w:val="en-US" w:eastAsia="zh-CN"/>
              </w:rPr>
            </w:pPr>
            <w:r>
              <w:rPr>
                <w:rFonts w:hint="eastAsia" w:ascii="宋体" w:hAnsi="宋体" w:cs="宋体"/>
                <w:color w:val="auto"/>
                <w:szCs w:val="21"/>
                <w:highlight w:val="none"/>
                <w:u w:val="none"/>
                <w:lang w:val="en-US" w:eastAsia="zh-CN"/>
              </w:rPr>
              <w:t>株洲市三医院(株洲市脑科医院)</w:t>
            </w:r>
            <w:r>
              <w:rPr>
                <w:rFonts w:hint="eastAsia" w:ascii="宋体" w:hAnsi="宋体" w:eastAsia="宋体" w:cs="宋体"/>
                <w:color w:val="auto"/>
                <w:szCs w:val="21"/>
                <w:highlight w:val="none"/>
                <w:u w:val="none"/>
                <w:lang w:val="en-US" w:eastAsia="zh-CN"/>
              </w:rPr>
              <w:t>精神科医疗设备一批采购项目</w:t>
            </w:r>
          </w:p>
          <w:p w14:paraId="0B15A977">
            <w:pPr>
              <w:adjustRightInd w:val="0"/>
              <w:snapToGrid w:val="0"/>
              <w:jc w:val="center"/>
              <w:outlineLvl w:val="9"/>
              <w:rPr>
                <w:rFonts w:hint="default" w:ascii="Times New Roman" w:hAnsi="Times New Roman" w:eastAsia="宋体" w:cs="Times New Roman"/>
                <w:color w:val="auto"/>
                <w:szCs w:val="21"/>
                <w:highlight w:val="none"/>
                <w:lang w:val="en-US" w:eastAsia="zh-CN"/>
              </w:rPr>
            </w:pPr>
          </w:p>
        </w:tc>
        <w:tc>
          <w:tcPr>
            <w:tcW w:w="1378" w:type="dxa"/>
            <w:noWrap w:val="0"/>
            <w:vAlign w:val="center"/>
          </w:tcPr>
          <w:p w14:paraId="3ABD8C2F">
            <w:pPr>
              <w:adjustRightInd w:val="0"/>
              <w:snapToGrid w:val="0"/>
              <w:jc w:val="center"/>
              <w:outlineLvl w:val="9"/>
              <w:rPr>
                <w:rFonts w:hint="default" w:eastAsia="宋体"/>
                <w:color w:val="auto"/>
                <w:szCs w:val="21"/>
                <w:highlight w:val="none"/>
                <w:lang w:val="en-US" w:eastAsia="zh-CN"/>
              </w:rPr>
            </w:pPr>
            <w:r>
              <w:rPr>
                <w:rFonts w:hint="eastAsia" w:ascii="宋体" w:hAnsi="宋体" w:cs="宋体"/>
                <w:color w:val="auto"/>
                <w:szCs w:val="21"/>
                <w:highlight w:val="none"/>
                <w:u w:val="none"/>
                <w:lang w:val="en-US" w:eastAsia="zh-CN"/>
              </w:rPr>
              <w:t>深部经颅磁</w:t>
            </w:r>
          </w:p>
        </w:tc>
        <w:tc>
          <w:tcPr>
            <w:tcW w:w="1361" w:type="dxa"/>
            <w:tcBorders>
              <w:left w:val="single" w:color="auto" w:sz="4" w:space="0"/>
            </w:tcBorders>
            <w:noWrap w:val="0"/>
            <w:vAlign w:val="center"/>
          </w:tcPr>
          <w:p w14:paraId="20252E4F">
            <w:pPr>
              <w:pStyle w:val="6"/>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hAnsi="宋体" w:cs="宋体"/>
                <w:color w:val="auto"/>
                <w:sz w:val="21"/>
                <w:szCs w:val="21"/>
                <w:highlight w:val="none"/>
                <w:lang w:val="en-US" w:eastAsia="zh-CN"/>
              </w:rPr>
              <w:t>1</w:t>
            </w:r>
          </w:p>
        </w:tc>
        <w:tc>
          <w:tcPr>
            <w:tcW w:w="1411" w:type="dxa"/>
            <w:tcBorders>
              <w:left w:val="single" w:color="auto" w:sz="4" w:space="0"/>
            </w:tcBorders>
            <w:noWrap w:val="0"/>
            <w:vAlign w:val="center"/>
          </w:tcPr>
          <w:p w14:paraId="7300E19D">
            <w:pPr>
              <w:pStyle w:val="6"/>
              <w:adjustRightInd w:val="0"/>
              <w:snapToGrid w:val="0"/>
              <w:jc w:val="center"/>
              <w:rPr>
                <w:rFonts w:hint="default" w:ascii="宋体" w:hAnsi="宋体" w:cs="宋体"/>
                <w:color w:val="auto"/>
                <w:sz w:val="21"/>
                <w:szCs w:val="21"/>
                <w:highlight w:val="none"/>
                <w:lang w:val="en-US" w:eastAsia="zh-CN"/>
              </w:rPr>
            </w:pPr>
            <w:r>
              <w:rPr>
                <w:rFonts w:hint="eastAsia" w:hAnsi="宋体" w:cs="宋体"/>
                <w:color w:val="auto"/>
                <w:kern w:val="2"/>
                <w:sz w:val="21"/>
                <w:szCs w:val="21"/>
                <w:highlight w:val="none"/>
                <w:lang w:val="en-US" w:eastAsia="zh-CN" w:bidi="ar-SA"/>
              </w:rPr>
              <w:t>1300</w:t>
            </w:r>
            <w:r>
              <w:rPr>
                <w:rFonts w:hint="eastAsia" w:ascii="宋体" w:hAnsi="宋体" w:eastAsia="宋体" w:cs="宋体"/>
                <w:color w:val="auto"/>
                <w:kern w:val="2"/>
                <w:sz w:val="21"/>
                <w:szCs w:val="21"/>
                <w:highlight w:val="none"/>
                <w:lang w:val="en-US" w:eastAsia="zh-CN" w:bidi="ar-SA"/>
              </w:rPr>
              <w:t>000.00</w:t>
            </w:r>
          </w:p>
        </w:tc>
        <w:tc>
          <w:tcPr>
            <w:tcW w:w="1668" w:type="dxa"/>
            <w:vMerge w:val="restart"/>
            <w:tcBorders>
              <w:left w:val="single" w:color="auto" w:sz="4" w:space="0"/>
            </w:tcBorders>
            <w:noWrap w:val="0"/>
            <w:vAlign w:val="center"/>
          </w:tcPr>
          <w:p w14:paraId="5B8171EB">
            <w:pPr>
              <w:adjustRightInd w:val="0"/>
              <w:snapToGrid w:val="0"/>
              <w:spacing w:before="156" w:beforeLines="50" w:line="360" w:lineRule="auto"/>
              <w:jc w:val="center"/>
              <w:rPr>
                <w:rFonts w:hint="default" w:eastAsia="宋体"/>
                <w:color w:val="auto"/>
                <w:szCs w:val="21"/>
                <w:lang w:val="en-US" w:eastAsia="zh-CN"/>
              </w:rPr>
            </w:pPr>
            <w:r>
              <w:rPr>
                <w:rFonts w:hint="eastAsia"/>
                <w:color w:val="auto"/>
                <w:szCs w:val="21"/>
                <w:lang w:val="en-US" w:eastAsia="zh-CN"/>
              </w:rPr>
              <w:t>详见第二节“技术要求”</w:t>
            </w:r>
          </w:p>
        </w:tc>
        <w:tc>
          <w:tcPr>
            <w:tcW w:w="643" w:type="dxa"/>
            <w:noWrap w:val="0"/>
            <w:vAlign w:val="center"/>
          </w:tcPr>
          <w:p w14:paraId="760EB4C8">
            <w:pPr>
              <w:adjustRightInd w:val="0"/>
              <w:snapToGrid w:val="0"/>
              <w:spacing w:before="156" w:beforeLines="50" w:line="360" w:lineRule="auto"/>
              <w:jc w:val="center"/>
              <w:rPr>
                <w:color w:val="auto"/>
                <w:szCs w:val="21"/>
              </w:rPr>
            </w:pPr>
            <w:r>
              <w:rPr>
                <w:rFonts w:hint="eastAsia" w:ascii="宋体" w:hAnsi="宋体"/>
                <w:iCs/>
                <w:color w:val="auto"/>
                <w:szCs w:val="21"/>
              </w:rPr>
              <w:sym w:font="Wingdings" w:char="00A8"/>
            </w:r>
          </w:p>
        </w:tc>
        <w:tc>
          <w:tcPr>
            <w:tcW w:w="643" w:type="dxa"/>
            <w:noWrap w:val="0"/>
            <w:vAlign w:val="center"/>
          </w:tcPr>
          <w:p w14:paraId="59FA7891">
            <w:pPr>
              <w:adjustRightInd w:val="0"/>
              <w:snapToGrid w:val="0"/>
              <w:spacing w:before="156" w:beforeLines="50" w:line="360" w:lineRule="auto"/>
              <w:jc w:val="center"/>
              <w:rPr>
                <w:color w:val="auto"/>
                <w:szCs w:val="21"/>
              </w:rPr>
            </w:pPr>
            <w:r>
              <w:rPr>
                <w:rFonts w:hint="eastAsia" w:ascii="宋体" w:hAnsi="宋体"/>
                <w:iCs/>
                <w:color w:val="auto"/>
                <w:szCs w:val="21"/>
              </w:rPr>
              <w:sym w:font="Wingdings" w:char="00A8"/>
            </w:r>
          </w:p>
        </w:tc>
      </w:tr>
      <w:tr w14:paraId="4B352C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75" w:hRule="atLeast"/>
        </w:trPr>
        <w:tc>
          <w:tcPr>
            <w:tcW w:w="489" w:type="dxa"/>
            <w:vMerge w:val="continue"/>
            <w:noWrap w:val="0"/>
            <w:vAlign w:val="center"/>
          </w:tcPr>
          <w:p w14:paraId="75F3CBE0">
            <w:pPr>
              <w:adjustRightInd w:val="0"/>
              <w:snapToGrid w:val="0"/>
              <w:spacing w:before="156" w:beforeLines="50" w:line="360" w:lineRule="auto"/>
              <w:jc w:val="center"/>
              <w:rPr>
                <w:rFonts w:hint="eastAsia" w:ascii="Times New Roman" w:hAnsi="Times New Roman" w:eastAsia="宋体" w:cs="Times New Roman"/>
                <w:color w:val="auto"/>
                <w:szCs w:val="21"/>
                <w:lang w:val="en-US" w:eastAsia="zh-CN"/>
              </w:rPr>
            </w:pPr>
          </w:p>
        </w:tc>
        <w:tc>
          <w:tcPr>
            <w:tcW w:w="1602" w:type="dxa"/>
            <w:vMerge w:val="continue"/>
            <w:noWrap w:val="0"/>
            <w:vAlign w:val="center"/>
          </w:tcPr>
          <w:p w14:paraId="7BD98F2C">
            <w:pPr>
              <w:adjustRightInd w:val="0"/>
              <w:snapToGrid w:val="0"/>
              <w:jc w:val="center"/>
              <w:outlineLvl w:val="9"/>
              <w:rPr>
                <w:rFonts w:hint="eastAsia" w:ascii="宋体" w:hAnsi="宋体" w:cs="宋体"/>
                <w:color w:val="auto"/>
                <w:kern w:val="0"/>
                <w:sz w:val="21"/>
                <w:szCs w:val="21"/>
                <w:highlight w:val="none"/>
                <w:lang w:val="en-US" w:eastAsia="zh-CN"/>
              </w:rPr>
            </w:pPr>
          </w:p>
        </w:tc>
        <w:tc>
          <w:tcPr>
            <w:tcW w:w="1378" w:type="dxa"/>
            <w:noWrap w:val="0"/>
            <w:vAlign w:val="center"/>
          </w:tcPr>
          <w:p w14:paraId="6B9D22E2">
            <w:pPr>
              <w:adjustRightInd w:val="0"/>
              <w:snapToGrid w:val="0"/>
              <w:jc w:val="center"/>
              <w:outlineLvl w:val="9"/>
              <w:rPr>
                <w:rFonts w:hint="eastAsia" w:ascii="宋体" w:hAnsi="宋体" w:cs="宋体"/>
                <w:color w:val="auto"/>
                <w:kern w:val="0"/>
                <w:sz w:val="21"/>
                <w:szCs w:val="21"/>
                <w:highlight w:val="none"/>
                <w:lang w:val="en-US" w:eastAsia="zh-CN"/>
              </w:rPr>
            </w:pPr>
            <w:r>
              <w:rPr>
                <w:rFonts w:hint="eastAsia" w:ascii="宋体" w:hAnsi="宋体" w:cs="宋体"/>
                <w:color w:val="auto"/>
                <w:szCs w:val="21"/>
                <w:highlight w:val="none"/>
                <w:u w:val="none"/>
                <w:lang w:val="en-US" w:eastAsia="zh-CN"/>
              </w:rPr>
              <w:t>无抽搐电痉挛治疗仪（无抽搐电休克治疗仪）</w:t>
            </w:r>
          </w:p>
        </w:tc>
        <w:tc>
          <w:tcPr>
            <w:tcW w:w="1361" w:type="dxa"/>
            <w:tcBorders>
              <w:left w:val="single" w:color="auto" w:sz="4" w:space="0"/>
            </w:tcBorders>
            <w:noWrap w:val="0"/>
            <w:vAlign w:val="center"/>
          </w:tcPr>
          <w:p w14:paraId="143D16D8">
            <w:pPr>
              <w:pStyle w:val="6"/>
              <w:adjustRightInd w:val="0"/>
              <w:snapToGrid w:val="0"/>
              <w:jc w:val="center"/>
              <w:rPr>
                <w:rFonts w:hint="eastAsia" w:ascii="宋体" w:hAnsi="宋体" w:cs="宋体"/>
                <w:color w:val="auto"/>
                <w:sz w:val="21"/>
                <w:szCs w:val="21"/>
                <w:highlight w:val="none"/>
                <w:lang w:val="en-US" w:eastAsia="zh-CN"/>
              </w:rPr>
            </w:pPr>
            <w:r>
              <w:rPr>
                <w:rFonts w:hint="eastAsia" w:hAnsi="宋体" w:cs="宋体"/>
                <w:color w:val="auto"/>
                <w:sz w:val="21"/>
                <w:szCs w:val="21"/>
                <w:highlight w:val="none"/>
                <w:lang w:val="en-US" w:eastAsia="zh-CN"/>
              </w:rPr>
              <w:t>1</w:t>
            </w:r>
          </w:p>
        </w:tc>
        <w:tc>
          <w:tcPr>
            <w:tcW w:w="1411" w:type="dxa"/>
            <w:tcBorders>
              <w:left w:val="single" w:color="auto" w:sz="4" w:space="0"/>
            </w:tcBorders>
            <w:noWrap w:val="0"/>
            <w:vAlign w:val="center"/>
          </w:tcPr>
          <w:p w14:paraId="7D1A223B">
            <w:pPr>
              <w:pStyle w:val="6"/>
              <w:adjustRightInd w:val="0"/>
              <w:snapToGrid w:val="0"/>
              <w:jc w:val="center"/>
              <w:rPr>
                <w:rFonts w:hint="eastAsia" w:ascii="宋体" w:hAnsi="宋体" w:cs="宋体"/>
                <w:color w:val="auto"/>
                <w:sz w:val="21"/>
                <w:szCs w:val="21"/>
                <w:highlight w:val="none"/>
                <w:lang w:val="en-US" w:eastAsia="zh-CN"/>
              </w:rPr>
            </w:pPr>
            <w:r>
              <w:rPr>
                <w:rFonts w:hint="eastAsia" w:hAnsi="宋体" w:cs="宋体"/>
                <w:color w:val="auto"/>
                <w:kern w:val="2"/>
                <w:sz w:val="21"/>
                <w:szCs w:val="21"/>
                <w:highlight w:val="none"/>
                <w:lang w:val="en-US" w:eastAsia="zh-CN" w:bidi="ar-SA"/>
              </w:rPr>
              <w:t>550000.00</w:t>
            </w:r>
          </w:p>
        </w:tc>
        <w:tc>
          <w:tcPr>
            <w:tcW w:w="1668" w:type="dxa"/>
            <w:vMerge w:val="continue"/>
            <w:tcBorders>
              <w:left w:val="single" w:color="auto" w:sz="4" w:space="0"/>
            </w:tcBorders>
            <w:noWrap w:val="0"/>
            <w:vAlign w:val="center"/>
          </w:tcPr>
          <w:p w14:paraId="0DC94D16">
            <w:pPr>
              <w:adjustRightInd w:val="0"/>
              <w:snapToGrid w:val="0"/>
              <w:spacing w:before="156" w:beforeLines="50" w:line="360" w:lineRule="auto"/>
              <w:jc w:val="center"/>
              <w:rPr>
                <w:rFonts w:hint="eastAsia"/>
                <w:color w:val="auto"/>
                <w:szCs w:val="21"/>
                <w:lang w:val="en-US" w:eastAsia="zh-CN"/>
              </w:rPr>
            </w:pPr>
          </w:p>
        </w:tc>
        <w:tc>
          <w:tcPr>
            <w:tcW w:w="643" w:type="dxa"/>
            <w:noWrap w:val="0"/>
            <w:vAlign w:val="center"/>
          </w:tcPr>
          <w:p w14:paraId="554F1DCB">
            <w:pPr>
              <w:adjustRightInd w:val="0"/>
              <w:snapToGrid w:val="0"/>
              <w:spacing w:before="156" w:beforeLines="50" w:line="360" w:lineRule="auto"/>
              <w:jc w:val="center"/>
              <w:rPr>
                <w:rFonts w:hint="eastAsia" w:ascii="宋体" w:hAnsi="宋体"/>
                <w:iCs/>
                <w:color w:val="auto"/>
                <w:szCs w:val="21"/>
              </w:rPr>
            </w:pPr>
            <w:r>
              <w:rPr>
                <w:rFonts w:hint="eastAsia" w:ascii="宋体" w:hAnsi="宋体"/>
                <w:iCs/>
                <w:color w:val="auto"/>
                <w:szCs w:val="21"/>
              </w:rPr>
              <w:sym w:font="Wingdings" w:char="00A8"/>
            </w:r>
          </w:p>
        </w:tc>
        <w:tc>
          <w:tcPr>
            <w:tcW w:w="643" w:type="dxa"/>
            <w:noWrap w:val="0"/>
            <w:vAlign w:val="center"/>
          </w:tcPr>
          <w:p w14:paraId="33812D4F">
            <w:pPr>
              <w:adjustRightInd w:val="0"/>
              <w:snapToGrid w:val="0"/>
              <w:spacing w:before="156" w:beforeLines="50" w:line="360" w:lineRule="auto"/>
              <w:jc w:val="center"/>
              <w:rPr>
                <w:rFonts w:hint="eastAsia" w:ascii="宋体" w:hAnsi="宋体"/>
                <w:iCs/>
                <w:color w:val="auto"/>
                <w:szCs w:val="21"/>
              </w:rPr>
            </w:pPr>
            <w:r>
              <w:rPr>
                <w:rFonts w:hint="eastAsia" w:ascii="宋体" w:hAnsi="宋体"/>
                <w:iCs/>
                <w:color w:val="auto"/>
                <w:szCs w:val="21"/>
              </w:rPr>
              <w:sym w:font="Wingdings" w:char="00FE"/>
            </w:r>
          </w:p>
        </w:tc>
      </w:tr>
    </w:tbl>
    <w:p w14:paraId="26EA38AC">
      <w:pPr>
        <w:adjustRightInd w:val="0"/>
        <w:snapToGrid w:val="0"/>
        <w:spacing w:before="156" w:beforeLines="50" w:line="360" w:lineRule="auto"/>
        <w:rPr>
          <w:rFonts w:hint="eastAsia" w:ascii="宋体" w:hAnsi="宋体"/>
          <w:szCs w:val="21"/>
          <w:highlight w:val="none"/>
        </w:rPr>
      </w:pPr>
      <w:bookmarkStart w:id="2" w:name="_Toc8803"/>
    </w:p>
    <w:p w14:paraId="671887E4">
      <w:pPr>
        <w:adjustRightInd w:val="0"/>
        <w:snapToGrid w:val="0"/>
        <w:spacing w:before="156" w:beforeLines="50" w:line="360" w:lineRule="auto"/>
        <w:rPr>
          <w:rFonts w:ascii="宋体" w:hAnsi="宋体"/>
          <w:szCs w:val="21"/>
          <w:highlight w:val="none"/>
        </w:rPr>
      </w:pPr>
      <w:r>
        <w:rPr>
          <w:rFonts w:hint="eastAsia" w:ascii="宋体" w:hAnsi="宋体"/>
          <w:szCs w:val="21"/>
          <w:highlight w:val="none"/>
        </w:rPr>
        <w:t>注：1.“包”为最小合同单位（最小投标单位）。每“包”内容应细化到具体标的。</w:t>
      </w:r>
    </w:p>
    <w:p w14:paraId="3AA1DF3C">
      <w:pPr>
        <w:adjustRightInd w:val="0"/>
        <w:snapToGrid w:val="0"/>
        <w:spacing w:before="156" w:beforeLines="50" w:line="360" w:lineRule="auto"/>
        <w:ind w:firstLine="420" w:firstLineChars="200"/>
        <w:rPr>
          <w:rFonts w:ascii="宋体" w:hAnsi="宋体"/>
          <w:szCs w:val="21"/>
          <w:highlight w:val="none"/>
        </w:rPr>
      </w:pPr>
      <w:r>
        <w:rPr>
          <w:rFonts w:hint="eastAsia" w:ascii="宋体" w:hAnsi="宋体"/>
          <w:szCs w:val="21"/>
          <w:highlight w:val="none"/>
        </w:rPr>
        <w:t>2.投标人必须对一个完整、独立的包进行投标，不得仅对一个包中的部分标的投标，否则</w:t>
      </w:r>
      <w:r>
        <w:rPr>
          <w:rFonts w:hint="eastAsia" w:ascii="宋体" w:hAnsi="宋体"/>
          <w:b/>
          <w:szCs w:val="21"/>
          <w:highlight w:val="none"/>
        </w:rPr>
        <w:t>投标无效。</w:t>
      </w:r>
    </w:p>
    <w:p w14:paraId="2C72F4EA">
      <w:pPr>
        <w:adjustRightInd w:val="0"/>
        <w:snapToGrid w:val="0"/>
        <w:spacing w:before="156" w:beforeLines="50" w:line="360" w:lineRule="auto"/>
        <w:ind w:firstLine="420" w:firstLineChars="200"/>
        <w:rPr>
          <w:rFonts w:ascii="宋体" w:hAnsi="宋体" w:cs="宋体"/>
          <w:kern w:val="0"/>
          <w:szCs w:val="21"/>
          <w:highlight w:val="none"/>
        </w:rPr>
      </w:pPr>
      <w:r>
        <w:rPr>
          <w:rFonts w:hint="eastAsia" w:ascii="宋体" w:hAnsi="宋体"/>
          <w:szCs w:val="21"/>
          <w:highlight w:val="none"/>
        </w:rPr>
        <w:t>3.货物的主要技术参数或规格：</w:t>
      </w:r>
      <w:r>
        <w:rPr>
          <w:rFonts w:ascii="宋体" w:hAnsi="宋体" w:cs="宋体"/>
          <w:kern w:val="0"/>
          <w:szCs w:val="21"/>
          <w:highlight w:val="none"/>
        </w:rPr>
        <w:t>详见“技术要求”中的具体技术参数</w:t>
      </w:r>
      <w:r>
        <w:rPr>
          <w:rFonts w:hint="eastAsia" w:ascii="宋体" w:hAnsi="宋体" w:cs="宋体"/>
          <w:kern w:val="0"/>
          <w:szCs w:val="21"/>
          <w:highlight w:val="none"/>
        </w:rPr>
        <w:t>。</w:t>
      </w:r>
    </w:p>
    <w:p w14:paraId="4B689D9C">
      <w:pPr>
        <w:adjustRightInd w:val="0"/>
        <w:snapToGrid w:val="0"/>
        <w:spacing w:before="156" w:beforeLines="50" w:line="360" w:lineRule="auto"/>
        <w:ind w:firstLine="420" w:firstLineChars="200"/>
        <w:rPr>
          <w:rFonts w:ascii="宋体" w:hAnsi="宋体" w:cs="宋体"/>
          <w:kern w:val="0"/>
          <w:szCs w:val="21"/>
          <w:highlight w:val="none"/>
        </w:rPr>
      </w:pPr>
      <w:r>
        <w:rPr>
          <w:rFonts w:hint="eastAsia" w:ascii="宋体" w:hAnsi="宋体" w:cs="宋体"/>
          <w:bCs/>
          <w:kern w:val="0"/>
          <w:szCs w:val="21"/>
          <w:highlight w:val="none"/>
        </w:rPr>
        <w:t>4.投标人应</w:t>
      </w:r>
      <w:r>
        <w:rPr>
          <w:rFonts w:hint="eastAsia" w:ascii="宋体" w:hAnsi="宋体" w:cs="宋体"/>
          <w:kern w:val="0"/>
          <w:szCs w:val="21"/>
          <w:highlight w:val="none"/>
        </w:rPr>
        <w:t>在投标文件《分项报价明细表》中按</w:t>
      </w:r>
      <w:r>
        <w:rPr>
          <w:rFonts w:hint="eastAsia" w:ascii="宋体" w:hAnsi="宋体"/>
          <w:szCs w:val="21"/>
          <w:highlight w:val="none"/>
        </w:rPr>
        <w:t>标的名称</w:t>
      </w:r>
      <w:r>
        <w:rPr>
          <w:rFonts w:hint="eastAsia" w:ascii="宋体" w:hAnsi="宋体" w:cs="宋体"/>
          <w:kern w:val="0"/>
          <w:szCs w:val="21"/>
          <w:highlight w:val="none"/>
        </w:rPr>
        <w:t>顺序逐项填写，且每个标的中的条目均需按招标文件规定报价。如有缺项、漏项，其</w:t>
      </w:r>
      <w:r>
        <w:rPr>
          <w:rFonts w:hint="eastAsia" w:ascii="宋体" w:hAnsi="宋体" w:cs="宋体"/>
          <w:b/>
          <w:kern w:val="0"/>
          <w:szCs w:val="21"/>
          <w:highlight w:val="none"/>
        </w:rPr>
        <w:t>投标无效</w:t>
      </w:r>
      <w:r>
        <w:rPr>
          <w:rFonts w:hint="eastAsia" w:ascii="宋体" w:hAnsi="宋体" w:cs="宋体"/>
          <w:kern w:val="0"/>
          <w:szCs w:val="21"/>
          <w:highlight w:val="none"/>
        </w:rPr>
        <w:t>。</w:t>
      </w:r>
    </w:p>
    <w:p w14:paraId="4BFBBF50">
      <w:pPr>
        <w:adjustRightInd w:val="0"/>
        <w:snapToGrid w:val="0"/>
        <w:spacing w:before="156" w:beforeLines="50"/>
        <w:jc w:val="center"/>
        <w:outlineLvl w:val="9"/>
        <w:rPr>
          <w:rFonts w:hint="eastAsia" w:ascii="黑体" w:hAnsi="黑体" w:eastAsia="黑体"/>
          <w:sz w:val="28"/>
          <w:szCs w:val="28"/>
          <w:highlight w:val="none"/>
        </w:rPr>
      </w:pPr>
    </w:p>
    <w:p w14:paraId="6708BED0">
      <w:pPr>
        <w:rPr>
          <w:rFonts w:hint="eastAsia" w:ascii="黑体" w:hAnsi="黑体" w:eastAsia="黑体"/>
          <w:sz w:val="28"/>
          <w:szCs w:val="28"/>
          <w:highlight w:val="none"/>
        </w:rPr>
      </w:pPr>
    </w:p>
    <w:p w14:paraId="42A18585">
      <w:pPr>
        <w:rPr>
          <w:rFonts w:hint="eastAsia" w:ascii="黑体" w:hAnsi="黑体" w:eastAsia="黑体"/>
          <w:sz w:val="28"/>
          <w:szCs w:val="28"/>
          <w:highlight w:val="none"/>
        </w:rPr>
      </w:pPr>
    </w:p>
    <w:p w14:paraId="1A8AAA07">
      <w:pPr>
        <w:rPr>
          <w:rFonts w:hint="eastAsia" w:ascii="黑体" w:hAnsi="黑体" w:eastAsia="黑体"/>
          <w:sz w:val="28"/>
          <w:szCs w:val="28"/>
          <w:highlight w:val="none"/>
        </w:rPr>
      </w:pPr>
    </w:p>
    <w:p w14:paraId="32C301C4">
      <w:pPr>
        <w:rPr>
          <w:rFonts w:hint="eastAsia" w:ascii="黑体" w:hAnsi="黑体" w:eastAsia="黑体"/>
          <w:sz w:val="28"/>
          <w:szCs w:val="28"/>
          <w:highlight w:val="none"/>
        </w:rPr>
      </w:pPr>
    </w:p>
    <w:p w14:paraId="1B4A421F">
      <w:pPr>
        <w:rPr>
          <w:rFonts w:hint="eastAsia" w:ascii="黑体" w:hAnsi="黑体" w:eastAsia="黑体"/>
          <w:sz w:val="28"/>
          <w:szCs w:val="28"/>
          <w:highlight w:val="none"/>
        </w:rPr>
      </w:pPr>
    </w:p>
    <w:p w14:paraId="3FE7B351">
      <w:pPr>
        <w:pStyle w:val="3"/>
        <w:numPr>
          <w:ilvl w:val="0"/>
          <w:numId w:val="1"/>
        </w:numPr>
        <w:adjustRightInd w:val="0"/>
        <w:snapToGrid w:val="0"/>
        <w:spacing w:before="156" w:beforeLines="50"/>
        <w:jc w:val="center"/>
        <w:rPr>
          <w:rFonts w:ascii="黑体" w:hAnsi="黑体" w:eastAsia="黑体"/>
          <w:sz w:val="28"/>
          <w:szCs w:val="28"/>
          <w:highlight w:val="none"/>
        </w:rPr>
      </w:pPr>
      <w:bookmarkStart w:id="3" w:name="_Toc6861"/>
      <w:r>
        <w:rPr>
          <w:rFonts w:ascii="黑体" w:hAnsi="黑体" w:eastAsia="黑体"/>
          <w:sz w:val="28"/>
          <w:szCs w:val="28"/>
          <w:highlight w:val="none"/>
        </w:rPr>
        <w:t>技术要求</w:t>
      </w:r>
      <w:bookmarkEnd w:id="2"/>
      <w:bookmarkEnd w:id="3"/>
    </w:p>
    <w:p w14:paraId="2224B8C7">
      <w:pPr>
        <w:pStyle w:val="11"/>
        <w:keepNext w:val="0"/>
        <w:keepLines w:val="0"/>
        <w:widowControl/>
        <w:suppressLineNumbers w:val="0"/>
        <w:spacing w:line="24" w:lineRule="atLeast"/>
        <w:jc w:val="left"/>
        <w:rPr>
          <w:rFonts w:hint="default" w:ascii="黑体" w:hAnsi="黑体" w:eastAsia="黑体" w:cs="Times New Roman"/>
          <w:b/>
          <w:bCs/>
          <w:kern w:val="2"/>
          <w:sz w:val="24"/>
          <w:szCs w:val="24"/>
          <w:highlight w:val="none"/>
          <w:lang w:val="en-US" w:eastAsia="zh-CN" w:bidi="ar-SA"/>
        </w:rPr>
      </w:pPr>
      <w:r>
        <w:rPr>
          <w:rFonts w:hint="eastAsia" w:ascii="黑体" w:hAnsi="黑体" w:eastAsia="黑体" w:cs="Times New Roman"/>
          <w:b/>
          <w:bCs/>
          <w:kern w:val="2"/>
          <w:sz w:val="24"/>
          <w:szCs w:val="24"/>
          <w:highlight w:val="none"/>
          <w:lang w:val="en-US" w:eastAsia="zh-CN" w:bidi="ar-SA"/>
        </w:rPr>
        <w:t>一、深部经颅磁技术参数</w:t>
      </w:r>
    </w:p>
    <w:p w14:paraId="1FB683A8">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（一）主机性能</w:t>
      </w:r>
    </w:p>
    <w:p w14:paraId="3CB691AD">
      <w:pPr>
        <w:tabs>
          <w:tab w:val="left" w:pos="2310"/>
        </w:tabs>
        <w:adjustRightInd w:val="0"/>
        <w:snapToGrid w:val="0"/>
        <w:spacing w:line="440" w:lineRule="exact"/>
        <w:ind w:firstLine="210" w:firstLineChars="100"/>
        <w:rPr>
          <w:rFonts w:hint="eastAsia" w:ascii="宋体" w:hAnsi="宋体" w:cs="宋体"/>
          <w:b/>
          <w:bCs w:val="0"/>
          <w:color w:val="auto"/>
          <w:szCs w:val="21"/>
          <w:highlight w:val="none"/>
          <w:lang w:val="en-US" w:eastAsia="zh-CN"/>
        </w:rPr>
      </w:pPr>
      <w:r>
        <w:rPr>
          <w:rFonts w:hint="eastAsia" w:ascii="宋体" w:hAnsi="宋体" w:cs="宋体"/>
          <w:bCs/>
          <w:color w:val="auto"/>
          <w:szCs w:val="21"/>
          <w:highlight w:val="none"/>
          <w:lang w:val="en-US" w:eastAsia="zh-CN"/>
        </w:rPr>
        <w:t xml:space="preserve"> 1.输出脉冲重复频率：0.01Hz～100Hz 可调；1Hz 以下步长0.01Hz，允差</w:t>
      </w:r>
      <w:r>
        <w:rPr>
          <w:rFonts w:hint="default" w:ascii="宋体" w:hAnsi="宋体" w:cs="宋体"/>
          <w:bCs/>
          <w:color w:val="auto"/>
          <w:szCs w:val="21"/>
          <w:highlight w:val="none"/>
          <w:lang w:val="en-US" w:eastAsia="zh-CN"/>
        </w:rPr>
        <w:t>≤</w:t>
      </w:r>
      <w:r>
        <w:rPr>
          <w:rFonts w:hint="eastAsia" w:ascii="宋体" w:hAnsi="宋体" w:cs="宋体"/>
          <w:bCs/>
          <w:color w:val="auto"/>
          <w:szCs w:val="21"/>
          <w:highlight w:val="none"/>
          <w:lang w:val="en-US" w:eastAsia="zh-CN"/>
        </w:rPr>
        <w:t xml:space="preserve">±2% </w:t>
      </w:r>
      <w:r>
        <w:rPr>
          <w:rFonts w:hint="eastAsia" w:ascii="宋体" w:hAnsi="宋体" w:cs="宋体"/>
          <w:b/>
          <w:bCs w:val="0"/>
          <w:color w:val="auto"/>
          <w:szCs w:val="21"/>
          <w:highlight w:val="none"/>
          <w:lang w:val="en-US" w:eastAsia="zh-CN"/>
        </w:rPr>
        <w:t xml:space="preserve">(提供国家认可的第三方机构出具的检测报告或说明书证明)。 </w:t>
      </w:r>
    </w:p>
    <w:p w14:paraId="171FF772">
      <w:pPr>
        <w:tabs>
          <w:tab w:val="left" w:pos="2310"/>
        </w:tabs>
        <w:adjustRightInd w:val="0"/>
        <w:snapToGrid w:val="0"/>
        <w:spacing w:line="440" w:lineRule="exact"/>
        <w:ind w:firstLine="210" w:firstLineChars="1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 xml:space="preserve"> 2.脉冲上升时间：50μs ±10μs。</w:t>
      </w:r>
    </w:p>
    <w:p w14:paraId="3702C2D4">
      <w:pPr>
        <w:tabs>
          <w:tab w:val="left" w:pos="2310"/>
        </w:tabs>
        <w:adjustRightInd w:val="0"/>
        <w:snapToGrid w:val="0"/>
        <w:spacing w:line="440" w:lineRule="exact"/>
        <w:ind w:firstLine="210" w:firstLineChars="1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 xml:space="preserve"> 3.脉冲持续时间：320-360μs。</w:t>
      </w:r>
    </w:p>
    <w:p w14:paraId="1E61B9F8">
      <w:pPr>
        <w:tabs>
          <w:tab w:val="left" w:pos="2310"/>
        </w:tabs>
        <w:adjustRightInd w:val="0"/>
        <w:snapToGrid w:val="0"/>
        <w:spacing w:line="440" w:lineRule="exact"/>
        <w:ind w:firstLine="210" w:firstLineChars="1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 xml:space="preserve"> 4.在设备连续工作时，具有手动停止磁场输出功能，可以通过按下停止按键使设备立即停止工作。 </w:t>
      </w:r>
    </w:p>
    <w:p w14:paraId="2E1BBFD4">
      <w:pPr>
        <w:tabs>
          <w:tab w:val="left" w:pos="2310"/>
        </w:tabs>
        <w:adjustRightInd w:val="0"/>
        <w:snapToGrid w:val="0"/>
        <w:spacing w:line="440" w:lineRule="exact"/>
        <w:ind w:firstLine="210" w:firstLineChars="1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 xml:space="preserve"> 5.主机通道数：≥2个。</w:t>
      </w:r>
    </w:p>
    <w:p w14:paraId="04EAC3BC">
      <w:pPr>
        <w:tabs>
          <w:tab w:val="left" w:pos="2310"/>
        </w:tabs>
        <w:adjustRightInd w:val="0"/>
        <w:snapToGrid w:val="0"/>
        <w:spacing w:line="440" w:lineRule="exac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 6.支持双盔同步或异步刺激系统，设备配置两套独立输出主机、两套独立散热主机；输出主机与散热主机分别采用独立机箱结构，各模块可独立稳定运行，保障双盔模式长时间工作下整机运行可靠性。</w:t>
      </w:r>
      <w:r>
        <w:rPr>
          <w:rFonts w:hint="eastAsia" w:ascii="宋体" w:hAnsi="宋体" w:cs="宋体"/>
          <w:b/>
          <w:bCs w:val="0"/>
          <w:color w:val="auto"/>
          <w:szCs w:val="21"/>
          <w:highlight w:val="none"/>
          <w:lang w:val="en-US" w:eastAsia="zh-CN"/>
        </w:rPr>
        <w:t>（提供投标型号的官方彩页证明）</w:t>
      </w:r>
    </w:p>
    <w:p w14:paraId="02A8D8B3">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（二）冷却系统</w:t>
      </w:r>
    </w:p>
    <w:p w14:paraId="4A9AB9C6">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冷却方式：风冷液冷一体化冷却系统，冷却液无渗漏、无挥发现象。</w:t>
      </w:r>
    </w:p>
    <w:p w14:paraId="5088D691">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冷却系统可保证设备24h持续工作。</w:t>
      </w:r>
      <w:r>
        <w:rPr>
          <w:rFonts w:hint="eastAsia" w:ascii="宋体" w:hAnsi="宋体" w:cs="宋体"/>
          <w:bCs/>
          <w:color w:val="auto"/>
          <w:szCs w:val="21"/>
          <w:highlight w:val="none"/>
          <w:lang w:val="en-US" w:eastAsia="zh-CN"/>
        </w:rPr>
        <w:t xml:space="preserve"> </w:t>
      </w:r>
    </w:p>
    <w:p w14:paraId="613F0D11">
      <w:pPr>
        <w:tabs>
          <w:tab w:val="left" w:pos="2310"/>
        </w:tabs>
        <w:adjustRightInd w:val="0"/>
        <w:snapToGrid w:val="0"/>
        <w:spacing w:line="440" w:lineRule="exact"/>
        <w:ind w:firstLine="210" w:firstLineChars="100"/>
        <w:rPr>
          <w:rFonts w:hint="eastAsia" w:ascii="宋体" w:hAnsi="宋体" w:cs="宋体"/>
          <w:b/>
          <w:bCs w:val="0"/>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冷却系统具备电液分离安全防护设计，确保无漏液风险，便于后期维护。</w:t>
      </w:r>
      <w:r>
        <w:rPr>
          <w:rFonts w:hint="eastAsia" w:ascii="宋体" w:hAnsi="宋体" w:cs="宋体"/>
          <w:b/>
          <w:bCs w:val="0"/>
          <w:color w:val="auto"/>
          <w:szCs w:val="21"/>
          <w:highlight w:val="none"/>
        </w:rPr>
        <w:t>（提供产品彩页、官网截图或技术说明书证明）</w:t>
      </w:r>
      <w:r>
        <w:rPr>
          <w:rFonts w:hint="eastAsia" w:ascii="宋体" w:hAnsi="宋体" w:cs="宋体"/>
          <w:b/>
          <w:bCs w:val="0"/>
          <w:color w:val="auto"/>
          <w:szCs w:val="21"/>
          <w:highlight w:val="none"/>
          <w:lang w:eastAsia="zh-CN"/>
        </w:rPr>
        <w:t>。</w:t>
      </w:r>
    </w:p>
    <w:p w14:paraId="47FB0EC8">
      <w:pPr>
        <w:tabs>
          <w:tab w:val="left" w:pos="2310"/>
        </w:tabs>
        <w:adjustRightInd w:val="0"/>
        <w:snapToGrid w:val="0"/>
        <w:spacing w:line="440" w:lineRule="exact"/>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线圈表面温度超过 40℃，设备会通过保护电路自动停止磁场输出 。</w:t>
      </w:r>
      <w:r>
        <w:rPr>
          <w:rFonts w:hint="eastAsia" w:ascii="宋体" w:hAnsi="宋体" w:cs="宋体"/>
          <w:b/>
          <w:bCs w:val="0"/>
          <w:color w:val="auto"/>
          <w:szCs w:val="21"/>
          <w:highlight w:val="none"/>
        </w:rPr>
        <w:t>（提供产品说明书证明）</w:t>
      </w:r>
      <w:r>
        <w:rPr>
          <w:rFonts w:hint="eastAsia" w:ascii="宋体" w:hAnsi="宋体" w:cs="宋体"/>
          <w:bCs/>
          <w:color w:val="auto"/>
          <w:szCs w:val="21"/>
          <w:highlight w:val="none"/>
          <w:lang w:eastAsia="zh-CN"/>
        </w:rPr>
        <w:t>。</w:t>
      </w:r>
    </w:p>
    <w:p w14:paraId="7E191D5E">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（三）刺激线圈</w:t>
      </w:r>
    </w:p>
    <w:p w14:paraId="7B2F37F5">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标配1个蝶形线圈与双锥线圈。</w:t>
      </w:r>
    </w:p>
    <w:p w14:paraId="38D1637C">
      <w:pPr>
        <w:tabs>
          <w:tab w:val="left" w:pos="2310"/>
        </w:tabs>
        <w:adjustRightInd w:val="0"/>
        <w:snapToGrid w:val="0"/>
        <w:spacing w:line="440" w:lineRule="exact"/>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标配2个深部盔式线圈，深部盔式线圈在6cm处的磁场强度≥1T。</w:t>
      </w:r>
      <w:r>
        <w:rPr>
          <w:rFonts w:hint="eastAsia" w:ascii="宋体" w:hAnsi="宋体" w:cs="宋体"/>
          <w:b/>
          <w:bCs w:val="0"/>
          <w:color w:val="auto"/>
          <w:szCs w:val="21"/>
          <w:highlight w:val="none"/>
        </w:rPr>
        <w:t>（提供</w:t>
      </w:r>
      <w:r>
        <w:rPr>
          <w:rFonts w:hint="eastAsia" w:ascii="宋体" w:hAnsi="宋体" w:cs="宋体"/>
          <w:b/>
          <w:bCs w:val="0"/>
          <w:color w:val="auto"/>
          <w:szCs w:val="21"/>
          <w:highlight w:val="none"/>
          <w:lang w:val="en-US" w:eastAsia="zh-CN"/>
        </w:rPr>
        <w:t>国家认可的第三方机构出具的检测报告</w:t>
      </w:r>
      <w:r>
        <w:rPr>
          <w:rFonts w:hint="eastAsia" w:ascii="宋体" w:hAnsi="宋体" w:cs="宋体"/>
          <w:b/>
          <w:bCs w:val="0"/>
          <w:color w:val="auto"/>
          <w:szCs w:val="21"/>
          <w:highlight w:val="none"/>
        </w:rPr>
        <w:t>或说明书证明）</w:t>
      </w:r>
      <w:r>
        <w:rPr>
          <w:rFonts w:hint="eastAsia" w:ascii="宋体" w:hAnsi="宋体" w:cs="宋体"/>
          <w:bCs/>
          <w:color w:val="auto"/>
          <w:szCs w:val="21"/>
          <w:highlight w:val="none"/>
          <w:lang w:eastAsia="zh-CN"/>
        </w:rPr>
        <w:t>。</w:t>
      </w:r>
    </w:p>
    <w:p w14:paraId="74416686">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标配深部刺激线圈，能够有效刺激左侧前额叶皮质（DLPFC）、背内侧前额叶皮质（dmPFC）及前扣带回（ACC）等深部脑区，满足抑郁障碍及强迫障碍的临床治疗与科研需求。</w:t>
      </w:r>
    </w:p>
    <w:p w14:paraId="22A91BC5">
      <w:pPr>
        <w:tabs>
          <w:tab w:val="left" w:pos="2310"/>
        </w:tabs>
        <w:adjustRightInd w:val="0"/>
        <w:snapToGrid w:val="0"/>
        <w:spacing w:line="440" w:lineRule="exact"/>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深部盔式线圈为柔性线圈，可自适应不同人头颅大小，贴合性更好。</w:t>
      </w:r>
    </w:p>
    <w:p w14:paraId="57F9CA28">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深部盔式线圈配备悬停支架，可灵活调节线圈高度，方便临床使用。</w:t>
      </w:r>
    </w:p>
    <w:p w14:paraId="0D4D2285">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后期可增配圆形线圈、儿童线圈、动物线圈、成对脉冲线圈、伪刺激线圈等科研线圈。</w:t>
      </w:r>
    </w:p>
    <w:p w14:paraId="53E75C3F">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刺激线圈或手持控制器上具备强度调节与触发刺激功能，方便临床快速检测运动阈值。</w:t>
      </w:r>
    </w:p>
    <w:p w14:paraId="7AC9F494">
      <w:pPr>
        <w:tabs>
          <w:tab w:val="left" w:pos="2310"/>
        </w:tabs>
        <w:adjustRightInd w:val="0"/>
        <w:snapToGrid w:val="0"/>
        <w:spacing w:line="440" w:lineRule="exact"/>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设备具备刺激参数实时反馈功能，可在主机屏幕和线圈端实时显示当前刺激强度、线圈温度等关键信息，确保治疗安全可控。</w:t>
      </w:r>
      <w:r>
        <w:rPr>
          <w:rFonts w:hint="eastAsia" w:ascii="宋体" w:hAnsi="宋体" w:cs="宋体"/>
          <w:b/>
          <w:bCs w:val="0"/>
          <w:color w:val="auto"/>
          <w:szCs w:val="21"/>
          <w:highlight w:val="none"/>
        </w:rPr>
        <w:t>（提供产品彩页证明）</w:t>
      </w:r>
    </w:p>
    <w:p w14:paraId="572847CD">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可插拔式线圈，方便临床快速更换线圈。</w:t>
      </w:r>
    </w:p>
    <w:p w14:paraId="6EE2E6C6">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（四）MEP模块</w:t>
      </w:r>
    </w:p>
    <w:p w14:paraId="409814E4">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MEP通道数：≥2通道。</w:t>
      </w:r>
    </w:p>
    <w:p w14:paraId="0DE5F055">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运动诱发电位检查模块支持数据传输功能（有线或无线均可），信号传输稳定可靠。</w:t>
      </w:r>
    </w:p>
    <w:p w14:paraId="4E31CB59">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MEP采样率：≥100kHz。</w:t>
      </w:r>
    </w:p>
    <w:p w14:paraId="362AA613">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rPr>
        <w:t>（五）软件系统</w:t>
      </w:r>
    </w:p>
    <w:p w14:paraId="1A8D591A">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采用触屏一体机承载软件系统，无需使用鼠标即可操作，提高治疗师工作效率。</w:t>
      </w:r>
    </w:p>
    <w:p w14:paraId="0D0201CD">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支持2人同时治疗，治疗频率、强度等参数均可独立调节，满足临床多病种患者需求。</w:t>
      </w:r>
    </w:p>
    <w:p w14:paraId="288D2F2E">
      <w:pPr>
        <w:tabs>
          <w:tab w:val="left" w:pos="2310"/>
        </w:tabs>
        <w:adjustRightInd w:val="0"/>
        <w:snapToGrid w:val="0"/>
        <w:spacing w:line="440" w:lineRule="exact"/>
        <w:ind w:firstLine="210" w:firstLineChars="100"/>
        <w:rPr>
          <w:rFonts w:hint="eastAsia" w:ascii="微软雅黑" w:hAnsi="微软雅黑" w:eastAsia="微软雅黑"/>
          <w:sz w:val="21"/>
          <w:szCs w:val="21"/>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刺激模式：具备单脉冲刺激、成对脉冲刺激、重复脉冲刺激和模式化刺</w:t>
      </w:r>
      <w:r>
        <w:rPr>
          <w:rFonts w:hint="eastAsia" w:ascii="微软雅黑" w:hAnsi="微软雅黑" w:eastAsia="微软雅黑"/>
          <w:sz w:val="21"/>
          <w:szCs w:val="21"/>
        </w:rPr>
        <w:t>激功能。</w:t>
      </w:r>
    </w:p>
    <w:p w14:paraId="49F6AE53">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（六）使用年限</w:t>
      </w:r>
      <w:r>
        <w:rPr>
          <w:rFonts w:hint="default" w:ascii="Arial" w:hAnsi="Arial" w:cs="Arial"/>
          <w:b/>
          <w:bCs w:val="0"/>
          <w:color w:val="auto"/>
          <w:szCs w:val="21"/>
          <w:highlight w:val="none"/>
          <w:lang w:val="en-US" w:eastAsia="zh-CN"/>
        </w:rPr>
        <w:t>≥</w:t>
      </w:r>
      <w:r>
        <w:rPr>
          <w:rFonts w:hint="eastAsia" w:ascii="宋体" w:hAnsi="宋体" w:cs="宋体"/>
          <w:b/>
          <w:bCs w:val="0"/>
          <w:color w:val="auto"/>
          <w:szCs w:val="21"/>
          <w:highlight w:val="none"/>
          <w:lang w:val="en-US" w:eastAsia="zh-CN"/>
        </w:rPr>
        <w:t>10年（需提供设备铭牌或说明书等材料进行佐证）</w:t>
      </w:r>
    </w:p>
    <w:p w14:paraId="45A00CD0">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（七）供货配置清单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407"/>
        <w:gridCol w:w="1662"/>
        <w:gridCol w:w="3092"/>
      </w:tblGrid>
      <w:tr w14:paraId="1E13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68" w:type="dxa"/>
            <w:noWrap w:val="0"/>
            <w:vAlign w:val="center"/>
          </w:tcPr>
          <w:p w14:paraId="45220C06">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3407" w:type="dxa"/>
            <w:noWrap w:val="0"/>
            <w:vAlign w:val="center"/>
          </w:tcPr>
          <w:p w14:paraId="1903B316">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名称</w:t>
            </w:r>
          </w:p>
        </w:tc>
        <w:tc>
          <w:tcPr>
            <w:tcW w:w="1662" w:type="dxa"/>
            <w:noWrap w:val="0"/>
            <w:vAlign w:val="center"/>
          </w:tcPr>
          <w:p w14:paraId="17D89C8B">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数量</w:t>
            </w:r>
          </w:p>
        </w:tc>
        <w:tc>
          <w:tcPr>
            <w:tcW w:w="3092" w:type="dxa"/>
            <w:noWrap w:val="0"/>
            <w:vAlign w:val="center"/>
          </w:tcPr>
          <w:p w14:paraId="78777BBE">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单位</w:t>
            </w:r>
          </w:p>
        </w:tc>
      </w:tr>
      <w:tr w14:paraId="3F71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noWrap w:val="0"/>
            <w:vAlign w:val="center"/>
          </w:tcPr>
          <w:p w14:paraId="12CB023C">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407" w:type="dxa"/>
            <w:noWrap w:val="0"/>
            <w:vAlign w:val="center"/>
          </w:tcPr>
          <w:p w14:paraId="41B0E8E7">
            <w:pPr>
              <w:pStyle w:val="6"/>
              <w:adjustRightInd w:val="0"/>
              <w:snapToGrid w:val="0"/>
              <w:jc w:val="center"/>
              <w:rPr>
                <w:rFonts w:hint="eastAsia" w:ascii="宋体" w:hAnsi="宋体" w:eastAsia="宋体" w:cs="宋体"/>
                <w:sz w:val="22"/>
                <w:szCs w:val="22"/>
                <w:highlight w:val="none"/>
              </w:rPr>
            </w:pPr>
            <w:r>
              <w:rPr>
                <w:rFonts w:hint="eastAsia"/>
              </w:rPr>
              <w:t>刺激主机</w:t>
            </w:r>
          </w:p>
        </w:tc>
        <w:tc>
          <w:tcPr>
            <w:tcW w:w="1662" w:type="dxa"/>
            <w:noWrap w:val="0"/>
            <w:vAlign w:val="top"/>
          </w:tcPr>
          <w:p w14:paraId="1116A5CC">
            <w:pPr>
              <w:jc w:val="center"/>
              <w:rPr>
                <w:rFonts w:hint="eastAsia" w:ascii="宋体" w:hAnsi="宋体" w:eastAsia="宋体" w:cs="宋体"/>
                <w:sz w:val="22"/>
                <w:szCs w:val="22"/>
                <w:highlight w:val="none"/>
              </w:rPr>
            </w:pPr>
            <w:r>
              <w:rPr>
                <w:rFonts w:hint="eastAsia"/>
              </w:rPr>
              <w:tab/>
            </w:r>
            <w:r>
              <w:rPr>
                <w:rFonts w:hint="default" w:ascii="Arial" w:hAnsi="Arial" w:cs="Arial"/>
              </w:rPr>
              <w:t>≥</w:t>
            </w:r>
            <w:r>
              <w:rPr>
                <w:rFonts w:hint="eastAsia"/>
              </w:rPr>
              <w:t>2</w:t>
            </w:r>
          </w:p>
        </w:tc>
        <w:tc>
          <w:tcPr>
            <w:tcW w:w="3092" w:type="dxa"/>
            <w:noWrap w:val="0"/>
            <w:vAlign w:val="top"/>
          </w:tcPr>
          <w:p w14:paraId="7BA060D1">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套</w:t>
            </w:r>
          </w:p>
        </w:tc>
      </w:tr>
      <w:tr w14:paraId="5F92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768" w:type="dxa"/>
            <w:noWrap w:val="0"/>
            <w:vAlign w:val="center"/>
          </w:tcPr>
          <w:p w14:paraId="0B1A4095">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3407" w:type="dxa"/>
            <w:noWrap w:val="0"/>
            <w:vAlign w:val="center"/>
          </w:tcPr>
          <w:p w14:paraId="7739A7C7">
            <w:pPr>
              <w:pStyle w:val="6"/>
              <w:adjustRightInd w:val="0"/>
              <w:snapToGrid w:val="0"/>
              <w:jc w:val="center"/>
              <w:rPr>
                <w:rFonts w:hint="eastAsia" w:ascii="宋体" w:hAnsi="宋体" w:eastAsia="宋体" w:cs="宋体"/>
                <w:sz w:val="22"/>
                <w:szCs w:val="22"/>
                <w:highlight w:val="none"/>
              </w:rPr>
            </w:pPr>
            <w:r>
              <w:rPr>
                <w:rFonts w:hint="eastAsia"/>
              </w:rPr>
              <w:t>散热主机</w:t>
            </w:r>
          </w:p>
        </w:tc>
        <w:tc>
          <w:tcPr>
            <w:tcW w:w="1662" w:type="dxa"/>
            <w:noWrap w:val="0"/>
            <w:vAlign w:val="top"/>
          </w:tcPr>
          <w:p w14:paraId="4B39DCAE">
            <w:pPr>
              <w:jc w:val="center"/>
              <w:rPr>
                <w:rFonts w:hint="eastAsia" w:ascii="宋体" w:hAnsi="宋体" w:eastAsia="宋体" w:cs="宋体"/>
                <w:sz w:val="22"/>
                <w:szCs w:val="22"/>
                <w:highlight w:val="none"/>
              </w:rPr>
            </w:pPr>
            <w:r>
              <w:rPr>
                <w:rFonts w:hint="eastAsia"/>
              </w:rPr>
              <w:tab/>
            </w:r>
            <w:r>
              <w:rPr>
                <w:rFonts w:hint="default" w:ascii="Arial" w:hAnsi="Arial" w:cs="Arial"/>
              </w:rPr>
              <w:t>≥</w:t>
            </w:r>
            <w:r>
              <w:rPr>
                <w:rFonts w:hint="eastAsia"/>
              </w:rPr>
              <w:t>2</w:t>
            </w:r>
          </w:p>
        </w:tc>
        <w:tc>
          <w:tcPr>
            <w:tcW w:w="3092" w:type="dxa"/>
            <w:noWrap w:val="0"/>
            <w:vAlign w:val="top"/>
          </w:tcPr>
          <w:p w14:paraId="1663BD10">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套</w:t>
            </w:r>
          </w:p>
        </w:tc>
      </w:tr>
      <w:tr w14:paraId="5D98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8" w:type="dxa"/>
            <w:noWrap w:val="0"/>
            <w:vAlign w:val="center"/>
          </w:tcPr>
          <w:p w14:paraId="0B675D9F">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3407" w:type="dxa"/>
            <w:noWrap w:val="0"/>
            <w:vAlign w:val="center"/>
          </w:tcPr>
          <w:p w14:paraId="53ED8AE1">
            <w:pPr>
              <w:pStyle w:val="6"/>
              <w:adjustRightInd w:val="0"/>
              <w:snapToGrid w:val="0"/>
              <w:jc w:val="center"/>
              <w:rPr>
                <w:rFonts w:hint="eastAsia" w:ascii="宋体" w:hAnsi="宋体" w:eastAsia="宋体" w:cs="宋体"/>
                <w:sz w:val="22"/>
                <w:szCs w:val="22"/>
                <w:highlight w:val="none"/>
              </w:rPr>
            </w:pPr>
            <w:r>
              <w:rPr>
                <w:rFonts w:hint="eastAsia"/>
              </w:rPr>
              <w:t>深部盔式线圈</w:t>
            </w:r>
          </w:p>
        </w:tc>
        <w:tc>
          <w:tcPr>
            <w:tcW w:w="1662" w:type="dxa"/>
            <w:noWrap w:val="0"/>
            <w:vAlign w:val="top"/>
          </w:tcPr>
          <w:p w14:paraId="43D298A0">
            <w:pPr>
              <w:jc w:val="center"/>
              <w:rPr>
                <w:rFonts w:hint="eastAsia" w:ascii="宋体" w:hAnsi="宋体" w:eastAsia="宋体" w:cs="宋体"/>
                <w:sz w:val="22"/>
                <w:szCs w:val="22"/>
                <w:highlight w:val="none"/>
              </w:rPr>
            </w:pPr>
            <w:r>
              <w:rPr>
                <w:rFonts w:hint="eastAsia"/>
              </w:rPr>
              <w:tab/>
            </w:r>
            <w:r>
              <w:rPr>
                <w:rFonts w:hint="default" w:ascii="Arial" w:hAnsi="Arial" w:cs="Arial"/>
              </w:rPr>
              <w:t>≥</w:t>
            </w:r>
            <w:r>
              <w:rPr>
                <w:rFonts w:hint="eastAsia"/>
              </w:rPr>
              <w:t>2</w:t>
            </w:r>
          </w:p>
        </w:tc>
        <w:tc>
          <w:tcPr>
            <w:tcW w:w="3092" w:type="dxa"/>
            <w:noWrap w:val="0"/>
            <w:vAlign w:val="top"/>
          </w:tcPr>
          <w:p w14:paraId="33728CF0">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个</w:t>
            </w:r>
          </w:p>
        </w:tc>
      </w:tr>
      <w:tr w14:paraId="7761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68" w:type="dxa"/>
            <w:noWrap w:val="0"/>
            <w:vAlign w:val="center"/>
          </w:tcPr>
          <w:p w14:paraId="58B63576">
            <w:pPr>
              <w:jc w:val="cente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w:t>
            </w:r>
          </w:p>
        </w:tc>
        <w:tc>
          <w:tcPr>
            <w:tcW w:w="3407" w:type="dxa"/>
            <w:noWrap w:val="0"/>
            <w:vAlign w:val="center"/>
          </w:tcPr>
          <w:p w14:paraId="168AA406">
            <w:pPr>
              <w:pStyle w:val="6"/>
              <w:adjustRightInd w:val="0"/>
              <w:snapToGrid w:val="0"/>
              <w:jc w:val="center"/>
              <w:rPr>
                <w:rFonts w:hint="eastAsia" w:ascii="宋体" w:hAnsi="宋体" w:eastAsia="宋体" w:cs="宋体"/>
                <w:sz w:val="22"/>
                <w:szCs w:val="22"/>
                <w:highlight w:val="none"/>
              </w:rPr>
            </w:pPr>
            <w:r>
              <w:rPr>
                <w:rFonts w:hint="eastAsia"/>
                <w:lang w:val="en-US" w:eastAsia="zh-CN"/>
              </w:rPr>
              <w:t>浅部</w:t>
            </w:r>
            <w:r>
              <w:rPr>
                <w:rFonts w:hint="eastAsia"/>
              </w:rPr>
              <w:t>线圈</w:t>
            </w:r>
          </w:p>
        </w:tc>
        <w:tc>
          <w:tcPr>
            <w:tcW w:w="1662" w:type="dxa"/>
            <w:noWrap w:val="0"/>
            <w:vAlign w:val="top"/>
          </w:tcPr>
          <w:p w14:paraId="6C8D947E">
            <w:pPr>
              <w:jc w:val="center"/>
              <w:rPr>
                <w:rFonts w:hint="eastAsia" w:ascii="宋体" w:hAnsi="宋体" w:eastAsia="宋体" w:cs="宋体"/>
                <w:sz w:val="22"/>
                <w:szCs w:val="22"/>
                <w:highlight w:val="none"/>
              </w:rPr>
            </w:pPr>
            <w:r>
              <w:rPr>
                <w:rFonts w:hint="eastAsia"/>
              </w:rPr>
              <w:tab/>
            </w:r>
            <w:r>
              <w:rPr>
                <w:rFonts w:hint="default" w:ascii="Arial" w:hAnsi="Arial" w:cs="Arial"/>
              </w:rPr>
              <w:t>≥</w:t>
            </w:r>
            <w:r>
              <w:rPr>
                <w:rFonts w:hint="eastAsia"/>
              </w:rPr>
              <w:t>2</w:t>
            </w:r>
          </w:p>
        </w:tc>
        <w:tc>
          <w:tcPr>
            <w:tcW w:w="3092" w:type="dxa"/>
            <w:noWrap w:val="0"/>
            <w:vAlign w:val="top"/>
          </w:tcPr>
          <w:p w14:paraId="6ED79CDA">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个</w:t>
            </w:r>
          </w:p>
        </w:tc>
      </w:tr>
      <w:tr w14:paraId="70F1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noWrap w:val="0"/>
            <w:vAlign w:val="center"/>
          </w:tcPr>
          <w:p w14:paraId="41949FB6">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5</w:t>
            </w:r>
          </w:p>
        </w:tc>
        <w:tc>
          <w:tcPr>
            <w:tcW w:w="3407" w:type="dxa"/>
            <w:noWrap w:val="0"/>
            <w:vAlign w:val="center"/>
          </w:tcPr>
          <w:p w14:paraId="566B411D">
            <w:pPr>
              <w:pStyle w:val="6"/>
              <w:adjustRightInd w:val="0"/>
              <w:snapToGrid w:val="0"/>
              <w:jc w:val="center"/>
              <w:rPr>
                <w:rFonts w:hint="eastAsia" w:ascii="宋体" w:hAnsi="宋体" w:eastAsia="宋体" w:cs="宋体"/>
                <w:sz w:val="22"/>
                <w:szCs w:val="22"/>
                <w:highlight w:val="none"/>
              </w:rPr>
            </w:pPr>
            <w:r>
              <w:rPr>
                <w:rFonts w:hint="eastAsia"/>
              </w:rPr>
              <w:t>触控一体屏</w:t>
            </w:r>
          </w:p>
        </w:tc>
        <w:tc>
          <w:tcPr>
            <w:tcW w:w="1662" w:type="dxa"/>
            <w:noWrap w:val="0"/>
            <w:vAlign w:val="top"/>
          </w:tcPr>
          <w:p w14:paraId="249C2834">
            <w:pPr>
              <w:jc w:val="center"/>
              <w:rPr>
                <w:rFonts w:hint="eastAsia" w:ascii="宋体" w:hAnsi="宋体" w:eastAsia="宋体" w:cs="宋体"/>
                <w:sz w:val="22"/>
                <w:szCs w:val="22"/>
                <w:highlight w:val="none"/>
                <w:lang w:val="en-US" w:eastAsia="zh-CN"/>
              </w:rPr>
            </w:pPr>
            <w:r>
              <w:rPr>
                <w:rFonts w:hint="eastAsia"/>
              </w:rPr>
              <w:tab/>
            </w:r>
            <w:r>
              <w:rPr>
                <w:rFonts w:hint="default" w:ascii="Arial" w:hAnsi="Arial" w:cs="Arial"/>
              </w:rPr>
              <w:t>≥</w:t>
            </w:r>
            <w:r>
              <w:rPr>
                <w:rFonts w:hint="eastAsia"/>
              </w:rPr>
              <w:t>2</w:t>
            </w:r>
          </w:p>
        </w:tc>
        <w:tc>
          <w:tcPr>
            <w:tcW w:w="3092" w:type="dxa"/>
            <w:noWrap w:val="0"/>
            <w:vAlign w:val="top"/>
          </w:tcPr>
          <w:p w14:paraId="1100EFA3">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套</w:t>
            </w:r>
          </w:p>
        </w:tc>
      </w:tr>
      <w:tr w14:paraId="1BA0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68" w:type="dxa"/>
            <w:noWrap w:val="0"/>
            <w:vAlign w:val="center"/>
          </w:tcPr>
          <w:p w14:paraId="476648DA">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6</w:t>
            </w:r>
          </w:p>
        </w:tc>
        <w:tc>
          <w:tcPr>
            <w:tcW w:w="3407" w:type="dxa"/>
            <w:noWrap w:val="0"/>
            <w:vAlign w:val="center"/>
          </w:tcPr>
          <w:p w14:paraId="6FD7839C">
            <w:pPr>
              <w:pStyle w:val="6"/>
              <w:adjustRightInd w:val="0"/>
              <w:snapToGrid w:val="0"/>
              <w:jc w:val="center"/>
              <w:rPr>
                <w:rFonts w:hint="eastAsia" w:ascii="宋体" w:hAnsi="宋体" w:eastAsia="宋体" w:cs="宋体"/>
                <w:sz w:val="22"/>
                <w:szCs w:val="22"/>
                <w:highlight w:val="none"/>
              </w:rPr>
            </w:pPr>
            <w:r>
              <w:rPr>
                <w:rFonts w:hint="eastAsia"/>
              </w:rPr>
              <w:t>台车</w:t>
            </w:r>
          </w:p>
        </w:tc>
        <w:tc>
          <w:tcPr>
            <w:tcW w:w="1662" w:type="dxa"/>
            <w:noWrap w:val="0"/>
            <w:vAlign w:val="top"/>
          </w:tcPr>
          <w:p w14:paraId="2E06D4BC">
            <w:pPr>
              <w:jc w:val="center"/>
              <w:rPr>
                <w:rFonts w:hint="eastAsia" w:ascii="宋体" w:hAnsi="宋体" w:eastAsia="宋体" w:cs="宋体"/>
                <w:sz w:val="22"/>
                <w:szCs w:val="22"/>
                <w:highlight w:val="none"/>
                <w:lang w:eastAsia="zh-CN"/>
              </w:rPr>
            </w:pPr>
            <w:r>
              <w:rPr>
                <w:rFonts w:hint="eastAsia"/>
              </w:rPr>
              <w:tab/>
            </w:r>
            <w:r>
              <w:rPr>
                <w:rFonts w:hint="default" w:ascii="Arial" w:hAnsi="Arial" w:cs="Arial"/>
              </w:rPr>
              <w:t>≥</w:t>
            </w:r>
            <w:r>
              <w:rPr>
                <w:rFonts w:hint="eastAsia"/>
                <w:lang w:val="en-US" w:eastAsia="zh-CN"/>
              </w:rPr>
              <w:t>1</w:t>
            </w:r>
          </w:p>
        </w:tc>
        <w:tc>
          <w:tcPr>
            <w:tcW w:w="3092" w:type="dxa"/>
            <w:noWrap w:val="0"/>
            <w:vAlign w:val="top"/>
          </w:tcPr>
          <w:p w14:paraId="7F3DA725">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台</w:t>
            </w:r>
          </w:p>
        </w:tc>
      </w:tr>
      <w:tr w14:paraId="65DF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68" w:type="dxa"/>
            <w:noWrap w:val="0"/>
            <w:vAlign w:val="center"/>
          </w:tcPr>
          <w:p w14:paraId="09273827">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7</w:t>
            </w:r>
          </w:p>
        </w:tc>
        <w:tc>
          <w:tcPr>
            <w:tcW w:w="3407" w:type="dxa"/>
            <w:noWrap w:val="0"/>
            <w:vAlign w:val="center"/>
          </w:tcPr>
          <w:p w14:paraId="5095EFB2">
            <w:pPr>
              <w:pStyle w:val="6"/>
              <w:adjustRightInd w:val="0"/>
              <w:snapToGrid w:val="0"/>
              <w:jc w:val="center"/>
              <w:rPr>
                <w:rFonts w:hint="eastAsia" w:ascii="宋体" w:hAnsi="宋体" w:eastAsia="宋体" w:cs="宋体"/>
                <w:sz w:val="22"/>
                <w:szCs w:val="22"/>
                <w:highlight w:val="none"/>
              </w:rPr>
            </w:pPr>
            <w:r>
              <w:rPr>
                <w:rFonts w:hint="eastAsia"/>
              </w:rPr>
              <w:t>MEP组件</w:t>
            </w:r>
          </w:p>
        </w:tc>
        <w:tc>
          <w:tcPr>
            <w:tcW w:w="1662" w:type="dxa"/>
            <w:noWrap w:val="0"/>
            <w:vAlign w:val="top"/>
          </w:tcPr>
          <w:p w14:paraId="764DB770">
            <w:pPr>
              <w:jc w:val="center"/>
              <w:rPr>
                <w:rFonts w:hint="eastAsia" w:ascii="宋体" w:hAnsi="宋体" w:eastAsia="宋体" w:cs="宋体"/>
                <w:sz w:val="22"/>
                <w:szCs w:val="22"/>
                <w:highlight w:val="none"/>
                <w:lang w:eastAsia="zh-CN"/>
              </w:rPr>
            </w:pPr>
            <w:r>
              <w:rPr>
                <w:rFonts w:hint="eastAsia"/>
              </w:rPr>
              <w:tab/>
            </w:r>
            <w:r>
              <w:rPr>
                <w:rFonts w:hint="default" w:ascii="Arial" w:hAnsi="Arial" w:cs="Arial"/>
              </w:rPr>
              <w:t>≥</w:t>
            </w:r>
            <w:r>
              <w:rPr>
                <w:rFonts w:hint="eastAsia"/>
                <w:lang w:val="en-US" w:eastAsia="zh-CN"/>
              </w:rPr>
              <w:t>1</w:t>
            </w:r>
          </w:p>
        </w:tc>
        <w:tc>
          <w:tcPr>
            <w:tcW w:w="3092" w:type="dxa"/>
            <w:noWrap w:val="0"/>
            <w:vAlign w:val="top"/>
          </w:tcPr>
          <w:p w14:paraId="449E6F5E">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套</w:t>
            </w:r>
          </w:p>
        </w:tc>
      </w:tr>
      <w:tr w14:paraId="7DE1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68" w:type="dxa"/>
            <w:noWrap w:val="0"/>
            <w:vAlign w:val="center"/>
          </w:tcPr>
          <w:p w14:paraId="01C3C3B6">
            <w:pPr>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8</w:t>
            </w:r>
          </w:p>
        </w:tc>
        <w:tc>
          <w:tcPr>
            <w:tcW w:w="3407" w:type="dxa"/>
            <w:noWrap w:val="0"/>
            <w:vAlign w:val="center"/>
          </w:tcPr>
          <w:p w14:paraId="67ADF43C">
            <w:pPr>
              <w:pStyle w:val="6"/>
              <w:adjustRightInd w:val="0"/>
              <w:snapToGrid w:val="0"/>
              <w:jc w:val="center"/>
              <w:rPr>
                <w:rFonts w:hint="eastAsia" w:ascii="宋体" w:hAnsi="宋体" w:eastAsia="宋体" w:cs="宋体"/>
                <w:sz w:val="22"/>
                <w:szCs w:val="22"/>
                <w:highlight w:val="none"/>
              </w:rPr>
            </w:pPr>
            <w:r>
              <w:rPr>
                <w:rFonts w:hint="eastAsia"/>
              </w:rPr>
              <w:t>经颅磁软件处理系统</w:t>
            </w:r>
          </w:p>
        </w:tc>
        <w:tc>
          <w:tcPr>
            <w:tcW w:w="1662" w:type="dxa"/>
            <w:noWrap w:val="0"/>
            <w:vAlign w:val="top"/>
          </w:tcPr>
          <w:p w14:paraId="042E006D">
            <w:pPr>
              <w:jc w:val="center"/>
              <w:rPr>
                <w:rFonts w:hint="eastAsia" w:ascii="宋体" w:hAnsi="宋体" w:eastAsia="宋体" w:cs="宋体"/>
                <w:sz w:val="22"/>
                <w:szCs w:val="22"/>
                <w:highlight w:val="none"/>
                <w:lang w:eastAsia="zh-CN"/>
              </w:rPr>
            </w:pPr>
            <w:r>
              <w:rPr>
                <w:rFonts w:hint="eastAsia"/>
              </w:rPr>
              <w:tab/>
            </w:r>
            <w:r>
              <w:rPr>
                <w:rFonts w:hint="default" w:ascii="Arial" w:hAnsi="Arial" w:cs="Arial"/>
              </w:rPr>
              <w:t>≥</w:t>
            </w:r>
            <w:r>
              <w:rPr>
                <w:rFonts w:hint="eastAsia"/>
                <w:lang w:val="en-US" w:eastAsia="zh-CN"/>
              </w:rPr>
              <w:t>1</w:t>
            </w:r>
          </w:p>
        </w:tc>
        <w:tc>
          <w:tcPr>
            <w:tcW w:w="3092" w:type="dxa"/>
            <w:noWrap w:val="0"/>
            <w:vAlign w:val="top"/>
          </w:tcPr>
          <w:p w14:paraId="13B9442C">
            <w:pPr>
              <w:jc w:val="center"/>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套</w:t>
            </w:r>
          </w:p>
        </w:tc>
      </w:tr>
    </w:tbl>
    <w:p w14:paraId="18C84713">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277F4073">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441FC35C">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435552AD">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248BFF3D">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104A9F11">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2552310C">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57406B42">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4DD9DC1D">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78E9AFF7">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p>
    <w:p w14:paraId="21995712">
      <w:pPr>
        <w:tabs>
          <w:tab w:val="left" w:pos="2310"/>
        </w:tabs>
        <w:adjustRightInd w:val="0"/>
        <w:snapToGrid w:val="0"/>
        <w:spacing w:line="440" w:lineRule="exact"/>
        <w:rPr>
          <w:rFonts w:hint="default" w:ascii="宋体" w:hAnsi="宋体" w:cs="宋体"/>
          <w:b/>
          <w:bCs w:val="0"/>
          <w:color w:val="auto"/>
          <w:szCs w:val="21"/>
          <w:highlight w:val="none"/>
          <w:lang w:val="en-US" w:eastAsia="zh-CN"/>
        </w:rPr>
      </w:pPr>
    </w:p>
    <w:p w14:paraId="6705FDFB">
      <w:pPr>
        <w:tabs>
          <w:tab w:val="left" w:pos="2310"/>
        </w:tabs>
        <w:adjustRightInd w:val="0"/>
        <w:snapToGrid w:val="0"/>
        <w:spacing w:line="440" w:lineRule="exact"/>
        <w:rPr>
          <w:rFonts w:hint="default" w:ascii="宋体" w:hAnsi="宋体" w:cs="宋体"/>
          <w:b/>
          <w:bCs w:val="0"/>
          <w:color w:val="auto"/>
          <w:szCs w:val="21"/>
          <w:highlight w:val="none"/>
          <w:lang w:val="en-US" w:eastAsia="zh-CN"/>
        </w:rPr>
      </w:pPr>
    </w:p>
    <w:p w14:paraId="10616B2A">
      <w:pPr>
        <w:tabs>
          <w:tab w:val="left" w:pos="2310"/>
        </w:tabs>
        <w:adjustRightInd w:val="0"/>
        <w:snapToGrid w:val="0"/>
        <w:spacing w:line="440" w:lineRule="exact"/>
        <w:rPr>
          <w:rFonts w:hint="eastAsia" w:ascii="黑体" w:hAnsi="黑体" w:eastAsia="黑体" w:cs="Times New Roman"/>
          <w:b/>
          <w:bCs/>
          <w:kern w:val="2"/>
          <w:sz w:val="24"/>
          <w:szCs w:val="24"/>
          <w:highlight w:val="none"/>
          <w:lang w:val="en-US" w:eastAsia="zh-CN" w:bidi="ar-SA"/>
        </w:rPr>
      </w:pPr>
    </w:p>
    <w:p w14:paraId="6C3EAF47">
      <w:pPr>
        <w:tabs>
          <w:tab w:val="left" w:pos="2310"/>
        </w:tabs>
        <w:adjustRightInd w:val="0"/>
        <w:snapToGrid w:val="0"/>
        <w:spacing w:line="440" w:lineRule="exact"/>
        <w:rPr>
          <w:rFonts w:hint="eastAsia" w:ascii="黑体" w:hAnsi="黑体" w:eastAsia="黑体" w:cs="Times New Roman"/>
          <w:b/>
          <w:bCs/>
          <w:kern w:val="2"/>
          <w:sz w:val="24"/>
          <w:szCs w:val="24"/>
          <w:highlight w:val="none"/>
          <w:lang w:val="en-US" w:eastAsia="zh-CN" w:bidi="ar-SA"/>
        </w:rPr>
      </w:pPr>
    </w:p>
    <w:p w14:paraId="104A9C1E">
      <w:pPr>
        <w:tabs>
          <w:tab w:val="left" w:pos="2310"/>
        </w:tabs>
        <w:adjustRightInd w:val="0"/>
        <w:snapToGrid w:val="0"/>
        <w:spacing w:line="440" w:lineRule="exact"/>
        <w:rPr>
          <w:rFonts w:hint="eastAsia" w:ascii="宋体" w:hAnsi="宋体" w:cs="宋体"/>
          <w:bCs/>
          <w:color w:val="auto"/>
          <w:szCs w:val="21"/>
          <w:highlight w:val="none"/>
        </w:rPr>
      </w:pPr>
      <w:r>
        <w:rPr>
          <w:rFonts w:hint="eastAsia" w:ascii="黑体" w:hAnsi="黑体" w:eastAsia="黑体" w:cs="Times New Roman"/>
          <w:b/>
          <w:bCs/>
          <w:kern w:val="2"/>
          <w:sz w:val="24"/>
          <w:szCs w:val="24"/>
          <w:highlight w:val="none"/>
          <w:lang w:val="en-US" w:eastAsia="zh-CN" w:bidi="ar-SA"/>
        </w:rPr>
        <w:t>二、无抽搐电痉挛治疗仪（无抽搐电休克治疗仪）技术参数</w:t>
      </w:r>
    </w:p>
    <w:p w14:paraId="4265ACBA">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一</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设备适用范围</w:t>
      </w:r>
    </w:p>
    <w:p w14:paraId="3BD4D2FF">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适用于对存在精神障碍、需快速起效干预的患者开展电抽搐 /电休克治疗，具备医疗器械注册证，符合当地医保收费标准收费编码。</w:t>
      </w:r>
    </w:p>
    <w:p w14:paraId="593D89C1">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二</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电刺激输出模块</w:t>
      </w:r>
    </w:p>
    <w:p w14:paraId="51121C8A">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 脉冲波宽：支持多档脉冲宽度可调，覆盖窄脉冲治疗方案。</w:t>
      </w:r>
    </w:p>
    <w:p w14:paraId="58FAD23E">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 波形：采用双相脉冲矩形波输出。</w:t>
      </w:r>
    </w:p>
    <w:p w14:paraId="26BA84B7">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 xml:space="preserve">. 刺激频率：可调范围 </w:t>
      </w:r>
      <w:r>
        <w:rPr>
          <w:rFonts w:hint="default" w:ascii="Arial" w:hAnsi="Arial" w:cs="Arial"/>
          <w:bCs/>
          <w:color w:val="auto"/>
          <w:szCs w:val="21"/>
          <w:highlight w:val="none"/>
        </w:rPr>
        <w:t>≥</w:t>
      </w:r>
      <w:r>
        <w:rPr>
          <w:rFonts w:hint="eastAsia" w:ascii="宋体" w:hAnsi="宋体" w:cs="宋体"/>
          <w:bCs/>
          <w:color w:val="auto"/>
          <w:szCs w:val="21"/>
          <w:highlight w:val="none"/>
        </w:rPr>
        <w:t>10Hz，支持</w:t>
      </w:r>
      <w:r>
        <w:rPr>
          <w:rFonts w:hint="eastAsia" w:ascii="宋体" w:hAnsi="宋体" w:cs="宋体"/>
          <w:bCs/>
          <w:color w:val="auto"/>
          <w:szCs w:val="21"/>
          <w:highlight w:val="none"/>
          <w:lang w:val="en-US" w:eastAsia="zh-CN"/>
        </w:rPr>
        <w:t>精准</w:t>
      </w:r>
      <w:r>
        <w:rPr>
          <w:rFonts w:hint="eastAsia" w:ascii="宋体" w:hAnsi="宋体" w:cs="宋体"/>
          <w:bCs/>
          <w:color w:val="auto"/>
          <w:szCs w:val="21"/>
          <w:highlight w:val="none"/>
        </w:rPr>
        <w:t>档位调节。</w:t>
      </w:r>
    </w:p>
    <w:p w14:paraId="1FA8B0A7">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 刺激能量调节：能量百分比可分段调节；支持多套内置标准治疗模式，同时支持自定义扩充新增治疗方案。</w:t>
      </w:r>
    </w:p>
    <w:p w14:paraId="5548AD29">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 峰值输出能量：具备高电量输出能力以满足高阻抗患者治疗需求；</w:t>
      </w:r>
    </w:p>
    <w:p w14:paraId="244B9F7B">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三</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多通道生理监测与打印记录模块</w:t>
      </w:r>
    </w:p>
    <w:p w14:paraId="299619AF">
      <w:pPr>
        <w:tabs>
          <w:tab w:val="left" w:pos="2310"/>
        </w:tabs>
        <w:adjustRightInd w:val="0"/>
        <w:snapToGrid w:val="0"/>
        <w:spacing w:line="44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rPr>
        <w:t>▲1. 生理监测通道：至少 4 通道同步实时监测，可同步采集、显示脑电图（EEG）、肌电图（EMG）、心电图（EKG）生理波形。</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须提供所投产品彩页或厂家技术白皮书或</w:t>
      </w:r>
      <w:r>
        <w:rPr>
          <w:rFonts w:hint="eastAsia" w:ascii="宋体" w:hAnsi="宋体" w:cs="宋体"/>
          <w:b/>
          <w:bCs w:val="0"/>
          <w:color w:val="auto"/>
          <w:szCs w:val="21"/>
          <w:highlight w:val="none"/>
          <w:lang w:val="en-US" w:eastAsia="zh-CN"/>
        </w:rPr>
        <w:t>国家认可的第三方机构出具的检测报告</w:t>
      </w:r>
      <w:r>
        <w:rPr>
          <w:rFonts w:hint="eastAsia" w:ascii="宋体" w:hAnsi="宋体" w:cs="宋体"/>
          <w:b/>
          <w:bCs w:val="0"/>
          <w:color w:val="auto"/>
          <w:szCs w:val="21"/>
          <w:highlight w:val="none"/>
        </w:rPr>
        <w:t>予以佐证</w:t>
      </w:r>
      <w:r>
        <w:rPr>
          <w:rFonts w:hint="eastAsia" w:ascii="宋体" w:hAnsi="宋体" w:cs="宋体"/>
          <w:b/>
          <w:bCs w:val="0"/>
          <w:color w:val="auto"/>
          <w:szCs w:val="21"/>
          <w:highlight w:val="none"/>
          <w:lang w:eastAsia="zh-CN"/>
        </w:rPr>
        <w:t>）</w:t>
      </w:r>
    </w:p>
    <w:p w14:paraId="3490993E">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 打印功能：内置图表记录仪，打印速度、波形增益可人工调整；支持打印设备故障日志、完整治疗生理波形、设备自检报告。</w:t>
      </w:r>
    </w:p>
    <w:p w14:paraId="66A2E2D1">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 导联阻抗监测：可监测患者电极导联阻抗，阻抗异常自动提示、停机保护。</w:t>
      </w:r>
    </w:p>
    <w:p w14:paraId="0A863D20">
      <w:pPr>
        <w:tabs>
          <w:tab w:val="left" w:pos="2310"/>
        </w:tabs>
        <w:adjustRightInd w:val="0"/>
        <w:snapToGrid w:val="0"/>
        <w:spacing w:line="440" w:lineRule="exact"/>
        <w:ind w:firstLine="210" w:firstLineChars="100"/>
        <w:rPr>
          <w:rFonts w:hint="eastAsia" w:ascii="宋体" w:hAnsi="宋体" w:cs="宋体"/>
          <w:b/>
          <w:bCs w:val="0"/>
          <w:color w:val="auto"/>
          <w:szCs w:val="21"/>
          <w:highlight w:val="none"/>
        </w:rPr>
      </w:pPr>
      <w:r>
        <w:rPr>
          <w:rFonts w:hint="eastAsia" w:ascii="宋体" w:hAnsi="宋体" w:cs="宋体"/>
          <w:bCs/>
          <w:color w:val="auto"/>
          <w:szCs w:val="21"/>
          <w:highlight w:val="none"/>
        </w:rPr>
        <w:t>▲4. 麻醉深度监测：具备脑电频谱分析功能，可输出边缘频率、中位频率、德尔塔相对功率等麻醉深度评估指标。</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须提供所投产品彩页或厂家技术白皮书或</w:t>
      </w:r>
      <w:r>
        <w:rPr>
          <w:rFonts w:hint="eastAsia" w:ascii="宋体" w:hAnsi="宋体" w:cs="宋体"/>
          <w:b/>
          <w:bCs w:val="0"/>
          <w:color w:val="auto"/>
          <w:szCs w:val="21"/>
          <w:highlight w:val="none"/>
          <w:lang w:val="en-US" w:eastAsia="zh-CN"/>
        </w:rPr>
        <w:t>国家认可的第三方机构出具的检测报告</w:t>
      </w:r>
      <w:r>
        <w:rPr>
          <w:rFonts w:hint="eastAsia" w:ascii="宋体" w:hAnsi="宋体" w:cs="宋体"/>
          <w:b/>
          <w:bCs w:val="0"/>
          <w:color w:val="auto"/>
          <w:szCs w:val="21"/>
          <w:highlight w:val="none"/>
        </w:rPr>
        <w:t>予以佐证</w:t>
      </w:r>
      <w:r>
        <w:rPr>
          <w:rFonts w:hint="eastAsia" w:ascii="宋体" w:hAnsi="宋体" w:cs="宋体"/>
          <w:b/>
          <w:bCs w:val="0"/>
          <w:color w:val="auto"/>
          <w:szCs w:val="21"/>
          <w:highlight w:val="none"/>
          <w:lang w:eastAsia="zh-CN"/>
        </w:rPr>
        <w:t>）</w:t>
      </w:r>
    </w:p>
    <w:p w14:paraId="180AE2F0">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四</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抽搐疗效量化分析功能</w:t>
      </w:r>
    </w:p>
    <w:p w14:paraId="5C8FC6C1">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 自动识别、记录脑电抽搐发作时长、肌电抽搐发作时长，可通过脑电、肌电信号自动判定抽搐终点。</w:t>
      </w:r>
    </w:p>
    <w:p w14:paraId="0B66727F">
      <w:pPr>
        <w:tabs>
          <w:tab w:val="left" w:pos="2310"/>
        </w:tabs>
        <w:adjustRightInd w:val="0"/>
        <w:snapToGrid w:val="0"/>
        <w:spacing w:line="440" w:lineRule="exact"/>
        <w:ind w:firstLine="210" w:firstLineChars="100"/>
        <w:rPr>
          <w:rFonts w:hint="eastAsia" w:ascii="宋体" w:hAnsi="宋体" w:cs="宋体"/>
          <w:b/>
          <w:bCs w:val="0"/>
          <w:color w:val="auto"/>
          <w:szCs w:val="21"/>
          <w:highlight w:val="none"/>
        </w:rPr>
      </w:pPr>
      <w:r>
        <w:rPr>
          <w:rFonts w:hint="eastAsia" w:ascii="宋体" w:hAnsi="宋体" w:cs="宋体"/>
          <w:bCs/>
          <w:color w:val="auto"/>
          <w:szCs w:val="21"/>
          <w:highlight w:val="none"/>
        </w:rPr>
        <w:t>▲2. 内置脑电分析算法，自动计算并记录客观抽搐质量指标，包含：发作后抑制指数、抽搐能量指数、最大脑电功率、最大脑电一致性及对应到达时间、治疗全程心率变化、最大发作心率。</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须提供所投产品彩页或厂家技术白皮书或</w:t>
      </w:r>
      <w:r>
        <w:rPr>
          <w:rFonts w:hint="eastAsia" w:ascii="宋体" w:hAnsi="宋体" w:cs="宋体"/>
          <w:b/>
          <w:bCs w:val="0"/>
          <w:color w:val="auto"/>
          <w:szCs w:val="21"/>
          <w:highlight w:val="none"/>
          <w:lang w:val="en-US" w:eastAsia="zh-CN"/>
        </w:rPr>
        <w:t>国家认可的第三方机构出具的检测报告</w:t>
      </w:r>
      <w:r>
        <w:rPr>
          <w:rFonts w:hint="eastAsia" w:ascii="宋体" w:hAnsi="宋体" w:cs="宋体"/>
          <w:b/>
          <w:bCs w:val="0"/>
          <w:color w:val="auto"/>
          <w:szCs w:val="21"/>
          <w:highlight w:val="none"/>
        </w:rPr>
        <w:t>予以佐证</w:t>
      </w:r>
      <w:r>
        <w:rPr>
          <w:rFonts w:hint="eastAsia" w:ascii="宋体" w:hAnsi="宋体" w:cs="宋体"/>
          <w:b/>
          <w:bCs w:val="0"/>
          <w:color w:val="auto"/>
          <w:szCs w:val="21"/>
          <w:highlight w:val="none"/>
          <w:lang w:eastAsia="zh-CN"/>
        </w:rPr>
        <w:t>）</w:t>
      </w:r>
    </w:p>
    <w:p w14:paraId="35A4B3E3">
      <w:pPr>
        <w:tabs>
          <w:tab w:val="left" w:pos="2310"/>
        </w:tabs>
        <w:adjustRightInd w:val="0"/>
        <w:snapToGrid w:val="0"/>
        <w:spacing w:line="440" w:lineRule="exact"/>
        <w:ind w:firstLine="210" w:firstLineChars="100"/>
        <w:rPr>
          <w:rFonts w:hint="eastAsia" w:ascii="宋体" w:hAnsi="宋体" w:cs="宋体"/>
          <w:b/>
          <w:bCs w:val="0"/>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 xml:space="preserve"> 抽搐超时</w:t>
      </w:r>
      <w:r>
        <w:rPr>
          <w:rFonts w:hint="eastAsia" w:ascii="宋体" w:hAnsi="宋体" w:cs="宋体"/>
          <w:bCs/>
          <w:color w:val="auto"/>
          <w:szCs w:val="21"/>
          <w:highlight w:val="none"/>
          <w:lang w:val="en-US" w:eastAsia="zh-CN"/>
        </w:rPr>
        <w:t>可</w:t>
      </w:r>
      <w:r>
        <w:rPr>
          <w:rFonts w:hint="eastAsia" w:ascii="宋体" w:hAnsi="宋体" w:cs="宋体"/>
          <w:bCs/>
          <w:color w:val="auto"/>
          <w:szCs w:val="21"/>
          <w:highlight w:val="none"/>
        </w:rPr>
        <w:t>报警：当脑电抽搐持续时长超出安全阈值时自动报警提示。</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须提供所投产品彩页或厂家技术白皮书或</w:t>
      </w:r>
      <w:r>
        <w:rPr>
          <w:rFonts w:hint="eastAsia" w:ascii="宋体" w:hAnsi="宋体" w:cs="宋体"/>
          <w:b/>
          <w:bCs w:val="0"/>
          <w:color w:val="auto"/>
          <w:szCs w:val="21"/>
          <w:highlight w:val="none"/>
          <w:lang w:val="en-US" w:eastAsia="zh-CN"/>
        </w:rPr>
        <w:t>国家认可的第三方机构出具的检测报告</w:t>
      </w:r>
      <w:r>
        <w:rPr>
          <w:rFonts w:hint="eastAsia" w:ascii="宋体" w:hAnsi="宋体" w:cs="宋体"/>
          <w:b/>
          <w:bCs w:val="0"/>
          <w:color w:val="auto"/>
          <w:szCs w:val="21"/>
          <w:highlight w:val="none"/>
        </w:rPr>
        <w:t>予以佐证</w:t>
      </w:r>
      <w:r>
        <w:rPr>
          <w:rFonts w:hint="eastAsia" w:ascii="宋体" w:hAnsi="宋体" w:cs="宋体"/>
          <w:b/>
          <w:bCs w:val="0"/>
          <w:color w:val="auto"/>
          <w:szCs w:val="21"/>
          <w:highlight w:val="none"/>
          <w:lang w:eastAsia="zh-CN"/>
        </w:rPr>
        <w:t>）</w:t>
      </w:r>
    </w:p>
    <w:p w14:paraId="57877776">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五</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安全防护功能</w:t>
      </w:r>
    </w:p>
    <w:p w14:paraId="4F7CE954">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 主机集成硬件安全监测电路，配备设备自检、安全测试按键，开机自动整机状态检测。</w:t>
      </w:r>
    </w:p>
    <w:p w14:paraId="26BF1179">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 监测患者接触阻抗，阻抗超出安全区间自动切断刺激输出，停机保护。</w:t>
      </w:r>
    </w:p>
    <w:p w14:paraId="7D236265">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 治疗全程多状态提示：刺激输出中、治疗完成、电极接触异常、设备故障等状态可视化提示。</w:t>
      </w:r>
    </w:p>
    <w:p w14:paraId="604258E6">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六</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显示与操作交互</w:t>
      </w:r>
    </w:p>
    <w:p w14:paraId="2C001398">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lang w:val="en-US" w:eastAsia="zh-CN"/>
        </w:rPr>
        <w:t>.</w:t>
      </w:r>
      <w:r>
        <w:rPr>
          <w:rFonts w:hint="eastAsia" w:ascii="宋体" w:hAnsi="宋体" w:cs="宋体"/>
          <w:bCs/>
          <w:color w:val="auto"/>
          <w:szCs w:val="21"/>
          <w:highlight w:val="none"/>
        </w:rPr>
        <w:t>自带或外接显示屏，可视化显示全部刺激参数、生理波形、设备运行状态。</w:t>
      </w:r>
    </w:p>
    <w:p w14:paraId="7CB6D9B0">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操作方式支持多模式控制（单旋钮一键操作 / 多旋钮分步调节均可），适配不同医护操作习惯。</w:t>
      </w:r>
    </w:p>
    <w:p w14:paraId="6DCA231D">
      <w:pPr>
        <w:tabs>
          <w:tab w:val="left" w:pos="2310"/>
        </w:tabs>
        <w:adjustRightInd w:val="0"/>
        <w:snapToGrid w:val="0"/>
        <w:spacing w:line="440" w:lineRule="exact"/>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七</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rPr>
        <w:t>其他要求</w:t>
      </w:r>
    </w:p>
    <w:p w14:paraId="0C8E7AA0">
      <w:pPr>
        <w:tabs>
          <w:tab w:val="left" w:pos="2310"/>
        </w:tabs>
        <w:adjustRightInd w:val="0"/>
        <w:snapToGrid w:val="0"/>
        <w:spacing w:line="440" w:lineRule="exact"/>
        <w:ind w:firstLine="420" w:firstLineChars="200"/>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1、设备出厂日期距离安装日期≤6个月。</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提供设备铭牌为准）</w:t>
      </w:r>
    </w:p>
    <w:p w14:paraId="5991D73B">
      <w:pPr>
        <w:tabs>
          <w:tab w:val="left" w:pos="2310"/>
        </w:tabs>
        <w:adjustRightInd w:val="0"/>
        <w:snapToGrid w:val="0"/>
        <w:spacing w:line="440" w:lineRule="exact"/>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（八）供货配置清单</w:t>
      </w:r>
    </w:p>
    <w:p w14:paraId="570F287D">
      <w:pPr>
        <w:numPr>
          <w:ilvl w:val="0"/>
          <w:numId w:val="0"/>
        </w:numPr>
        <w:rPr>
          <w:rFonts w:hint="default"/>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4850"/>
        <w:gridCol w:w="3013"/>
      </w:tblGrid>
      <w:tr w14:paraId="6BEB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1" w:type="dxa"/>
          </w:tcPr>
          <w:p w14:paraId="0FB4307C">
            <w:pPr>
              <w:widowControl/>
              <w:jc w:val="center"/>
              <w:rPr>
                <w:rFonts w:hint="eastAsia" w:cs="宋体" w:asciiTheme="minorEastAsia" w:hAnsiTheme="minorEastAsia" w:eastAsiaTheme="minorEastAsia"/>
                <w:b/>
                <w:kern w:val="0"/>
                <w:sz w:val="22"/>
                <w:szCs w:val="22"/>
                <w:lang w:val="en-US" w:eastAsia="zh-CN"/>
              </w:rPr>
            </w:pPr>
            <w:bookmarkStart w:id="4" w:name="_Toc3145"/>
            <w:r>
              <w:rPr>
                <w:rFonts w:hint="eastAsia" w:cs="宋体" w:asciiTheme="minorEastAsia" w:hAnsiTheme="minorEastAsia" w:eastAsiaTheme="minorEastAsia"/>
                <w:b/>
                <w:kern w:val="0"/>
                <w:sz w:val="22"/>
                <w:szCs w:val="22"/>
                <w:lang w:val="en-US" w:eastAsia="zh-CN"/>
              </w:rPr>
              <w:t>序号</w:t>
            </w:r>
          </w:p>
        </w:tc>
        <w:tc>
          <w:tcPr>
            <w:tcW w:w="4850" w:type="dxa"/>
          </w:tcPr>
          <w:p w14:paraId="37B2D6A6">
            <w:pPr>
              <w:widowControl/>
              <w:jc w:val="center"/>
              <w:rPr>
                <w:rFonts w:cs="宋体" w:asciiTheme="minorEastAsia" w:hAnsiTheme="minorEastAsia" w:eastAsiaTheme="minorEastAsia"/>
                <w:b/>
                <w:kern w:val="0"/>
                <w:sz w:val="22"/>
                <w:szCs w:val="22"/>
              </w:rPr>
            </w:pPr>
            <w:r>
              <w:rPr>
                <w:rFonts w:cs="宋体" w:asciiTheme="minorEastAsia" w:hAnsiTheme="minorEastAsia" w:eastAsiaTheme="minorEastAsia"/>
                <w:b/>
                <w:kern w:val="0"/>
                <w:sz w:val="22"/>
                <w:szCs w:val="22"/>
              </w:rPr>
              <w:t>产品名称</w:t>
            </w:r>
          </w:p>
        </w:tc>
        <w:tc>
          <w:tcPr>
            <w:tcW w:w="3013" w:type="dxa"/>
          </w:tcPr>
          <w:p w14:paraId="2DAE7BF5">
            <w:pPr>
              <w:widowControl/>
              <w:jc w:val="center"/>
              <w:rPr>
                <w:rFonts w:cs="宋体" w:asciiTheme="minorEastAsia" w:hAnsiTheme="minorEastAsia" w:eastAsiaTheme="minorEastAsia"/>
                <w:b/>
                <w:kern w:val="0"/>
                <w:sz w:val="22"/>
                <w:szCs w:val="22"/>
              </w:rPr>
            </w:pPr>
            <w:r>
              <w:rPr>
                <w:rFonts w:cs="宋体" w:asciiTheme="minorEastAsia" w:hAnsiTheme="minorEastAsia" w:eastAsiaTheme="minorEastAsia"/>
                <w:b/>
                <w:kern w:val="0"/>
                <w:sz w:val="22"/>
                <w:szCs w:val="22"/>
              </w:rPr>
              <w:t>数量</w:t>
            </w:r>
          </w:p>
        </w:tc>
      </w:tr>
      <w:tr w14:paraId="6BE3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3578724E">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w:t>
            </w:r>
          </w:p>
        </w:tc>
        <w:tc>
          <w:tcPr>
            <w:tcW w:w="4850" w:type="dxa"/>
          </w:tcPr>
          <w:p w14:paraId="54D61A12">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主机   </w:t>
            </w:r>
          </w:p>
        </w:tc>
        <w:tc>
          <w:tcPr>
            <w:tcW w:w="3013" w:type="dxa"/>
            <w:vAlign w:val="center"/>
          </w:tcPr>
          <w:p w14:paraId="0E1CF4AF">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1台</w:t>
            </w:r>
          </w:p>
        </w:tc>
      </w:tr>
      <w:tr w14:paraId="1F50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53233C74">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w:t>
            </w:r>
          </w:p>
        </w:tc>
        <w:tc>
          <w:tcPr>
            <w:tcW w:w="4850" w:type="dxa"/>
          </w:tcPr>
          <w:p w14:paraId="07AB2305">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设备说明书第一册（英文/中文）</w:t>
            </w:r>
          </w:p>
        </w:tc>
        <w:tc>
          <w:tcPr>
            <w:tcW w:w="3013" w:type="dxa"/>
            <w:vAlign w:val="center"/>
          </w:tcPr>
          <w:p w14:paraId="1016350A">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各1本</w:t>
            </w:r>
          </w:p>
        </w:tc>
      </w:tr>
      <w:tr w14:paraId="2126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7BCD0A99">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w:t>
            </w:r>
          </w:p>
        </w:tc>
        <w:tc>
          <w:tcPr>
            <w:tcW w:w="4850" w:type="dxa"/>
          </w:tcPr>
          <w:p w14:paraId="024AA88C">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设备说明书第二册（英文/中文）</w:t>
            </w:r>
          </w:p>
          <w:p w14:paraId="1AB1D9FA">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电休克疗法中的临床问题</w:t>
            </w:r>
          </w:p>
        </w:tc>
        <w:tc>
          <w:tcPr>
            <w:tcW w:w="3013" w:type="dxa"/>
            <w:vAlign w:val="center"/>
          </w:tcPr>
          <w:p w14:paraId="652B48FA">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各1本</w:t>
            </w:r>
          </w:p>
        </w:tc>
      </w:tr>
      <w:tr w14:paraId="07F7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7DEA4C7B">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w:t>
            </w:r>
          </w:p>
        </w:tc>
        <w:tc>
          <w:tcPr>
            <w:tcW w:w="4850" w:type="dxa"/>
          </w:tcPr>
          <w:p w14:paraId="5884C802">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ECT ：患者和家属信息手册（英文/中文）</w:t>
            </w:r>
          </w:p>
        </w:tc>
        <w:tc>
          <w:tcPr>
            <w:tcW w:w="3013" w:type="dxa"/>
            <w:vAlign w:val="center"/>
          </w:tcPr>
          <w:p w14:paraId="7261E660">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各1本</w:t>
            </w:r>
          </w:p>
        </w:tc>
      </w:tr>
      <w:tr w14:paraId="63CB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15CCC3E0">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w:t>
            </w:r>
          </w:p>
        </w:tc>
        <w:tc>
          <w:tcPr>
            <w:tcW w:w="4850" w:type="dxa"/>
          </w:tcPr>
          <w:p w14:paraId="5CA26B89">
            <w:pPr>
              <w:tabs>
                <w:tab w:val="left" w:pos="2310"/>
              </w:tabs>
              <w:adjustRightInd w:val="0"/>
              <w:snapToGrid w:val="0"/>
              <w:spacing w:line="440" w:lineRule="exact"/>
              <w:jc w:val="left"/>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教学</w:t>
            </w:r>
            <w:r>
              <w:rPr>
                <w:rFonts w:hint="eastAsia" w:ascii="宋体" w:hAnsi="宋体" w:eastAsia="宋体" w:cs="宋体"/>
                <w:bCs/>
                <w:color w:val="auto"/>
                <w:szCs w:val="21"/>
                <w:highlight w:val="none"/>
                <w:lang w:val="en-US" w:eastAsia="zh-CN"/>
              </w:rPr>
              <w:t>U盘</w:t>
            </w:r>
          </w:p>
        </w:tc>
        <w:tc>
          <w:tcPr>
            <w:tcW w:w="3013" w:type="dxa"/>
            <w:vAlign w:val="center"/>
          </w:tcPr>
          <w:p w14:paraId="0D00B828">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1个</w:t>
            </w:r>
          </w:p>
        </w:tc>
      </w:tr>
      <w:tr w14:paraId="1122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46B891EF">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6</w:t>
            </w:r>
          </w:p>
        </w:tc>
        <w:tc>
          <w:tcPr>
            <w:tcW w:w="4850" w:type="dxa"/>
          </w:tcPr>
          <w:p w14:paraId="48111703">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患者刺激电缆</w:t>
            </w:r>
          </w:p>
        </w:tc>
        <w:tc>
          <w:tcPr>
            <w:tcW w:w="3013" w:type="dxa"/>
            <w:vAlign w:val="center"/>
          </w:tcPr>
          <w:p w14:paraId="0FC4613D">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1条</w:t>
            </w:r>
          </w:p>
        </w:tc>
      </w:tr>
      <w:tr w14:paraId="13E9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476D5983">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7</w:t>
            </w:r>
          </w:p>
        </w:tc>
        <w:tc>
          <w:tcPr>
            <w:tcW w:w="4850" w:type="dxa"/>
          </w:tcPr>
          <w:p w14:paraId="2DD83DF3">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患者安全监护仪电缆EEG1/EEG2</w:t>
            </w:r>
          </w:p>
        </w:tc>
        <w:tc>
          <w:tcPr>
            <w:tcW w:w="3013" w:type="dxa"/>
            <w:vAlign w:val="center"/>
          </w:tcPr>
          <w:p w14:paraId="044378E8">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1条</w:t>
            </w:r>
          </w:p>
        </w:tc>
      </w:tr>
      <w:tr w14:paraId="451B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0FA8DE6B">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8</w:t>
            </w:r>
          </w:p>
        </w:tc>
        <w:tc>
          <w:tcPr>
            <w:tcW w:w="4850" w:type="dxa"/>
          </w:tcPr>
          <w:p w14:paraId="110368C2">
            <w:pPr>
              <w:tabs>
                <w:tab w:val="left" w:pos="2310"/>
              </w:tabs>
              <w:adjustRightInd w:val="0"/>
              <w:snapToGrid w:val="0"/>
              <w:spacing w:line="440" w:lineRule="exact"/>
              <w:jc w:val="left"/>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EEG1/EEG2 安全导联线（5条）</w:t>
            </w:r>
          </w:p>
        </w:tc>
        <w:tc>
          <w:tcPr>
            <w:tcW w:w="3013" w:type="dxa"/>
            <w:vAlign w:val="center"/>
          </w:tcPr>
          <w:p w14:paraId="2679C1BA">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1套</w:t>
            </w:r>
          </w:p>
        </w:tc>
      </w:tr>
      <w:tr w14:paraId="40DF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6E6A84A1">
            <w:pPr>
              <w:tabs>
                <w:tab w:val="left" w:pos="2310"/>
              </w:tabs>
              <w:adjustRightInd w:val="0"/>
              <w:snapToGrid w:val="0"/>
              <w:spacing w:line="44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9</w:t>
            </w:r>
          </w:p>
        </w:tc>
        <w:tc>
          <w:tcPr>
            <w:tcW w:w="4850" w:type="dxa"/>
          </w:tcPr>
          <w:p w14:paraId="661E0B44">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牙垫</w:t>
            </w:r>
          </w:p>
        </w:tc>
        <w:tc>
          <w:tcPr>
            <w:tcW w:w="3013" w:type="dxa"/>
            <w:vAlign w:val="center"/>
          </w:tcPr>
          <w:p w14:paraId="505EE01A">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1个</w:t>
            </w:r>
          </w:p>
        </w:tc>
      </w:tr>
      <w:tr w14:paraId="5618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11303370">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10</w:t>
            </w:r>
          </w:p>
        </w:tc>
        <w:tc>
          <w:tcPr>
            <w:tcW w:w="4850" w:type="dxa"/>
          </w:tcPr>
          <w:p w14:paraId="40B666EC">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可调节头带</w:t>
            </w:r>
          </w:p>
        </w:tc>
        <w:tc>
          <w:tcPr>
            <w:tcW w:w="3013" w:type="dxa"/>
            <w:vAlign w:val="center"/>
          </w:tcPr>
          <w:p w14:paraId="6FD6D6AD">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1条</w:t>
            </w:r>
          </w:p>
        </w:tc>
      </w:tr>
      <w:tr w14:paraId="17B1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10028101">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11</w:t>
            </w:r>
          </w:p>
        </w:tc>
        <w:tc>
          <w:tcPr>
            <w:tcW w:w="4850" w:type="dxa"/>
          </w:tcPr>
          <w:p w14:paraId="2C466AFA">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电极凝胶（导电膏）</w:t>
            </w:r>
          </w:p>
        </w:tc>
        <w:tc>
          <w:tcPr>
            <w:tcW w:w="3013" w:type="dxa"/>
            <w:vAlign w:val="center"/>
          </w:tcPr>
          <w:p w14:paraId="0CAF0716">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1支</w:t>
            </w:r>
          </w:p>
        </w:tc>
      </w:tr>
      <w:tr w14:paraId="12D6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6105C89F">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12</w:t>
            </w:r>
          </w:p>
        </w:tc>
        <w:tc>
          <w:tcPr>
            <w:tcW w:w="4850" w:type="dxa"/>
          </w:tcPr>
          <w:p w14:paraId="5C137CE4">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磨砂膏</w:t>
            </w:r>
          </w:p>
        </w:tc>
        <w:tc>
          <w:tcPr>
            <w:tcW w:w="3013" w:type="dxa"/>
            <w:vAlign w:val="center"/>
          </w:tcPr>
          <w:p w14:paraId="10615BC4">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1支</w:t>
            </w:r>
          </w:p>
        </w:tc>
      </w:tr>
      <w:tr w14:paraId="1E85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017E704C">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13</w:t>
            </w:r>
          </w:p>
        </w:tc>
        <w:tc>
          <w:tcPr>
            <w:tcW w:w="4850" w:type="dxa"/>
          </w:tcPr>
          <w:p w14:paraId="3539F51C">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图表纸（10卷/盒）</w:t>
            </w:r>
          </w:p>
        </w:tc>
        <w:tc>
          <w:tcPr>
            <w:tcW w:w="3013" w:type="dxa"/>
            <w:vAlign w:val="center"/>
          </w:tcPr>
          <w:p w14:paraId="5D93533F">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1盒</w:t>
            </w:r>
          </w:p>
        </w:tc>
      </w:tr>
      <w:tr w14:paraId="5BCA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7604C483">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14</w:t>
            </w:r>
          </w:p>
        </w:tc>
        <w:tc>
          <w:tcPr>
            <w:tcW w:w="4850" w:type="dxa"/>
          </w:tcPr>
          <w:p w14:paraId="2C4A0D4C">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EEG 一次性电极垫（5片 ）</w:t>
            </w:r>
          </w:p>
        </w:tc>
        <w:tc>
          <w:tcPr>
            <w:tcW w:w="3013" w:type="dxa"/>
            <w:vAlign w:val="center"/>
          </w:tcPr>
          <w:p w14:paraId="59738553">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val="en-US" w:eastAsia="zh-CN"/>
              </w:rPr>
              <w:t>0</w:t>
            </w:r>
            <w:r>
              <w:rPr>
                <w:rFonts w:hint="eastAsia" w:ascii="宋体" w:hAnsi="宋体" w:eastAsia="宋体" w:cs="宋体"/>
                <w:bCs/>
                <w:color w:val="auto"/>
                <w:szCs w:val="21"/>
                <w:highlight w:val="none"/>
              </w:rPr>
              <w:t>包</w:t>
            </w:r>
          </w:p>
        </w:tc>
      </w:tr>
      <w:tr w14:paraId="1316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340770B2">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15</w:t>
            </w:r>
          </w:p>
        </w:tc>
        <w:tc>
          <w:tcPr>
            <w:tcW w:w="4850" w:type="dxa"/>
          </w:tcPr>
          <w:p w14:paraId="5950B2B2">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扁平刺激电极片（2片/套）</w:t>
            </w:r>
          </w:p>
        </w:tc>
        <w:tc>
          <w:tcPr>
            <w:tcW w:w="3013" w:type="dxa"/>
            <w:vAlign w:val="center"/>
          </w:tcPr>
          <w:p w14:paraId="3E936A9A">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1套</w:t>
            </w:r>
          </w:p>
        </w:tc>
      </w:tr>
      <w:tr w14:paraId="2D0B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351A0CC6">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16</w:t>
            </w:r>
          </w:p>
        </w:tc>
        <w:tc>
          <w:tcPr>
            <w:tcW w:w="4850" w:type="dxa"/>
          </w:tcPr>
          <w:p w14:paraId="65D04087">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凹形刺激电极片（2片/套）</w:t>
            </w:r>
          </w:p>
        </w:tc>
        <w:tc>
          <w:tcPr>
            <w:tcW w:w="3013" w:type="dxa"/>
            <w:vAlign w:val="center"/>
          </w:tcPr>
          <w:p w14:paraId="56069C46">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1套</w:t>
            </w:r>
          </w:p>
        </w:tc>
      </w:tr>
      <w:tr w14:paraId="7425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34372A19">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17</w:t>
            </w:r>
          </w:p>
        </w:tc>
        <w:tc>
          <w:tcPr>
            <w:tcW w:w="4850" w:type="dxa"/>
          </w:tcPr>
          <w:p w14:paraId="1D1B29D5">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电源线（适用于中国）</w:t>
            </w:r>
          </w:p>
        </w:tc>
        <w:tc>
          <w:tcPr>
            <w:tcW w:w="3013" w:type="dxa"/>
            <w:vAlign w:val="center"/>
          </w:tcPr>
          <w:p w14:paraId="19E825FB">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1条</w:t>
            </w:r>
          </w:p>
        </w:tc>
      </w:tr>
      <w:tr w14:paraId="7C38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40844D9C">
            <w:pPr>
              <w:tabs>
                <w:tab w:val="left" w:pos="2310"/>
              </w:tabs>
              <w:adjustRightInd w:val="0"/>
              <w:snapToGrid w:val="0"/>
              <w:spacing w:line="44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18</w:t>
            </w:r>
          </w:p>
        </w:tc>
        <w:tc>
          <w:tcPr>
            <w:tcW w:w="4850" w:type="dxa"/>
          </w:tcPr>
          <w:p w14:paraId="6AB2CF7F">
            <w:pPr>
              <w:tabs>
                <w:tab w:val="left" w:pos="2310"/>
              </w:tabs>
              <w:adjustRightInd w:val="0"/>
              <w:snapToGrid w:val="0"/>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保险丝</w:t>
            </w:r>
          </w:p>
        </w:tc>
        <w:tc>
          <w:tcPr>
            <w:tcW w:w="3013" w:type="dxa"/>
            <w:vAlign w:val="center"/>
          </w:tcPr>
          <w:p w14:paraId="3647E8E6">
            <w:pPr>
              <w:tabs>
                <w:tab w:val="left" w:pos="2310"/>
              </w:tabs>
              <w:adjustRightInd w:val="0"/>
              <w:snapToGrid w:val="0"/>
              <w:spacing w:line="44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2个</w:t>
            </w:r>
          </w:p>
        </w:tc>
      </w:tr>
    </w:tbl>
    <w:p w14:paraId="4B6714C5">
      <w:pPr>
        <w:pStyle w:val="12"/>
        <w:ind w:left="0" w:leftChars="0" w:firstLine="0" w:firstLineChars="0"/>
        <w:rPr>
          <w:rFonts w:hint="eastAsia" w:ascii="黑体" w:hAnsi="黑体" w:eastAsia="黑体" w:cs="Times New Roman"/>
          <w:sz w:val="28"/>
          <w:szCs w:val="28"/>
          <w:highlight w:val="none"/>
        </w:rPr>
      </w:pPr>
    </w:p>
    <w:p w14:paraId="24D395F5">
      <w:pPr>
        <w:pStyle w:val="12"/>
        <w:ind w:left="0" w:leftChars="0" w:firstLine="0" w:firstLineChars="0"/>
        <w:rPr>
          <w:rFonts w:hint="eastAsia" w:ascii="黑体" w:hAnsi="黑体" w:eastAsia="黑体" w:cs="Times New Roman"/>
          <w:sz w:val="28"/>
          <w:szCs w:val="28"/>
          <w:highlight w:val="none"/>
        </w:rPr>
      </w:pPr>
    </w:p>
    <w:p w14:paraId="2E0A0295">
      <w:pPr>
        <w:pStyle w:val="12"/>
        <w:ind w:left="0" w:leftChars="0" w:firstLine="0" w:firstLineChars="0"/>
        <w:rPr>
          <w:rFonts w:hint="eastAsia" w:ascii="黑体" w:hAnsi="黑体" w:eastAsia="黑体" w:cs="Times New Roman"/>
          <w:sz w:val="28"/>
          <w:szCs w:val="28"/>
          <w:highlight w:val="none"/>
        </w:rPr>
      </w:pPr>
    </w:p>
    <w:p w14:paraId="292B1C06">
      <w:pPr>
        <w:pStyle w:val="12"/>
        <w:ind w:left="0" w:leftChars="0" w:firstLine="0" w:firstLineChars="0"/>
        <w:rPr>
          <w:rFonts w:hint="eastAsia" w:ascii="黑体" w:hAnsi="黑体" w:eastAsia="黑体" w:cs="Times New Roman"/>
          <w:sz w:val="28"/>
          <w:szCs w:val="28"/>
          <w:highlight w:val="none"/>
        </w:rPr>
      </w:pPr>
    </w:p>
    <w:p w14:paraId="1CC61C34">
      <w:pPr>
        <w:pStyle w:val="12"/>
        <w:ind w:left="0" w:leftChars="0" w:firstLine="0" w:firstLineChars="0"/>
        <w:rPr>
          <w:rFonts w:hint="eastAsia" w:ascii="黑体" w:hAnsi="黑体" w:eastAsia="黑体" w:cs="Times New Roman"/>
          <w:sz w:val="28"/>
          <w:szCs w:val="28"/>
          <w:highlight w:val="none"/>
        </w:rPr>
      </w:pPr>
    </w:p>
    <w:p w14:paraId="5FF295C6">
      <w:pPr>
        <w:pStyle w:val="12"/>
        <w:ind w:left="0" w:leftChars="0" w:firstLine="0" w:firstLineChars="0"/>
        <w:rPr>
          <w:rFonts w:hint="eastAsia" w:ascii="黑体" w:hAnsi="黑体" w:eastAsia="黑体" w:cs="Times New Roman"/>
          <w:sz w:val="28"/>
          <w:szCs w:val="28"/>
          <w:highlight w:val="none"/>
        </w:rPr>
      </w:pPr>
    </w:p>
    <w:p w14:paraId="7EF33C1A">
      <w:pPr>
        <w:pStyle w:val="3"/>
        <w:adjustRightInd w:val="0"/>
        <w:snapToGrid w:val="0"/>
        <w:spacing w:before="156" w:beforeLines="50"/>
        <w:jc w:val="center"/>
        <w:rPr>
          <w:rFonts w:hint="eastAsia" w:ascii="黑体" w:hAnsi="黑体" w:eastAsia="黑体" w:cs="Times New Roman"/>
          <w:sz w:val="28"/>
          <w:szCs w:val="28"/>
          <w:highlight w:val="none"/>
        </w:rPr>
      </w:pPr>
      <w:bookmarkStart w:id="5" w:name="_Toc3019"/>
      <w:r>
        <w:rPr>
          <w:rFonts w:hint="eastAsia" w:ascii="黑体" w:hAnsi="黑体" w:eastAsia="黑体" w:cs="Times New Roman"/>
          <w:sz w:val="28"/>
          <w:szCs w:val="28"/>
          <w:highlight w:val="none"/>
        </w:rPr>
        <w:t>第</w:t>
      </w:r>
      <w:r>
        <w:rPr>
          <w:rFonts w:hint="eastAsia" w:ascii="黑体" w:hAnsi="黑体" w:eastAsia="黑体" w:cs="Times New Roman"/>
          <w:sz w:val="28"/>
          <w:szCs w:val="28"/>
          <w:highlight w:val="none"/>
          <w:lang w:val="en-US" w:eastAsia="zh-CN"/>
        </w:rPr>
        <w:t>三</w:t>
      </w:r>
      <w:r>
        <w:rPr>
          <w:rFonts w:hint="eastAsia" w:ascii="黑体" w:hAnsi="黑体" w:eastAsia="黑体" w:cs="Times New Roman"/>
          <w:sz w:val="28"/>
          <w:szCs w:val="28"/>
          <w:highlight w:val="none"/>
        </w:rPr>
        <w:t>节</w:t>
      </w:r>
      <w:r>
        <w:rPr>
          <w:rFonts w:hint="eastAsia" w:ascii="黑体" w:hAnsi="黑体" w:eastAsia="黑体" w:cs="Times New Roman"/>
          <w:sz w:val="28"/>
          <w:szCs w:val="28"/>
          <w:highlight w:val="none"/>
          <w:lang w:val="en-US" w:eastAsia="zh-CN"/>
        </w:rPr>
        <w:t xml:space="preserve"> </w:t>
      </w:r>
      <w:r>
        <w:rPr>
          <w:rFonts w:hint="eastAsia" w:ascii="黑体" w:hAnsi="黑体" w:eastAsia="黑体" w:cs="Times New Roman"/>
          <w:sz w:val="28"/>
          <w:szCs w:val="28"/>
          <w:highlight w:val="none"/>
        </w:rPr>
        <w:t>商务要求</w:t>
      </w:r>
      <w:bookmarkEnd w:id="4"/>
      <w:bookmarkEnd w:id="5"/>
    </w:p>
    <w:p w14:paraId="1BF41EE4">
      <w:pPr>
        <w:tabs>
          <w:tab w:val="left" w:pos="2310"/>
        </w:tabs>
        <w:adjustRightInd w:val="0"/>
        <w:snapToGrid w:val="0"/>
        <w:spacing w:before="156" w:beforeLines="50" w:line="240" w:lineRule="auto"/>
        <w:rPr>
          <w:rFonts w:ascii="黑体" w:hAnsi="华文中宋" w:eastAsia="黑体"/>
          <w:b/>
          <w:bCs/>
          <w:sz w:val="10"/>
          <w:szCs w:val="10"/>
          <w:highlight w:val="none"/>
        </w:rPr>
      </w:pPr>
    </w:p>
    <w:p w14:paraId="6391EE7B">
      <w:pPr>
        <w:tabs>
          <w:tab w:val="left" w:pos="2310"/>
        </w:tabs>
        <w:adjustRightInd w:val="0"/>
        <w:snapToGrid w:val="0"/>
        <w:spacing w:line="440" w:lineRule="exact"/>
        <w:ind w:firstLine="422" w:firstLineChars="200"/>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一、</w:t>
      </w:r>
      <w:r>
        <w:rPr>
          <w:rFonts w:hint="eastAsia" w:ascii="宋体" w:hAnsi="宋体" w:cs="宋体"/>
          <w:b/>
          <w:color w:val="auto"/>
          <w:szCs w:val="21"/>
          <w:highlight w:val="none"/>
        </w:rPr>
        <w:t>供货</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包装、</w:t>
      </w:r>
      <w:r>
        <w:rPr>
          <w:rFonts w:hint="eastAsia" w:ascii="宋体" w:hAnsi="宋体" w:cs="宋体"/>
          <w:b/>
          <w:color w:val="auto"/>
          <w:szCs w:val="21"/>
          <w:highlight w:val="none"/>
        </w:rPr>
        <w:t>运输及</w:t>
      </w:r>
      <w:r>
        <w:rPr>
          <w:rFonts w:hint="eastAsia" w:ascii="宋体" w:hAnsi="宋体" w:cs="宋体"/>
          <w:b/>
          <w:color w:val="auto"/>
          <w:szCs w:val="21"/>
          <w:highlight w:val="none"/>
          <w:lang w:val="en-US" w:eastAsia="zh-CN"/>
        </w:rPr>
        <w:t>保管</w:t>
      </w:r>
    </w:p>
    <w:p w14:paraId="52312894">
      <w:pPr>
        <w:keepNext w:val="0"/>
        <w:keepLines w:val="0"/>
        <w:pageBreakBefore w:val="0"/>
        <w:numPr>
          <w:ilvl w:val="0"/>
          <w:numId w:val="0"/>
        </w:numPr>
        <w:tabs>
          <w:tab w:val="left" w:pos="2310"/>
        </w:tabs>
        <w:kinsoku/>
        <w:wordWrap/>
        <w:overflowPunct/>
        <w:topLinePunct w:val="0"/>
        <w:autoSpaceDE/>
        <w:autoSpaceDN/>
        <w:bidi w:val="0"/>
        <w:spacing w:line="440" w:lineRule="exact"/>
        <w:ind w:firstLine="420" w:firstLineChars="0"/>
        <w:jc w:val="left"/>
        <w:textAlignment w:val="auto"/>
        <w:rPr>
          <w:rFonts w:ascii="宋体" w:hAnsi="宋体"/>
          <w:color w:val="auto"/>
          <w:sz w:val="28"/>
          <w:szCs w:val="28"/>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lang w:eastAsia="zh-CN"/>
        </w:rPr>
        <w:t>、</w:t>
      </w:r>
      <w:r>
        <w:rPr>
          <w:rFonts w:hint="eastAsia" w:ascii="宋体" w:hAnsi="宋体" w:eastAsia="宋体" w:cs="宋体"/>
          <w:sz w:val="21"/>
          <w:szCs w:val="21"/>
          <w:lang w:val="en-US" w:eastAsia="zh-CN"/>
        </w:rPr>
        <w:t>交货</w:t>
      </w:r>
      <w:r>
        <w:rPr>
          <w:rFonts w:hint="eastAsia" w:ascii="宋体" w:hAnsi="宋体" w:cs="宋体"/>
        </w:rPr>
        <w:t>期</w:t>
      </w:r>
      <w:r>
        <w:rPr>
          <w:rFonts w:hint="eastAsia" w:ascii="宋体" w:hAnsi="宋体" w:eastAsia="宋体" w:cs="宋体"/>
          <w:sz w:val="21"/>
          <w:szCs w:val="21"/>
          <w:lang w:val="en-US" w:eastAsia="zh-CN"/>
        </w:rPr>
        <w:t>限：根据医院资金安排，接到采购人通知之日起15天内完成设备的供货、安装、调试、检测运行及验收工作。</w:t>
      </w:r>
    </w:p>
    <w:p w14:paraId="4BB37206">
      <w:pPr>
        <w:numPr>
          <w:ilvl w:val="0"/>
          <w:numId w:val="0"/>
        </w:numPr>
        <w:spacing w:line="360" w:lineRule="auto"/>
        <w:ind w:firstLine="420" w:firstLineChars="200"/>
        <w:jc w:val="both"/>
        <w:rPr>
          <w:rFonts w:hint="eastAsia" w:ascii="宋体" w:hAnsi="宋体" w:cs="宋体"/>
          <w:bCs/>
          <w:color w:val="auto"/>
          <w:szCs w:val="21"/>
          <w:highlight w:val="none"/>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交货地点：</w:t>
      </w:r>
      <w:r>
        <w:rPr>
          <w:rFonts w:hint="eastAsia" w:ascii="宋体" w:hAnsi="宋体" w:cs="宋体"/>
          <w:sz w:val="21"/>
          <w:szCs w:val="21"/>
          <w:lang w:val="en-US" w:eastAsia="zh-CN"/>
        </w:rPr>
        <w:t>株洲市三医院(株洲市脑科医院)</w:t>
      </w:r>
      <w:r>
        <w:rPr>
          <w:rFonts w:hint="eastAsia" w:ascii="宋体" w:hAnsi="宋体" w:eastAsia="宋体" w:cs="宋体"/>
          <w:sz w:val="21"/>
          <w:szCs w:val="21"/>
          <w:lang w:val="en-US" w:eastAsia="zh-CN"/>
        </w:rPr>
        <w:t>指定地点。</w:t>
      </w:r>
    </w:p>
    <w:p w14:paraId="61A48A1D">
      <w:pPr>
        <w:tabs>
          <w:tab w:val="left" w:pos="2310"/>
        </w:tabs>
        <w:adjustRightInd w:val="0"/>
        <w:snapToGrid w:val="0"/>
        <w:spacing w:line="440" w:lineRule="exact"/>
        <w:ind w:firstLine="420" w:firstLineChars="200"/>
        <w:rPr>
          <w:rFonts w:hint="eastAsia" w:ascii="宋体" w:hAnsi="宋体" w:cs="宋体"/>
        </w:rPr>
      </w:pPr>
      <w:r>
        <w:rPr>
          <w:rFonts w:hint="eastAsia" w:ascii="宋体" w:hAnsi="宋体" w:cs="宋体"/>
          <w:bCs/>
          <w:color w:val="auto"/>
          <w:szCs w:val="21"/>
          <w:highlight w:val="none"/>
          <w:lang w:val="en-US" w:eastAsia="zh-CN"/>
        </w:rPr>
        <w:t>3、</w:t>
      </w:r>
      <w:r>
        <w:rPr>
          <w:rFonts w:hint="eastAsia" w:ascii="宋体" w:hAnsi="宋体" w:cs="宋体"/>
        </w:rPr>
        <w:t>中标人所供货物必须为制造商原厂包装，包装质量符合国家或行业相关标准，货物的包装均应有良好的防湿、防锈、防潮、防雨、防腐及防碰撞的措施，货物要求有包装材料保护运至现场。凡由于包装不良导致货物损坏、锈蚀等的损失和由此产生的费用均由中标人承担。</w:t>
      </w:r>
    </w:p>
    <w:p w14:paraId="59C3B3C2">
      <w:pPr>
        <w:spacing w:line="360" w:lineRule="auto"/>
        <w:ind w:firstLine="420" w:firstLineChars="200"/>
        <w:rPr>
          <w:rFonts w:hint="eastAsia"/>
        </w:rPr>
      </w:pPr>
      <w:r>
        <w:rPr>
          <w:rFonts w:hint="eastAsia" w:ascii="宋体" w:hAnsi="宋体" w:cs="宋体"/>
        </w:rPr>
        <w:t>4、货物在现场的保管由中标人负责，直至</w:t>
      </w:r>
      <w:r>
        <w:rPr>
          <w:rFonts w:hint="eastAsia" w:ascii="宋体" w:hAnsi="宋体" w:cs="宋体"/>
          <w:lang w:val="en-US" w:eastAsia="zh-CN"/>
        </w:rPr>
        <w:t>设备</w:t>
      </w:r>
      <w:r>
        <w:rPr>
          <w:rFonts w:hint="eastAsia" w:ascii="宋体" w:hAnsi="宋体" w:cs="宋体"/>
        </w:rPr>
        <w:t>安装、验收移交完毕。</w:t>
      </w:r>
    </w:p>
    <w:p w14:paraId="3434BA9E">
      <w:pPr>
        <w:tabs>
          <w:tab w:val="left" w:pos="2310"/>
        </w:tabs>
        <w:adjustRightInd w:val="0"/>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二、</w:t>
      </w:r>
      <w:r>
        <w:rPr>
          <w:rFonts w:hint="eastAsia" w:ascii="宋体" w:hAnsi="宋体" w:cs="宋体"/>
          <w:b/>
          <w:color w:val="auto"/>
          <w:szCs w:val="21"/>
          <w:highlight w:val="none"/>
        </w:rPr>
        <w:t>验收要求</w:t>
      </w:r>
    </w:p>
    <w:p w14:paraId="34CE4722">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1、安装</w:t>
      </w:r>
      <w:r>
        <w:rPr>
          <w:rFonts w:hint="eastAsia" w:ascii="宋体" w:hAnsi="宋体" w:cs="宋体"/>
        </w:rPr>
        <w:t>调试完成后通过采购人组织相关人员参与验收，确保所供产品的正常使用。</w:t>
      </w:r>
      <w:r>
        <w:rPr>
          <w:rFonts w:hint="eastAsia" w:ascii="宋体" w:hAnsi="宋体" w:cs="宋体"/>
          <w:bCs/>
          <w:color w:val="auto"/>
          <w:szCs w:val="21"/>
          <w:highlight w:val="none"/>
        </w:rPr>
        <w:t>投标人所投标产品必须为符合国家标准的正品，并提供相关部门的认证及检测资料，不得提供贴牌或高仿产品，一经发现，招标人有权要求退货，并要求赔偿相应损失。</w:t>
      </w:r>
    </w:p>
    <w:p w14:paraId="07FF7BC0">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rPr>
        <w:t>项目验收严格按采购文件采购清单及说明、采购合同的有关规定执行。验收时提供出厂检验证书、合格证、权威性检验报告和产品生产许可证。国家有强制性规定的，按国家规定执行，验收费用由中标单位承担，验收报告作为申请付款的凭证之一。</w:t>
      </w:r>
    </w:p>
    <w:p w14:paraId="45FD665A">
      <w:pPr>
        <w:tabs>
          <w:tab w:val="left" w:pos="2310"/>
        </w:tabs>
        <w:adjustRightInd w:val="0"/>
        <w:snapToGrid w:val="0"/>
        <w:spacing w:line="440" w:lineRule="exact"/>
        <w:ind w:firstLine="420" w:firstLineChars="200"/>
        <w:rPr>
          <w:rFonts w:hint="eastAsia" w:ascii="宋体" w:hAnsi="宋体" w:cs="宋体"/>
        </w:rPr>
      </w:pPr>
      <w:r>
        <w:rPr>
          <w:rFonts w:hint="eastAsia" w:ascii="宋体" w:hAnsi="宋体" w:cs="宋体"/>
          <w:bCs/>
          <w:color w:val="auto"/>
          <w:szCs w:val="21"/>
          <w:highlight w:val="none"/>
          <w:lang w:val="en-US" w:eastAsia="zh-CN"/>
        </w:rPr>
        <w:t>3、</w:t>
      </w:r>
      <w:r>
        <w:rPr>
          <w:rFonts w:hint="eastAsia" w:ascii="宋体" w:hAnsi="宋体" w:cs="宋体"/>
        </w:rPr>
        <w:t>项目验收不合格，由中标单位返工直至合格，有关返工、再行验收，以及给采购人造成的损失等费用由中标单位承担。连续两次项目验收不合格的，采购人可终止合同，由此带来的一切损失由中标单位承担。</w:t>
      </w:r>
    </w:p>
    <w:p w14:paraId="2EB5AA77">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验收方式：本项目验收方式为招标人自行组织验收，合同履约及验收相关程序按照《株洲市政府采购项目履约验收管理暂行办法》</w:t>
      </w:r>
      <w:r>
        <w:rPr>
          <w:rFonts w:hint="eastAsia" w:ascii="宋体" w:hAnsi="宋体" w:cs="宋体"/>
        </w:rPr>
        <w:t>株财发【2020】9号</w:t>
      </w:r>
      <w:r>
        <w:rPr>
          <w:rFonts w:hint="eastAsia" w:ascii="宋体" w:hAnsi="宋体" w:cs="宋体"/>
          <w:bCs/>
          <w:color w:val="auto"/>
          <w:szCs w:val="21"/>
          <w:highlight w:val="none"/>
        </w:rPr>
        <w:t>的</w:t>
      </w:r>
      <w:r>
        <w:rPr>
          <w:rFonts w:hint="eastAsia" w:ascii="宋体" w:hAnsi="宋体" w:cs="宋体"/>
        </w:rPr>
        <w:t>相关规定</w:t>
      </w:r>
      <w:r>
        <w:rPr>
          <w:rFonts w:hint="eastAsia" w:ascii="宋体" w:hAnsi="宋体" w:cs="宋体"/>
          <w:bCs/>
          <w:color w:val="auto"/>
          <w:szCs w:val="21"/>
          <w:highlight w:val="none"/>
        </w:rPr>
        <w:t>执行。</w:t>
      </w:r>
    </w:p>
    <w:p w14:paraId="1C3243E0">
      <w:pPr>
        <w:tabs>
          <w:tab w:val="left" w:pos="2310"/>
        </w:tabs>
        <w:adjustRightInd w:val="0"/>
        <w:snapToGrid w:val="0"/>
        <w:spacing w:line="440" w:lineRule="exact"/>
        <w:ind w:firstLine="422" w:firstLineChars="200"/>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三、付款方式</w:t>
      </w:r>
    </w:p>
    <w:p w14:paraId="4F0895DA">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1、付款方式：分期付款。</w:t>
      </w:r>
    </w:p>
    <w:p w14:paraId="003CA1A5">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2、付款安排：</w:t>
      </w:r>
    </w:p>
    <w:p w14:paraId="21EBB78D">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（1）甲方在合同生效，设备到医院安装调试、验收合格后，凭中标方开具的全额正规税务发票，六十日内支付至合同总额的95%。</w:t>
      </w:r>
    </w:p>
    <w:p w14:paraId="1CD55B4C">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（2）验收尾款：剩余 5% 作为验收尾款。待质保期满后（质保期内若无质量问题、售后服务纠纷、经济法律纠纷等并能积极响应售后服务）六十日内一次性无息付清。</w:t>
      </w:r>
    </w:p>
    <w:p w14:paraId="7EB4E2FE">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（3）尾款置换：设备验收合格满 1 年后，供应商提交银行保函（保函有效期覆盖全部剩余质保期，设备质保期不低于 3 年），采购人凭该有效保函支付上述验收尾款。若后续发生质量问题或供应商未履行质保义务，采购人有权依据保函主张相应责任。</w:t>
      </w:r>
    </w:p>
    <w:p w14:paraId="4B843430">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4、付款凭正式的税务发票办理，发票由中标单位开具。</w:t>
      </w:r>
    </w:p>
    <w:p w14:paraId="74195C41">
      <w:pPr>
        <w:tabs>
          <w:tab w:val="left" w:pos="2310"/>
        </w:tabs>
        <w:adjustRightInd w:val="0"/>
        <w:snapToGrid w:val="0"/>
        <w:spacing w:line="44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5、最终以双方签订的合同约定为准。</w:t>
      </w:r>
    </w:p>
    <w:p w14:paraId="10D1CA8A">
      <w:pPr>
        <w:pStyle w:val="13"/>
        <w:tabs>
          <w:tab w:val="left" w:pos="2310"/>
        </w:tabs>
        <w:spacing w:line="440" w:lineRule="exact"/>
        <w:ind w:firstLine="422"/>
        <w:rPr>
          <w:rFonts w:hint="eastAsia" w:ascii="宋体" w:hAnsi="宋体" w:cs="宋体"/>
          <w:b/>
          <w:color w:val="auto"/>
          <w:highlight w:val="none"/>
        </w:rPr>
      </w:pPr>
      <w:r>
        <w:rPr>
          <w:rFonts w:hint="eastAsia" w:ascii="宋体" w:hAnsi="宋体" w:cs="宋体"/>
          <w:b/>
          <w:color w:val="auto"/>
          <w:highlight w:val="none"/>
          <w:lang w:val="en-US" w:eastAsia="zh-CN"/>
        </w:rPr>
        <w:t>四、</w:t>
      </w:r>
      <w:r>
        <w:rPr>
          <w:rFonts w:hint="eastAsia" w:ascii="宋体" w:hAnsi="宋体" w:cs="宋体"/>
          <w:b/>
          <w:color w:val="auto"/>
          <w:highlight w:val="none"/>
        </w:rPr>
        <w:t>质量保证及售后服务</w:t>
      </w:r>
    </w:p>
    <w:p w14:paraId="2D6C87AD">
      <w:pPr>
        <w:keepNext w:val="0"/>
        <w:keepLines w:val="0"/>
        <w:pageBreakBefore w:val="0"/>
        <w:widowControl w:val="0"/>
        <w:kinsoku/>
        <w:wordWrap/>
        <w:overflowPunct/>
        <w:topLinePunct w:val="0"/>
        <w:autoSpaceDE/>
        <w:autoSpaceDN/>
        <w:bidi w:val="0"/>
        <w:adjustRightInd w:val="0"/>
        <w:snapToGrid w:val="0"/>
        <w:spacing w:line="480" w:lineRule="exact"/>
        <w:ind w:firstLine="210" w:firstLineChars="100"/>
        <w:rPr>
          <w:rFonts w:hint="eastAsia" w:ascii="宋体" w:hAnsi="宋体" w:eastAsia="宋体" w:cs="宋体"/>
          <w:bCs/>
          <w:color w:val="auto"/>
          <w:sz w:val="21"/>
          <w:szCs w:val="21"/>
          <w:highlight w:val="none"/>
        </w:rPr>
      </w:pPr>
      <w:r>
        <w:rPr>
          <w:rFonts w:hint="eastAsia" w:ascii="宋体" w:hAnsi="宋体" w:cs="宋体"/>
          <w:bCs/>
          <w:color w:val="auto"/>
          <w:szCs w:val="21"/>
          <w:highlight w:val="none"/>
          <w:lang w:val="en-US" w:eastAsia="zh-CN"/>
        </w:rPr>
        <w:t>★1、</w:t>
      </w:r>
      <w:r>
        <w:rPr>
          <w:rFonts w:hint="eastAsia" w:ascii="宋体" w:hAnsi="宋体" w:eastAsia="宋体" w:cs="宋体"/>
          <w:bCs/>
          <w:sz w:val="21"/>
          <w:szCs w:val="21"/>
          <w:highlight w:val="none"/>
        </w:rPr>
        <w:t>质量保证期</w:t>
      </w:r>
      <w:r>
        <w:rPr>
          <w:rFonts w:hint="eastAsia" w:ascii="宋体" w:hAnsi="宋体" w:eastAsia="宋体" w:cs="宋体"/>
          <w:b w:val="0"/>
          <w:bCs w:val="0"/>
          <w:color w:val="auto"/>
          <w:kern w:val="0"/>
          <w:szCs w:val="21"/>
          <w:highlight w:val="none"/>
        </w:rPr>
        <w:t>：</w:t>
      </w:r>
      <w:r>
        <w:rPr>
          <w:rFonts w:hint="eastAsia" w:ascii="宋体" w:hAnsi="宋体" w:eastAsia="宋体" w:cs="宋体"/>
          <w:bCs/>
          <w:color w:val="auto"/>
          <w:sz w:val="21"/>
          <w:szCs w:val="21"/>
          <w:highlight w:val="none"/>
        </w:rPr>
        <w:t>整机免费</w:t>
      </w:r>
      <w:r>
        <w:rPr>
          <w:rFonts w:hint="eastAsia" w:ascii="宋体" w:hAnsi="宋体" w:cs="宋体"/>
          <w:bCs/>
          <w:color w:val="auto"/>
          <w:sz w:val="21"/>
          <w:szCs w:val="21"/>
          <w:highlight w:val="none"/>
          <w:lang w:val="en-US" w:eastAsia="zh-CN"/>
        </w:rPr>
        <w:t>无条件</w:t>
      </w:r>
      <w:r>
        <w:rPr>
          <w:rFonts w:hint="eastAsia" w:ascii="宋体" w:hAnsi="宋体" w:eastAsia="宋体" w:cs="宋体"/>
          <w:bCs/>
          <w:color w:val="auto"/>
          <w:sz w:val="21"/>
          <w:szCs w:val="21"/>
          <w:highlight w:val="none"/>
        </w:rPr>
        <w:t>质保期不低于</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年，质保期内免费上门服务，须承诺中标后提供厂家质量保证承诺书和售后维保承诺书。</w:t>
      </w:r>
      <w:r>
        <w:rPr>
          <w:rFonts w:hint="eastAsia" w:ascii="宋体" w:hAnsi="宋体" w:cs="宋体"/>
          <w:b/>
          <w:bCs w:val="0"/>
          <w:sz w:val="21"/>
          <w:szCs w:val="21"/>
          <w:highlight w:val="none"/>
          <w:lang w:eastAsia="zh-CN"/>
        </w:rPr>
        <w:t>（</w:t>
      </w:r>
      <w:r>
        <w:rPr>
          <w:rFonts w:hint="eastAsia" w:ascii="宋体" w:hAnsi="宋体" w:cs="宋体"/>
          <w:b/>
          <w:bCs w:val="0"/>
          <w:sz w:val="21"/>
          <w:szCs w:val="21"/>
          <w:highlight w:val="none"/>
          <w:lang w:val="en-US" w:eastAsia="zh-CN"/>
        </w:rPr>
        <w:t>提供承诺函）</w:t>
      </w:r>
    </w:p>
    <w:p w14:paraId="536E3FCE">
      <w:pPr>
        <w:tabs>
          <w:tab w:val="left" w:pos="2310"/>
        </w:tabs>
        <w:adjustRightInd w:val="0"/>
        <w:snapToGrid w:val="0"/>
        <w:spacing w:line="440" w:lineRule="exact"/>
        <w:ind w:firstLine="420" w:firstLineChars="200"/>
        <w:rPr>
          <w:rFonts w:hint="eastAsia" w:ascii="宋体" w:hAnsi="宋体" w:eastAsia="宋体" w:cs="宋体"/>
          <w:b w:val="0"/>
          <w:bCs w:val="0"/>
          <w:color w:val="auto"/>
          <w:kern w:val="0"/>
          <w:szCs w:val="21"/>
          <w:highlight w:val="none"/>
          <w:lang w:eastAsia="zh-CN"/>
        </w:rPr>
      </w:pPr>
      <w:r>
        <w:rPr>
          <w:rFonts w:hint="eastAsia" w:ascii="宋体" w:hAnsi="宋体" w:eastAsia="宋体" w:cs="宋体"/>
          <w:b w:val="0"/>
          <w:bCs w:val="0"/>
          <w:color w:val="auto"/>
          <w:kern w:val="0"/>
          <w:szCs w:val="21"/>
          <w:highlight w:val="none"/>
          <w:lang w:val="en-US" w:eastAsia="zh-CN"/>
        </w:rPr>
        <w:t>2、</w:t>
      </w:r>
      <w:r>
        <w:rPr>
          <w:rFonts w:hint="eastAsia" w:ascii="宋体" w:hAnsi="宋体" w:cs="宋体"/>
          <w:bCs/>
          <w:color w:val="auto"/>
          <w:szCs w:val="21"/>
          <w:highlight w:val="none"/>
        </w:rPr>
        <w:t>投标人必须提供详细的售前、售中、售后服务计划及承诺。</w:t>
      </w:r>
    </w:p>
    <w:p w14:paraId="697D0CAD">
      <w:pPr>
        <w:tabs>
          <w:tab w:val="left" w:pos="2310"/>
        </w:tabs>
        <w:adjustRightInd w:val="0"/>
        <w:snapToGrid w:val="0"/>
        <w:spacing w:line="440" w:lineRule="exact"/>
        <w:ind w:firstLine="420" w:firstLineChars="200"/>
        <w:rPr>
          <w:rFonts w:hint="eastAsia" w:ascii="宋体" w:hAnsi="宋体" w:eastAsia="宋体" w:cs="宋体"/>
          <w:bCs/>
          <w:sz w:val="21"/>
          <w:szCs w:val="21"/>
        </w:rPr>
      </w:pPr>
      <w:r>
        <w:rPr>
          <w:rFonts w:hint="eastAsia" w:ascii="宋体" w:hAnsi="宋体" w:cs="宋体"/>
          <w:bCs/>
          <w:sz w:val="21"/>
          <w:szCs w:val="21"/>
          <w:lang w:val="en-US" w:eastAsia="zh-CN"/>
        </w:rPr>
        <w:t>3、培训要求：中标人负责对采购人的有关操作使用人员免费进行使用、操作、维护等技术培训。</w:t>
      </w:r>
      <w:r>
        <w:rPr>
          <w:rFonts w:hint="eastAsia" w:ascii="宋体" w:hAnsi="宋体" w:eastAsia="宋体" w:cs="宋体"/>
          <w:bCs/>
          <w:sz w:val="21"/>
          <w:szCs w:val="21"/>
        </w:rPr>
        <w:t>使其能熟练操作设备以及处理简单的故障维修和日常维护使用。</w:t>
      </w:r>
    </w:p>
    <w:p w14:paraId="7680DCFF">
      <w:pPr>
        <w:tabs>
          <w:tab w:val="left" w:pos="2310"/>
        </w:tabs>
        <w:adjustRightInd w:val="0"/>
        <w:snapToGrid w:val="0"/>
        <w:spacing w:line="440" w:lineRule="exact"/>
        <w:ind w:firstLine="420" w:firstLineChars="200"/>
        <w:rPr>
          <w:rFonts w:hint="eastAsia" w:ascii="宋体" w:hAnsi="宋体" w:cs="宋体"/>
          <w:bCs/>
          <w:color w:val="auto"/>
          <w:szCs w:val="21"/>
          <w:highlight w:val="none"/>
        </w:rPr>
      </w:pPr>
      <w:r>
        <w:rPr>
          <w:rFonts w:hint="eastAsia" w:ascii="宋体" w:hAnsi="宋体" w:cs="宋体"/>
          <w:bCs/>
          <w:sz w:val="21"/>
          <w:szCs w:val="21"/>
          <w:lang w:val="en-US" w:eastAsia="zh-CN"/>
        </w:rPr>
        <w:t>4、</w:t>
      </w:r>
      <w:r>
        <w:rPr>
          <w:rFonts w:hint="eastAsia" w:ascii="宋体" w:hAnsi="宋体" w:eastAsia="宋体" w:cs="宋体"/>
          <w:bCs/>
          <w:sz w:val="21"/>
          <w:szCs w:val="21"/>
        </w:rPr>
        <w:t>接到</w:t>
      </w:r>
      <w:r>
        <w:rPr>
          <w:rFonts w:hint="eastAsia" w:ascii="宋体" w:hAnsi="宋体" w:cs="宋体"/>
          <w:bCs/>
          <w:sz w:val="21"/>
          <w:szCs w:val="21"/>
          <w:lang w:val="en-US" w:eastAsia="zh-CN"/>
        </w:rPr>
        <w:t>采购</w:t>
      </w:r>
      <w:r>
        <w:rPr>
          <w:rFonts w:hint="eastAsia" w:ascii="宋体" w:hAnsi="宋体" w:eastAsia="宋体" w:cs="宋体"/>
          <w:bCs/>
          <w:sz w:val="21"/>
          <w:szCs w:val="21"/>
          <w:lang w:eastAsia="zh-CN"/>
        </w:rPr>
        <w:t>人</w:t>
      </w:r>
      <w:r>
        <w:rPr>
          <w:rFonts w:hint="eastAsia" w:ascii="宋体" w:hAnsi="宋体" w:eastAsia="宋体" w:cs="宋体"/>
          <w:bCs/>
          <w:sz w:val="21"/>
          <w:szCs w:val="21"/>
        </w:rPr>
        <w:t>故障通知后1小时内响应，12小时内到达现场维修，一般故障当场解决，重大故障导致无法当天解决或需返厂维修的应报采购单位负责人同意方可执行，同时为</w:t>
      </w:r>
      <w:r>
        <w:rPr>
          <w:rFonts w:hint="eastAsia" w:ascii="宋体" w:hAnsi="宋体" w:cs="宋体"/>
          <w:bCs/>
          <w:sz w:val="21"/>
          <w:szCs w:val="21"/>
          <w:lang w:val="en-US" w:eastAsia="zh-CN"/>
        </w:rPr>
        <w:t>采购</w:t>
      </w:r>
      <w:r>
        <w:rPr>
          <w:rFonts w:hint="eastAsia" w:ascii="宋体" w:hAnsi="宋体" w:eastAsia="宋体" w:cs="宋体"/>
          <w:bCs/>
          <w:sz w:val="21"/>
          <w:szCs w:val="21"/>
          <w:lang w:eastAsia="zh-CN"/>
        </w:rPr>
        <w:t>人</w:t>
      </w:r>
      <w:r>
        <w:rPr>
          <w:rFonts w:hint="eastAsia" w:ascii="宋体" w:hAnsi="宋体" w:eastAsia="宋体" w:cs="宋体"/>
          <w:bCs/>
          <w:sz w:val="21"/>
          <w:szCs w:val="21"/>
        </w:rPr>
        <w:t>提供</w:t>
      </w:r>
      <w:r>
        <w:rPr>
          <w:rFonts w:hint="eastAsia" w:ascii="宋体" w:hAnsi="宋体" w:eastAsia="宋体" w:cs="宋体"/>
          <w:bCs/>
          <w:color w:val="auto"/>
          <w:sz w:val="21"/>
          <w:szCs w:val="21"/>
        </w:rPr>
        <w:t>备用</w:t>
      </w:r>
      <w:r>
        <w:rPr>
          <w:rFonts w:hint="eastAsia" w:ascii="宋体" w:hAnsi="宋体" w:cs="宋体"/>
          <w:bCs/>
          <w:color w:val="auto"/>
          <w:sz w:val="21"/>
          <w:szCs w:val="21"/>
          <w:lang w:val="en-US" w:eastAsia="zh-CN"/>
        </w:rPr>
        <w:t>机</w:t>
      </w:r>
      <w:r>
        <w:rPr>
          <w:rFonts w:hint="eastAsia" w:ascii="宋体" w:hAnsi="宋体" w:eastAsia="宋体" w:cs="宋体"/>
          <w:bCs/>
          <w:color w:val="auto"/>
          <w:sz w:val="21"/>
          <w:szCs w:val="21"/>
        </w:rPr>
        <w:t>，备用</w:t>
      </w:r>
      <w:r>
        <w:rPr>
          <w:rFonts w:hint="eastAsia" w:ascii="宋体" w:hAnsi="宋体" w:cs="宋体"/>
          <w:bCs/>
          <w:color w:val="auto"/>
          <w:sz w:val="21"/>
          <w:szCs w:val="21"/>
          <w:lang w:val="en-US" w:eastAsia="zh-CN"/>
        </w:rPr>
        <w:t>机</w:t>
      </w:r>
      <w:r>
        <w:rPr>
          <w:rFonts w:hint="eastAsia" w:ascii="宋体" w:hAnsi="宋体" w:eastAsia="宋体" w:cs="宋体"/>
          <w:bCs/>
          <w:color w:val="auto"/>
          <w:sz w:val="21"/>
          <w:szCs w:val="21"/>
        </w:rPr>
        <w:t>到场时间＜2 天。</w:t>
      </w:r>
    </w:p>
    <w:p w14:paraId="020C0F5C">
      <w:pPr>
        <w:tabs>
          <w:tab w:val="left" w:pos="2310"/>
        </w:tabs>
        <w:adjustRightInd w:val="0"/>
        <w:snapToGrid w:val="0"/>
        <w:spacing w:line="440" w:lineRule="exact"/>
        <w:ind w:firstLine="420" w:firstLineChars="200"/>
        <w:rPr>
          <w:rFonts w:hint="default" w:ascii="宋体" w:hAnsi="宋体" w:eastAsia="宋体" w:cs="宋体"/>
          <w:bCs/>
          <w:sz w:val="21"/>
          <w:szCs w:val="21"/>
          <w:lang w:val="en-US" w:eastAsia="zh-CN"/>
        </w:rPr>
      </w:pPr>
      <w:r>
        <w:rPr>
          <w:rFonts w:hint="eastAsia" w:ascii="宋体" w:hAnsi="宋体" w:cs="宋体"/>
          <w:bCs/>
          <w:sz w:val="21"/>
          <w:szCs w:val="21"/>
          <w:lang w:val="en-US" w:eastAsia="zh-CN"/>
        </w:rPr>
        <w:t>5、</w:t>
      </w:r>
      <w:r>
        <w:rPr>
          <w:rFonts w:hint="eastAsia" w:ascii="宋体" w:hAnsi="宋体" w:eastAsia="宋体" w:cs="宋体"/>
          <w:bCs/>
          <w:sz w:val="21"/>
          <w:szCs w:val="21"/>
        </w:rPr>
        <w:t>投标人须承诺中标后所提供的货物如果因货物本身存在质量问题导致故障频发的，应负责免费更换，由此带来的一切损失由投标人自行承担。</w:t>
      </w:r>
      <w:r>
        <w:rPr>
          <w:rFonts w:hint="eastAsia" w:ascii="宋体" w:hAnsi="宋体" w:cs="宋体"/>
          <w:b/>
          <w:bCs w:val="0"/>
          <w:sz w:val="21"/>
          <w:szCs w:val="21"/>
          <w:lang w:eastAsia="zh-CN"/>
        </w:rPr>
        <w:t>（</w:t>
      </w:r>
      <w:r>
        <w:rPr>
          <w:rFonts w:hint="eastAsia" w:ascii="宋体" w:hAnsi="宋体" w:cs="宋体"/>
          <w:b/>
          <w:bCs w:val="0"/>
          <w:sz w:val="21"/>
          <w:szCs w:val="21"/>
          <w:lang w:val="en-US" w:eastAsia="zh-CN"/>
        </w:rPr>
        <w:t>提供承诺函）</w:t>
      </w:r>
    </w:p>
    <w:p w14:paraId="0F82D9EE">
      <w:pPr>
        <w:tabs>
          <w:tab w:val="left" w:pos="2310"/>
        </w:tabs>
        <w:adjustRightInd w:val="0"/>
        <w:snapToGrid w:val="0"/>
        <w:spacing w:line="440" w:lineRule="exact"/>
        <w:ind w:firstLine="420" w:firstLineChars="200"/>
        <w:rPr>
          <w:rFonts w:hint="eastAsia" w:ascii="宋体" w:hAnsi="宋体" w:eastAsia="宋体" w:cs="宋体"/>
          <w:bCs/>
          <w:sz w:val="21"/>
          <w:szCs w:val="21"/>
        </w:rPr>
      </w:pPr>
      <w:r>
        <w:rPr>
          <w:rFonts w:hint="eastAsia" w:ascii="宋体" w:hAnsi="宋体" w:cs="宋体"/>
          <w:bCs/>
          <w:sz w:val="21"/>
          <w:szCs w:val="21"/>
          <w:lang w:val="en-US" w:eastAsia="zh-CN"/>
        </w:rPr>
        <w:t>6、</w:t>
      </w:r>
      <w:r>
        <w:rPr>
          <w:rFonts w:hint="eastAsia" w:ascii="宋体" w:hAnsi="宋体" w:eastAsia="宋体" w:cs="宋体"/>
          <w:bCs/>
          <w:sz w:val="21"/>
          <w:szCs w:val="21"/>
        </w:rPr>
        <w:t xml:space="preserve"> 提供售后服务机构详细资料（包括服务机构地址、联系人、售后服务热线、维修技术人员、备品备件等内容），以证明其具备能响应本项目售后服务的能力。</w:t>
      </w:r>
    </w:p>
    <w:p w14:paraId="09506F5B">
      <w:pPr>
        <w:tabs>
          <w:tab w:val="left" w:pos="2310"/>
        </w:tabs>
        <w:adjustRightInd w:val="0"/>
        <w:snapToGrid w:val="0"/>
        <w:spacing w:line="440" w:lineRule="exact"/>
        <w:ind w:firstLine="420" w:firstLineChars="200"/>
        <w:rPr>
          <w:rFonts w:hint="eastAsia" w:ascii="宋体" w:hAnsi="宋体" w:eastAsia="宋体" w:cs="宋体"/>
          <w:bCs/>
          <w:sz w:val="21"/>
          <w:szCs w:val="21"/>
        </w:rPr>
      </w:pPr>
      <w:r>
        <w:rPr>
          <w:rFonts w:hint="eastAsia" w:ascii="宋体" w:hAnsi="宋体" w:cs="宋体"/>
          <w:bCs/>
          <w:sz w:val="21"/>
          <w:szCs w:val="21"/>
          <w:lang w:val="en-US" w:eastAsia="zh-CN"/>
        </w:rPr>
        <w:t>7、</w:t>
      </w:r>
      <w:r>
        <w:rPr>
          <w:rFonts w:hint="eastAsia" w:ascii="宋体" w:hAnsi="宋体" w:eastAsia="宋体" w:cs="宋体"/>
          <w:bCs/>
          <w:sz w:val="21"/>
          <w:szCs w:val="21"/>
        </w:rPr>
        <w:t>提供所有产品的相关技术资料（提供完整准确的操作使用中文说明书,电子版一份、纸质版二份。纸质版的必须印制精美,装订成册；电子版必须复制保存到U盘）、并为</w:t>
      </w:r>
      <w:r>
        <w:rPr>
          <w:rFonts w:hint="eastAsia" w:ascii="宋体" w:hAnsi="宋体" w:eastAsia="宋体" w:cs="宋体"/>
          <w:bCs/>
          <w:sz w:val="21"/>
          <w:szCs w:val="21"/>
          <w:lang w:eastAsia="zh-CN"/>
        </w:rPr>
        <w:t>招标人</w:t>
      </w:r>
      <w:r>
        <w:rPr>
          <w:rFonts w:hint="eastAsia" w:ascii="宋体" w:hAnsi="宋体" w:eastAsia="宋体" w:cs="宋体"/>
          <w:bCs/>
          <w:sz w:val="21"/>
          <w:szCs w:val="21"/>
        </w:rPr>
        <w:t>提供终身技术咨询服务。</w:t>
      </w:r>
    </w:p>
    <w:p w14:paraId="4A6A8CA0">
      <w:pPr>
        <w:tabs>
          <w:tab w:val="left" w:pos="2310"/>
        </w:tabs>
        <w:adjustRightInd w:val="0"/>
        <w:snapToGrid w:val="0"/>
        <w:spacing w:line="440" w:lineRule="exact"/>
        <w:ind w:firstLine="420" w:firstLineChars="200"/>
        <w:rPr>
          <w:rFonts w:hint="eastAsia" w:ascii="宋体" w:hAnsi="宋体" w:eastAsia="宋体" w:cs="宋体"/>
          <w:bCs/>
          <w:sz w:val="21"/>
          <w:szCs w:val="21"/>
        </w:rPr>
      </w:pPr>
      <w:r>
        <w:rPr>
          <w:rFonts w:hint="eastAsia" w:ascii="宋体" w:hAnsi="宋体" w:cs="宋体"/>
          <w:bCs/>
          <w:sz w:val="21"/>
          <w:szCs w:val="21"/>
          <w:lang w:val="en-US" w:eastAsia="zh-CN"/>
        </w:rPr>
        <w:t>8、</w:t>
      </w:r>
      <w:r>
        <w:rPr>
          <w:rFonts w:hint="eastAsia" w:ascii="宋体" w:hAnsi="宋体" w:eastAsia="宋体" w:cs="宋体"/>
          <w:bCs/>
          <w:sz w:val="21"/>
          <w:szCs w:val="21"/>
        </w:rPr>
        <w:t>所有产品外包装箱、单个产品包装盒及装备上必须具有下列基本信息：产品生产厂家、生产日期、有效期、生产厂家联系人、联系电话；代理厂商联系人、联系电话、售后联系人、联系方式。</w:t>
      </w:r>
    </w:p>
    <w:p w14:paraId="3BBE7CA4">
      <w:pPr>
        <w:tabs>
          <w:tab w:val="left" w:pos="2310"/>
        </w:tabs>
        <w:adjustRightInd w:val="0"/>
        <w:snapToGrid w:val="0"/>
        <w:spacing w:line="440" w:lineRule="exact"/>
        <w:ind w:firstLine="420" w:firstLineChars="200"/>
        <w:rPr>
          <w:rStyle w:val="15"/>
          <w:rFonts w:hint="eastAsia" w:ascii="宋体" w:hAnsi="宋体" w:eastAsia="宋体" w:cs="宋体"/>
          <w:bCs/>
          <w:sz w:val="21"/>
          <w:szCs w:val="21"/>
        </w:rPr>
      </w:pPr>
      <w:r>
        <w:rPr>
          <w:rFonts w:hint="eastAsia" w:ascii="宋体" w:hAnsi="宋体" w:cs="宋体"/>
          <w:bCs/>
          <w:sz w:val="21"/>
          <w:szCs w:val="21"/>
          <w:lang w:val="en-US" w:eastAsia="zh-CN"/>
        </w:rPr>
        <w:t>9、</w:t>
      </w:r>
      <w:r>
        <w:rPr>
          <w:rFonts w:hint="eastAsia" w:ascii="宋体" w:hAnsi="宋体" w:eastAsia="宋体" w:cs="宋体"/>
          <w:bCs/>
          <w:sz w:val="21"/>
          <w:szCs w:val="21"/>
        </w:rPr>
        <w:t>提供所有备品备件及零配件报价清单,并承诺质保期满后按</w:t>
      </w:r>
      <w:r>
        <w:rPr>
          <w:rFonts w:hint="eastAsia" w:ascii="宋体" w:hAnsi="宋体" w:cs="宋体"/>
          <w:bCs/>
          <w:sz w:val="21"/>
          <w:szCs w:val="21"/>
          <w:lang w:val="en-US" w:eastAsia="zh-CN"/>
        </w:rPr>
        <w:t>不高于</w:t>
      </w:r>
      <w:r>
        <w:rPr>
          <w:rFonts w:hint="eastAsia" w:ascii="宋体" w:hAnsi="宋体" w:eastAsia="宋体" w:cs="宋体"/>
          <w:bCs/>
          <w:sz w:val="21"/>
          <w:szCs w:val="21"/>
        </w:rPr>
        <w:t>清单报价收取材料费。</w:t>
      </w:r>
    </w:p>
    <w:p w14:paraId="5D4C7A31">
      <w:pPr>
        <w:tabs>
          <w:tab w:val="left" w:pos="2310"/>
        </w:tabs>
        <w:adjustRightInd w:val="0"/>
        <w:snapToGrid w:val="0"/>
        <w:spacing w:line="440" w:lineRule="exact"/>
        <w:ind w:firstLine="422" w:firstLineChars="200"/>
        <w:rPr>
          <w:rFonts w:hint="eastAsia" w:ascii="宋体" w:hAnsi="宋体" w:cs="宋体"/>
          <w:b/>
          <w:szCs w:val="21"/>
          <w:highlight w:val="none"/>
        </w:rPr>
      </w:pPr>
      <w:r>
        <w:rPr>
          <w:rFonts w:hint="eastAsia" w:ascii="宋体" w:hAnsi="宋体" w:cs="宋体"/>
          <w:b/>
          <w:szCs w:val="21"/>
          <w:highlight w:val="none"/>
          <w:lang w:val="en-US" w:eastAsia="zh-CN"/>
        </w:rPr>
        <w:t>五</w:t>
      </w:r>
      <w:r>
        <w:rPr>
          <w:rFonts w:hint="eastAsia" w:ascii="宋体" w:hAnsi="宋体" w:cs="宋体"/>
          <w:b/>
          <w:szCs w:val="21"/>
          <w:highlight w:val="none"/>
        </w:rPr>
        <w:t>、其他要求</w:t>
      </w:r>
    </w:p>
    <w:p w14:paraId="5271A81B">
      <w:pPr>
        <w:tabs>
          <w:tab w:val="left" w:pos="2310"/>
        </w:tabs>
        <w:adjustRightInd w:val="0"/>
        <w:snapToGrid w:val="0"/>
        <w:spacing w:line="440" w:lineRule="exact"/>
        <w:ind w:firstLine="420" w:firstLineChars="200"/>
        <w:rPr>
          <w:rFonts w:hint="eastAsia" w:ascii="宋体" w:hAnsi="宋体" w:cs="宋体"/>
          <w:bCs/>
          <w:szCs w:val="21"/>
          <w:highlight w:val="none"/>
        </w:rPr>
      </w:pPr>
      <w:r>
        <w:rPr>
          <w:rFonts w:hint="eastAsia" w:ascii="宋体" w:hAnsi="宋体" w:cs="宋体"/>
          <w:bCs/>
          <w:szCs w:val="21"/>
          <w:highlight w:val="none"/>
        </w:rPr>
        <w:t>1、投标人应给出所投标产品的详细技术数据，主要技术参数应提供技术白皮书等技术参数证明材料，并不得有弄虚作假现象。</w:t>
      </w:r>
    </w:p>
    <w:p w14:paraId="2611C531">
      <w:pPr>
        <w:tabs>
          <w:tab w:val="left" w:pos="2310"/>
        </w:tabs>
        <w:snapToGrid w:val="0"/>
        <w:spacing w:line="440" w:lineRule="exact"/>
        <w:ind w:firstLine="420" w:firstLineChars="200"/>
        <w:textAlignment w:val="baseline"/>
        <w:rPr>
          <w:rStyle w:val="15"/>
          <w:rFonts w:hint="eastAsia" w:ascii="宋体" w:hAnsi="宋体" w:eastAsia="宋体" w:cs="宋体"/>
          <w:bCs/>
          <w:sz w:val="21"/>
          <w:szCs w:val="21"/>
        </w:rPr>
      </w:pPr>
      <w:r>
        <w:rPr>
          <w:rFonts w:hint="eastAsia" w:ascii="宋体" w:hAnsi="宋体" w:cs="宋体"/>
          <w:bCs/>
          <w:szCs w:val="21"/>
          <w:highlight w:val="none"/>
        </w:rPr>
        <w:t>2、</w:t>
      </w:r>
      <w:r>
        <w:rPr>
          <w:rStyle w:val="15"/>
          <w:rFonts w:hint="eastAsia" w:ascii="宋体" w:hAnsi="宋体" w:eastAsia="宋体" w:cs="宋体"/>
          <w:bCs/>
          <w:sz w:val="21"/>
          <w:szCs w:val="21"/>
        </w:rPr>
        <w:t>中标单位确保所供货物技术指标符合项目采购技术文件、以及国家或行业标准要求。</w:t>
      </w:r>
    </w:p>
    <w:p w14:paraId="315EECAC">
      <w:pPr>
        <w:tabs>
          <w:tab w:val="left" w:pos="2310"/>
        </w:tabs>
        <w:snapToGrid w:val="0"/>
        <w:spacing w:line="440" w:lineRule="exact"/>
        <w:ind w:firstLine="420" w:firstLineChars="200"/>
        <w:textAlignment w:val="baseline"/>
        <w:rPr>
          <w:rStyle w:val="15"/>
          <w:rFonts w:hint="eastAsia" w:ascii="宋体" w:hAnsi="宋体" w:eastAsia="宋体" w:cs="宋体"/>
          <w:bCs/>
          <w:sz w:val="21"/>
          <w:szCs w:val="21"/>
        </w:rPr>
      </w:pPr>
      <w:r>
        <w:rPr>
          <w:rStyle w:val="15"/>
          <w:rFonts w:hint="eastAsia" w:ascii="宋体" w:hAnsi="宋体" w:eastAsia="宋体" w:cs="宋体"/>
          <w:bCs/>
          <w:sz w:val="21"/>
          <w:szCs w:val="21"/>
          <w:lang w:val="en-US"/>
        </w:rPr>
        <w:t>3</w:t>
      </w:r>
      <w:r>
        <w:rPr>
          <w:rStyle w:val="15"/>
          <w:rFonts w:hint="eastAsia" w:ascii="宋体" w:hAnsi="宋体" w:eastAsia="宋体" w:cs="宋体"/>
          <w:bCs/>
          <w:sz w:val="21"/>
          <w:szCs w:val="21"/>
        </w:rPr>
        <w:t>、投标人应说明所投产品相关的生产体系、认证情况、产品质量、产品检验报告等证明材料以证明产品的来源及质量合格。</w:t>
      </w:r>
      <w:r>
        <w:rPr>
          <w:rFonts w:hint="eastAsia" w:ascii="宋体" w:hAnsi="宋体" w:cs="宋体"/>
        </w:rPr>
        <w:t>提供制造商关于投标产品的官方宣传资料影印件（或宣传彩页）等技术参数证明材料。</w:t>
      </w:r>
    </w:p>
    <w:p w14:paraId="2173EDAD">
      <w:pPr>
        <w:tabs>
          <w:tab w:val="left" w:pos="2310"/>
        </w:tabs>
        <w:snapToGrid w:val="0"/>
        <w:spacing w:line="440" w:lineRule="exact"/>
        <w:ind w:firstLine="420" w:firstLineChars="200"/>
        <w:textAlignment w:val="baseline"/>
        <w:rPr>
          <w:rStyle w:val="15"/>
          <w:rFonts w:hint="eastAsia" w:ascii="宋体" w:hAnsi="宋体" w:eastAsia="宋体" w:cs="宋体"/>
          <w:bCs/>
          <w:sz w:val="21"/>
          <w:szCs w:val="21"/>
        </w:rPr>
      </w:pPr>
      <w:r>
        <w:rPr>
          <w:rStyle w:val="15"/>
          <w:rFonts w:hint="eastAsia" w:ascii="宋体" w:hAnsi="宋体" w:eastAsia="宋体" w:cs="宋体"/>
          <w:bCs/>
          <w:sz w:val="21"/>
          <w:szCs w:val="21"/>
          <w:lang w:val="en-US"/>
        </w:rPr>
        <w:t>4</w:t>
      </w:r>
      <w:r>
        <w:rPr>
          <w:rStyle w:val="15"/>
          <w:rFonts w:hint="eastAsia" w:ascii="宋体" w:hAnsi="宋体" w:eastAsia="宋体" w:cs="宋体"/>
          <w:bCs/>
          <w:sz w:val="21"/>
          <w:szCs w:val="21"/>
        </w:rPr>
        <w:t>、投标人需提供所投产品相关零部件的储存、备份及备品备件情况，包括但不限于零配件清单、产地、品牌、型号、价格等。如有耗材的还需报出耗材的品牌、产地、型号及价格。</w:t>
      </w:r>
    </w:p>
    <w:p w14:paraId="0EBA1D10">
      <w:pPr>
        <w:tabs>
          <w:tab w:val="left" w:pos="2310"/>
        </w:tabs>
        <w:snapToGrid w:val="0"/>
        <w:spacing w:line="440" w:lineRule="exact"/>
        <w:ind w:firstLine="420" w:firstLineChars="200"/>
        <w:textAlignment w:val="baseline"/>
        <w:rPr>
          <w:rFonts w:hint="eastAsia" w:ascii="宋体" w:hAnsi="宋体" w:cs="宋体"/>
          <w:color w:val="auto"/>
          <w:lang w:eastAsia="zh-CN"/>
        </w:rPr>
      </w:pPr>
      <w:r>
        <w:rPr>
          <w:rStyle w:val="15"/>
          <w:rFonts w:hint="eastAsia" w:ascii="宋体" w:hAnsi="宋体" w:eastAsia="宋体" w:cs="宋体"/>
          <w:bCs/>
          <w:color w:val="auto"/>
          <w:sz w:val="21"/>
          <w:szCs w:val="21"/>
          <w:lang w:val="en-US"/>
        </w:rPr>
        <w:t>5</w:t>
      </w:r>
      <w:r>
        <w:rPr>
          <w:rStyle w:val="15"/>
          <w:rFonts w:hint="eastAsia" w:ascii="宋体" w:hAnsi="宋体" w:eastAsia="宋体" w:cs="宋体"/>
          <w:bCs/>
          <w:color w:val="auto"/>
          <w:sz w:val="21"/>
          <w:szCs w:val="21"/>
        </w:rPr>
        <w:t>、</w:t>
      </w:r>
      <w:r>
        <w:rPr>
          <w:rFonts w:hint="eastAsia" w:ascii="宋体" w:hAnsi="宋体" w:cs="宋体"/>
          <w:color w:val="auto"/>
        </w:rPr>
        <w:t>本项目投标报价包括但不限于货物采购、人工费、标准附件、专用工具、安装辅材、运输、保险、保管、安装、调试、验收及培训、售后服务、利润、税金、不可预见费等以及政策性文件规定与合同包含的所有风险责任等所有费用的总和的“交钥匙价”。如一旦中标，在项目实施中因中标单位出现的遗漏，均由中标单位免费提供，采购人不再支付任何费用。</w:t>
      </w:r>
    </w:p>
    <w:p w14:paraId="3C508210">
      <w:pPr>
        <w:snapToGrid w:val="0"/>
        <w:spacing w:line="440" w:lineRule="exact"/>
        <w:ind w:firstLine="422" w:firstLineChars="200"/>
        <w:textAlignment w:val="baseline"/>
        <w:rPr>
          <w:rStyle w:val="15"/>
          <w:rFonts w:hint="eastAsia" w:ascii="宋体" w:hAnsi="宋体" w:cs="宋体"/>
          <w:b/>
          <w:bCs w:val="0"/>
          <w:color w:val="auto"/>
          <w:szCs w:val="21"/>
        </w:rPr>
      </w:pPr>
      <w:r>
        <w:rPr>
          <w:rStyle w:val="15"/>
          <w:rFonts w:hint="eastAsia" w:ascii="宋体" w:hAnsi="宋体" w:cs="宋体"/>
          <w:b/>
          <w:bCs w:val="0"/>
          <w:color w:val="auto"/>
          <w:szCs w:val="21"/>
          <w:lang w:val="en-US"/>
        </w:rPr>
        <w:t>6</w:t>
      </w:r>
      <w:r>
        <w:rPr>
          <w:rStyle w:val="15"/>
          <w:rFonts w:hint="eastAsia" w:ascii="宋体" w:hAnsi="宋体" w:cs="宋体"/>
          <w:b/>
          <w:bCs w:val="0"/>
          <w:color w:val="auto"/>
          <w:szCs w:val="21"/>
        </w:rPr>
        <w:t>、如所投产品为进口产品的，需提供</w:t>
      </w:r>
      <w:r>
        <w:rPr>
          <w:rStyle w:val="15"/>
          <w:rFonts w:hint="eastAsia" w:ascii="宋体" w:hAnsi="宋体" w:cs="宋体"/>
          <w:b/>
          <w:bCs w:val="0"/>
          <w:color w:val="auto"/>
          <w:szCs w:val="21"/>
          <w:lang w:val="en-US"/>
        </w:rPr>
        <w:t>制造商</w:t>
      </w:r>
      <w:r>
        <w:rPr>
          <w:rStyle w:val="15"/>
          <w:rFonts w:hint="eastAsia" w:ascii="宋体" w:hAnsi="宋体" w:cs="宋体"/>
          <w:b/>
          <w:bCs w:val="0"/>
          <w:color w:val="auto"/>
          <w:szCs w:val="21"/>
        </w:rPr>
        <w:t>或国内代理针对本项目授权书。</w:t>
      </w:r>
    </w:p>
    <w:p w14:paraId="087BAB62">
      <w:pPr>
        <w:tabs>
          <w:tab w:val="left" w:pos="2310"/>
        </w:tabs>
        <w:snapToGrid w:val="0"/>
        <w:spacing w:line="440" w:lineRule="exact"/>
        <w:ind w:firstLine="210" w:firstLineChars="100"/>
        <w:textAlignment w:val="baseline"/>
        <w:rPr>
          <w:highlight w:val="none"/>
        </w:rPr>
      </w:pPr>
      <w:r>
        <w:rPr>
          <w:rStyle w:val="15"/>
          <w:rFonts w:hint="eastAsia" w:ascii="宋体" w:hAnsi="宋体" w:eastAsia="宋体" w:cs="宋体"/>
          <w:bCs/>
          <w:sz w:val="21"/>
          <w:szCs w:val="21"/>
          <w:highlight w:val="none"/>
          <w:lang w:val="en-US" w:eastAsia="zh-CN"/>
        </w:rPr>
        <w:t>★7、项目履约验收阶段，采购人有权按照合同约定组织现场功能测试、演示核验。供应商须配合采购人开展验收测试，所交付货物功能、配置应当与投标文件、采购合同响应内容一致。若验收时发现交付货物与投标响应、合同约定不符，属于供应商违约，采购人有权按照合同约定追究违约责任，包括拒收、解除合同、索赔，并将相关虚假应标线索报送财政监管部门依法处理。</w:t>
      </w:r>
    </w:p>
    <w:p w14:paraId="77535BB3">
      <w:pPr>
        <w:keepNext w:val="0"/>
        <w:keepLines w:val="0"/>
        <w:pageBreakBefore w:val="0"/>
        <w:widowControl w:val="0"/>
        <w:kinsoku/>
        <w:wordWrap/>
        <w:overflowPunct/>
        <w:topLinePunct w:val="0"/>
        <w:autoSpaceDE/>
        <w:autoSpaceDN/>
        <w:bidi w:val="0"/>
        <w:snapToGrid w:val="0"/>
        <w:spacing w:line="480" w:lineRule="exact"/>
        <w:ind w:firstLine="420" w:firstLineChars="200"/>
        <w:textAlignment w:val="baseline"/>
        <w:rPr>
          <w:rFonts w:hint="default"/>
          <w:b w:val="0"/>
          <w:bCs/>
          <w:lang w:val="en-US" w:eastAsia="zh-CN"/>
        </w:rPr>
      </w:pPr>
      <w:r>
        <w:rPr>
          <w:rStyle w:val="15"/>
          <w:rFonts w:hint="eastAsia" w:ascii="宋体" w:hAnsi="宋体" w:cs="宋体"/>
          <w:b w:val="0"/>
          <w:bCs/>
          <w:color w:val="auto"/>
          <w:sz w:val="21"/>
          <w:szCs w:val="21"/>
          <w:highlight w:val="none"/>
          <w:lang w:val="en-US" w:eastAsia="zh-CN"/>
        </w:rPr>
        <w:t>8、</w:t>
      </w:r>
      <w:r>
        <w:rPr>
          <w:rFonts w:hint="eastAsia" w:ascii="宋体" w:hAnsi="宋体" w:cs="宋体"/>
          <w:b w:val="0"/>
          <w:bCs/>
          <w:color w:val="auto"/>
          <w:szCs w:val="21"/>
          <w:highlight w:val="none"/>
        </w:rPr>
        <w:t>其它未尽事宜以合同约定为准，双方友好协商确定。</w:t>
      </w:r>
    </w:p>
    <w:p w14:paraId="11636040">
      <w:pPr>
        <w:keepNext w:val="0"/>
        <w:keepLines w:val="0"/>
        <w:pageBreakBefore w:val="0"/>
        <w:widowControl w:val="0"/>
        <w:kinsoku/>
        <w:wordWrap/>
        <w:overflowPunct/>
        <w:topLinePunct w:val="0"/>
        <w:autoSpaceDE/>
        <w:autoSpaceDN/>
        <w:bidi w:val="0"/>
        <w:snapToGrid w:val="0"/>
        <w:spacing w:line="480" w:lineRule="exact"/>
        <w:ind w:firstLine="422" w:firstLineChars="200"/>
        <w:textAlignment w:val="baseline"/>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rPr>
        <w:t>六、</w:t>
      </w:r>
      <w:r>
        <w:rPr>
          <w:rFonts w:hint="eastAsia" w:ascii="宋体" w:hAnsi="宋体" w:cs="宋体"/>
          <w:b/>
          <w:bCs w:val="0"/>
          <w:color w:val="auto"/>
          <w:szCs w:val="21"/>
          <w:highlight w:val="none"/>
        </w:rPr>
        <w:t>重要说明：</w:t>
      </w:r>
    </w:p>
    <w:p w14:paraId="545AD366">
      <w:pPr>
        <w:pStyle w:val="6"/>
        <w:adjustRightInd w:val="0"/>
        <w:snapToGrid w:val="0"/>
        <w:spacing w:line="360" w:lineRule="auto"/>
        <w:ind w:firstLine="422" w:firstLineChars="200"/>
        <w:jc w:val="left"/>
        <w:outlineLvl w:val="9"/>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1、对于上述项目要求，投标人应在投标文件中进行回应，作出承诺、说明。</w:t>
      </w:r>
    </w:p>
    <w:p w14:paraId="2C0327ED">
      <w:pPr>
        <w:pStyle w:val="6"/>
        <w:adjustRightInd w:val="0"/>
        <w:snapToGrid w:val="0"/>
        <w:spacing w:line="360" w:lineRule="auto"/>
        <w:ind w:firstLine="422" w:firstLineChars="200"/>
        <w:jc w:val="left"/>
        <w:outlineLvl w:val="9"/>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2、带“★”号条款为招标文件实质性条款，投标人不得有一项出现偏离，否则，视为无效投标；</w:t>
      </w:r>
    </w:p>
    <w:p w14:paraId="0BFF3CC6">
      <w:pPr>
        <w:pStyle w:val="6"/>
        <w:adjustRightInd w:val="0"/>
        <w:snapToGrid w:val="0"/>
        <w:spacing w:line="360" w:lineRule="auto"/>
        <w:ind w:firstLine="211" w:firstLineChars="100"/>
        <w:jc w:val="left"/>
        <w:outlineLvl w:val="9"/>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★3、投标人需承诺中标后所提供的产品与投标文件中提供的产品一致，招标文件中标记需提供投标货物产品彩页</w:t>
      </w:r>
      <w:r>
        <w:rPr>
          <w:rFonts w:hint="eastAsia" w:hAnsi="宋体" w:cs="宋体"/>
          <w:b/>
          <w:bCs w:val="0"/>
          <w:color w:val="auto"/>
          <w:szCs w:val="21"/>
          <w:highlight w:val="none"/>
          <w:lang w:val="en-US" w:eastAsia="zh-CN"/>
        </w:rPr>
        <w:t>、</w:t>
      </w:r>
      <w:r>
        <w:rPr>
          <w:rFonts w:hint="eastAsia" w:ascii="宋体" w:hAnsi="宋体" w:cs="宋体"/>
          <w:b/>
          <w:bCs w:val="0"/>
          <w:color w:val="auto"/>
          <w:szCs w:val="21"/>
          <w:highlight w:val="none"/>
          <w:lang w:val="en-US" w:eastAsia="zh-CN"/>
        </w:rPr>
        <w:t>技术白皮书或国家认可的检测机构出具的检测报告的，投标人应当在投标文件中提供相应材料；未提供的</w:t>
      </w:r>
      <w:r>
        <w:rPr>
          <w:rFonts w:hint="eastAsia" w:hAnsi="宋体" w:cs="宋体"/>
          <w:b/>
          <w:bCs w:val="0"/>
          <w:color w:val="auto"/>
          <w:szCs w:val="21"/>
          <w:highlight w:val="none"/>
          <w:lang w:val="en-US" w:eastAsia="zh-CN"/>
        </w:rPr>
        <w:t>，</w:t>
      </w:r>
      <w:r>
        <w:rPr>
          <w:rFonts w:hint="eastAsia" w:ascii="宋体" w:hAnsi="宋体" w:cs="宋体"/>
          <w:b/>
          <w:bCs w:val="0"/>
          <w:color w:val="auto"/>
          <w:szCs w:val="21"/>
          <w:highlight w:val="none"/>
          <w:lang w:val="en-US" w:eastAsia="zh-CN"/>
        </w:rPr>
        <w:t>视为不满足</w:t>
      </w:r>
      <w:r>
        <w:rPr>
          <w:rFonts w:hint="eastAsia" w:hAnsi="宋体" w:cs="宋体"/>
          <w:b/>
          <w:bCs w:val="0"/>
          <w:color w:val="auto"/>
          <w:szCs w:val="21"/>
          <w:highlight w:val="none"/>
          <w:lang w:val="en-US" w:eastAsia="zh-CN"/>
        </w:rPr>
        <w:t>该</w:t>
      </w:r>
      <w:r>
        <w:rPr>
          <w:rFonts w:hint="eastAsia" w:ascii="宋体" w:hAnsi="宋体" w:cs="宋体"/>
          <w:b/>
          <w:bCs w:val="0"/>
          <w:color w:val="auto"/>
          <w:szCs w:val="21"/>
          <w:highlight w:val="none"/>
          <w:lang w:val="en-US" w:eastAsia="zh-CN"/>
        </w:rPr>
        <w:t>参数要求。中标后，若交付产品与投标响应、合同约定不符，构成违约的，采购人有权按照合同约定追究违约责任；涉及虚构事实、提供虚假材料谋取中标的，按虚假应标处理，取消中标资格，并移送财政监管部门依法处理。</w:t>
      </w:r>
    </w:p>
    <w:p w14:paraId="6246BF39">
      <w:pPr>
        <w:pStyle w:val="6"/>
        <w:adjustRightInd w:val="0"/>
        <w:snapToGrid w:val="0"/>
        <w:spacing w:line="360" w:lineRule="auto"/>
        <w:ind w:firstLine="211" w:firstLineChars="100"/>
        <w:jc w:val="left"/>
        <w:outlineLvl w:val="9"/>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4、投标人在投标文件中有隐瞒事实、弄虚作假的行为，或有不按招标文件的要求如实提供有关情况、文件、证明等资料的行为，或有所提供的有关情况、文件、证明等资料与经查实的事实不符的行为，且上述行为对该投标人有利的，按照不合格投标人处理。已被列为中标候选人的，</w:t>
      </w:r>
      <w:r>
        <w:rPr>
          <w:rFonts w:hint="eastAsia" w:hAnsi="宋体" w:cs="宋体"/>
          <w:b/>
          <w:bCs w:val="0"/>
          <w:color w:val="auto"/>
          <w:szCs w:val="21"/>
          <w:highlight w:val="none"/>
          <w:lang w:val="en-US" w:eastAsia="zh-CN"/>
        </w:rPr>
        <w:t>取</w:t>
      </w:r>
      <w:r>
        <w:rPr>
          <w:rFonts w:hint="eastAsia" w:ascii="宋体" w:hAnsi="宋体" w:cs="宋体"/>
          <w:b/>
          <w:bCs w:val="0"/>
          <w:color w:val="auto"/>
          <w:szCs w:val="21"/>
          <w:highlight w:val="none"/>
          <w:lang w:val="en-US" w:eastAsia="zh-CN"/>
        </w:rPr>
        <w:t>消其中标候选人资格。已中标的，取消其中标资格，</w:t>
      </w:r>
      <w:r>
        <w:rPr>
          <w:rFonts w:hint="eastAsia" w:hAnsi="宋体" w:cs="宋体"/>
          <w:b/>
          <w:bCs w:val="0"/>
          <w:color w:val="auto"/>
          <w:szCs w:val="21"/>
          <w:highlight w:val="none"/>
          <w:lang w:val="en-US" w:eastAsia="zh-CN"/>
        </w:rPr>
        <w:t>并移</w:t>
      </w:r>
      <w:r>
        <w:rPr>
          <w:rFonts w:hint="eastAsia" w:ascii="宋体" w:hAnsi="宋体" w:cs="宋体"/>
          <w:b/>
          <w:bCs w:val="0"/>
          <w:color w:val="auto"/>
          <w:szCs w:val="21"/>
          <w:highlight w:val="none"/>
          <w:lang w:val="en-US" w:eastAsia="zh-CN"/>
        </w:rPr>
        <w:t>送财政监管部门依法追究其法律责任。</w:t>
      </w:r>
    </w:p>
    <w:p w14:paraId="5A283FCC">
      <w:pPr>
        <w:pStyle w:val="6"/>
        <w:adjustRightInd w:val="0"/>
        <w:snapToGrid w:val="0"/>
        <w:spacing w:line="360" w:lineRule="auto"/>
        <w:ind w:firstLine="211" w:firstLineChars="100"/>
        <w:jc w:val="left"/>
        <w:outlineLvl w:val="9"/>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★5、如投标人提供虚假材料谋取中标，在评标环节发现的，按无效投标处理。如中标后发现的，取消其中标资格，</w:t>
      </w:r>
      <w:r>
        <w:rPr>
          <w:rFonts w:hint="eastAsia" w:hAnsi="宋体" w:cs="宋体"/>
          <w:b/>
          <w:bCs w:val="0"/>
          <w:color w:val="auto"/>
          <w:szCs w:val="21"/>
          <w:highlight w:val="none"/>
          <w:lang w:val="en-US" w:eastAsia="zh-CN"/>
        </w:rPr>
        <w:t>并移</w:t>
      </w:r>
      <w:r>
        <w:rPr>
          <w:rFonts w:hint="eastAsia" w:ascii="宋体" w:hAnsi="宋体" w:cs="宋体"/>
          <w:b/>
          <w:bCs w:val="0"/>
          <w:color w:val="auto"/>
          <w:szCs w:val="21"/>
          <w:highlight w:val="none"/>
          <w:lang w:val="en-US" w:eastAsia="zh-CN"/>
        </w:rPr>
        <w:t>送财政监管部门依法追究其法律责任。</w:t>
      </w:r>
    </w:p>
    <w:p w14:paraId="33CE9CBC">
      <w:bookmarkStart w:id="6" w:name="_GoBack"/>
      <w:bookmarkEnd w:id="6"/>
    </w:p>
    <w:sectPr>
      <w:pgSz w:w="11906" w:h="16838"/>
      <w:pgMar w:top="1100" w:right="1349" w:bottom="110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9D054"/>
    <w:multiLevelType w:val="singleLevel"/>
    <w:tmpl w:val="B8D9D054"/>
    <w:lvl w:ilvl="0" w:tentative="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847A63"/>
    <w:rsid w:val="0C847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10">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Body Text Indent"/>
    <w:basedOn w:val="1"/>
    <w:next w:val="5"/>
    <w:qFormat/>
    <w:uiPriority w:val="0"/>
    <w:pPr>
      <w:spacing w:after="120"/>
      <w:ind w:left="420" w:leftChars="200"/>
    </w:pPr>
  </w:style>
  <w:style w:type="paragraph" w:styleId="5">
    <w:name w:val="Body Text Indent 2"/>
    <w:basedOn w:val="1"/>
    <w:qFormat/>
    <w:uiPriority w:val="0"/>
    <w:pPr>
      <w:spacing w:after="120" w:line="480" w:lineRule="auto"/>
      <w:ind w:left="420" w:leftChars="200"/>
    </w:pPr>
  </w:style>
  <w:style w:type="paragraph" w:styleId="6">
    <w:name w:val="Plain Text"/>
    <w:basedOn w:val="1"/>
    <w:qFormat/>
    <w:uiPriority w:val="0"/>
    <w:rPr>
      <w:rFonts w:ascii="宋体" w:hAnsi="Courier New" w:cs="Courier New"/>
      <w:szCs w:val="21"/>
    </w:rPr>
  </w:style>
  <w:style w:type="paragraph" w:styleId="7">
    <w:name w:val="Body Text First Indent 2"/>
    <w:basedOn w:val="4"/>
    <w:qFormat/>
    <w:uiPriority w:val="0"/>
    <w:pPr>
      <w:autoSpaceDE w:val="0"/>
      <w:autoSpaceDN w:val="0"/>
      <w:adjustRightInd w:val="0"/>
      <w:ind w:firstLine="420"/>
      <w:jc w:val="left"/>
    </w:pPr>
    <w:rPr>
      <w:rFonts w:ascii="Calibri" w:hAnsi="Calibri"/>
      <w:kern w:val="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31"/>
    <w:basedOn w:val="1"/>
    <w:qFormat/>
    <w:uiPriority w:val="0"/>
    <w:pPr>
      <w:spacing w:before="100" w:beforeAutospacing="1" w:after="100" w:afterAutospacing="1"/>
      <w:jc w:val="left"/>
    </w:pPr>
    <w:rPr>
      <w:rFonts w:hint="eastAsia" w:ascii="宋体" w:hAnsi="宋体" w:eastAsia="宋体"/>
      <w:b/>
      <w:bCs/>
      <w:kern w:val="0"/>
      <w:sz w:val="27"/>
      <w:szCs w:val="27"/>
      <w:lang w:val="en-US" w:eastAsia="zh-CN" w:bidi="ar"/>
    </w:rPr>
  </w:style>
  <w:style w:type="paragraph" w:customStyle="1" w:styleId="12">
    <w:name w:val="正文1"/>
    <w:basedOn w:val="1"/>
    <w:qFormat/>
    <w:uiPriority w:val="0"/>
    <w:pPr>
      <w:spacing w:line="360" w:lineRule="auto"/>
      <w:ind w:firstLine="480" w:firstLineChars="200"/>
    </w:pPr>
    <w:rPr>
      <w:rFonts w:ascii="Times New Roman" w:hAnsi="Times New Roman"/>
      <w:sz w:val="24"/>
      <w:szCs w:val="24"/>
    </w:rPr>
  </w:style>
  <w:style w:type="paragraph" w:customStyle="1" w:styleId="13">
    <w:name w:val="列出段落1"/>
    <w:basedOn w:val="14"/>
    <w:qFormat/>
    <w:uiPriority w:val="0"/>
    <w:pPr>
      <w:ind w:firstLine="420" w:firstLineChars="200"/>
    </w:pPr>
    <w:rPr>
      <w:szCs w:val="21"/>
    </w:rPr>
  </w:style>
  <w:style w:type="paragraph" w:customStyle="1" w:styleId="14">
    <w:name w:val="正文_0"/>
    <w:next w:val="7"/>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2026-10-29T01:32:00Z</dcterms:created>
  <dc:creator>小燕子</dc:creator>
  <cp:lastModifiedBy>小燕子</cp:lastModifiedBy>
  <dcterms:modified xsi:type="dcterms:W3CDTF">2026-10-29T02:57:46Z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100C1DF021A844EFBFD21F3C683BC984_11</vt:lpwstr>
  </property>
  <property fmtid="{D5CDD505-2E9C-101B-9397-08002B2CF9AE}" pid="4" name="KSOTemplateDocerSaveRecord">
    <vt:lpwstr>eyJoZGlkIjoiNmRiMWQyMDJiMTE3M2QyZGM2NjZlMjRiMWM1Njc3NTYiLCJ1c2VySWQiOiIxOTkxNzY4MzAifQ==</vt:lpwstr>
  </property>
</Properties>
</file>