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72DACA">
      <w:pPr>
        <w:pStyle w:val="2"/>
        <w:keepNext w:val="0"/>
        <w:adjustRightInd w:val="0"/>
        <w:snapToGrid w:val="0"/>
        <w:spacing w:before="120" w:beforeLines="50" w:line="360" w:lineRule="auto"/>
        <w:rPr>
          <w:rFonts w:hint="eastAsia" w:ascii="黑体" w:hAnsi="华文中宋" w:eastAsia="黑体"/>
          <w:color w:val="auto"/>
          <w:sz w:val="32"/>
          <w:szCs w:val="32"/>
        </w:rPr>
      </w:pPr>
      <w:r>
        <w:rPr>
          <w:rFonts w:hint="eastAsia" w:ascii="黑体" w:hAnsi="华文中宋" w:eastAsia="黑体"/>
          <w:color w:val="auto"/>
          <w:sz w:val="32"/>
          <w:szCs w:val="32"/>
        </w:rPr>
        <w:t>采购需求</w:t>
      </w:r>
      <w:bookmarkStart w:id="0" w:name="_Toc3070"/>
    </w:p>
    <w:p w14:paraId="66261EF2">
      <w:pPr>
        <w:pStyle w:val="3"/>
        <w:adjustRightInd w:val="0"/>
        <w:snapToGrid w:val="0"/>
        <w:spacing w:before="120" w:beforeLines="50"/>
        <w:jc w:val="center"/>
        <w:rPr>
          <w:rFonts w:ascii="黑体" w:hAnsi="黑体" w:eastAsia="黑体"/>
          <w:color w:val="auto"/>
          <w:sz w:val="28"/>
          <w:szCs w:val="28"/>
        </w:rPr>
      </w:pPr>
      <w:r>
        <w:rPr>
          <w:rFonts w:hint="eastAsia" w:ascii="黑体" w:hAnsi="黑体" w:eastAsia="黑体"/>
          <w:color w:val="auto"/>
          <w:sz w:val="28"/>
          <w:szCs w:val="28"/>
        </w:rPr>
        <w:t>第一节 采购清单一览表</w:t>
      </w:r>
    </w:p>
    <w:bookmarkEnd w:id="0"/>
    <w:tbl>
      <w:tblPr>
        <w:tblStyle w:val="5"/>
        <w:tblW w:w="89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7"/>
        <w:gridCol w:w="1804"/>
        <w:gridCol w:w="2633"/>
        <w:gridCol w:w="1530"/>
        <w:gridCol w:w="1097"/>
        <w:gridCol w:w="1066"/>
      </w:tblGrid>
      <w:tr w14:paraId="5201F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9" w:hRule="atLeast"/>
        </w:trPr>
        <w:tc>
          <w:tcPr>
            <w:tcW w:w="807" w:type="dxa"/>
            <w:tcBorders>
              <w:top w:val="single" w:color="auto" w:sz="4" w:space="0"/>
              <w:left w:val="single" w:color="auto" w:sz="4" w:space="0"/>
              <w:bottom w:val="single" w:color="auto" w:sz="4" w:space="0"/>
              <w:right w:val="single" w:color="auto" w:sz="4" w:space="0"/>
            </w:tcBorders>
            <w:noWrap w:val="0"/>
            <w:vAlign w:val="center"/>
          </w:tcPr>
          <w:p w14:paraId="621F2EA3">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color w:val="auto"/>
                <w:szCs w:val="21"/>
                <w:lang w:val="en-US" w:eastAsia="zh-CN"/>
              </w:rPr>
            </w:pPr>
            <w:r>
              <w:rPr>
                <w:rFonts w:hint="eastAsia" w:ascii="宋体" w:hAnsi="宋体"/>
                <w:color w:val="auto"/>
                <w:szCs w:val="21"/>
                <w:lang w:val="en-US" w:eastAsia="zh-CN"/>
              </w:rPr>
              <w:t>序号</w:t>
            </w:r>
          </w:p>
        </w:tc>
        <w:tc>
          <w:tcPr>
            <w:tcW w:w="1804"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02791B79">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ascii="宋体" w:hAnsi="宋体"/>
                <w:color w:val="auto"/>
                <w:szCs w:val="21"/>
              </w:rPr>
            </w:pPr>
            <w:r>
              <w:rPr>
                <w:rFonts w:hint="eastAsia" w:ascii="宋体" w:hAnsi="宋体"/>
                <w:color w:val="auto"/>
                <w:szCs w:val="21"/>
              </w:rPr>
              <w:t>标的名称</w:t>
            </w:r>
          </w:p>
        </w:tc>
        <w:tc>
          <w:tcPr>
            <w:tcW w:w="263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067309A9">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ascii="宋体" w:hAnsi="宋体"/>
                <w:color w:val="auto"/>
                <w:szCs w:val="21"/>
              </w:rPr>
            </w:pPr>
            <w:r>
              <w:rPr>
                <w:rFonts w:hint="eastAsia" w:ascii="宋体" w:hAnsi="宋体"/>
                <w:color w:val="auto"/>
                <w:szCs w:val="21"/>
              </w:rPr>
              <w:t>简要技术要求</w:t>
            </w:r>
          </w:p>
        </w:tc>
        <w:tc>
          <w:tcPr>
            <w:tcW w:w="153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3B6EC3B">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ascii="宋体" w:hAnsi="宋体" w:cs="宋体"/>
                <w:color w:val="auto"/>
                <w:kern w:val="0"/>
                <w:szCs w:val="21"/>
              </w:rPr>
            </w:pPr>
            <w:r>
              <w:rPr>
                <w:rFonts w:hint="eastAsia" w:ascii="宋体" w:hAnsi="宋体"/>
                <w:color w:val="auto"/>
                <w:szCs w:val="21"/>
              </w:rPr>
              <w:t>数量</w:t>
            </w:r>
          </w:p>
        </w:tc>
        <w:tc>
          <w:tcPr>
            <w:tcW w:w="1097" w:type="dxa"/>
            <w:tcBorders>
              <w:top w:val="single" w:color="auto" w:sz="4" w:space="0"/>
              <w:left w:val="single" w:color="auto" w:sz="4" w:space="0"/>
              <w:bottom w:val="single" w:color="auto" w:sz="4" w:space="0"/>
              <w:right w:val="single" w:color="auto" w:sz="4" w:space="0"/>
            </w:tcBorders>
            <w:noWrap w:val="0"/>
            <w:vAlign w:val="center"/>
          </w:tcPr>
          <w:p w14:paraId="1C8BFCDC">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ascii="宋体" w:hAnsi="宋体"/>
                <w:color w:val="auto"/>
                <w:szCs w:val="21"/>
              </w:rPr>
            </w:pPr>
            <w:r>
              <w:rPr>
                <w:rFonts w:hint="eastAsia" w:ascii="宋体" w:hAnsi="宋体"/>
                <w:color w:val="auto"/>
                <w:szCs w:val="21"/>
              </w:rPr>
              <w:t>节能产品</w:t>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1EEBED13">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ascii="宋体" w:hAnsi="宋体"/>
                <w:color w:val="auto"/>
                <w:szCs w:val="21"/>
              </w:rPr>
            </w:pPr>
            <w:r>
              <w:rPr>
                <w:rFonts w:hint="eastAsia" w:ascii="宋体" w:hAnsi="宋体"/>
                <w:color w:val="auto"/>
                <w:szCs w:val="21"/>
              </w:rPr>
              <w:t>进口产品</w:t>
            </w:r>
          </w:p>
        </w:tc>
      </w:tr>
      <w:tr w14:paraId="22CC0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9" w:hRule="atLeast"/>
        </w:trPr>
        <w:tc>
          <w:tcPr>
            <w:tcW w:w="8937" w:type="dxa"/>
            <w:gridSpan w:val="6"/>
            <w:tcBorders>
              <w:top w:val="single" w:color="auto" w:sz="4" w:space="0"/>
              <w:left w:val="single" w:color="auto" w:sz="4" w:space="0"/>
              <w:bottom w:val="single" w:color="auto" w:sz="4" w:space="0"/>
              <w:right w:val="single" w:color="auto" w:sz="4" w:space="0"/>
            </w:tcBorders>
            <w:noWrap w:val="0"/>
            <w:vAlign w:val="center"/>
          </w:tcPr>
          <w:p w14:paraId="48D0A40C">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olor w:val="auto"/>
                <w:szCs w:val="21"/>
              </w:rPr>
            </w:pPr>
            <w:r>
              <w:rPr>
                <w:rFonts w:hint="eastAsia" w:ascii="宋体" w:hAnsi="宋体" w:eastAsia="宋体" w:cs="宋体"/>
                <w:color w:val="auto"/>
                <w:kern w:val="0"/>
                <w:sz w:val="21"/>
                <w:szCs w:val="21"/>
                <w:lang w:eastAsia="zh-CN"/>
              </w:rPr>
              <w:t>华容县人民医院紧密型县域医共体暨医疗卫生强基工程提标扩能项目消毒供应中心设备采购</w:t>
            </w:r>
          </w:p>
        </w:tc>
      </w:tr>
      <w:tr w14:paraId="67313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9" w:hRule="atLeast"/>
        </w:trPr>
        <w:tc>
          <w:tcPr>
            <w:tcW w:w="807" w:type="dxa"/>
            <w:tcBorders>
              <w:top w:val="single" w:color="auto" w:sz="4" w:space="0"/>
              <w:left w:val="single" w:color="auto" w:sz="4" w:space="0"/>
              <w:bottom w:val="single" w:color="auto" w:sz="4" w:space="0"/>
              <w:right w:val="single" w:color="auto" w:sz="4" w:space="0"/>
            </w:tcBorders>
            <w:noWrap w:val="0"/>
            <w:vAlign w:val="center"/>
          </w:tcPr>
          <w:p w14:paraId="4717F4C5">
            <w:pPr>
              <w:keepNext w:val="0"/>
              <w:keepLines w:val="0"/>
              <w:pageBreakBefore w:val="0"/>
              <w:kinsoku/>
              <w:wordWrap/>
              <w:overflowPunct/>
              <w:topLinePunct w:val="0"/>
              <w:autoSpaceDE/>
              <w:autoSpaceDN/>
              <w:bidi w:val="0"/>
              <w:adjustRightInd w:val="0"/>
              <w:snapToGrid w:val="0"/>
              <w:spacing w:before="120" w:beforeLines="50" w:line="400" w:lineRule="exact"/>
              <w:jc w:val="center"/>
              <w:textAlignment w:val="auto"/>
              <w:rPr>
                <w:rFonts w:ascii="宋体" w:hAnsi="宋体"/>
                <w:color w:val="auto"/>
                <w:szCs w:val="21"/>
              </w:rPr>
            </w:pPr>
            <w:r>
              <w:rPr>
                <w:rFonts w:hint="eastAsia" w:ascii="宋体" w:hAnsi="宋体"/>
                <w:color w:val="auto"/>
                <w:szCs w:val="21"/>
              </w:rPr>
              <w:t>1</w:t>
            </w:r>
          </w:p>
        </w:tc>
        <w:tc>
          <w:tcPr>
            <w:tcW w:w="1804"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7BAD6721">
            <w:pPr>
              <w:pStyle w:val="4"/>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宋体" w:hAnsi="宋体" w:eastAsia="宋体" w:cs="Times New Roman"/>
                <w:b w:val="0"/>
                <w:bCs w:val="0"/>
                <w:color w:val="auto"/>
                <w:kern w:val="2"/>
                <w:sz w:val="21"/>
                <w:szCs w:val="21"/>
                <w:lang w:val="en-US" w:eastAsia="zh-CN" w:bidi="ar-SA"/>
              </w:rPr>
            </w:pPr>
            <w:r>
              <w:rPr>
                <w:rFonts w:hint="eastAsia" w:ascii="宋体" w:hAnsi="宋体" w:eastAsia="宋体" w:cs="Times New Roman"/>
                <w:b w:val="0"/>
                <w:bCs w:val="0"/>
                <w:color w:val="auto"/>
                <w:kern w:val="2"/>
                <w:sz w:val="21"/>
                <w:szCs w:val="21"/>
                <w:lang w:val="en-US" w:eastAsia="zh-CN" w:bidi="ar-SA"/>
              </w:rPr>
              <w:t>全自动脉动真空灭菌器</w:t>
            </w:r>
          </w:p>
        </w:tc>
        <w:tc>
          <w:tcPr>
            <w:tcW w:w="263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62B119AF">
            <w:pPr>
              <w:keepNext w:val="0"/>
              <w:keepLines w:val="0"/>
              <w:pageBreakBefore w:val="0"/>
              <w:kinsoku/>
              <w:wordWrap/>
              <w:overflowPunct/>
              <w:topLinePunct w:val="0"/>
              <w:autoSpaceDE/>
              <w:autoSpaceDN/>
              <w:bidi w:val="0"/>
              <w:adjustRightInd w:val="0"/>
              <w:snapToGrid w:val="0"/>
              <w:spacing w:before="120" w:beforeLines="50" w:line="400" w:lineRule="exact"/>
              <w:jc w:val="left"/>
              <w:textAlignment w:val="auto"/>
              <w:rPr>
                <w:rFonts w:ascii="宋体" w:hAnsi="宋体"/>
                <w:color w:val="auto"/>
                <w:szCs w:val="21"/>
              </w:rPr>
            </w:pPr>
            <w:r>
              <w:rPr>
                <w:rFonts w:hint="eastAsia" w:ascii="宋体" w:hAnsi="宋体" w:eastAsia="宋体" w:cs="Times New Roman"/>
                <w:b w:val="0"/>
                <w:bCs w:val="0"/>
                <w:color w:val="auto"/>
                <w:kern w:val="2"/>
                <w:sz w:val="21"/>
                <w:szCs w:val="21"/>
                <w:lang w:val="en-US" w:eastAsia="zh-CN" w:bidi="ar-SA"/>
              </w:rPr>
              <w:t>全自动脉动真空灭菌器</w:t>
            </w:r>
            <w:r>
              <w:rPr>
                <w:rFonts w:hint="eastAsia" w:ascii="宋体" w:hAnsi="宋体" w:eastAsia="宋体" w:cs="宋体"/>
                <w:color w:val="auto"/>
                <w:kern w:val="0"/>
                <w:sz w:val="21"/>
                <w:szCs w:val="21"/>
                <w:lang w:val="en-US" w:eastAsia="zh-CN"/>
              </w:rPr>
              <w:t>3台,</w:t>
            </w:r>
            <w:r>
              <w:rPr>
                <w:rFonts w:hint="eastAsia" w:ascii="宋体" w:hAnsi="宋体"/>
                <w:color w:val="auto"/>
                <w:szCs w:val="21"/>
              </w:rPr>
              <w:t>具体详见本章第二节技术要求。</w:t>
            </w:r>
          </w:p>
        </w:tc>
        <w:tc>
          <w:tcPr>
            <w:tcW w:w="153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4682FEBE">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olor w:val="auto"/>
                <w:szCs w:val="21"/>
              </w:rPr>
            </w:pPr>
            <w:r>
              <w:rPr>
                <w:rFonts w:hint="eastAsia" w:ascii="宋体" w:hAnsi="宋体" w:eastAsia="宋体" w:cs="宋体"/>
                <w:color w:val="auto"/>
                <w:kern w:val="0"/>
                <w:sz w:val="21"/>
                <w:szCs w:val="21"/>
                <w:lang w:val="en-US" w:eastAsia="zh-CN"/>
              </w:rPr>
              <w:t>3台</w:t>
            </w:r>
          </w:p>
        </w:tc>
        <w:tc>
          <w:tcPr>
            <w:tcW w:w="1097" w:type="dxa"/>
            <w:tcBorders>
              <w:top w:val="single" w:color="auto" w:sz="4" w:space="0"/>
              <w:left w:val="single" w:color="auto" w:sz="4" w:space="0"/>
              <w:bottom w:val="single" w:color="auto" w:sz="4" w:space="0"/>
              <w:right w:val="single" w:color="auto" w:sz="4" w:space="0"/>
            </w:tcBorders>
            <w:noWrap w:val="0"/>
            <w:vAlign w:val="center"/>
          </w:tcPr>
          <w:p w14:paraId="7C777BBC">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ascii="宋体" w:hAnsi="宋体"/>
                <w:color w:val="auto"/>
                <w:szCs w:val="21"/>
              </w:rPr>
            </w:pPr>
            <w:r>
              <w:rPr>
                <w:rFonts w:ascii="宋体" w:hAnsi="宋体"/>
                <w:iCs/>
                <w:color w:val="auto"/>
                <w:szCs w:val="21"/>
              </w:rPr>
              <w:sym w:font="Wingdings" w:char="00A8"/>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320B6A8C">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ascii="宋体" w:hAnsi="宋体"/>
                <w:color w:val="auto"/>
                <w:szCs w:val="21"/>
              </w:rPr>
            </w:pPr>
            <w:r>
              <w:rPr>
                <w:rFonts w:ascii="宋体" w:hAnsi="宋体"/>
                <w:iCs/>
                <w:color w:val="auto"/>
                <w:szCs w:val="21"/>
              </w:rPr>
              <w:sym w:font="Wingdings" w:char="00A8"/>
            </w:r>
          </w:p>
        </w:tc>
      </w:tr>
      <w:tr w14:paraId="067CE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59" w:hRule="atLeast"/>
        </w:trPr>
        <w:tc>
          <w:tcPr>
            <w:tcW w:w="807" w:type="dxa"/>
            <w:tcBorders>
              <w:top w:val="single" w:color="auto" w:sz="4" w:space="0"/>
              <w:left w:val="single" w:color="auto" w:sz="4" w:space="0"/>
              <w:bottom w:val="single" w:color="auto" w:sz="4" w:space="0"/>
              <w:right w:val="single" w:color="auto" w:sz="4" w:space="0"/>
            </w:tcBorders>
            <w:noWrap w:val="0"/>
            <w:vAlign w:val="center"/>
          </w:tcPr>
          <w:p w14:paraId="301992D7">
            <w:pPr>
              <w:keepNext w:val="0"/>
              <w:keepLines w:val="0"/>
              <w:pageBreakBefore w:val="0"/>
              <w:kinsoku/>
              <w:wordWrap/>
              <w:overflowPunct/>
              <w:topLinePunct w:val="0"/>
              <w:autoSpaceDE/>
              <w:autoSpaceDN/>
              <w:bidi w:val="0"/>
              <w:adjustRightInd w:val="0"/>
              <w:snapToGrid w:val="0"/>
              <w:spacing w:before="120" w:beforeLines="50" w:line="400" w:lineRule="exact"/>
              <w:jc w:val="center"/>
              <w:textAlignment w:val="auto"/>
              <w:rPr>
                <w:rFonts w:hint="eastAsia" w:ascii="宋体" w:hAnsi="宋体"/>
                <w:color w:val="auto"/>
                <w:szCs w:val="21"/>
              </w:rPr>
            </w:pPr>
            <w:r>
              <w:rPr>
                <w:rFonts w:hint="eastAsia" w:ascii="宋体" w:hAnsi="宋体"/>
                <w:color w:val="auto"/>
                <w:szCs w:val="21"/>
              </w:rPr>
              <w:t>2</w:t>
            </w:r>
          </w:p>
        </w:tc>
        <w:tc>
          <w:tcPr>
            <w:tcW w:w="1804"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2DAC2B8E">
            <w:pPr>
              <w:pStyle w:val="4"/>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宋体" w:hAnsi="宋体" w:eastAsia="宋体" w:cs="Times New Roman"/>
                <w:b w:val="0"/>
                <w:bCs w:val="0"/>
                <w:color w:val="auto"/>
                <w:kern w:val="2"/>
                <w:sz w:val="21"/>
                <w:szCs w:val="21"/>
                <w:lang w:val="en-US" w:eastAsia="zh-CN" w:bidi="ar-SA"/>
              </w:rPr>
            </w:pPr>
            <w:r>
              <w:rPr>
                <w:rFonts w:hint="eastAsia" w:ascii="宋体" w:hAnsi="宋体" w:eastAsia="宋体" w:cs="Times New Roman"/>
                <w:b w:val="0"/>
                <w:bCs w:val="0"/>
                <w:color w:val="auto"/>
                <w:kern w:val="2"/>
                <w:sz w:val="21"/>
                <w:szCs w:val="21"/>
                <w:lang w:val="en-US" w:eastAsia="zh-CN" w:bidi="ar-SA"/>
              </w:rPr>
              <w:t>大腔多舱式清洗消毒机</w:t>
            </w:r>
          </w:p>
        </w:tc>
        <w:tc>
          <w:tcPr>
            <w:tcW w:w="263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7E8568F6">
            <w:pPr>
              <w:keepNext w:val="0"/>
              <w:keepLines w:val="0"/>
              <w:pageBreakBefore w:val="0"/>
              <w:kinsoku/>
              <w:wordWrap/>
              <w:overflowPunct/>
              <w:topLinePunct w:val="0"/>
              <w:autoSpaceDE/>
              <w:autoSpaceDN/>
              <w:bidi w:val="0"/>
              <w:adjustRightInd w:val="0"/>
              <w:snapToGrid w:val="0"/>
              <w:spacing w:before="120" w:beforeLines="50" w:line="400" w:lineRule="exact"/>
              <w:jc w:val="left"/>
              <w:textAlignment w:val="auto"/>
              <w:rPr>
                <w:rFonts w:hint="eastAsia" w:ascii="宋体" w:hAnsi="宋体" w:eastAsia="宋体" w:cs="Times New Roman"/>
                <w:color w:val="auto"/>
                <w:szCs w:val="21"/>
              </w:rPr>
            </w:pPr>
            <w:r>
              <w:rPr>
                <w:rFonts w:hint="eastAsia" w:ascii="宋体" w:hAnsi="宋体" w:eastAsia="宋体" w:cs="Times New Roman"/>
                <w:color w:val="auto"/>
                <w:szCs w:val="21"/>
                <w:lang w:val="en-US" w:eastAsia="zh-CN"/>
              </w:rPr>
              <w:t>大腔多舱式清洗消毒机2台,</w:t>
            </w:r>
            <w:r>
              <w:rPr>
                <w:rFonts w:hint="eastAsia" w:ascii="宋体" w:hAnsi="宋体" w:eastAsia="宋体" w:cs="Times New Roman"/>
                <w:color w:val="auto"/>
                <w:szCs w:val="21"/>
              </w:rPr>
              <w:t>具体详见本章第二节技术要求。</w:t>
            </w:r>
          </w:p>
        </w:tc>
        <w:tc>
          <w:tcPr>
            <w:tcW w:w="153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7B0AE663">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olor w:val="auto"/>
                <w:szCs w:val="21"/>
              </w:rPr>
            </w:pPr>
            <w:r>
              <w:rPr>
                <w:rFonts w:hint="eastAsia" w:ascii="宋体" w:hAnsi="宋体" w:eastAsia="宋体" w:cs="宋体"/>
                <w:color w:val="auto"/>
                <w:kern w:val="0"/>
                <w:sz w:val="21"/>
                <w:szCs w:val="21"/>
                <w:lang w:val="en-US" w:eastAsia="zh-CN"/>
              </w:rPr>
              <w:t>2台</w:t>
            </w:r>
          </w:p>
        </w:tc>
        <w:tc>
          <w:tcPr>
            <w:tcW w:w="1097" w:type="dxa"/>
            <w:tcBorders>
              <w:top w:val="single" w:color="auto" w:sz="4" w:space="0"/>
              <w:left w:val="single" w:color="auto" w:sz="4" w:space="0"/>
              <w:bottom w:val="single" w:color="auto" w:sz="4" w:space="0"/>
              <w:right w:val="single" w:color="auto" w:sz="4" w:space="0"/>
            </w:tcBorders>
            <w:noWrap w:val="0"/>
            <w:vAlign w:val="center"/>
          </w:tcPr>
          <w:p w14:paraId="02D646DF">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ascii="宋体" w:hAnsi="宋体"/>
                <w:color w:val="auto"/>
                <w:szCs w:val="21"/>
              </w:rPr>
            </w:pPr>
            <w:r>
              <w:rPr>
                <w:rFonts w:ascii="宋体" w:hAnsi="宋体"/>
                <w:iCs/>
                <w:color w:val="auto"/>
                <w:szCs w:val="21"/>
              </w:rPr>
              <w:sym w:font="Wingdings" w:char="00A8"/>
            </w:r>
          </w:p>
        </w:tc>
        <w:tc>
          <w:tcPr>
            <w:tcW w:w="1066" w:type="dxa"/>
            <w:tcBorders>
              <w:top w:val="single" w:color="auto" w:sz="4" w:space="0"/>
              <w:left w:val="single" w:color="auto" w:sz="4" w:space="0"/>
              <w:bottom w:val="single" w:color="auto" w:sz="4" w:space="0"/>
              <w:right w:val="single" w:color="auto" w:sz="4" w:space="0"/>
            </w:tcBorders>
            <w:noWrap w:val="0"/>
            <w:vAlign w:val="center"/>
          </w:tcPr>
          <w:p w14:paraId="0B317FB0">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ascii="宋体" w:hAnsi="宋体"/>
                <w:color w:val="auto"/>
                <w:szCs w:val="21"/>
              </w:rPr>
            </w:pPr>
            <w:r>
              <w:rPr>
                <w:rFonts w:ascii="宋体" w:hAnsi="宋体"/>
                <w:iCs/>
                <w:color w:val="auto"/>
                <w:szCs w:val="21"/>
              </w:rPr>
              <w:sym w:font="Wingdings" w:char="00A8"/>
            </w:r>
          </w:p>
        </w:tc>
      </w:tr>
      <w:tr w14:paraId="57717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2" w:hRule="atLeast"/>
        </w:trPr>
        <w:tc>
          <w:tcPr>
            <w:tcW w:w="807" w:type="dxa"/>
            <w:noWrap w:val="0"/>
            <w:vAlign w:val="center"/>
          </w:tcPr>
          <w:p w14:paraId="076CAF94">
            <w:pPr>
              <w:keepNext w:val="0"/>
              <w:keepLines w:val="0"/>
              <w:pageBreakBefore w:val="0"/>
              <w:kinsoku/>
              <w:wordWrap/>
              <w:overflowPunct/>
              <w:topLinePunct w:val="0"/>
              <w:autoSpaceDE/>
              <w:autoSpaceDN/>
              <w:bidi w:val="0"/>
              <w:adjustRightInd w:val="0"/>
              <w:snapToGrid w:val="0"/>
              <w:spacing w:before="120" w:beforeLines="50" w:line="400" w:lineRule="exact"/>
              <w:jc w:val="center"/>
              <w:textAlignment w:val="auto"/>
              <w:rPr>
                <w:rFonts w:hint="eastAsia" w:ascii="宋体" w:hAnsi="宋体"/>
                <w:color w:val="auto"/>
                <w:szCs w:val="21"/>
              </w:rPr>
            </w:pPr>
            <w:r>
              <w:rPr>
                <w:rFonts w:hint="eastAsia" w:ascii="宋体" w:hAnsi="宋体"/>
                <w:color w:val="auto"/>
                <w:szCs w:val="21"/>
              </w:rPr>
              <w:t>3</w:t>
            </w:r>
          </w:p>
        </w:tc>
        <w:tc>
          <w:tcPr>
            <w:tcW w:w="1804" w:type="dxa"/>
            <w:noWrap w:val="0"/>
            <w:vAlign w:val="center"/>
          </w:tcPr>
          <w:p w14:paraId="5EFF916D">
            <w:pPr>
              <w:pStyle w:val="4"/>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宋体" w:hAnsi="宋体" w:eastAsia="宋体" w:cs="Times New Roman"/>
                <w:b w:val="0"/>
                <w:bCs w:val="0"/>
                <w:color w:val="auto"/>
                <w:kern w:val="2"/>
                <w:sz w:val="21"/>
                <w:szCs w:val="21"/>
                <w:lang w:val="en-US" w:eastAsia="zh-CN" w:bidi="ar-SA"/>
              </w:rPr>
            </w:pPr>
            <w:r>
              <w:rPr>
                <w:rFonts w:hint="eastAsia" w:ascii="宋体" w:hAnsi="宋体" w:eastAsia="宋体" w:cs="Times New Roman"/>
                <w:b w:val="0"/>
                <w:bCs w:val="0"/>
                <w:color w:val="auto"/>
                <w:kern w:val="2"/>
                <w:sz w:val="21"/>
                <w:szCs w:val="21"/>
                <w:lang w:val="en-US" w:eastAsia="zh-CN" w:bidi="ar-SA"/>
              </w:rPr>
              <w:t>医用纯水机</w:t>
            </w:r>
          </w:p>
        </w:tc>
        <w:tc>
          <w:tcPr>
            <w:tcW w:w="2633" w:type="dxa"/>
            <w:noWrap w:val="0"/>
            <w:vAlign w:val="center"/>
          </w:tcPr>
          <w:p w14:paraId="31DB18D3">
            <w:pPr>
              <w:keepNext w:val="0"/>
              <w:keepLines w:val="0"/>
              <w:pageBreakBefore w:val="0"/>
              <w:kinsoku/>
              <w:wordWrap/>
              <w:overflowPunct/>
              <w:topLinePunct w:val="0"/>
              <w:autoSpaceDE/>
              <w:autoSpaceDN/>
              <w:bidi w:val="0"/>
              <w:adjustRightInd w:val="0"/>
              <w:snapToGrid w:val="0"/>
              <w:spacing w:before="120" w:beforeLines="50" w:line="400" w:lineRule="exact"/>
              <w:jc w:val="left"/>
              <w:textAlignment w:val="auto"/>
              <w:rPr>
                <w:rFonts w:hint="eastAsia" w:ascii="宋体" w:hAnsi="宋体" w:eastAsia="宋体" w:cs="Times New Roman"/>
                <w:color w:val="auto"/>
                <w:szCs w:val="21"/>
              </w:rPr>
            </w:pPr>
            <w:r>
              <w:rPr>
                <w:rFonts w:hint="eastAsia" w:ascii="宋体" w:hAnsi="宋体" w:eastAsia="宋体" w:cs="Times New Roman"/>
                <w:color w:val="auto"/>
                <w:szCs w:val="21"/>
                <w:lang w:val="en-US" w:eastAsia="zh-CN"/>
              </w:rPr>
              <w:t>医用纯水机1套</w:t>
            </w:r>
            <w:r>
              <w:rPr>
                <w:rFonts w:hint="eastAsia" w:ascii="宋体" w:hAnsi="宋体" w:eastAsia="宋体" w:cs="Times New Roman"/>
                <w:color w:val="auto"/>
                <w:szCs w:val="21"/>
              </w:rPr>
              <w:t>，具体详见本章第二节技术要求。</w:t>
            </w:r>
          </w:p>
        </w:tc>
        <w:tc>
          <w:tcPr>
            <w:tcW w:w="1530" w:type="dxa"/>
            <w:noWrap w:val="0"/>
            <w:vAlign w:val="center"/>
          </w:tcPr>
          <w:p w14:paraId="11FC1E29">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olor w:val="auto"/>
                <w:szCs w:val="21"/>
              </w:rPr>
            </w:pPr>
            <w:r>
              <w:rPr>
                <w:rFonts w:hint="eastAsia" w:ascii="宋体" w:hAnsi="宋体" w:eastAsia="宋体" w:cs="宋体"/>
                <w:color w:val="auto"/>
                <w:kern w:val="0"/>
                <w:sz w:val="21"/>
                <w:szCs w:val="21"/>
                <w:lang w:val="en-US" w:eastAsia="zh-CN"/>
              </w:rPr>
              <w:t>1套</w:t>
            </w:r>
          </w:p>
        </w:tc>
        <w:tc>
          <w:tcPr>
            <w:tcW w:w="1097" w:type="dxa"/>
            <w:noWrap w:val="0"/>
            <w:vAlign w:val="center"/>
          </w:tcPr>
          <w:p w14:paraId="32AE76DF">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ascii="宋体" w:hAnsi="宋体"/>
                <w:color w:val="auto"/>
                <w:szCs w:val="21"/>
              </w:rPr>
            </w:pPr>
            <w:r>
              <w:rPr>
                <w:rFonts w:ascii="宋体" w:hAnsi="宋体"/>
                <w:iCs/>
                <w:color w:val="auto"/>
                <w:szCs w:val="21"/>
              </w:rPr>
              <w:sym w:font="Wingdings" w:char="00A8"/>
            </w:r>
          </w:p>
        </w:tc>
        <w:tc>
          <w:tcPr>
            <w:tcW w:w="1066" w:type="dxa"/>
            <w:noWrap w:val="0"/>
            <w:vAlign w:val="center"/>
          </w:tcPr>
          <w:p w14:paraId="17AE849A">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ascii="宋体" w:hAnsi="宋体"/>
                <w:color w:val="auto"/>
                <w:szCs w:val="21"/>
              </w:rPr>
            </w:pPr>
            <w:r>
              <w:rPr>
                <w:rFonts w:ascii="宋体" w:hAnsi="宋体"/>
                <w:iCs/>
                <w:color w:val="auto"/>
                <w:szCs w:val="21"/>
              </w:rPr>
              <w:sym w:font="Wingdings" w:char="00A8"/>
            </w:r>
          </w:p>
        </w:tc>
      </w:tr>
      <w:tr w14:paraId="2D579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3" w:hRule="atLeast"/>
        </w:trPr>
        <w:tc>
          <w:tcPr>
            <w:tcW w:w="807" w:type="dxa"/>
            <w:noWrap w:val="0"/>
            <w:vAlign w:val="center"/>
          </w:tcPr>
          <w:p w14:paraId="0E1ADBAE">
            <w:pPr>
              <w:keepNext w:val="0"/>
              <w:keepLines w:val="0"/>
              <w:pageBreakBefore w:val="0"/>
              <w:kinsoku/>
              <w:wordWrap/>
              <w:overflowPunct/>
              <w:topLinePunct w:val="0"/>
              <w:autoSpaceDE/>
              <w:autoSpaceDN/>
              <w:bidi w:val="0"/>
              <w:adjustRightInd w:val="0"/>
              <w:snapToGrid w:val="0"/>
              <w:spacing w:before="120" w:beforeLines="50" w:line="400" w:lineRule="exact"/>
              <w:jc w:val="center"/>
              <w:textAlignment w:val="auto"/>
              <w:rPr>
                <w:rFonts w:hint="eastAsia" w:ascii="宋体" w:hAnsi="宋体"/>
                <w:color w:val="auto"/>
                <w:szCs w:val="21"/>
              </w:rPr>
            </w:pPr>
            <w:r>
              <w:rPr>
                <w:rFonts w:hint="eastAsia" w:ascii="宋体" w:hAnsi="宋体"/>
                <w:color w:val="auto"/>
                <w:szCs w:val="21"/>
              </w:rPr>
              <w:t>4</w:t>
            </w:r>
          </w:p>
        </w:tc>
        <w:tc>
          <w:tcPr>
            <w:tcW w:w="1804" w:type="dxa"/>
            <w:noWrap w:val="0"/>
            <w:vAlign w:val="center"/>
          </w:tcPr>
          <w:p w14:paraId="72C2B603">
            <w:pPr>
              <w:pStyle w:val="4"/>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宋体" w:hAnsi="宋体" w:eastAsia="宋体" w:cs="Times New Roman"/>
                <w:b w:val="0"/>
                <w:bCs w:val="0"/>
                <w:color w:val="auto"/>
                <w:kern w:val="2"/>
                <w:sz w:val="21"/>
                <w:szCs w:val="21"/>
                <w:lang w:val="en-US" w:eastAsia="zh-CN" w:bidi="ar-SA"/>
              </w:rPr>
            </w:pPr>
            <w:r>
              <w:rPr>
                <w:rFonts w:hint="eastAsia" w:ascii="宋体" w:hAnsi="宋体" w:eastAsia="宋体" w:cs="Times New Roman"/>
                <w:b w:val="0"/>
                <w:bCs w:val="0"/>
                <w:color w:val="auto"/>
                <w:kern w:val="2"/>
                <w:sz w:val="21"/>
                <w:szCs w:val="21"/>
                <w:lang w:val="en-US" w:eastAsia="zh-CN" w:bidi="ar-SA"/>
              </w:rPr>
              <w:t>大功率电蒸汽发生器</w:t>
            </w:r>
          </w:p>
        </w:tc>
        <w:tc>
          <w:tcPr>
            <w:tcW w:w="2633" w:type="dxa"/>
            <w:noWrap w:val="0"/>
            <w:vAlign w:val="top"/>
          </w:tcPr>
          <w:p w14:paraId="006927B7">
            <w:pPr>
              <w:keepNext w:val="0"/>
              <w:keepLines w:val="0"/>
              <w:pageBreakBefore w:val="0"/>
              <w:kinsoku/>
              <w:wordWrap/>
              <w:overflowPunct/>
              <w:topLinePunct w:val="0"/>
              <w:autoSpaceDE/>
              <w:autoSpaceDN/>
              <w:bidi w:val="0"/>
              <w:adjustRightInd w:val="0"/>
              <w:snapToGrid w:val="0"/>
              <w:spacing w:before="120" w:beforeLines="50" w:line="400" w:lineRule="exact"/>
              <w:jc w:val="left"/>
              <w:textAlignment w:val="auto"/>
              <w:rPr>
                <w:rFonts w:hint="eastAsia" w:ascii="宋体" w:hAnsi="宋体" w:eastAsia="宋体" w:cs="Times New Roman"/>
                <w:color w:val="auto"/>
                <w:szCs w:val="21"/>
              </w:rPr>
            </w:pPr>
            <w:r>
              <w:rPr>
                <w:rFonts w:hint="eastAsia" w:ascii="宋体" w:hAnsi="宋体" w:eastAsia="宋体" w:cs="Times New Roman"/>
                <w:color w:val="auto"/>
                <w:szCs w:val="21"/>
                <w:lang w:val="en-US" w:eastAsia="zh-CN"/>
              </w:rPr>
              <w:t>大功率电蒸汽发生器3台</w:t>
            </w:r>
            <w:r>
              <w:rPr>
                <w:rFonts w:hint="eastAsia" w:ascii="宋体" w:hAnsi="宋体" w:eastAsia="宋体" w:cs="Times New Roman"/>
                <w:color w:val="auto"/>
                <w:szCs w:val="21"/>
              </w:rPr>
              <w:t>，具体详见本章第二节技术要求。</w:t>
            </w:r>
          </w:p>
        </w:tc>
        <w:tc>
          <w:tcPr>
            <w:tcW w:w="1530" w:type="dxa"/>
            <w:noWrap w:val="0"/>
            <w:vAlign w:val="center"/>
          </w:tcPr>
          <w:p w14:paraId="6849488B">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eastAsia="宋体"/>
                <w:color w:val="auto"/>
                <w:szCs w:val="21"/>
                <w:lang w:val="en-US" w:eastAsia="zh-CN"/>
              </w:rPr>
            </w:pPr>
            <w:r>
              <w:rPr>
                <w:rFonts w:hint="eastAsia" w:ascii="宋体" w:hAnsi="宋体"/>
                <w:color w:val="auto"/>
                <w:szCs w:val="21"/>
                <w:lang w:val="en-US" w:eastAsia="zh-CN"/>
              </w:rPr>
              <w:t>3台</w:t>
            </w:r>
          </w:p>
        </w:tc>
        <w:tc>
          <w:tcPr>
            <w:tcW w:w="1097" w:type="dxa"/>
            <w:noWrap w:val="0"/>
            <w:vAlign w:val="center"/>
          </w:tcPr>
          <w:p w14:paraId="1949A6E1">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ascii="宋体" w:hAnsi="宋体"/>
                <w:color w:val="auto"/>
                <w:szCs w:val="21"/>
              </w:rPr>
            </w:pPr>
            <w:r>
              <w:rPr>
                <w:rFonts w:ascii="宋体" w:hAnsi="宋体"/>
                <w:iCs/>
                <w:color w:val="auto"/>
                <w:szCs w:val="21"/>
              </w:rPr>
              <w:sym w:font="Wingdings" w:char="00A8"/>
            </w:r>
          </w:p>
        </w:tc>
        <w:tc>
          <w:tcPr>
            <w:tcW w:w="1066" w:type="dxa"/>
            <w:noWrap w:val="0"/>
            <w:vAlign w:val="center"/>
          </w:tcPr>
          <w:p w14:paraId="7B3D0D64">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ascii="宋体" w:hAnsi="宋体"/>
                <w:color w:val="auto"/>
                <w:szCs w:val="21"/>
              </w:rPr>
            </w:pPr>
            <w:r>
              <w:rPr>
                <w:rFonts w:ascii="宋体" w:hAnsi="宋体"/>
                <w:iCs/>
                <w:color w:val="auto"/>
                <w:szCs w:val="21"/>
              </w:rPr>
              <w:sym w:font="Wingdings" w:char="00A8"/>
            </w:r>
          </w:p>
        </w:tc>
      </w:tr>
      <w:tr w14:paraId="3302D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46" w:hRule="atLeast"/>
        </w:trPr>
        <w:tc>
          <w:tcPr>
            <w:tcW w:w="807" w:type="dxa"/>
            <w:noWrap w:val="0"/>
            <w:vAlign w:val="center"/>
          </w:tcPr>
          <w:p w14:paraId="050F8B12">
            <w:pPr>
              <w:keepNext w:val="0"/>
              <w:keepLines w:val="0"/>
              <w:pageBreakBefore w:val="0"/>
              <w:kinsoku/>
              <w:wordWrap/>
              <w:overflowPunct/>
              <w:topLinePunct w:val="0"/>
              <w:autoSpaceDE/>
              <w:autoSpaceDN/>
              <w:bidi w:val="0"/>
              <w:adjustRightInd w:val="0"/>
              <w:snapToGrid w:val="0"/>
              <w:spacing w:before="120" w:beforeLines="50" w:line="400" w:lineRule="exact"/>
              <w:jc w:val="center"/>
              <w:textAlignment w:val="auto"/>
              <w:rPr>
                <w:rFonts w:hint="eastAsia" w:ascii="宋体" w:hAnsi="宋体" w:eastAsia="宋体"/>
                <w:color w:val="auto"/>
                <w:szCs w:val="21"/>
                <w:lang w:val="en-US" w:eastAsia="zh-CN"/>
              </w:rPr>
            </w:pPr>
            <w:r>
              <w:rPr>
                <w:rFonts w:hint="eastAsia" w:ascii="宋体" w:hAnsi="宋体"/>
                <w:color w:val="auto"/>
                <w:szCs w:val="21"/>
                <w:lang w:val="en-US" w:eastAsia="zh-CN"/>
              </w:rPr>
              <w:t>5</w:t>
            </w:r>
          </w:p>
        </w:tc>
        <w:tc>
          <w:tcPr>
            <w:tcW w:w="1804" w:type="dxa"/>
            <w:noWrap w:val="0"/>
            <w:vAlign w:val="center"/>
          </w:tcPr>
          <w:p w14:paraId="13A494A8">
            <w:pPr>
              <w:pStyle w:val="4"/>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宋体" w:hAnsi="宋体" w:eastAsia="宋体" w:cs="Times New Roman"/>
                <w:b w:val="0"/>
                <w:bCs w:val="0"/>
                <w:color w:val="auto"/>
                <w:kern w:val="2"/>
                <w:sz w:val="21"/>
                <w:szCs w:val="21"/>
                <w:lang w:val="en-US" w:eastAsia="zh-CN" w:bidi="ar-SA"/>
              </w:rPr>
            </w:pPr>
            <w:r>
              <w:rPr>
                <w:rFonts w:hint="eastAsia" w:ascii="宋体" w:hAnsi="宋体" w:eastAsia="宋体" w:cs="Times New Roman"/>
                <w:b w:val="0"/>
                <w:bCs w:val="0"/>
                <w:color w:val="auto"/>
                <w:kern w:val="2"/>
                <w:sz w:val="21"/>
                <w:szCs w:val="21"/>
                <w:lang w:val="en-US" w:eastAsia="zh-CN" w:bidi="ar-SA"/>
              </w:rPr>
              <w:t>不锈钢器械清洗池</w:t>
            </w:r>
          </w:p>
        </w:tc>
        <w:tc>
          <w:tcPr>
            <w:tcW w:w="2633" w:type="dxa"/>
            <w:noWrap w:val="0"/>
            <w:vAlign w:val="top"/>
          </w:tcPr>
          <w:p w14:paraId="2F2F8775">
            <w:pPr>
              <w:keepNext w:val="0"/>
              <w:keepLines w:val="0"/>
              <w:pageBreakBefore w:val="0"/>
              <w:kinsoku/>
              <w:wordWrap/>
              <w:overflowPunct/>
              <w:topLinePunct w:val="0"/>
              <w:autoSpaceDE/>
              <w:autoSpaceDN/>
              <w:bidi w:val="0"/>
              <w:adjustRightInd w:val="0"/>
              <w:snapToGrid w:val="0"/>
              <w:spacing w:before="120" w:beforeLines="50" w:line="400" w:lineRule="exact"/>
              <w:jc w:val="left"/>
              <w:textAlignment w:val="auto"/>
              <w:rPr>
                <w:rFonts w:hint="eastAsia" w:ascii="宋体" w:hAnsi="宋体" w:eastAsia="宋体" w:cs="Times New Roman"/>
                <w:color w:val="auto"/>
                <w:szCs w:val="21"/>
              </w:rPr>
            </w:pPr>
            <w:r>
              <w:rPr>
                <w:rFonts w:hint="eastAsia" w:ascii="宋体" w:hAnsi="宋体" w:eastAsia="宋体" w:cs="Times New Roman"/>
                <w:color w:val="auto"/>
                <w:szCs w:val="21"/>
                <w:lang w:val="en-US" w:eastAsia="zh-CN"/>
              </w:rPr>
              <w:t>不锈钢器械清洗池1套</w:t>
            </w:r>
            <w:r>
              <w:rPr>
                <w:rFonts w:hint="eastAsia" w:ascii="宋体" w:hAnsi="宋体" w:eastAsia="宋体" w:cs="Times New Roman"/>
                <w:color w:val="auto"/>
                <w:szCs w:val="21"/>
              </w:rPr>
              <w:t>，具体详见本章第二节技术要求。</w:t>
            </w:r>
          </w:p>
        </w:tc>
        <w:tc>
          <w:tcPr>
            <w:tcW w:w="1530" w:type="dxa"/>
            <w:noWrap w:val="0"/>
            <w:vAlign w:val="center"/>
          </w:tcPr>
          <w:p w14:paraId="6EEF1AC0">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eastAsia" w:ascii="宋体" w:hAnsi="宋体"/>
                <w:color w:val="auto"/>
                <w:szCs w:val="21"/>
              </w:rPr>
            </w:pPr>
            <w:r>
              <w:rPr>
                <w:rFonts w:hint="eastAsia" w:ascii="宋体" w:hAnsi="宋体" w:eastAsia="宋体" w:cs="宋体"/>
                <w:color w:val="auto"/>
                <w:kern w:val="0"/>
                <w:sz w:val="21"/>
                <w:szCs w:val="21"/>
                <w:lang w:val="en-US" w:eastAsia="zh-CN"/>
              </w:rPr>
              <w:t>1套</w:t>
            </w:r>
          </w:p>
        </w:tc>
        <w:tc>
          <w:tcPr>
            <w:tcW w:w="1097" w:type="dxa"/>
            <w:noWrap w:val="0"/>
            <w:vAlign w:val="center"/>
          </w:tcPr>
          <w:p w14:paraId="7BA26984">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ascii="宋体" w:hAnsi="宋体"/>
                <w:iCs/>
                <w:color w:val="auto"/>
                <w:szCs w:val="21"/>
              </w:rPr>
            </w:pPr>
          </w:p>
        </w:tc>
        <w:tc>
          <w:tcPr>
            <w:tcW w:w="1066" w:type="dxa"/>
            <w:noWrap w:val="0"/>
            <w:vAlign w:val="center"/>
          </w:tcPr>
          <w:p w14:paraId="02EA6B36">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ascii="宋体" w:hAnsi="宋体"/>
                <w:iCs/>
                <w:color w:val="auto"/>
                <w:szCs w:val="21"/>
              </w:rPr>
            </w:pPr>
          </w:p>
        </w:tc>
      </w:tr>
    </w:tbl>
    <w:p w14:paraId="19FC7052">
      <w:pPr>
        <w:adjustRightInd w:val="0"/>
        <w:snapToGrid w:val="0"/>
        <w:spacing w:before="120" w:beforeLines="50" w:line="360" w:lineRule="auto"/>
        <w:ind w:firstLine="420" w:firstLineChars="200"/>
        <w:rPr>
          <w:rFonts w:hint="eastAsia" w:ascii="宋体" w:hAnsi="宋体" w:eastAsia="宋体" w:cs="Times New Roman"/>
          <w:color w:val="auto"/>
          <w:szCs w:val="21"/>
        </w:rPr>
      </w:pPr>
      <w:r>
        <w:rPr>
          <w:rFonts w:hint="eastAsia" w:ascii="宋体" w:hAnsi="宋体" w:eastAsia="宋体" w:cs="Times New Roman"/>
          <w:color w:val="auto"/>
          <w:szCs w:val="21"/>
        </w:rPr>
        <w:t>注:(1)投标人须对以上内容同时进行投标，不得拆分，否则其投标将被否决。</w:t>
      </w:r>
    </w:p>
    <w:p w14:paraId="2CD0F64C">
      <w:pPr>
        <w:adjustRightInd w:val="0"/>
        <w:snapToGrid w:val="0"/>
        <w:spacing w:before="120" w:beforeLines="50" w:line="360" w:lineRule="auto"/>
        <w:ind w:firstLine="630" w:firstLineChars="300"/>
        <w:rPr>
          <w:rFonts w:hint="eastAsia" w:ascii="宋体" w:hAnsi="宋体" w:eastAsia="宋体" w:cs="Times New Roman"/>
          <w:color w:val="auto"/>
          <w:szCs w:val="21"/>
        </w:rPr>
      </w:pPr>
      <w:r>
        <w:rPr>
          <w:rFonts w:hint="eastAsia" w:ascii="宋体" w:hAnsi="宋体" w:eastAsia="宋体" w:cs="Times New Roman"/>
          <w:color w:val="auto"/>
          <w:szCs w:val="21"/>
        </w:rPr>
        <w:t>(2)各投标人投标报价不得超过招标文件中规定的最高限价，否则其投标将被否决。</w:t>
      </w:r>
    </w:p>
    <w:p w14:paraId="0F70CBE2">
      <w:pPr>
        <w:adjustRightInd w:val="0"/>
        <w:snapToGrid w:val="0"/>
        <w:spacing w:before="120" w:beforeLines="50" w:line="360" w:lineRule="auto"/>
        <w:ind w:firstLine="630" w:firstLineChars="300"/>
        <w:rPr>
          <w:rFonts w:ascii="宋体" w:hAnsi="宋体" w:cs="宋体"/>
          <w:color w:val="auto"/>
          <w:kern w:val="0"/>
          <w:szCs w:val="21"/>
        </w:rPr>
      </w:pPr>
      <w:r>
        <w:rPr>
          <w:rFonts w:hint="eastAsia" w:ascii="宋体" w:hAnsi="宋体" w:eastAsia="宋体" w:cs="Times New Roman"/>
          <w:color w:val="auto"/>
          <w:szCs w:val="21"/>
        </w:rPr>
        <w:t>(3)</w:t>
      </w:r>
      <w:r>
        <w:rPr>
          <w:rFonts w:hint="eastAsia" w:ascii="宋体" w:hAnsi="宋体"/>
          <w:color w:val="auto"/>
          <w:szCs w:val="21"/>
        </w:rPr>
        <w:t>货物的主要技术要求或内容：</w:t>
      </w:r>
      <w:r>
        <w:rPr>
          <w:rFonts w:ascii="宋体" w:hAnsi="宋体" w:cs="宋体"/>
          <w:color w:val="auto"/>
          <w:kern w:val="0"/>
          <w:szCs w:val="21"/>
        </w:rPr>
        <w:t>详见“技术要求”中的具体</w:t>
      </w:r>
      <w:r>
        <w:rPr>
          <w:rFonts w:hint="eastAsia" w:ascii="宋体" w:hAnsi="宋体" w:cs="宋体"/>
          <w:color w:val="auto"/>
          <w:kern w:val="0"/>
          <w:szCs w:val="21"/>
        </w:rPr>
        <w:t>服务</w:t>
      </w:r>
      <w:r>
        <w:rPr>
          <w:rFonts w:ascii="宋体" w:hAnsi="宋体" w:cs="宋体"/>
          <w:color w:val="auto"/>
          <w:kern w:val="0"/>
          <w:szCs w:val="21"/>
        </w:rPr>
        <w:t>要求</w:t>
      </w:r>
      <w:r>
        <w:rPr>
          <w:rFonts w:hint="eastAsia" w:ascii="宋体" w:hAnsi="宋体" w:cs="宋体"/>
          <w:color w:val="auto"/>
          <w:kern w:val="0"/>
          <w:szCs w:val="21"/>
        </w:rPr>
        <w:t>。</w:t>
      </w:r>
    </w:p>
    <w:p w14:paraId="3B4CD0B5">
      <w:pPr>
        <w:adjustRightInd w:val="0"/>
        <w:snapToGrid w:val="0"/>
        <w:spacing w:before="120" w:beforeLines="50" w:line="360" w:lineRule="auto"/>
        <w:ind w:firstLine="420" w:firstLineChars="200"/>
        <w:rPr>
          <w:rFonts w:ascii="宋体" w:hAnsi="宋体" w:cs="宋体"/>
          <w:color w:val="auto"/>
          <w:kern w:val="0"/>
          <w:szCs w:val="21"/>
        </w:rPr>
      </w:pPr>
      <w:r>
        <w:rPr>
          <w:rFonts w:hint="eastAsia" w:ascii="宋体" w:hAnsi="宋体" w:cs="宋体"/>
          <w:bCs/>
          <w:color w:val="auto"/>
          <w:kern w:val="0"/>
          <w:szCs w:val="21"/>
          <w:lang w:eastAsia="zh-CN"/>
        </w:rPr>
        <w:t>（</w:t>
      </w:r>
      <w:r>
        <w:rPr>
          <w:rFonts w:hint="eastAsia" w:ascii="宋体" w:hAnsi="宋体" w:cs="宋体"/>
          <w:bCs/>
          <w:color w:val="auto"/>
          <w:kern w:val="0"/>
          <w:szCs w:val="21"/>
          <w:lang w:val="en-US" w:eastAsia="zh-CN"/>
        </w:rPr>
        <w:t>4）</w:t>
      </w:r>
      <w:r>
        <w:rPr>
          <w:rFonts w:hint="eastAsia" w:ascii="宋体" w:hAnsi="宋体" w:cs="宋体"/>
          <w:bCs/>
          <w:color w:val="auto"/>
          <w:kern w:val="0"/>
          <w:szCs w:val="21"/>
        </w:rPr>
        <w:t>投标人应</w:t>
      </w:r>
      <w:r>
        <w:rPr>
          <w:rFonts w:hint="eastAsia" w:ascii="宋体" w:hAnsi="宋体" w:cs="宋体"/>
          <w:color w:val="auto"/>
          <w:kern w:val="0"/>
          <w:szCs w:val="21"/>
        </w:rPr>
        <w:t>在投标文件《分项报价明细表》中按</w:t>
      </w:r>
      <w:r>
        <w:rPr>
          <w:rFonts w:hint="eastAsia" w:ascii="宋体" w:hAnsi="宋体"/>
          <w:color w:val="auto"/>
          <w:szCs w:val="21"/>
        </w:rPr>
        <w:t>标的名称</w:t>
      </w:r>
      <w:r>
        <w:rPr>
          <w:rFonts w:hint="eastAsia" w:ascii="宋体" w:hAnsi="宋体" w:cs="宋体"/>
          <w:color w:val="auto"/>
          <w:kern w:val="0"/>
          <w:szCs w:val="21"/>
        </w:rPr>
        <w:t>顺序逐项填写，且每个标的中的条目均需按招标文件规定报价。如有缺项、漏项，其</w:t>
      </w:r>
      <w:r>
        <w:rPr>
          <w:rFonts w:hint="eastAsia" w:ascii="宋体" w:hAnsi="宋体" w:cs="宋体"/>
          <w:b/>
          <w:color w:val="auto"/>
          <w:kern w:val="0"/>
          <w:szCs w:val="21"/>
        </w:rPr>
        <w:t>投标无效</w:t>
      </w:r>
      <w:r>
        <w:rPr>
          <w:rFonts w:hint="eastAsia" w:ascii="宋体" w:hAnsi="宋体" w:cs="宋体"/>
          <w:color w:val="auto"/>
          <w:kern w:val="0"/>
          <w:szCs w:val="21"/>
        </w:rPr>
        <w:t>。</w:t>
      </w:r>
    </w:p>
    <w:p w14:paraId="0D5D566E">
      <w:pPr>
        <w:adjustRightInd w:val="0"/>
        <w:snapToGrid w:val="0"/>
        <w:spacing w:before="120" w:beforeLines="50" w:line="360" w:lineRule="auto"/>
        <w:ind w:firstLine="630" w:firstLineChars="300"/>
        <w:rPr>
          <w:rFonts w:hint="eastAsia" w:ascii="宋体" w:hAnsi="宋体" w:eastAsia="宋体" w:cs="Times New Roman"/>
          <w:color w:val="auto"/>
          <w:szCs w:val="21"/>
        </w:rPr>
      </w:pPr>
    </w:p>
    <w:p w14:paraId="37EEA197">
      <w:pPr>
        <w:pStyle w:val="7"/>
        <w:rPr>
          <w:rFonts w:hint="eastAsia" w:ascii="宋体" w:hAnsi="宋体"/>
          <w:color w:val="auto"/>
          <w:szCs w:val="21"/>
        </w:rPr>
      </w:pPr>
    </w:p>
    <w:p w14:paraId="67813B32">
      <w:pPr>
        <w:pStyle w:val="7"/>
        <w:rPr>
          <w:rFonts w:hint="eastAsia" w:ascii="宋体" w:hAnsi="宋体"/>
          <w:color w:val="auto"/>
          <w:szCs w:val="21"/>
        </w:rPr>
      </w:pPr>
    </w:p>
    <w:p w14:paraId="05076652">
      <w:pPr>
        <w:pStyle w:val="3"/>
        <w:adjustRightInd w:val="0"/>
        <w:snapToGrid w:val="0"/>
        <w:spacing w:before="120" w:beforeLines="50"/>
        <w:jc w:val="center"/>
        <w:rPr>
          <w:rFonts w:hint="eastAsia" w:ascii="宋体" w:hAnsi="宋体"/>
          <w:b w:val="0"/>
          <w:bCs w:val="0"/>
          <w:color w:val="auto"/>
          <w:szCs w:val="21"/>
        </w:rPr>
      </w:pPr>
      <w:bookmarkStart w:id="1" w:name="_Toc13301"/>
      <w:r>
        <w:rPr>
          <w:rFonts w:hint="eastAsia" w:ascii="黑体" w:hAnsi="黑体" w:eastAsia="黑体"/>
          <w:color w:val="auto"/>
          <w:sz w:val="28"/>
          <w:szCs w:val="28"/>
        </w:rPr>
        <w:t xml:space="preserve">第二节 </w:t>
      </w:r>
      <w:r>
        <w:rPr>
          <w:rFonts w:ascii="黑体" w:hAnsi="黑体" w:eastAsia="黑体"/>
          <w:color w:val="auto"/>
          <w:sz w:val="28"/>
          <w:szCs w:val="28"/>
        </w:rPr>
        <w:t>技术要</w:t>
      </w:r>
      <w:bookmarkEnd w:id="1"/>
      <w:r>
        <w:rPr>
          <w:rFonts w:ascii="黑体" w:hAnsi="黑体" w:eastAsia="黑体"/>
          <w:color w:val="auto"/>
          <w:sz w:val="28"/>
          <w:szCs w:val="28"/>
        </w:rPr>
        <w:t>求</w:t>
      </w:r>
      <w:bookmarkStart w:id="2" w:name="_Toc430953303"/>
      <w:bookmarkStart w:id="3" w:name="_Toc119401544"/>
    </w:p>
    <w:bookmarkEnd w:id="2"/>
    <w:bookmarkEnd w:id="3"/>
    <w:p w14:paraId="114F347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b/>
          <w:bCs/>
          <w:color w:val="auto"/>
          <w:lang w:eastAsia="zh-CN"/>
        </w:rPr>
      </w:pPr>
      <w:r>
        <w:rPr>
          <w:rFonts w:hint="eastAsia" w:ascii="宋体" w:hAnsi="宋体"/>
          <w:b/>
          <w:bCs/>
          <w:color w:val="auto"/>
          <w:szCs w:val="21"/>
          <w:lang w:val="en-US" w:eastAsia="zh-CN"/>
        </w:rPr>
        <w:t>一</w:t>
      </w:r>
      <w:r>
        <w:rPr>
          <w:rFonts w:hint="eastAsia"/>
          <w:b/>
          <w:bCs/>
          <w:color w:val="auto"/>
        </w:rPr>
        <w:t>、采购清单及技术参数要求</w:t>
      </w:r>
      <w:bookmarkStart w:id="4" w:name="_Toc3995"/>
      <w:r>
        <w:rPr>
          <w:rFonts w:hint="eastAsia"/>
          <w:b/>
          <w:bCs/>
          <w:color w:val="auto"/>
          <w:lang w:eastAsia="zh-CN"/>
        </w:rPr>
        <w:t>：</w:t>
      </w:r>
    </w:p>
    <w:p w14:paraId="22505C21">
      <w:pPr>
        <w:pStyle w:val="3"/>
        <w:keepNext w:val="0"/>
        <w:keepLines w:val="0"/>
        <w:pageBreakBefore w:val="0"/>
        <w:widowControl/>
        <w:suppressLineNumbers w:val="0"/>
        <w:shd w:val="clear" w:color="auto" w:fill="FFFFFF"/>
        <w:kinsoku/>
        <w:wordWrap/>
        <w:overflowPunct/>
        <w:topLinePunct w:val="0"/>
        <w:autoSpaceDE/>
        <w:autoSpaceDN/>
        <w:bidi w:val="0"/>
        <w:adjustRightInd/>
        <w:snapToGrid/>
        <w:spacing w:before="240" w:beforeAutospacing="0" w:after="240" w:afterAutospacing="0" w:line="240" w:lineRule="auto"/>
        <w:ind w:left="0" w:right="0" w:firstLine="0"/>
        <w:textAlignment w:val="auto"/>
        <w:rPr>
          <w:rFonts w:hint="eastAsia" w:ascii="宋体" w:hAnsi="宋体" w:eastAsia="宋体" w:cs="宋体"/>
          <w:b w:val="0"/>
          <w:bCs w:val="0"/>
          <w:caps w:val="0"/>
          <w:color w:val="auto"/>
          <w:spacing w:val="0"/>
          <w:sz w:val="21"/>
          <w:szCs w:val="21"/>
          <w:lang w:val="en-US" w:eastAsia="zh-CN"/>
        </w:rPr>
      </w:pPr>
      <w:r>
        <w:rPr>
          <w:rFonts w:hint="eastAsia" w:ascii="宋体" w:hAnsi="宋体" w:eastAsia="宋体" w:cs="宋体"/>
          <w:b w:val="0"/>
          <w:bCs w:val="0"/>
          <w:caps w:val="0"/>
          <w:color w:val="auto"/>
          <w:spacing w:val="0"/>
          <w:sz w:val="21"/>
          <w:szCs w:val="21"/>
          <w:shd w:val="clear" w:color="auto" w:fill="FFFFFF"/>
          <w:lang w:eastAsia="zh-CN"/>
        </w:rPr>
        <w:t>（</w:t>
      </w:r>
      <w:r>
        <w:rPr>
          <w:rFonts w:hint="eastAsia" w:ascii="宋体" w:hAnsi="宋体" w:eastAsia="宋体" w:cs="宋体"/>
          <w:b w:val="0"/>
          <w:bCs w:val="0"/>
          <w:caps w:val="0"/>
          <w:color w:val="auto"/>
          <w:spacing w:val="0"/>
          <w:sz w:val="21"/>
          <w:szCs w:val="21"/>
          <w:shd w:val="clear" w:color="auto" w:fill="FFFFFF"/>
        </w:rPr>
        <w:t>一</w:t>
      </w:r>
      <w:r>
        <w:rPr>
          <w:rFonts w:hint="eastAsia" w:ascii="宋体" w:hAnsi="宋体" w:eastAsia="宋体" w:cs="宋体"/>
          <w:b w:val="0"/>
          <w:bCs w:val="0"/>
          <w:caps w:val="0"/>
          <w:color w:val="auto"/>
          <w:spacing w:val="0"/>
          <w:sz w:val="21"/>
          <w:szCs w:val="21"/>
          <w:shd w:val="clear" w:color="auto" w:fill="FFFFFF"/>
          <w:lang w:eastAsia="zh-CN"/>
        </w:rPr>
        <w:t>）</w:t>
      </w:r>
      <w:r>
        <w:rPr>
          <w:rFonts w:hint="eastAsia" w:ascii="宋体" w:hAnsi="宋体" w:eastAsia="宋体" w:cs="宋体"/>
          <w:b w:val="0"/>
          <w:bCs w:val="0"/>
          <w:caps w:val="0"/>
          <w:color w:val="auto"/>
          <w:spacing w:val="0"/>
          <w:sz w:val="21"/>
          <w:szCs w:val="21"/>
          <w:shd w:val="clear" w:color="auto" w:fill="FFFFFF"/>
        </w:rPr>
        <w:t>、全自动脉动真空灭菌器</w:t>
      </w:r>
      <w:r>
        <w:rPr>
          <w:rFonts w:hint="eastAsia" w:ascii="宋体" w:hAnsi="宋体" w:eastAsia="宋体" w:cs="宋体"/>
          <w:b w:val="0"/>
          <w:bCs w:val="0"/>
          <w:caps w:val="0"/>
          <w:color w:val="auto"/>
          <w:spacing w:val="0"/>
          <w:sz w:val="21"/>
          <w:szCs w:val="21"/>
          <w:shd w:val="clear" w:color="auto" w:fill="FFFFFF"/>
          <w:lang w:val="en-US" w:eastAsia="zh-CN"/>
        </w:rPr>
        <w:t>3台</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47"/>
        <w:gridCol w:w="7699"/>
      </w:tblGrid>
      <w:tr w14:paraId="5C63B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2" w:hRule="atLeast"/>
          <w:tblHeader/>
        </w:trPr>
        <w:tc>
          <w:tcPr>
            <w:tcW w:w="847" w:type="dxa"/>
            <w:tcBorders>
              <w:tl2br w:val="nil"/>
              <w:tr2bl w:val="nil"/>
            </w:tcBorders>
            <w:noWrap w:val="0"/>
            <w:tcMar>
              <w:top w:w="0" w:type="dxa"/>
              <w:left w:w="0" w:type="dxa"/>
              <w:bottom w:w="0" w:type="dxa"/>
              <w:right w:w="0" w:type="dxa"/>
            </w:tcMar>
            <w:vAlign w:val="center"/>
          </w:tcPr>
          <w:p w14:paraId="031BA91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序号</w:t>
            </w:r>
          </w:p>
        </w:tc>
        <w:tc>
          <w:tcPr>
            <w:tcW w:w="7699" w:type="dxa"/>
            <w:tcBorders>
              <w:tl2br w:val="nil"/>
              <w:tr2bl w:val="nil"/>
            </w:tcBorders>
            <w:noWrap w:val="0"/>
            <w:tcMar>
              <w:top w:w="150" w:type="dxa"/>
              <w:left w:w="240" w:type="dxa"/>
              <w:bottom w:w="150" w:type="dxa"/>
              <w:right w:w="240" w:type="dxa"/>
            </w:tcMar>
            <w:vAlign w:val="center"/>
          </w:tcPr>
          <w:p w14:paraId="5749719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技术参数要求</w:t>
            </w:r>
          </w:p>
        </w:tc>
      </w:tr>
      <w:tr w14:paraId="47712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2" w:hRule="atLeast"/>
        </w:trPr>
        <w:tc>
          <w:tcPr>
            <w:tcW w:w="847" w:type="dxa"/>
            <w:tcBorders>
              <w:tl2br w:val="nil"/>
              <w:tr2bl w:val="nil"/>
            </w:tcBorders>
            <w:noWrap w:val="0"/>
            <w:tcMar>
              <w:top w:w="0" w:type="dxa"/>
              <w:left w:w="0" w:type="dxa"/>
              <w:bottom w:w="0" w:type="dxa"/>
              <w:right w:w="0" w:type="dxa"/>
            </w:tcMar>
            <w:vAlign w:val="center"/>
          </w:tcPr>
          <w:p w14:paraId="6A82049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1</w:t>
            </w:r>
          </w:p>
        </w:tc>
        <w:tc>
          <w:tcPr>
            <w:tcW w:w="7699" w:type="dxa"/>
            <w:tcBorders>
              <w:tl2br w:val="nil"/>
              <w:tr2bl w:val="nil"/>
            </w:tcBorders>
            <w:noWrap w:val="0"/>
            <w:tcMar>
              <w:top w:w="0" w:type="dxa"/>
              <w:left w:w="0" w:type="dxa"/>
              <w:bottom w:w="0" w:type="dxa"/>
              <w:right w:w="0" w:type="dxa"/>
            </w:tcMar>
            <w:vAlign w:val="center"/>
          </w:tcPr>
          <w:p w14:paraId="6DDE186C">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容积：≥1500L</w:t>
            </w:r>
          </w:p>
        </w:tc>
      </w:tr>
      <w:tr w14:paraId="01CCA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1" w:hRule="atLeast"/>
        </w:trPr>
        <w:tc>
          <w:tcPr>
            <w:tcW w:w="847" w:type="dxa"/>
            <w:tcBorders>
              <w:tl2br w:val="nil"/>
              <w:tr2bl w:val="nil"/>
            </w:tcBorders>
            <w:noWrap w:val="0"/>
            <w:tcMar>
              <w:top w:w="0" w:type="dxa"/>
              <w:left w:w="0" w:type="dxa"/>
              <w:bottom w:w="0" w:type="dxa"/>
              <w:right w:w="0" w:type="dxa"/>
            </w:tcMar>
            <w:vAlign w:val="center"/>
          </w:tcPr>
          <w:p w14:paraId="4046683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2</w:t>
            </w:r>
          </w:p>
        </w:tc>
        <w:tc>
          <w:tcPr>
            <w:tcW w:w="7699" w:type="dxa"/>
            <w:tcBorders>
              <w:tl2br w:val="nil"/>
              <w:tr2bl w:val="nil"/>
            </w:tcBorders>
            <w:noWrap w:val="0"/>
            <w:tcMar>
              <w:top w:w="0" w:type="dxa"/>
              <w:left w:w="0" w:type="dxa"/>
              <w:bottom w:w="0" w:type="dxa"/>
              <w:right w:w="0" w:type="dxa"/>
            </w:tcMar>
            <w:vAlign w:val="center"/>
          </w:tcPr>
          <w:p w14:paraId="31A9027B">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设计压力范围：最低压力≤-0.1MPa，最高压力≥0.3MPa</w:t>
            </w:r>
          </w:p>
        </w:tc>
      </w:tr>
      <w:tr w14:paraId="7BDEF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9" w:hRule="atLeast"/>
        </w:trPr>
        <w:tc>
          <w:tcPr>
            <w:tcW w:w="847" w:type="dxa"/>
            <w:tcBorders>
              <w:tl2br w:val="nil"/>
              <w:tr2bl w:val="nil"/>
            </w:tcBorders>
            <w:noWrap w:val="0"/>
            <w:tcMar>
              <w:top w:w="0" w:type="dxa"/>
              <w:left w:w="0" w:type="dxa"/>
              <w:bottom w:w="0" w:type="dxa"/>
              <w:right w:w="0" w:type="dxa"/>
            </w:tcMar>
            <w:vAlign w:val="center"/>
          </w:tcPr>
          <w:p w14:paraId="6A9CE15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3</w:t>
            </w:r>
          </w:p>
        </w:tc>
        <w:tc>
          <w:tcPr>
            <w:tcW w:w="7699" w:type="dxa"/>
            <w:tcBorders>
              <w:tl2br w:val="nil"/>
              <w:tr2bl w:val="nil"/>
            </w:tcBorders>
            <w:noWrap w:val="0"/>
            <w:tcMar>
              <w:top w:w="0" w:type="dxa"/>
              <w:left w:w="0" w:type="dxa"/>
              <w:bottom w:w="0" w:type="dxa"/>
              <w:right w:w="0" w:type="dxa"/>
            </w:tcMar>
            <w:vAlign w:val="center"/>
          </w:tcPr>
          <w:p w14:paraId="63FB6912">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主体结构：采用环形加强筋结构，内腔强度和稳定性高；多点进汽、多段加热，利用温度梯度促进内腔蒸汽对流，温度分布均匀；节省蒸汽消耗；整体重量较轻。内壳和夹层材质均为316L不锈钢或更优等级。采用全自动焊接工艺，焊接质量稳定可靠</w:t>
            </w:r>
          </w:p>
        </w:tc>
      </w:tr>
      <w:tr w14:paraId="459AD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4" w:hRule="atLeast"/>
        </w:trPr>
        <w:tc>
          <w:tcPr>
            <w:tcW w:w="847" w:type="dxa"/>
            <w:tcBorders>
              <w:tl2br w:val="nil"/>
              <w:tr2bl w:val="nil"/>
            </w:tcBorders>
            <w:noWrap w:val="0"/>
            <w:tcMar>
              <w:top w:w="0" w:type="dxa"/>
              <w:left w:w="0" w:type="dxa"/>
              <w:bottom w:w="0" w:type="dxa"/>
              <w:right w:w="0" w:type="dxa"/>
            </w:tcMar>
            <w:vAlign w:val="center"/>
          </w:tcPr>
          <w:p w14:paraId="45D7572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4</w:t>
            </w:r>
          </w:p>
        </w:tc>
        <w:tc>
          <w:tcPr>
            <w:tcW w:w="7699" w:type="dxa"/>
            <w:tcBorders>
              <w:tl2br w:val="nil"/>
              <w:tr2bl w:val="nil"/>
            </w:tcBorders>
            <w:noWrap w:val="0"/>
            <w:tcMar>
              <w:top w:w="0" w:type="dxa"/>
              <w:left w:w="0" w:type="dxa"/>
              <w:bottom w:w="0" w:type="dxa"/>
              <w:right w:w="0" w:type="dxa"/>
            </w:tcMar>
            <w:vAlign w:val="center"/>
          </w:tcPr>
          <w:p w14:paraId="40AB323F">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内壳和夹层材质均为316L不锈钢或更优等级</w:t>
            </w:r>
          </w:p>
        </w:tc>
      </w:tr>
      <w:tr w14:paraId="14A53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5" w:hRule="atLeast"/>
        </w:trPr>
        <w:tc>
          <w:tcPr>
            <w:tcW w:w="847" w:type="dxa"/>
            <w:tcBorders>
              <w:tl2br w:val="nil"/>
              <w:tr2bl w:val="nil"/>
            </w:tcBorders>
            <w:noWrap w:val="0"/>
            <w:tcMar>
              <w:top w:w="0" w:type="dxa"/>
              <w:left w:w="0" w:type="dxa"/>
              <w:bottom w:w="0" w:type="dxa"/>
              <w:right w:w="0" w:type="dxa"/>
            </w:tcMar>
            <w:vAlign w:val="center"/>
          </w:tcPr>
          <w:p w14:paraId="7953143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5</w:t>
            </w:r>
          </w:p>
        </w:tc>
        <w:tc>
          <w:tcPr>
            <w:tcW w:w="7699" w:type="dxa"/>
            <w:tcBorders>
              <w:tl2br w:val="nil"/>
              <w:tr2bl w:val="nil"/>
            </w:tcBorders>
            <w:noWrap w:val="0"/>
            <w:tcMar>
              <w:top w:w="0" w:type="dxa"/>
              <w:left w:w="0" w:type="dxa"/>
              <w:bottom w:w="0" w:type="dxa"/>
              <w:right w:w="0" w:type="dxa"/>
            </w:tcMar>
            <w:vAlign w:val="center"/>
          </w:tcPr>
          <w:p w14:paraId="2D6D6514">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设备抽真空下限≤-95kPa；安全阀开启压力≥0.28MPa（提供加盖公章的证明材料复印件）</w:t>
            </w:r>
          </w:p>
        </w:tc>
      </w:tr>
      <w:tr w14:paraId="4DE1B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3" w:hRule="atLeast"/>
        </w:trPr>
        <w:tc>
          <w:tcPr>
            <w:tcW w:w="847" w:type="dxa"/>
            <w:tcBorders>
              <w:tl2br w:val="nil"/>
              <w:tr2bl w:val="nil"/>
            </w:tcBorders>
            <w:noWrap w:val="0"/>
            <w:tcMar>
              <w:top w:w="0" w:type="dxa"/>
              <w:left w:w="0" w:type="dxa"/>
              <w:bottom w:w="0" w:type="dxa"/>
              <w:right w:w="0" w:type="dxa"/>
            </w:tcMar>
            <w:vAlign w:val="center"/>
          </w:tcPr>
          <w:p w14:paraId="7987A72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6</w:t>
            </w:r>
          </w:p>
        </w:tc>
        <w:tc>
          <w:tcPr>
            <w:tcW w:w="7699" w:type="dxa"/>
            <w:tcBorders>
              <w:tl2br w:val="nil"/>
              <w:tr2bl w:val="nil"/>
            </w:tcBorders>
            <w:noWrap w:val="0"/>
            <w:tcMar>
              <w:top w:w="0" w:type="dxa"/>
              <w:left w:w="0" w:type="dxa"/>
              <w:bottom w:w="0" w:type="dxa"/>
              <w:right w:w="0" w:type="dxa"/>
            </w:tcMar>
            <w:vAlign w:val="center"/>
          </w:tcPr>
          <w:p w14:paraId="26CA05AF">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▲设计温度≥150℃，灭菌工作最高温度≥139℃，设计使用寿命≥15年或≥30000次灭菌循环</w:t>
            </w:r>
          </w:p>
        </w:tc>
      </w:tr>
      <w:tr w14:paraId="345C6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7" w:hRule="atLeast"/>
        </w:trPr>
        <w:tc>
          <w:tcPr>
            <w:tcW w:w="847" w:type="dxa"/>
            <w:tcBorders>
              <w:tl2br w:val="nil"/>
              <w:tr2bl w:val="nil"/>
            </w:tcBorders>
            <w:noWrap w:val="0"/>
            <w:tcMar>
              <w:top w:w="0" w:type="dxa"/>
              <w:left w:w="0" w:type="dxa"/>
              <w:bottom w:w="0" w:type="dxa"/>
              <w:right w:w="0" w:type="dxa"/>
            </w:tcMar>
            <w:vAlign w:val="center"/>
          </w:tcPr>
          <w:p w14:paraId="2D0152E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7</w:t>
            </w:r>
          </w:p>
        </w:tc>
        <w:tc>
          <w:tcPr>
            <w:tcW w:w="7699" w:type="dxa"/>
            <w:tcBorders>
              <w:tl2br w:val="nil"/>
              <w:tr2bl w:val="nil"/>
            </w:tcBorders>
            <w:noWrap w:val="0"/>
            <w:tcMar>
              <w:top w:w="0" w:type="dxa"/>
              <w:left w:w="0" w:type="dxa"/>
              <w:bottom w:w="0" w:type="dxa"/>
              <w:right w:w="0" w:type="dxa"/>
            </w:tcMar>
            <w:vAlign w:val="center"/>
          </w:tcPr>
          <w:p w14:paraId="05B926A6">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密封门数量：双门（前后门）</w:t>
            </w:r>
          </w:p>
        </w:tc>
      </w:tr>
      <w:tr w14:paraId="036D8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1" w:hRule="atLeast"/>
        </w:trPr>
        <w:tc>
          <w:tcPr>
            <w:tcW w:w="847" w:type="dxa"/>
            <w:tcBorders>
              <w:tl2br w:val="nil"/>
              <w:tr2bl w:val="nil"/>
            </w:tcBorders>
            <w:noWrap w:val="0"/>
            <w:tcMar>
              <w:top w:w="0" w:type="dxa"/>
              <w:left w:w="0" w:type="dxa"/>
              <w:bottom w:w="0" w:type="dxa"/>
              <w:right w:w="0" w:type="dxa"/>
            </w:tcMar>
            <w:vAlign w:val="center"/>
          </w:tcPr>
          <w:p w14:paraId="6F3543D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8</w:t>
            </w:r>
          </w:p>
        </w:tc>
        <w:tc>
          <w:tcPr>
            <w:tcW w:w="7699" w:type="dxa"/>
            <w:tcBorders>
              <w:tl2br w:val="nil"/>
              <w:tr2bl w:val="nil"/>
            </w:tcBorders>
            <w:noWrap w:val="0"/>
            <w:tcMar>
              <w:top w:w="0" w:type="dxa"/>
              <w:left w:w="0" w:type="dxa"/>
              <w:bottom w:w="0" w:type="dxa"/>
              <w:right w:w="0" w:type="dxa"/>
            </w:tcMar>
            <w:vAlign w:val="center"/>
          </w:tcPr>
          <w:p w14:paraId="6451BDAE">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门驱动方式：电机驱动门板上下移动，为侧开门式</w:t>
            </w:r>
          </w:p>
        </w:tc>
      </w:tr>
      <w:tr w14:paraId="6F9E2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4" w:hRule="atLeast"/>
        </w:trPr>
        <w:tc>
          <w:tcPr>
            <w:tcW w:w="847" w:type="dxa"/>
            <w:tcBorders>
              <w:tl2br w:val="nil"/>
              <w:tr2bl w:val="nil"/>
            </w:tcBorders>
            <w:noWrap w:val="0"/>
            <w:tcMar>
              <w:top w:w="0" w:type="dxa"/>
              <w:left w:w="0" w:type="dxa"/>
              <w:bottom w:w="0" w:type="dxa"/>
              <w:right w:w="0" w:type="dxa"/>
            </w:tcMar>
            <w:vAlign w:val="center"/>
          </w:tcPr>
          <w:p w14:paraId="3256D9C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9</w:t>
            </w:r>
          </w:p>
        </w:tc>
        <w:tc>
          <w:tcPr>
            <w:tcW w:w="7699" w:type="dxa"/>
            <w:tcBorders>
              <w:tl2br w:val="nil"/>
              <w:tr2bl w:val="nil"/>
            </w:tcBorders>
            <w:noWrap w:val="0"/>
            <w:tcMar>
              <w:top w:w="0" w:type="dxa"/>
              <w:left w:w="0" w:type="dxa"/>
              <w:bottom w:w="0" w:type="dxa"/>
              <w:right w:w="0" w:type="dxa"/>
            </w:tcMar>
            <w:vAlign w:val="center"/>
          </w:tcPr>
          <w:p w14:paraId="610CCEB7">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双门互锁功能：一个门未处于关闭状态时，另一个门无法进行动作</w:t>
            </w:r>
          </w:p>
        </w:tc>
      </w:tr>
      <w:tr w14:paraId="08F4E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847" w:type="dxa"/>
            <w:tcBorders>
              <w:tl2br w:val="nil"/>
              <w:tr2bl w:val="nil"/>
            </w:tcBorders>
            <w:noWrap w:val="0"/>
            <w:tcMar>
              <w:top w:w="0" w:type="dxa"/>
              <w:left w:w="0" w:type="dxa"/>
              <w:bottom w:w="0" w:type="dxa"/>
              <w:right w:w="0" w:type="dxa"/>
            </w:tcMar>
            <w:vAlign w:val="center"/>
          </w:tcPr>
          <w:p w14:paraId="6C83253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10</w:t>
            </w:r>
          </w:p>
        </w:tc>
        <w:tc>
          <w:tcPr>
            <w:tcW w:w="7699" w:type="dxa"/>
            <w:tcBorders>
              <w:tl2br w:val="nil"/>
              <w:tr2bl w:val="nil"/>
            </w:tcBorders>
            <w:noWrap w:val="0"/>
            <w:tcMar>
              <w:top w:w="0" w:type="dxa"/>
              <w:left w:w="0" w:type="dxa"/>
              <w:bottom w:w="0" w:type="dxa"/>
              <w:right w:w="0" w:type="dxa"/>
            </w:tcMar>
            <w:vAlign w:val="center"/>
          </w:tcPr>
          <w:p w14:paraId="67255241">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kern w:val="0"/>
                <w:sz w:val="21"/>
                <w:szCs w:val="21"/>
                <w:lang w:val="en-US" w:eastAsia="zh-CN" w:bidi="ar"/>
              </w:rPr>
            </w:pPr>
            <w:r>
              <w:rPr>
                <w:rFonts w:hint="eastAsia" w:ascii="宋体" w:hAnsi="宋体" w:eastAsia="宋体" w:cs="宋体"/>
                <w:b w:val="0"/>
                <w:bCs w:val="0"/>
                <w:color w:val="auto"/>
                <w:kern w:val="0"/>
                <w:sz w:val="21"/>
                <w:szCs w:val="21"/>
                <w:lang w:val="en-US" w:eastAsia="zh-CN" w:bidi="ar"/>
              </w:rPr>
              <w:t>▲门胶条：门胶条由高温硅橡胶制成，采用圆形门胶圈，嵌于灭菌腔体端面凹槽内而不是位于门上（需提供实物照片）</w:t>
            </w:r>
          </w:p>
        </w:tc>
      </w:tr>
      <w:tr w14:paraId="4A32F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9" w:hRule="atLeast"/>
        </w:trPr>
        <w:tc>
          <w:tcPr>
            <w:tcW w:w="847" w:type="dxa"/>
            <w:tcBorders>
              <w:tl2br w:val="nil"/>
              <w:tr2bl w:val="nil"/>
            </w:tcBorders>
            <w:noWrap w:val="0"/>
            <w:tcMar>
              <w:top w:w="0" w:type="dxa"/>
              <w:left w:w="0" w:type="dxa"/>
              <w:bottom w:w="0" w:type="dxa"/>
              <w:right w:w="0" w:type="dxa"/>
            </w:tcMar>
            <w:vAlign w:val="center"/>
          </w:tcPr>
          <w:p w14:paraId="654101D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11</w:t>
            </w:r>
          </w:p>
        </w:tc>
        <w:tc>
          <w:tcPr>
            <w:tcW w:w="7699" w:type="dxa"/>
            <w:tcBorders>
              <w:tl2br w:val="nil"/>
              <w:tr2bl w:val="nil"/>
            </w:tcBorders>
            <w:noWrap w:val="0"/>
            <w:tcMar>
              <w:top w:w="0" w:type="dxa"/>
              <w:left w:w="0" w:type="dxa"/>
              <w:bottom w:w="0" w:type="dxa"/>
              <w:right w:w="0" w:type="dxa"/>
            </w:tcMar>
            <w:vAlign w:val="center"/>
          </w:tcPr>
          <w:p w14:paraId="4DDB46A8">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kern w:val="0"/>
                <w:sz w:val="21"/>
                <w:szCs w:val="21"/>
                <w:lang w:val="en-US" w:eastAsia="zh-CN" w:bidi="ar"/>
              </w:rPr>
            </w:pPr>
            <w:r>
              <w:rPr>
                <w:rFonts w:hint="eastAsia" w:ascii="宋体" w:hAnsi="宋体" w:eastAsia="宋体" w:cs="宋体"/>
                <w:b w:val="0"/>
                <w:bCs w:val="0"/>
                <w:color w:val="auto"/>
                <w:kern w:val="0"/>
                <w:sz w:val="21"/>
                <w:szCs w:val="21"/>
                <w:lang w:val="en-US" w:eastAsia="zh-CN" w:bidi="ar"/>
              </w:rPr>
              <w:t>管路材质：至少为304不锈钢卫生级管路，卡箍连接，外覆保温棉</w:t>
            </w:r>
          </w:p>
        </w:tc>
      </w:tr>
      <w:tr w14:paraId="6ABD7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5" w:hRule="atLeast"/>
        </w:trPr>
        <w:tc>
          <w:tcPr>
            <w:tcW w:w="847" w:type="dxa"/>
            <w:tcBorders>
              <w:tl2br w:val="nil"/>
              <w:tr2bl w:val="nil"/>
            </w:tcBorders>
            <w:noWrap w:val="0"/>
            <w:tcMar>
              <w:top w:w="0" w:type="dxa"/>
              <w:left w:w="0" w:type="dxa"/>
              <w:bottom w:w="0" w:type="dxa"/>
              <w:right w:w="0" w:type="dxa"/>
            </w:tcMar>
            <w:vAlign w:val="center"/>
          </w:tcPr>
          <w:p w14:paraId="6E4705E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12</w:t>
            </w:r>
          </w:p>
        </w:tc>
        <w:tc>
          <w:tcPr>
            <w:tcW w:w="7699" w:type="dxa"/>
            <w:tcBorders>
              <w:tl2br w:val="nil"/>
              <w:tr2bl w:val="nil"/>
            </w:tcBorders>
            <w:noWrap w:val="0"/>
            <w:tcMar>
              <w:top w:w="0" w:type="dxa"/>
              <w:left w:w="0" w:type="dxa"/>
              <w:bottom w:w="0" w:type="dxa"/>
              <w:right w:w="0" w:type="dxa"/>
            </w:tcMar>
            <w:vAlign w:val="center"/>
          </w:tcPr>
          <w:p w14:paraId="79703223">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kern w:val="0"/>
                <w:sz w:val="21"/>
                <w:szCs w:val="21"/>
                <w:lang w:val="en-US" w:eastAsia="zh-CN" w:bidi="ar"/>
              </w:rPr>
            </w:pPr>
            <w:r>
              <w:rPr>
                <w:rFonts w:hint="eastAsia" w:ascii="宋体" w:hAnsi="宋体" w:eastAsia="宋体" w:cs="宋体"/>
                <w:b w:val="0"/>
                <w:bCs w:val="0"/>
                <w:color w:val="auto"/>
                <w:kern w:val="0"/>
                <w:sz w:val="21"/>
                <w:szCs w:val="21"/>
                <w:lang w:val="en-US" w:eastAsia="zh-CN" w:bidi="ar"/>
              </w:rPr>
              <w:t>真空泵：单级直连式水环真空泵，选用知名品牌</w:t>
            </w:r>
          </w:p>
        </w:tc>
      </w:tr>
      <w:tr w14:paraId="7E5E1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6" w:hRule="atLeast"/>
        </w:trPr>
        <w:tc>
          <w:tcPr>
            <w:tcW w:w="847" w:type="dxa"/>
            <w:tcBorders>
              <w:tl2br w:val="nil"/>
              <w:tr2bl w:val="nil"/>
            </w:tcBorders>
            <w:noWrap w:val="0"/>
            <w:tcMar>
              <w:top w:w="0" w:type="dxa"/>
              <w:left w:w="0" w:type="dxa"/>
              <w:bottom w:w="0" w:type="dxa"/>
              <w:right w:w="0" w:type="dxa"/>
            </w:tcMar>
            <w:vAlign w:val="center"/>
          </w:tcPr>
          <w:p w14:paraId="7BB21C2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13</w:t>
            </w:r>
          </w:p>
        </w:tc>
        <w:tc>
          <w:tcPr>
            <w:tcW w:w="7699" w:type="dxa"/>
            <w:tcBorders>
              <w:tl2br w:val="nil"/>
              <w:tr2bl w:val="nil"/>
            </w:tcBorders>
            <w:noWrap w:val="0"/>
            <w:tcMar>
              <w:top w:w="0" w:type="dxa"/>
              <w:left w:w="0" w:type="dxa"/>
              <w:bottom w:w="0" w:type="dxa"/>
              <w:right w:w="0" w:type="dxa"/>
            </w:tcMar>
            <w:vAlign w:val="center"/>
          </w:tcPr>
          <w:p w14:paraId="26020099">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kern w:val="0"/>
                <w:sz w:val="21"/>
                <w:szCs w:val="21"/>
                <w:lang w:val="en-US" w:eastAsia="zh-CN" w:bidi="ar"/>
              </w:rPr>
            </w:pPr>
            <w:r>
              <w:rPr>
                <w:rFonts w:hint="eastAsia" w:ascii="宋体" w:hAnsi="宋体" w:eastAsia="宋体" w:cs="宋体"/>
                <w:b w:val="0"/>
                <w:bCs w:val="0"/>
                <w:color w:val="auto"/>
                <w:kern w:val="0"/>
                <w:sz w:val="21"/>
                <w:szCs w:val="21"/>
                <w:lang w:val="en-US" w:eastAsia="zh-CN" w:bidi="ar"/>
              </w:rPr>
              <w:t>阀门：气动阀或电磁阀，选用知名品牌</w:t>
            </w:r>
          </w:p>
        </w:tc>
      </w:tr>
      <w:tr w14:paraId="435BA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3" w:hRule="atLeast"/>
        </w:trPr>
        <w:tc>
          <w:tcPr>
            <w:tcW w:w="847" w:type="dxa"/>
            <w:tcBorders>
              <w:tl2br w:val="nil"/>
              <w:tr2bl w:val="nil"/>
            </w:tcBorders>
            <w:noWrap w:val="0"/>
            <w:tcMar>
              <w:top w:w="0" w:type="dxa"/>
              <w:left w:w="0" w:type="dxa"/>
              <w:bottom w:w="0" w:type="dxa"/>
              <w:right w:w="0" w:type="dxa"/>
            </w:tcMar>
            <w:vAlign w:val="center"/>
          </w:tcPr>
          <w:p w14:paraId="64D7BDB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14</w:t>
            </w:r>
          </w:p>
        </w:tc>
        <w:tc>
          <w:tcPr>
            <w:tcW w:w="7699" w:type="dxa"/>
            <w:tcBorders>
              <w:tl2br w:val="nil"/>
              <w:tr2bl w:val="nil"/>
            </w:tcBorders>
            <w:noWrap w:val="0"/>
            <w:tcMar>
              <w:top w:w="0" w:type="dxa"/>
              <w:left w:w="0" w:type="dxa"/>
              <w:bottom w:w="0" w:type="dxa"/>
              <w:right w:w="0" w:type="dxa"/>
            </w:tcMar>
            <w:vAlign w:val="center"/>
          </w:tcPr>
          <w:p w14:paraId="28791034">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kern w:val="0"/>
                <w:sz w:val="21"/>
                <w:szCs w:val="21"/>
                <w:lang w:val="en-US" w:eastAsia="zh-CN" w:bidi="ar"/>
              </w:rPr>
            </w:pPr>
            <w:r>
              <w:rPr>
                <w:rFonts w:hint="eastAsia" w:ascii="宋体" w:hAnsi="宋体" w:eastAsia="宋体" w:cs="宋体"/>
                <w:b w:val="0"/>
                <w:bCs w:val="0"/>
                <w:color w:val="auto"/>
                <w:kern w:val="0"/>
                <w:sz w:val="21"/>
                <w:szCs w:val="21"/>
                <w:lang w:val="en-US" w:eastAsia="zh-CN" w:bidi="ar"/>
              </w:rPr>
              <w:t>换热装置：板式换热器</w:t>
            </w:r>
          </w:p>
        </w:tc>
      </w:tr>
      <w:tr w14:paraId="3FC86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5" w:hRule="atLeast"/>
        </w:trPr>
        <w:tc>
          <w:tcPr>
            <w:tcW w:w="847" w:type="dxa"/>
            <w:tcBorders>
              <w:tl2br w:val="nil"/>
              <w:tr2bl w:val="nil"/>
            </w:tcBorders>
            <w:noWrap w:val="0"/>
            <w:tcMar>
              <w:top w:w="0" w:type="dxa"/>
              <w:left w:w="0" w:type="dxa"/>
              <w:bottom w:w="0" w:type="dxa"/>
              <w:right w:w="0" w:type="dxa"/>
            </w:tcMar>
            <w:vAlign w:val="center"/>
          </w:tcPr>
          <w:p w14:paraId="2BC0578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15</w:t>
            </w:r>
          </w:p>
        </w:tc>
        <w:tc>
          <w:tcPr>
            <w:tcW w:w="7699" w:type="dxa"/>
            <w:tcBorders>
              <w:tl2br w:val="nil"/>
              <w:tr2bl w:val="nil"/>
            </w:tcBorders>
            <w:noWrap w:val="0"/>
            <w:tcMar>
              <w:top w:w="0" w:type="dxa"/>
              <w:left w:w="0" w:type="dxa"/>
              <w:bottom w:w="0" w:type="dxa"/>
              <w:right w:w="0" w:type="dxa"/>
            </w:tcMar>
            <w:vAlign w:val="center"/>
          </w:tcPr>
          <w:p w14:paraId="2A7BE213">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kern w:val="0"/>
                <w:sz w:val="21"/>
                <w:szCs w:val="21"/>
                <w:lang w:val="en-US" w:eastAsia="zh-CN" w:bidi="ar"/>
              </w:rPr>
            </w:pPr>
            <w:r>
              <w:rPr>
                <w:rFonts w:hint="eastAsia" w:ascii="宋体" w:hAnsi="宋体" w:eastAsia="宋体" w:cs="宋体"/>
                <w:b w:val="0"/>
                <w:bCs w:val="0"/>
                <w:color w:val="auto"/>
                <w:kern w:val="0"/>
                <w:sz w:val="21"/>
                <w:szCs w:val="21"/>
                <w:lang w:val="en-US" w:eastAsia="zh-CN" w:bidi="ar"/>
              </w:rPr>
              <w:t>具备低温、高温报警和误操作保护功能</w:t>
            </w:r>
          </w:p>
        </w:tc>
      </w:tr>
      <w:tr w14:paraId="6EC7D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5" w:hRule="atLeast"/>
        </w:trPr>
        <w:tc>
          <w:tcPr>
            <w:tcW w:w="847" w:type="dxa"/>
            <w:tcBorders>
              <w:tl2br w:val="nil"/>
              <w:tr2bl w:val="nil"/>
            </w:tcBorders>
            <w:noWrap w:val="0"/>
            <w:tcMar>
              <w:top w:w="0" w:type="dxa"/>
              <w:left w:w="0" w:type="dxa"/>
              <w:bottom w:w="0" w:type="dxa"/>
              <w:right w:w="0" w:type="dxa"/>
            </w:tcMar>
            <w:vAlign w:val="center"/>
          </w:tcPr>
          <w:p w14:paraId="7CFF280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16</w:t>
            </w:r>
          </w:p>
        </w:tc>
        <w:tc>
          <w:tcPr>
            <w:tcW w:w="7699" w:type="dxa"/>
            <w:tcBorders>
              <w:tl2br w:val="nil"/>
              <w:tr2bl w:val="nil"/>
            </w:tcBorders>
            <w:noWrap w:val="0"/>
            <w:tcMar>
              <w:top w:w="0" w:type="dxa"/>
              <w:left w:w="0" w:type="dxa"/>
              <w:bottom w:w="0" w:type="dxa"/>
              <w:right w:w="0" w:type="dxa"/>
            </w:tcMar>
            <w:vAlign w:val="center"/>
          </w:tcPr>
          <w:p w14:paraId="38208BB3">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kern w:val="0"/>
                <w:sz w:val="21"/>
                <w:szCs w:val="21"/>
                <w:lang w:val="en-US" w:eastAsia="zh-CN" w:bidi="ar"/>
              </w:rPr>
            </w:pPr>
            <w:r>
              <w:rPr>
                <w:rFonts w:hint="eastAsia" w:ascii="宋体" w:hAnsi="宋体" w:eastAsia="宋体" w:cs="宋体"/>
                <w:b w:val="0"/>
                <w:bCs w:val="0"/>
                <w:color w:val="auto"/>
                <w:kern w:val="0"/>
                <w:sz w:val="21"/>
                <w:szCs w:val="21"/>
                <w:lang w:val="en-US" w:eastAsia="zh-CN" w:bidi="ar"/>
              </w:rPr>
              <w:t>▲控制系统：采用工业模块化可编程逻辑控制器（PLC），外壳为金属材质，强度高、抗干扰性强，操作系统为非通用消费级系统</w:t>
            </w:r>
          </w:p>
        </w:tc>
      </w:tr>
      <w:tr w14:paraId="3CB42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9" w:hRule="atLeast"/>
        </w:trPr>
        <w:tc>
          <w:tcPr>
            <w:tcW w:w="847" w:type="dxa"/>
            <w:tcBorders>
              <w:tl2br w:val="nil"/>
              <w:tr2bl w:val="nil"/>
            </w:tcBorders>
            <w:noWrap w:val="0"/>
            <w:tcMar>
              <w:top w:w="0" w:type="dxa"/>
              <w:left w:w="0" w:type="dxa"/>
              <w:bottom w:w="0" w:type="dxa"/>
              <w:right w:w="0" w:type="dxa"/>
            </w:tcMar>
            <w:vAlign w:val="center"/>
          </w:tcPr>
          <w:p w14:paraId="4B8FC22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17</w:t>
            </w:r>
          </w:p>
        </w:tc>
        <w:tc>
          <w:tcPr>
            <w:tcW w:w="7699" w:type="dxa"/>
            <w:tcBorders>
              <w:tl2br w:val="nil"/>
              <w:tr2bl w:val="nil"/>
            </w:tcBorders>
            <w:noWrap w:val="0"/>
            <w:tcMar>
              <w:top w:w="0" w:type="dxa"/>
              <w:left w:w="0" w:type="dxa"/>
              <w:bottom w:w="0" w:type="dxa"/>
              <w:right w:w="0" w:type="dxa"/>
            </w:tcMar>
            <w:vAlign w:val="center"/>
          </w:tcPr>
          <w:p w14:paraId="0970AFB8">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触摸屏尺寸≥8英寸</w:t>
            </w:r>
          </w:p>
        </w:tc>
      </w:tr>
      <w:tr w14:paraId="5A8C9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1" w:hRule="atLeast"/>
        </w:trPr>
        <w:tc>
          <w:tcPr>
            <w:tcW w:w="847" w:type="dxa"/>
            <w:tcBorders>
              <w:tl2br w:val="nil"/>
              <w:tr2bl w:val="nil"/>
            </w:tcBorders>
            <w:noWrap w:val="0"/>
            <w:tcMar>
              <w:top w:w="0" w:type="dxa"/>
              <w:left w:w="0" w:type="dxa"/>
              <w:bottom w:w="0" w:type="dxa"/>
              <w:right w:w="0" w:type="dxa"/>
            </w:tcMar>
            <w:vAlign w:val="center"/>
          </w:tcPr>
          <w:p w14:paraId="7728E22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18</w:t>
            </w:r>
          </w:p>
        </w:tc>
        <w:tc>
          <w:tcPr>
            <w:tcW w:w="7699" w:type="dxa"/>
            <w:tcBorders>
              <w:tl2br w:val="nil"/>
              <w:tr2bl w:val="nil"/>
            </w:tcBorders>
            <w:noWrap w:val="0"/>
            <w:tcMar>
              <w:top w:w="0" w:type="dxa"/>
              <w:left w:w="0" w:type="dxa"/>
              <w:bottom w:w="0" w:type="dxa"/>
              <w:right w:w="0" w:type="dxa"/>
            </w:tcMar>
            <w:vAlign w:val="center"/>
          </w:tcPr>
          <w:p w14:paraId="0083FCE5">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数据保存：（1）热敏纸：内置热敏打印机，使用长效热敏纸，在适宜环境下可保存5年；（2）电子数据：预留接口，可接入追溯系统</w:t>
            </w:r>
          </w:p>
        </w:tc>
      </w:tr>
      <w:tr w14:paraId="7FC2E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6" w:hRule="atLeast"/>
        </w:trPr>
        <w:tc>
          <w:tcPr>
            <w:tcW w:w="847" w:type="dxa"/>
            <w:tcBorders>
              <w:tl2br w:val="nil"/>
              <w:tr2bl w:val="nil"/>
            </w:tcBorders>
            <w:noWrap w:val="0"/>
            <w:tcMar>
              <w:top w:w="0" w:type="dxa"/>
              <w:left w:w="0" w:type="dxa"/>
              <w:bottom w:w="0" w:type="dxa"/>
              <w:right w:w="0" w:type="dxa"/>
            </w:tcMar>
            <w:vAlign w:val="center"/>
          </w:tcPr>
          <w:p w14:paraId="4359DDB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19</w:t>
            </w:r>
          </w:p>
        </w:tc>
        <w:tc>
          <w:tcPr>
            <w:tcW w:w="7699" w:type="dxa"/>
            <w:tcBorders>
              <w:tl2br w:val="nil"/>
              <w:tr2bl w:val="nil"/>
            </w:tcBorders>
            <w:noWrap w:val="0"/>
            <w:tcMar>
              <w:top w:w="0" w:type="dxa"/>
              <w:left w:w="0" w:type="dxa"/>
              <w:bottom w:w="0" w:type="dxa"/>
              <w:right w:w="0" w:type="dxa"/>
            </w:tcMar>
            <w:vAlign w:val="center"/>
          </w:tcPr>
          <w:p w14:paraId="24956CB7">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记录内容：灭菌过程的温度、压力、时间、阶段、预置参数等均可通过内置热敏打印机打印</w:t>
            </w:r>
          </w:p>
        </w:tc>
      </w:tr>
      <w:tr w14:paraId="5C102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4" w:hRule="atLeast"/>
        </w:trPr>
        <w:tc>
          <w:tcPr>
            <w:tcW w:w="847" w:type="dxa"/>
            <w:tcBorders>
              <w:tl2br w:val="nil"/>
              <w:tr2bl w:val="nil"/>
            </w:tcBorders>
            <w:noWrap w:val="0"/>
            <w:tcMar>
              <w:top w:w="0" w:type="dxa"/>
              <w:left w:w="0" w:type="dxa"/>
              <w:bottom w:w="0" w:type="dxa"/>
              <w:right w:w="0" w:type="dxa"/>
            </w:tcMar>
            <w:vAlign w:val="center"/>
          </w:tcPr>
          <w:p w14:paraId="5ECAEA4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20</w:t>
            </w:r>
          </w:p>
        </w:tc>
        <w:tc>
          <w:tcPr>
            <w:tcW w:w="7699" w:type="dxa"/>
            <w:tcBorders>
              <w:tl2br w:val="nil"/>
              <w:tr2bl w:val="nil"/>
            </w:tcBorders>
            <w:noWrap w:val="0"/>
            <w:tcMar>
              <w:top w:w="0" w:type="dxa"/>
              <w:left w:w="0" w:type="dxa"/>
              <w:bottom w:w="0" w:type="dxa"/>
              <w:right w:w="0" w:type="dxa"/>
            </w:tcMar>
            <w:vAlign w:val="center"/>
          </w:tcPr>
          <w:p w14:paraId="41629960">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程序种类及数量：灭菌类程序≥26套（含14套自定义程序）；测试类程序≥4套；辅助类程序≥2套</w:t>
            </w:r>
          </w:p>
        </w:tc>
      </w:tr>
      <w:tr w14:paraId="620FB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2" w:hRule="atLeast"/>
        </w:trPr>
        <w:tc>
          <w:tcPr>
            <w:tcW w:w="847" w:type="dxa"/>
            <w:tcBorders>
              <w:tl2br w:val="nil"/>
              <w:tr2bl w:val="nil"/>
            </w:tcBorders>
            <w:noWrap w:val="0"/>
            <w:tcMar>
              <w:top w:w="0" w:type="dxa"/>
              <w:left w:w="0" w:type="dxa"/>
              <w:bottom w:w="0" w:type="dxa"/>
              <w:right w:w="0" w:type="dxa"/>
            </w:tcMar>
            <w:vAlign w:val="center"/>
          </w:tcPr>
          <w:p w14:paraId="4F94B2E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21</w:t>
            </w:r>
          </w:p>
        </w:tc>
        <w:tc>
          <w:tcPr>
            <w:tcW w:w="7699" w:type="dxa"/>
            <w:tcBorders>
              <w:tl2br w:val="nil"/>
              <w:tr2bl w:val="nil"/>
            </w:tcBorders>
            <w:noWrap w:val="0"/>
            <w:tcMar>
              <w:top w:w="0" w:type="dxa"/>
              <w:left w:w="0" w:type="dxa"/>
              <w:bottom w:w="0" w:type="dxa"/>
              <w:right w:w="0" w:type="dxa"/>
            </w:tcMar>
            <w:vAlign w:val="center"/>
          </w:tcPr>
          <w:p w14:paraId="0EEF2E05">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标准循环运行时间≤55分钟</w:t>
            </w:r>
          </w:p>
        </w:tc>
      </w:tr>
      <w:tr w14:paraId="6D887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847" w:type="dxa"/>
            <w:tcBorders>
              <w:tl2br w:val="nil"/>
              <w:tr2bl w:val="nil"/>
            </w:tcBorders>
            <w:noWrap w:val="0"/>
            <w:tcMar>
              <w:top w:w="0" w:type="dxa"/>
              <w:left w:w="0" w:type="dxa"/>
              <w:bottom w:w="0" w:type="dxa"/>
              <w:right w:w="0" w:type="dxa"/>
            </w:tcMar>
            <w:vAlign w:val="center"/>
          </w:tcPr>
          <w:p w14:paraId="573D983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22</w:t>
            </w:r>
          </w:p>
        </w:tc>
        <w:tc>
          <w:tcPr>
            <w:tcW w:w="7699" w:type="dxa"/>
            <w:tcBorders>
              <w:tl2br w:val="nil"/>
              <w:tr2bl w:val="nil"/>
            </w:tcBorders>
            <w:noWrap w:val="0"/>
            <w:tcMar>
              <w:top w:w="0" w:type="dxa"/>
              <w:left w:w="0" w:type="dxa"/>
              <w:bottom w:w="0" w:type="dxa"/>
              <w:right w:w="0" w:type="dxa"/>
            </w:tcMar>
            <w:vAlign w:val="center"/>
          </w:tcPr>
          <w:p w14:paraId="31665C91">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▲脉动次数：标准循环为3次负压脉动、1次跨压脉动、3次正压脉动；脉动次数设定范围为0～99次可调。该运行方式可有效降低器械包及敷料包湿包几率（提供打印记录作为证明材料）</w:t>
            </w:r>
          </w:p>
        </w:tc>
      </w:tr>
      <w:tr w14:paraId="6D1A2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847" w:type="dxa"/>
            <w:tcBorders>
              <w:tl2br w:val="nil"/>
              <w:tr2bl w:val="nil"/>
            </w:tcBorders>
            <w:noWrap w:val="0"/>
            <w:tcMar>
              <w:top w:w="0" w:type="dxa"/>
              <w:left w:w="0" w:type="dxa"/>
              <w:bottom w:w="0" w:type="dxa"/>
              <w:right w:w="0" w:type="dxa"/>
            </w:tcMar>
            <w:vAlign w:val="center"/>
          </w:tcPr>
          <w:p w14:paraId="66E6B5A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23</w:t>
            </w:r>
          </w:p>
        </w:tc>
        <w:tc>
          <w:tcPr>
            <w:tcW w:w="7699" w:type="dxa"/>
            <w:tcBorders>
              <w:tl2br w:val="nil"/>
              <w:tr2bl w:val="nil"/>
            </w:tcBorders>
            <w:noWrap w:val="0"/>
            <w:tcMar>
              <w:top w:w="0" w:type="dxa"/>
              <w:left w:w="0" w:type="dxa"/>
              <w:bottom w:w="0" w:type="dxa"/>
              <w:right w:w="0" w:type="dxa"/>
            </w:tcMar>
            <w:vAlign w:val="center"/>
          </w:tcPr>
          <w:p w14:paraId="65D02743">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灭菌时间：标准循环121℃下20分钟，134℃下5分钟；灭菌时间设定范围0～9999秒可调</w:t>
            </w:r>
          </w:p>
        </w:tc>
      </w:tr>
      <w:tr w14:paraId="36D2B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trPr>
        <w:tc>
          <w:tcPr>
            <w:tcW w:w="847" w:type="dxa"/>
            <w:tcBorders>
              <w:tl2br w:val="nil"/>
              <w:tr2bl w:val="nil"/>
            </w:tcBorders>
            <w:noWrap w:val="0"/>
            <w:tcMar>
              <w:top w:w="0" w:type="dxa"/>
              <w:left w:w="0" w:type="dxa"/>
              <w:bottom w:w="0" w:type="dxa"/>
              <w:right w:w="0" w:type="dxa"/>
            </w:tcMar>
            <w:vAlign w:val="center"/>
          </w:tcPr>
          <w:p w14:paraId="5CC9429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24</w:t>
            </w:r>
          </w:p>
        </w:tc>
        <w:tc>
          <w:tcPr>
            <w:tcW w:w="7699" w:type="dxa"/>
            <w:tcBorders>
              <w:tl2br w:val="nil"/>
              <w:tr2bl w:val="nil"/>
            </w:tcBorders>
            <w:noWrap w:val="0"/>
            <w:tcMar>
              <w:top w:w="0" w:type="dxa"/>
              <w:left w:w="0" w:type="dxa"/>
              <w:bottom w:w="0" w:type="dxa"/>
              <w:right w:w="0" w:type="dxa"/>
            </w:tcMar>
            <w:vAlign w:val="center"/>
          </w:tcPr>
          <w:p w14:paraId="5E39FC19">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干燥时间设定范围0～9999秒可调</w:t>
            </w:r>
          </w:p>
        </w:tc>
      </w:tr>
      <w:tr w14:paraId="0E63A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1" w:hRule="atLeast"/>
        </w:trPr>
        <w:tc>
          <w:tcPr>
            <w:tcW w:w="847" w:type="dxa"/>
            <w:tcBorders>
              <w:tl2br w:val="nil"/>
              <w:tr2bl w:val="nil"/>
            </w:tcBorders>
            <w:noWrap w:val="0"/>
            <w:tcMar>
              <w:top w:w="0" w:type="dxa"/>
              <w:left w:w="0" w:type="dxa"/>
              <w:bottom w:w="0" w:type="dxa"/>
              <w:right w:w="0" w:type="dxa"/>
            </w:tcMar>
            <w:vAlign w:val="center"/>
          </w:tcPr>
          <w:p w14:paraId="26EEF05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25</w:t>
            </w:r>
          </w:p>
        </w:tc>
        <w:tc>
          <w:tcPr>
            <w:tcW w:w="7699" w:type="dxa"/>
            <w:tcBorders>
              <w:tl2br w:val="nil"/>
              <w:tr2bl w:val="nil"/>
            </w:tcBorders>
            <w:noWrap w:val="0"/>
            <w:tcMar>
              <w:top w:w="0" w:type="dxa"/>
              <w:left w:w="0" w:type="dxa"/>
              <w:bottom w:w="0" w:type="dxa"/>
              <w:right w:w="0" w:type="dxa"/>
            </w:tcMar>
            <w:vAlign w:val="center"/>
          </w:tcPr>
          <w:p w14:paraId="77762A83">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能源供给：外接蒸汽</w:t>
            </w:r>
          </w:p>
        </w:tc>
      </w:tr>
      <w:tr w14:paraId="29857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847" w:type="dxa"/>
            <w:tcBorders>
              <w:tl2br w:val="nil"/>
              <w:tr2bl w:val="nil"/>
            </w:tcBorders>
            <w:noWrap w:val="0"/>
            <w:tcMar>
              <w:top w:w="0" w:type="dxa"/>
              <w:left w:w="0" w:type="dxa"/>
              <w:bottom w:w="0" w:type="dxa"/>
              <w:right w:w="0" w:type="dxa"/>
            </w:tcMar>
            <w:vAlign w:val="center"/>
          </w:tcPr>
          <w:p w14:paraId="452178C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26</w:t>
            </w:r>
          </w:p>
        </w:tc>
        <w:tc>
          <w:tcPr>
            <w:tcW w:w="7699" w:type="dxa"/>
            <w:tcBorders>
              <w:tl2br w:val="nil"/>
              <w:tr2bl w:val="nil"/>
            </w:tcBorders>
            <w:noWrap w:val="0"/>
            <w:tcMar>
              <w:top w:w="0" w:type="dxa"/>
              <w:left w:w="0" w:type="dxa"/>
              <w:bottom w:w="0" w:type="dxa"/>
              <w:right w:w="0" w:type="dxa"/>
            </w:tcMar>
            <w:vAlign w:val="center"/>
          </w:tcPr>
          <w:p w14:paraId="13771CBA">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▲作为特种设备压力容器，为保证质量与安全，主体制造与设备品牌一致，非代工生产</w:t>
            </w:r>
            <w:r>
              <w:rPr>
                <w:rFonts w:hint="eastAsia" w:ascii="宋体" w:hAnsi="宋体" w:eastAsia="宋体" w:cs="宋体"/>
                <w:i w:val="0"/>
                <w:iCs w:val="0"/>
                <w:color w:val="auto"/>
                <w:kern w:val="0"/>
                <w:sz w:val="21"/>
                <w:szCs w:val="21"/>
                <w:u w:val="none"/>
                <w:lang w:val="en-US" w:eastAsia="zh-CN" w:bidi="ar"/>
              </w:rPr>
              <w:t>（提供与品牌方名称一致的压力容器设计证）</w:t>
            </w:r>
          </w:p>
        </w:tc>
      </w:tr>
      <w:tr w14:paraId="0061F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9" w:hRule="atLeast"/>
        </w:trPr>
        <w:tc>
          <w:tcPr>
            <w:tcW w:w="847" w:type="dxa"/>
            <w:tcBorders>
              <w:tl2br w:val="nil"/>
              <w:tr2bl w:val="nil"/>
            </w:tcBorders>
            <w:noWrap w:val="0"/>
            <w:tcMar>
              <w:top w:w="0" w:type="dxa"/>
              <w:left w:w="0" w:type="dxa"/>
              <w:bottom w:w="0" w:type="dxa"/>
              <w:right w:w="0" w:type="dxa"/>
            </w:tcMar>
            <w:vAlign w:val="center"/>
          </w:tcPr>
          <w:p w14:paraId="57B0767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27</w:t>
            </w:r>
          </w:p>
        </w:tc>
        <w:tc>
          <w:tcPr>
            <w:tcW w:w="7699" w:type="dxa"/>
            <w:tcBorders>
              <w:tl2br w:val="nil"/>
              <w:tr2bl w:val="nil"/>
            </w:tcBorders>
            <w:noWrap w:val="0"/>
            <w:tcMar>
              <w:top w:w="0" w:type="dxa"/>
              <w:left w:w="0" w:type="dxa"/>
              <w:bottom w:w="0" w:type="dxa"/>
              <w:right w:w="0" w:type="dxa"/>
            </w:tcMar>
            <w:vAlign w:val="center"/>
          </w:tcPr>
          <w:p w14:paraId="2E0816D7">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安全保护：超压保护、超温报警及停止加热，确保设备及操作者安全</w:t>
            </w:r>
          </w:p>
        </w:tc>
      </w:tr>
      <w:tr w14:paraId="6E40A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2" w:hRule="atLeast"/>
        </w:trPr>
        <w:tc>
          <w:tcPr>
            <w:tcW w:w="847" w:type="dxa"/>
            <w:tcBorders>
              <w:tl2br w:val="nil"/>
              <w:tr2bl w:val="nil"/>
            </w:tcBorders>
            <w:noWrap w:val="0"/>
            <w:tcMar>
              <w:top w:w="0" w:type="dxa"/>
              <w:left w:w="0" w:type="dxa"/>
              <w:bottom w:w="0" w:type="dxa"/>
              <w:right w:w="0" w:type="dxa"/>
            </w:tcMar>
            <w:vAlign w:val="center"/>
          </w:tcPr>
          <w:p w14:paraId="0029CD9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28</w:t>
            </w:r>
          </w:p>
        </w:tc>
        <w:tc>
          <w:tcPr>
            <w:tcW w:w="7699" w:type="dxa"/>
            <w:tcBorders>
              <w:tl2br w:val="nil"/>
              <w:tr2bl w:val="nil"/>
            </w:tcBorders>
            <w:noWrap w:val="0"/>
            <w:tcMar>
              <w:top w:w="0" w:type="dxa"/>
              <w:left w:w="0" w:type="dxa"/>
              <w:bottom w:w="0" w:type="dxa"/>
              <w:right w:w="0" w:type="dxa"/>
            </w:tcMar>
            <w:vAlign w:val="center"/>
          </w:tcPr>
          <w:p w14:paraId="70EE2A06">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超压保护：内室压力超过程序允许值时，程序自动退出并转入故障处理状态；门关位检测保护：门开关在程序运行中检测异常时，程序自动退出并转入故障处理状态</w:t>
            </w:r>
          </w:p>
        </w:tc>
      </w:tr>
      <w:tr w14:paraId="7F5C5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847" w:type="dxa"/>
            <w:tcBorders>
              <w:tl2br w:val="nil"/>
              <w:tr2bl w:val="nil"/>
            </w:tcBorders>
            <w:noWrap w:val="0"/>
            <w:tcMar>
              <w:top w:w="0" w:type="dxa"/>
              <w:left w:w="0" w:type="dxa"/>
              <w:bottom w:w="0" w:type="dxa"/>
              <w:right w:w="0" w:type="dxa"/>
            </w:tcMar>
            <w:vAlign w:val="center"/>
          </w:tcPr>
          <w:p w14:paraId="127A60D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29</w:t>
            </w:r>
          </w:p>
        </w:tc>
        <w:tc>
          <w:tcPr>
            <w:tcW w:w="7699" w:type="dxa"/>
            <w:tcBorders>
              <w:tl2br w:val="nil"/>
              <w:tr2bl w:val="nil"/>
            </w:tcBorders>
            <w:noWrap w:val="0"/>
            <w:tcMar>
              <w:top w:w="0" w:type="dxa"/>
              <w:left w:w="0" w:type="dxa"/>
              <w:bottom w:w="0" w:type="dxa"/>
              <w:right w:w="0" w:type="dxa"/>
            </w:tcMar>
            <w:vAlign w:val="center"/>
          </w:tcPr>
          <w:p w14:paraId="02A35A90">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i w:val="0"/>
                <w:iCs w:val="0"/>
                <w:color w:val="auto"/>
                <w:kern w:val="0"/>
                <w:sz w:val="21"/>
                <w:szCs w:val="21"/>
                <w:u w:val="none"/>
                <w:lang w:val="en-US" w:eastAsia="zh-CN" w:bidi="ar"/>
              </w:rPr>
              <w:t>▲质量标准要求：制造商具有压力管道维修改造许可证和ASME认证。（提供复印件</w:t>
            </w:r>
            <w:r>
              <w:rPr>
                <w:rStyle w:val="8"/>
                <w:rFonts w:hint="eastAsia" w:ascii="宋体" w:hAnsi="宋体" w:eastAsia="宋体" w:cs="宋体"/>
                <w:color w:val="auto"/>
                <w:sz w:val="21"/>
                <w:szCs w:val="21"/>
                <w:lang w:val="en-US" w:eastAsia="zh-CN" w:bidi="ar"/>
              </w:rPr>
              <w:t>加盖制造商公章）</w:t>
            </w:r>
          </w:p>
        </w:tc>
      </w:tr>
    </w:tbl>
    <w:p w14:paraId="27ADAA71">
      <w:pPr>
        <w:pStyle w:val="3"/>
        <w:keepNext w:val="0"/>
        <w:keepLines w:val="0"/>
        <w:pageBreakBefore w:val="0"/>
        <w:widowControl/>
        <w:suppressLineNumbers w:val="0"/>
        <w:shd w:val="clear" w:color="auto" w:fill="FFFFFF"/>
        <w:kinsoku/>
        <w:wordWrap/>
        <w:overflowPunct/>
        <w:topLinePunct w:val="0"/>
        <w:autoSpaceDE/>
        <w:autoSpaceDN/>
        <w:bidi w:val="0"/>
        <w:adjustRightInd/>
        <w:snapToGrid/>
        <w:spacing w:before="240" w:beforeAutospacing="0" w:after="240" w:afterAutospacing="0" w:line="480" w:lineRule="atLeast"/>
        <w:ind w:left="0" w:right="0" w:firstLine="0"/>
        <w:textAlignment w:val="auto"/>
        <w:rPr>
          <w:rFonts w:hint="eastAsia" w:ascii="宋体" w:hAnsi="宋体" w:eastAsia="宋体" w:cs="宋体"/>
          <w:b w:val="0"/>
          <w:bCs w:val="0"/>
          <w:caps w:val="0"/>
          <w:color w:val="auto"/>
          <w:spacing w:val="0"/>
          <w:sz w:val="21"/>
          <w:szCs w:val="21"/>
          <w:lang w:val="en-US" w:eastAsia="zh-CN"/>
        </w:rPr>
      </w:pPr>
      <w:r>
        <w:rPr>
          <w:rFonts w:hint="eastAsia" w:ascii="宋体" w:hAnsi="宋体" w:eastAsia="宋体" w:cs="宋体"/>
          <w:b w:val="0"/>
          <w:bCs w:val="0"/>
          <w:caps w:val="0"/>
          <w:color w:val="auto"/>
          <w:spacing w:val="0"/>
          <w:sz w:val="21"/>
          <w:szCs w:val="21"/>
          <w:shd w:val="clear" w:color="auto" w:fill="FFFFFF"/>
          <w:lang w:eastAsia="zh-CN"/>
        </w:rPr>
        <w:t>（</w:t>
      </w:r>
      <w:r>
        <w:rPr>
          <w:rFonts w:hint="eastAsia" w:ascii="宋体" w:hAnsi="宋体" w:eastAsia="宋体" w:cs="宋体"/>
          <w:b w:val="0"/>
          <w:bCs w:val="0"/>
          <w:caps w:val="0"/>
          <w:color w:val="auto"/>
          <w:spacing w:val="0"/>
          <w:sz w:val="21"/>
          <w:szCs w:val="21"/>
          <w:shd w:val="clear" w:color="auto" w:fill="FFFFFF"/>
        </w:rPr>
        <w:t>二</w:t>
      </w:r>
      <w:r>
        <w:rPr>
          <w:rFonts w:hint="eastAsia" w:ascii="宋体" w:hAnsi="宋体" w:eastAsia="宋体" w:cs="宋体"/>
          <w:b w:val="0"/>
          <w:bCs w:val="0"/>
          <w:caps w:val="0"/>
          <w:color w:val="auto"/>
          <w:spacing w:val="0"/>
          <w:sz w:val="21"/>
          <w:szCs w:val="21"/>
          <w:shd w:val="clear" w:color="auto" w:fill="FFFFFF"/>
          <w:lang w:eastAsia="zh-CN"/>
        </w:rPr>
        <w:t>）</w:t>
      </w:r>
      <w:r>
        <w:rPr>
          <w:rFonts w:hint="eastAsia" w:ascii="宋体" w:hAnsi="宋体" w:eastAsia="宋体" w:cs="宋体"/>
          <w:b w:val="0"/>
          <w:bCs w:val="0"/>
          <w:caps w:val="0"/>
          <w:color w:val="auto"/>
          <w:spacing w:val="0"/>
          <w:sz w:val="21"/>
          <w:szCs w:val="21"/>
          <w:shd w:val="clear" w:color="auto" w:fill="FFFFFF"/>
        </w:rPr>
        <w:t>、大腔多舱式清洗消毒机</w:t>
      </w:r>
      <w:r>
        <w:rPr>
          <w:rFonts w:hint="eastAsia" w:ascii="宋体" w:hAnsi="宋体" w:eastAsia="宋体" w:cs="宋体"/>
          <w:b w:val="0"/>
          <w:bCs w:val="0"/>
          <w:caps w:val="0"/>
          <w:color w:val="auto"/>
          <w:spacing w:val="0"/>
          <w:sz w:val="21"/>
          <w:szCs w:val="21"/>
          <w:shd w:val="clear" w:color="auto" w:fill="FFFFFF"/>
          <w:lang w:val="en-US" w:eastAsia="zh-CN"/>
        </w:rPr>
        <w:t>2台</w:t>
      </w:r>
    </w:p>
    <w:tbl>
      <w:tblPr>
        <w:tblStyle w:val="5"/>
        <w:tblW w:w="83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616"/>
        <w:gridCol w:w="7695"/>
      </w:tblGrid>
      <w:tr w14:paraId="005A1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2" w:hRule="atLeast"/>
          <w:tblHeader/>
        </w:trPr>
        <w:tc>
          <w:tcPr>
            <w:tcW w:w="616" w:type="dxa"/>
            <w:tcBorders>
              <w:tl2br w:val="nil"/>
              <w:tr2bl w:val="nil"/>
            </w:tcBorders>
            <w:noWrap w:val="0"/>
            <w:tcMar>
              <w:top w:w="0" w:type="dxa"/>
              <w:left w:w="0" w:type="dxa"/>
              <w:bottom w:w="0" w:type="dxa"/>
              <w:right w:w="0" w:type="dxa"/>
            </w:tcMar>
            <w:vAlign w:val="center"/>
          </w:tcPr>
          <w:p w14:paraId="7F1B4C9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序号</w:t>
            </w:r>
          </w:p>
        </w:tc>
        <w:tc>
          <w:tcPr>
            <w:tcW w:w="7695" w:type="dxa"/>
            <w:tcBorders>
              <w:tl2br w:val="nil"/>
              <w:tr2bl w:val="nil"/>
            </w:tcBorders>
            <w:noWrap w:val="0"/>
            <w:tcMar>
              <w:top w:w="0" w:type="dxa"/>
              <w:left w:w="240" w:type="dxa"/>
              <w:bottom w:w="0" w:type="dxa"/>
              <w:right w:w="0" w:type="dxa"/>
            </w:tcMar>
            <w:vAlign w:val="center"/>
          </w:tcPr>
          <w:p w14:paraId="0871D2E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技术参数要求</w:t>
            </w:r>
          </w:p>
        </w:tc>
      </w:tr>
      <w:tr w14:paraId="76467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2" w:hRule="atLeast"/>
        </w:trPr>
        <w:tc>
          <w:tcPr>
            <w:tcW w:w="616" w:type="dxa"/>
            <w:tcBorders>
              <w:tl2br w:val="nil"/>
              <w:tr2bl w:val="nil"/>
            </w:tcBorders>
            <w:noWrap w:val="0"/>
            <w:tcMar>
              <w:top w:w="0" w:type="dxa"/>
              <w:left w:w="0" w:type="dxa"/>
              <w:bottom w:w="0" w:type="dxa"/>
              <w:right w:w="0" w:type="dxa"/>
            </w:tcMar>
            <w:vAlign w:val="center"/>
          </w:tcPr>
          <w:p w14:paraId="68681FA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1</w:t>
            </w:r>
          </w:p>
        </w:tc>
        <w:tc>
          <w:tcPr>
            <w:tcW w:w="7695" w:type="dxa"/>
            <w:tcBorders>
              <w:tl2br w:val="nil"/>
              <w:tr2bl w:val="nil"/>
            </w:tcBorders>
            <w:noWrap w:val="0"/>
            <w:tcMar>
              <w:top w:w="0" w:type="dxa"/>
              <w:left w:w="0" w:type="dxa"/>
              <w:bottom w:w="0" w:type="dxa"/>
              <w:right w:w="0" w:type="dxa"/>
            </w:tcMar>
            <w:vAlign w:val="center"/>
          </w:tcPr>
          <w:p w14:paraId="0802DE7A">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容积：≥520L</w:t>
            </w:r>
          </w:p>
        </w:tc>
      </w:tr>
      <w:tr w14:paraId="5A340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trPr>
        <w:tc>
          <w:tcPr>
            <w:tcW w:w="616" w:type="dxa"/>
            <w:tcBorders>
              <w:tl2br w:val="nil"/>
              <w:tr2bl w:val="nil"/>
            </w:tcBorders>
            <w:noWrap w:val="0"/>
            <w:tcMar>
              <w:top w:w="0" w:type="dxa"/>
              <w:left w:w="0" w:type="dxa"/>
              <w:bottom w:w="0" w:type="dxa"/>
              <w:right w:w="0" w:type="dxa"/>
            </w:tcMar>
            <w:vAlign w:val="center"/>
          </w:tcPr>
          <w:p w14:paraId="64F742C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2</w:t>
            </w:r>
          </w:p>
        </w:tc>
        <w:tc>
          <w:tcPr>
            <w:tcW w:w="7695" w:type="dxa"/>
            <w:tcBorders>
              <w:tl2br w:val="nil"/>
              <w:tr2bl w:val="nil"/>
            </w:tcBorders>
            <w:noWrap w:val="0"/>
            <w:tcMar>
              <w:top w:w="0" w:type="dxa"/>
              <w:left w:w="0" w:type="dxa"/>
              <w:bottom w:w="0" w:type="dxa"/>
              <w:right w:w="0" w:type="dxa"/>
            </w:tcMar>
            <w:vAlign w:val="center"/>
          </w:tcPr>
          <w:p w14:paraId="25E2BF1C">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材质：舱体为1.5mm厚316L不锈钢镜面板；清洗架为不锈钢；外装饰罩为304不锈钢拉丝板</w:t>
            </w:r>
          </w:p>
        </w:tc>
      </w:tr>
      <w:tr w14:paraId="5D852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trPr>
        <w:tc>
          <w:tcPr>
            <w:tcW w:w="616" w:type="dxa"/>
            <w:tcBorders>
              <w:tl2br w:val="nil"/>
              <w:tr2bl w:val="nil"/>
            </w:tcBorders>
            <w:noWrap w:val="0"/>
            <w:tcMar>
              <w:top w:w="0" w:type="dxa"/>
              <w:left w:w="0" w:type="dxa"/>
              <w:bottom w:w="0" w:type="dxa"/>
              <w:right w:w="0" w:type="dxa"/>
            </w:tcMar>
            <w:vAlign w:val="center"/>
          </w:tcPr>
          <w:p w14:paraId="255F4B5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3</w:t>
            </w:r>
          </w:p>
        </w:tc>
        <w:tc>
          <w:tcPr>
            <w:tcW w:w="7695" w:type="dxa"/>
            <w:tcBorders>
              <w:tl2br w:val="nil"/>
              <w:tr2bl w:val="nil"/>
            </w:tcBorders>
            <w:noWrap w:val="0"/>
            <w:tcMar>
              <w:top w:w="0" w:type="dxa"/>
              <w:left w:w="0" w:type="dxa"/>
              <w:bottom w:w="0" w:type="dxa"/>
              <w:right w:w="0" w:type="dxa"/>
            </w:tcMar>
            <w:vAlign w:val="center"/>
          </w:tcPr>
          <w:p w14:paraId="02C1DCE1">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▲外形尺寸限制：设备面向操作端宽度≤1300mm（提供投标产品该方向测量实物照片证明）</w:t>
            </w:r>
          </w:p>
        </w:tc>
      </w:tr>
      <w:tr w14:paraId="61919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15" w:hRule="atLeast"/>
        </w:trPr>
        <w:tc>
          <w:tcPr>
            <w:tcW w:w="616" w:type="dxa"/>
            <w:tcBorders>
              <w:tl2br w:val="nil"/>
              <w:tr2bl w:val="nil"/>
            </w:tcBorders>
            <w:noWrap w:val="0"/>
            <w:tcMar>
              <w:top w:w="0" w:type="dxa"/>
              <w:left w:w="0" w:type="dxa"/>
              <w:bottom w:w="0" w:type="dxa"/>
              <w:right w:w="0" w:type="dxa"/>
            </w:tcMar>
            <w:vAlign w:val="center"/>
          </w:tcPr>
          <w:p w14:paraId="48CBC0C7">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4</w:t>
            </w:r>
          </w:p>
        </w:tc>
        <w:tc>
          <w:tcPr>
            <w:tcW w:w="7695" w:type="dxa"/>
            <w:tcBorders>
              <w:tl2br w:val="nil"/>
              <w:tr2bl w:val="nil"/>
            </w:tcBorders>
            <w:noWrap w:val="0"/>
            <w:tcMar>
              <w:top w:w="0" w:type="dxa"/>
              <w:left w:w="0" w:type="dxa"/>
              <w:bottom w:w="0" w:type="dxa"/>
              <w:right w:w="0" w:type="dxa"/>
            </w:tcMar>
            <w:vAlign w:val="center"/>
          </w:tcPr>
          <w:p w14:paraId="53F62E26">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清洗架注水口位于清洗腔体侧面，以保证每层水压一致，确保清洗质量</w:t>
            </w:r>
          </w:p>
        </w:tc>
      </w:tr>
      <w:tr w14:paraId="7FC9B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69" w:hRule="atLeast"/>
        </w:trPr>
        <w:tc>
          <w:tcPr>
            <w:tcW w:w="616" w:type="dxa"/>
            <w:tcBorders>
              <w:tl2br w:val="nil"/>
              <w:tr2bl w:val="nil"/>
            </w:tcBorders>
            <w:noWrap w:val="0"/>
            <w:tcMar>
              <w:top w:w="0" w:type="dxa"/>
              <w:left w:w="0" w:type="dxa"/>
              <w:bottom w:w="0" w:type="dxa"/>
              <w:right w:w="0" w:type="dxa"/>
            </w:tcMar>
            <w:vAlign w:val="center"/>
          </w:tcPr>
          <w:p w14:paraId="1C071FD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5</w:t>
            </w:r>
          </w:p>
        </w:tc>
        <w:tc>
          <w:tcPr>
            <w:tcW w:w="7695" w:type="dxa"/>
            <w:tcBorders>
              <w:tl2br w:val="nil"/>
              <w:tr2bl w:val="nil"/>
            </w:tcBorders>
            <w:noWrap w:val="0"/>
            <w:tcMar>
              <w:top w:w="0" w:type="dxa"/>
              <w:left w:w="0" w:type="dxa"/>
              <w:bottom w:w="0" w:type="dxa"/>
              <w:right w:w="0" w:type="dxa"/>
            </w:tcMar>
            <w:vAlign w:val="center"/>
          </w:tcPr>
          <w:p w14:paraId="7E9657FF">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舱体具有照明系统</w:t>
            </w:r>
          </w:p>
        </w:tc>
      </w:tr>
      <w:tr w14:paraId="1E7E4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47" w:hRule="atLeast"/>
        </w:trPr>
        <w:tc>
          <w:tcPr>
            <w:tcW w:w="616" w:type="dxa"/>
            <w:tcBorders>
              <w:tl2br w:val="nil"/>
              <w:tr2bl w:val="nil"/>
            </w:tcBorders>
            <w:noWrap w:val="0"/>
            <w:tcMar>
              <w:top w:w="0" w:type="dxa"/>
              <w:left w:w="0" w:type="dxa"/>
              <w:bottom w:w="0" w:type="dxa"/>
              <w:right w:w="0" w:type="dxa"/>
            </w:tcMar>
            <w:vAlign w:val="center"/>
          </w:tcPr>
          <w:p w14:paraId="521407C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6</w:t>
            </w:r>
          </w:p>
        </w:tc>
        <w:tc>
          <w:tcPr>
            <w:tcW w:w="7695" w:type="dxa"/>
            <w:tcBorders>
              <w:tl2br w:val="nil"/>
              <w:tr2bl w:val="nil"/>
            </w:tcBorders>
            <w:noWrap w:val="0"/>
            <w:tcMar>
              <w:top w:w="0" w:type="dxa"/>
              <w:left w:w="0" w:type="dxa"/>
              <w:bottom w:w="0" w:type="dxa"/>
              <w:right w:w="0" w:type="dxa"/>
            </w:tcMar>
            <w:vAlign w:val="center"/>
          </w:tcPr>
          <w:p w14:paraId="7BC80270">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开门方式：自动下开门</w:t>
            </w:r>
          </w:p>
        </w:tc>
      </w:tr>
      <w:tr w14:paraId="5196F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47" w:hRule="atLeast"/>
        </w:trPr>
        <w:tc>
          <w:tcPr>
            <w:tcW w:w="616" w:type="dxa"/>
            <w:tcBorders>
              <w:tl2br w:val="nil"/>
              <w:tr2bl w:val="nil"/>
            </w:tcBorders>
            <w:noWrap w:val="0"/>
            <w:tcMar>
              <w:top w:w="0" w:type="dxa"/>
              <w:left w:w="0" w:type="dxa"/>
              <w:bottom w:w="0" w:type="dxa"/>
              <w:right w:w="0" w:type="dxa"/>
            </w:tcMar>
            <w:vAlign w:val="center"/>
          </w:tcPr>
          <w:p w14:paraId="19F0C76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7</w:t>
            </w:r>
          </w:p>
        </w:tc>
        <w:tc>
          <w:tcPr>
            <w:tcW w:w="7695" w:type="dxa"/>
            <w:tcBorders>
              <w:tl2br w:val="nil"/>
              <w:tr2bl w:val="nil"/>
            </w:tcBorders>
            <w:noWrap w:val="0"/>
            <w:tcMar>
              <w:top w:w="0" w:type="dxa"/>
              <w:left w:w="0" w:type="dxa"/>
              <w:bottom w:w="0" w:type="dxa"/>
              <w:right w:w="0" w:type="dxa"/>
            </w:tcMar>
            <w:vAlign w:val="center"/>
          </w:tcPr>
          <w:p w14:paraId="78C5C9CC">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通道类型：双门通道型，双门互锁</w:t>
            </w:r>
          </w:p>
        </w:tc>
      </w:tr>
      <w:tr w14:paraId="438DF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70" w:hRule="atLeast"/>
        </w:trPr>
        <w:tc>
          <w:tcPr>
            <w:tcW w:w="616" w:type="dxa"/>
            <w:tcBorders>
              <w:tl2br w:val="nil"/>
              <w:tr2bl w:val="nil"/>
            </w:tcBorders>
            <w:noWrap w:val="0"/>
            <w:tcMar>
              <w:top w:w="0" w:type="dxa"/>
              <w:left w:w="0" w:type="dxa"/>
              <w:bottom w:w="0" w:type="dxa"/>
              <w:right w:w="0" w:type="dxa"/>
            </w:tcMar>
            <w:vAlign w:val="center"/>
          </w:tcPr>
          <w:p w14:paraId="4AD9CC1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8</w:t>
            </w:r>
          </w:p>
        </w:tc>
        <w:tc>
          <w:tcPr>
            <w:tcW w:w="7695" w:type="dxa"/>
            <w:tcBorders>
              <w:tl2br w:val="nil"/>
              <w:tr2bl w:val="nil"/>
            </w:tcBorders>
            <w:noWrap w:val="0"/>
            <w:tcMar>
              <w:top w:w="0" w:type="dxa"/>
              <w:left w:w="0" w:type="dxa"/>
              <w:bottom w:w="0" w:type="dxa"/>
              <w:right w:w="0" w:type="dxa"/>
            </w:tcMar>
            <w:vAlign w:val="center"/>
          </w:tcPr>
          <w:p w14:paraId="01769760">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门玻璃：防爆玻璃，隔音隔热</w:t>
            </w:r>
          </w:p>
        </w:tc>
      </w:tr>
      <w:tr w14:paraId="1335B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47" w:hRule="atLeast"/>
        </w:trPr>
        <w:tc>
          <w:tcPr>
            <w:tcW w:w="616" w:type="dxa"/>
            <w:tcBorders>
              <w:tl2br w:val="nil"/>
              <w:tr2bl w:val="nil"/>
            </w:tcBorders>
            <w:noWrap w:val="0"/>
            <w:tcMar>
              <w:top w:w="0" w:type="dxa"/>
              <w:left w:w="0" w:type="dxa"/>
              <w:bottom w:w="0" w:type="dxa"/>
              <w:right w:w="0" w:type="dxa"/>
            </w:tcMar>
            <w:vAlign w:val="center"/>
          </w:tcPr>
          <w:p w14:paraId="15E9B05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9</w:t>
            </w:r>
          </w:p>
        </w:tc>
        <w:tc>
          <w:tcPr>
            <w:tcW w:w="7695" w:type="dxa"/>
            <w:tcBorders>
              <w:tl2br w:val="nil"/>
              <w:tr2bl w:val="nil"/>
            </w:tcBorders>
            <w:noWrap w:val="0"/>
            <w:tcMar>
              <w:top w:w="0" w:type="dxa"/>
              <w:left w:w="0" w:type="dxa"/>
              <w:bottom w:w="0" w:type="dxa"/>
              <w:right w:w="0" w:type="dxa"/>
            </w:tcMar>
            <w:vAlign w:val="center"/>
          </w:tcPr>
          <w:p w14:paraId="030BFF9F">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关门遇障碍可自动返回</w:t>
            </w:r>
          </w:p>
        </w:tc>
      </w:tr>
      <w:tr w14:paraId="13DA0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0" w:hRule="atLeast"/>
        </w:trPr>
        <w:tc>
          <w:tcPr>
            <w:tcW w:w="616" w:type="dxa"/>
            <w:tcBorders>
              <w:tl2br w:val="nil"/>
              <w:tr2bl w:val="nil"/>
            </w:tcBorders>
            <w:noWrap w:val="0"/>
            <w:tcMar>
              <w:top w:w="0" w:type="dxa"/>
              <w:left w:w="0" w:type="dxa"/>
              <w:bottom w:w="0" w:type="dxa"/>
              <w:right w:w="0" w:type="dxa"/>
            </w:tcMar>
            <w:vAlign w:val="center"/>
          </w:tcPr>
          <w:p w14:paraId="226119F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10</w:t>
            </w:r>
          </w:p>
        </w:tc>
        <w:tc>
          <w:tcPr>
            <w:tcW w:w="7695" w:type="dxa"/>
            <w:tcBorders>
              <w:tl2br w:val="nil"/>
              <w:tr2bl w:val="nil"/>
            </w:tcBorders>
            <w:noWrap w:val="0"/>
            <w:tcMar>
              <w:top w:w="0" w:type="dxa"/>
              <w:left w:w="0" w:type="dxa"/>
              <w:bottom w:w="0" w:type="dxa"/>
              <w:right w:w="0" w:type="dxa"/>
            </w:tcMar>
            <w:vAlign w:val="center"/>
          </w:tcPr>
          <w:p w14:paraId="4108FAF6">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门密封方式：主动压紧（气缸压紧），密封可靠</w:t>
            </w:r>
          </w:p>
        </w:tc>
      </w:tr>
      <w:tr w14:paraId="2368E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35" w:hRule="atLeast"/>
        </w:trPr>
        <w:tc>
          <w:tcPr>
            <w:tcW w:w="616" w:type="dxa"/>
            <w:tcBorders>
              <w:tl2br w:val="nil"/>
              <w:tr2bl w:val="nil"/>
            </w:tcBorders>
            <w:noWrap w:val="0"/>
            <w:tcMar>
              <w:top w:w="0" w:type="dxa"/>
              <w:left w:w="0" w:type="dxa"/>
              <w:bottom w:w="0" w:type="dxa"/>
              <w:right w:w="0" w:type="dxa"/>
            </w:tcMar>
            <w:vAlign w:val="center"/>
          </w:tcPr>
          <w:p w14:paraId="1732081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11</w:t>
            </w:r>
          </w:p>
        </w:tc>
        <w:tc>
          <w:tcPr>
            <w:tcW w:w="7695" w:type="dxa"/>
            <w:tcBorders>
              <w:tl2br w:val="nil"/>
              <w:tr2bl w:val="nil"/>
            </w:tcBorders>
            <w:noWrap w:val="0"/>
            <w:tcMar>
              <w:top w:w="0" w:type="dxa"/>
              <w:left w:w="0" w:type="dxa"/>
              <w:bottom w:w="0" w:type="dxa"/>
              <w:right w:w="0" w:type="dxa"/>
            </w:tcMar>
            <w:vAlign w:val="center"/>
          </w:tcPr>
          <w:p w14:paraId="61A890E2">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快速管路设计：快速预热水箱，双水箱、双风箱设计</w:t>
            </w:r>
          </w:p>
        </w:tc>
      </w:tr>
      <w:tr w14:paraId="302C2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77" w:hRule="atLeast"/>
        </w:trPr>
        <w:tc>
          <w:tcPr>
            <w:tcW w:w="616" w:type="dxa"/>
            <w:tcBorders>
              <w:tl2br w:val="nil"/>
              <w:tr2bl w:val="nil"/>
            </w:tcBorders>
            <w:noWrap w:val="0"/>
            <w:tcMar>
              <w:top w:w="0" w:type="dxa"/>
              <w:left w:w="0" w:type="dxa"/>
              <w:bottom w:w="0" w:type="dxa"/>
              <w:right w:w="0" w:type="dxa"/>
            </w:tcMar>
            <w:vAlign w:val="center"/>
          </w:tcPr>
          <w:p w14:paraId="01EE990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12</w:t>
            </w:r>
          </w:p>
        </w:tc>
        <w:tc>
          <w:tcPr>
            <w:tcW w:w="7695" w:type="dxa"/>
            <w:tcBorders>
              <w:tl2br w:val="nil"/>
              <w:tr2bl w:val="nil"/>
            </w:tcBorders>
            <w:noWrap w:val="0"/>
            <w:tcMar>
              <w:top w:w="0" w:type="dxa"/>
              <w:left w:w="0" w:type="dxa"/>
              <w:bottom w:w="0" w:type="dxa"/>
              <w:right w:w="0" w:type="dxa"/>
            </w:tcMar>
            <w:vAlign w:val="center"/>
          </w:tcPr>
          <w:p w14:paraId="7C189E52">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干燥系统：噪音≤65dB，双风机供风，双级加热</w:t>
            </w:r>
          </w:p>
        </w:tc>
      </w:tr>
      <w:tr w14:paraId="1D72F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12" w:hRule="atLeast"/>
        </w:trPr>
        <w:tc>
          <w:tcPr>
            <w:tcW w:w="616" w:type="dxa"/>
            <w:tcBorders>
              <w:tl2br w:val="nil"/>
              <w:tr2bl w:val="nil"/>
            </w:tcBorders>
            <w:noWrap w:val="0"/>
            <w:tcMar>
              <w:top w:w="0" w:type="dxa"/>
              <w:left w:w="0" w:type="dxa"/>
              <w:bottom w:w="0" w:type="dxa"/>
              <w:right w:w="0" w:type="dxa"/>
            </w:tcMar>
            <w:vAlign w:val="center"/>
          </w:tcPr>
          <w:p w14:paraId="4F9A534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13</w:t>
            </w:r>
          </w:p>
        </w:tc>
        <w:tc>
          <w:tcPr>
            <w:tcW w:w="7695" w:type="dxa"/>
            <w:tcBorders>
              <w:tl2br w:val="nil"/>
              <w:tr2bl w:val="nil"/>
            </w:tcBorders>
            <w:noWrap w:val="0"/>
            <w:tcMar>
              <w:top w:w="0" w:type="dxa"/>
              <w:left w:w="0" w:type="dxa"/>
              <w:bottom w:w="0" w:type="dxa"/>
              <w:right w:w="0" w:type="dxa"/>
            </w:tcMar>
            <w:vAlign w:val="center"/>
          </w:tcPr>
          <w:p w14:paraId="3EDC50ED">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核心配件（循环泵、气动阀、计量泵）选用知名品牌</w:t>
            </w:r>
          </w:p>
        </w:tc>
      </w:tr>
      <w:tr w14:paraId="6F9BC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70" w:hRule="atLeast"/>
        </w:trPr>
        <w:tc>
          <w:tcPr>
            <w:tcW w:w="616" w:type="dxa"/>
            <w:tcBorders>
              <w:tl2br w:val="nil"/>
              <w:tr2bl w:val="nil"/>
            </w:tcBorders>
            <w:noWrap w:val="0"/>
            <w:tcMar>
              <w:top w:w="0" w:type="dxa"/>
              <w:left w:w="0" w:type="dxa"/>
              <w:bottom w:w="0" w:type="dxa"/>
              <w:right w:w="0" w:type="dxa"/>
            </w:tcMar>
            <w:vAlign w:val="center"/>
          </w:tcPr>
          <w:p w14:paraId="6DBD16D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14</w:t>
            </w:r>
          </w:p>
        </w:tc>
        <w:tc>
          <w:tcPr>
            <w:tcW w:w="7695" w:type="dxa"/>
            <w:tcBorders>
              <w:tl2br w:val="nil"/>
              <w:tr2bl w:val="nil"/>
            </w:tcBorders>
            <w:noWrap w:val="0"/>
            <w:tcMar>
              <w:top w:w="0" w:type="dxa"/>
              <w:left w:w="0" w:type="dxa"/>
              <w:bottom w:w="0" w:type="dxa"/>
              <w:right w:w="0" w:type="dxa"/>
            </w:tcMar>
            <w:vAlign w:val="center"/>
          </w:tcPr>
          <w:p w14:paraId="393DCCDF">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计量泵数量：2个（1个加清洗液，1个加上油液）</w:t>
            </w:r>
          </w:p>
        </w:tc>
      </w:tr>
      <w:tr w14:paraId="7A153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9" w:hRule="atLeast"/>
        </w:trPr>
        <w:tc>
          <w:tcPr>
            <w:tcW w:w="616" w:type="dxa"/>
            <w:tcBorders>
              <w:tl2br w:val="nil"/>
              <w:tr2bl w:val="nil"/>
            </w:tcBorders>
            <w:noWrap w:val="0"/>
            <w:tcMar>
              <w:top w:w="0" w:type="dxa"/>
              <w:left w:w="0" w:type="dxa"/>
              <w:bottom w:w="0" w:type="dxa"/>
              <w:right w:w="0" w:type="dxa"/>
            </w:tcMar>
            <w:vAlign w:val="center"/>
          </w:tcPr>
          <w:p w14:paraId="5FD05D4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15</w:t>
            </w:r>
          </w:p>
        </w:tc>
        <w:tc>
          <w:tcPr>
            <w:tcW w:w="7695" w:type="dxa"/>
            <w:tcBorders>
              <w:tl2br w:val="nil"/>
              <w:tr2bl w:val="nil"/>
            </w:tcBorders>
            <w:noWrap w:val="0"/>
            <w:tcMar>
              <w:top w:w="0" w:type="dxa"/>
              <w:left w:w="0" w:type="dxa"/>
              <w:bottom w:w="0" w:type="dxa"/>
              <w:right w:w="0" w:type="dxa"/>
            </w:tcMar>
            <w:vAlign w:val="center"/>
          </w:tcPr>
          <w:p w14:paraId="54BB6F04">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循环泵：不锈钢泵体，流量≥1100L/min</w:t>
            </w:r>
          </w:p>
        </w:tc>
      </w:tr>
      <w:tr w14:paraId="7BA67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81" w:hRule="atLeast"/>
        </w:trPr>
        <w:tc>
          <w:tcPr>
            <w:tcW w:w="616" w:type="dxa"/>
            <w:tcBorders>
              <w:tl2br w:val="nil"/>
              <w:tr2bl w:val="nil"/>
            </w:tcBorders>
            <w:noWrap w:val="0"/>
            <w:tcMar>
              <w:top w:w="0" w:type="dxa"/>
              <w:left w:w="0" w:type="dxa"/>
              <w:bottom w:w="0" w:type="dxa"/>
              <w:right w:w="0" w:type="dxa"/>
            </w:tcMar>
            <w:vAlign w:val="center"/>
          </w:tcPr>
          <w:p w14:paraId="36DE751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16</w:t>
            </w:r>
          </w:p>
        </w:tc>
        <w:tc>
          <w:tcPr>
            <w:tcW w:w="7695" w:type="dxa"/>
            <w:tcBorders>
              <w:tl2br w:val="nil"/>
              <w:tr2bl w:val="nil"/>
            </w:tcBorders>
            <w:noWrap w:val="0"/>
            <w:tcMar>
              <w:top w:w="0" w:type="dxa"/>
              <w:left w:w="0" w:type="dxa"/>
              <w:bottom w:w="0" w:type="dxa"/>
              <w:right w:w="0" w:type="dxa"/>
            </w:tcMar>
            <w:vAlign w:val="center"/>
          </w:tcPr>
          <w:p w14:paraId="246FD4D1">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空气过滤器：H13级，效率≥99.99%，过滤精度≤0.5μm</w:t>
            </w:r>
          </w:p>
        </w:tc>
      </w:tr>
      <w:tr w14:paraId="6AB5F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61" w:hRule="atLeast"/>
        </w:trPr>
        <w:tc>
          <w:tcPr>
            <w:tcW w:w="616" w:type="dxa"/>
            <w:tcBorders>
              <w:tl2br w:val="nil"/>
              <w:tr2bl w:val="nil"/>
            </w:tcBorders>
            <w:noWrap w:val="0"/>
            <w:tcMar>
              <w:top w:w="0" w:type="dxa"/>
              <w:left w:w="0" w:type="dxa"/>
              <w:bottom w:w="0" w:type="dxa"/>
              <w:right w:w="0" w:type="dxa"/>
            </w:tcMar>
            <w:vAlign w:val="center"/>
          </w:tcPr>
          <w:p w14:paraId="25B8985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17</w:t>
            </w:r>
          </w:p>
        </w:tc>
        <w:tc>
          <w:tcPr>
            <w:tcW w:w="7695" w:type="dxa"/>
            <w:tcBorders>
              <w:tl2br w:val="nil"/>
              <w:tr2bl w:val="nil"/>
            </w:tcBorders>
            <w:noWrap w:val="0"/>
            <w:tcMar>
              <w:top w:w="0" w:type="dxa"/>
              <w:left w:w="0" w:type="dxa"/>
              <w:bottom w:w="0" w:type="dxa"/>
              <w:right w:w="0" w:type="dxa"/>
            </w:tcMar>
            <w:vAlign w:val="center"/>
          </w:tcPr>
          <w:p w14:paraId="62E8EE25">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▲消毒温度控制：消毒阶段维持时间内最低温度≥93℃，最高温度≤96.5℃（提供投标产品卫生安全评价报告证明）</w:t>
            </w:r>
          </w:p>
        </w:tc>
      </w:tr>
      <w:tr w14:paraId="35E53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3" w:hRule="atLeast"/>
        </w:trPr>
        <w:tc>
          <w:tcPr>
            <w:tcW w:w="616" w:type="dxa"/>
            <w:tcBorders>
              <w:tl2br w:val="nil"/>
              <w:tr2bl w:val="nil"/>
            </w:tcBorders>
            <w:noWrap w:val="0"/>
            <w:tcMar>
              <w:top w:w="0" w:type="dxa"/>
              <w:left w:w="0" w:type="dxa"/>
              <w:bottom w:w="0" w:type="dxa"/>
              <w:right w:w="0" w:type="dxa"/>
            </w:tcMar>
            <w:vAlign w:val="center"/>
          </w:tcPr>
          <w:p w14:paraId="79FC4F4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18</w:t>
            </w:r>
          </w:p>
        </w:tc>
        <w:tc>
          <w:tcPr>
            <w:tcW w:w="7695" w:type="dxa"/>
            <w:tcBorders>
              <w:tl2br w:val="nil"/>
              <w:tr2bl w:val="nil"/>
            </w:tcBorders>
            <w:noWrap w:val="0"/>
            <w:tcMar>
              <w:top w:w="0" w:type="dxa"/>
              <w:left w:w="0" w:type="dxa"/>
              <w:bottom w:w="0" w:type="dxa"/>
              <w:right w:w="0" w:type="dxa"/>
            </w:tcMar>
            <w:vAlign w:val="center"/>
          </w:tcPr>
          <w:p w14:paraId="3265C5CA">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控制方式：采用工业可编程逻辑控制器（PLC），支持数字量和模拟量扩展；具有故障自动检测及声光报警功能，抗干扰性强、稳定性高</w:t>
            </w:r>
          </w:p>
        </w:tc>
      </w:tr>
      <w:tr w14:paraId="0FA8F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trPr>
        <w:tc>
          <w:tcPr>
            <w:tcW w:w="616" w:type="dxa"/>
            <w:tcBorders>
              <w:tl2br w:val="nil"/>
              <w:tr2bl w:val="nil"/>
            </w:tcBorders>
            <w:noWrap w:val="0"/>
            <w:tcMar>
              <w:top w:w="0" w:type="dxa"/>
              <w:left w:w="0" w:type="dxa"/>
              <w:bottom w:w="0" w:type="dxa"/>
              <w:right w:w="0" w:type="dxa"/>
            </w:tcMar>
            <w:vAlign w:val="center"/>
          </w:tcPr>
          <w:p w14:paraId="3420CB8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19</w:t>
            </w:r>
          </w:p>
        </w:tc>
        <w:tc>
          <w:tcPr>
            <w:tcW w:w="7695" w:type="dxa"/>
            <w:tcBorders>
              <w:tl2br w:val="nil"/>
              <w:tr2bl w:val="nil"/>
            </w:tcBorders>
            <w:noWrap w:val="0"/>
            <w:tcMar>
              <w:top w:w="0" w:type="dxa"/>
              <w:left w:w="0" w:type="dxa"/>
              <w:bottom w:w="0" w:type="dxa"/>
              <w:right w:w="0" w:type="dxa"/>
            </w:tcMar>
            <w:vAlign w:val="center"/>
          </w:tcPr>
          <w:p w14:paraId="0AE9D321">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界面显示：≥8英寸彩色触摸屏，前后双屏，可动态显示设备各部件运行状态及参数，具有报警信息显示功能</w:t>
            </w:r>
          </w:p>
        </w:tc>
      </w:tr>
      <w:tr w14:paraId="28A81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04" w:hRule="atLeast"/>
        </w:trPr>
        <w:tc>
          <w:tcPr>
            <w:tcW w:w="616" w:type="dxa"/>
            <w:tcBorders>
              <w:tl2br w:val="nil"/>
              <w:tr2bl w:val="nil"/>
            </w:tcBorders>
            <w:noWrap w:val="0"/>
            <w:tcMar>
              <w:top w:w="0" w:type="dxa"/>
              <w:left w:w="0" w:type="dxa"/>
              <w:bottom w:w="0" w:type="dxa"/>
              <w:right w:w="0" w:type="dxa"/>
            </w:tcMar>
            <w:vAlign w:val="center"/>
          </w:tcPr>
          <w:p w14:paraId="4B6178F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20</w:t>
            </w:r>
          </w:p>
        </w:tc>
        <w:tc>
          <w:tcPr>
            <w:tcW w:w="7695" w:type="dxa"/>
            <w:tcBorders>
              <w:tl2br w:val="nil"/>
              <w:tr2bl w:val="nil"/>
            </w:tcBorders>
            <w:noWrap w:val="0"/>
            <w:tcMar>
              <w:top w:w="0" w:type="dxa"/>
              <w:left w:w="0" w:type="dxa"/>
              <w:bottom w:w="0" w:type="dxa"/>
              <w:right w:w="0" w:type="dxa"/>
            </w:tcMar>
            <w:vAlign w:val="center"/>
          </w:tcPr>
          <w:p w14:paraId="109FE66A">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流程控制：预洗、清洗、漂洗一、漂洗二、消毒、干燥全过程由控制器自动控制</w:t>
            </w:r>
          </w:p>
        </w:tc>
      </w:tr>
      <w:tr w14:paraId="4E2DD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trPr>
        <w:tc>
          <w:tcPr>
            <w:tcW w:w="616" w:type="dxa"/>
            <w:tcBorders>
              <w:tl2br w:val="nil"/>
              <w:tr2bl w:val="nil"/>
            </w:tcBorders>
            <w:noWrap w:val="0"/>
            <w:tcMar>
              <w:top w:w="0" w:type="dxa"/>
              <w:left w:w="0" w:type="dxa"/>
              <w:bottom w:w="0" w:type="dxa"/>
              <w:right w:w="0" w:type="dxa"/>
            </w:tcMar>
            <w:vAlign w:val="center"/>
          </w:tcPr>
          <w:p w14:paraId="22837DB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21</w:t>
            </w:r>
          </w:p>
        </w:tc>
        <w:tc>
          <w:tcPr>
            <w:tcW w:w="7695" w:type="dxa"/>
            <w:tcBorders>
              <w:tl2br w:val="nil"/>
              <w:tr2bl w:val="nil"/>
            </w:tcBorders>
            <w:noWrap w:val="0"/>
            <w:tcMar>
              <w:top w:w="0" w:type="dxa"/>
              <w:left w:w="0" w:type="dxa"/>
              <w:bottom w:w="0" w:type="dxa"/>
              <w:right w:w="0" w:type="dxa"/>
            </w:tcMar>
            <w:vAlign w:val="center"/>
          </w:tcPr>
          <w:p w14:paraId="3A7A6ADB">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安全保护：超温自动保护、防干烧保护、风压低保护、门障碍保护、电机过流保护（过载时自动停止）</w:t>
            </w:r>
          </w:p>
        </w:tc>
      </w:tr>
      <w:tr w14:paraId="58E8D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24" w:hRule="atLeast"/>
        </w:trPr>
        <w:tc>
          <w:tcPr>
            <w:tcW w:w="616" w:type="dxa"/>
            <w:tcBorders>
              <w:tl2br w:val="nil"/>
              <w:tr2bl w:val="nil"/>
            </w:tcBorders>
            <w:noWrap w:val="0"/>
            <w:tcMar>
              <w:top w:w="0" w:type="dxa"/>
              <w:left w:w="0" w:type="dxa"/>
              <w:bottom w:w="0" w:type="dxa"/>
              <w:right w:w="0" w:type="dxa"/>
            </w:tcMar>
            <w:vAlign w:val="center"/>
          </w:tcPr>
          <w:p w14:paraId="5560F35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22</w:t>
            </w:r>
          </w:p>
        </w:tc>
        <w:tc>
          <w:tcPr>
            <w:tcW w:w="7695" w:type="dxa"/>
            <w:tcBorders>
              <w:tl2br w:val="nil"/>
              <w:tr2bl w:val="nil"/>
            </w:tcBorders>
            <w:noWrap w:val="0"/>
            <w:tcMar>
              <w:top w:w="0" w:type="dxa"/>
              <w:left w:w="0" w:type="dxa"/>
              <w:bottom w:w="0" w:type="dxa"/>
              <w:right w:w="0" w:type="dxa"/>
            </w:tcMar>
            <w:vAlign w:val="center"/>
          </w:tcPr>
          <w:p w14:paraId="528CDC9E">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变频清洗功能：可根据不同器械及酶液进行变频清洗</w:t>
            </w:r>
          </w:p>
        </w:tc>
      </w:tr>
      <w:tr w14:paraId="35CA3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23" w:hRule="atLeast"/>
        </w:trPr>
        <w:tc>
          <w:tcPr>
            <w:tcW w:w="616" w:type="dxa"/>
            <w:tcBorders>
              <w:tl2br w:val="nil"/>
              <w:tr2bl w:val="nil"/>
            </w:tcBorders>
            <w:noWrap w:val="0"/>
            <w:tcMar>
              <w:top w:w="0" w:type="dxa"/>
              <w:left w:w="0" w:type="dxa"/>
              <w:bottom w:w="0" w:type="dxa"/>
              <w:right w:w="0" w:type="dxa"/>
            </w:tcMar>
            <w:vAlign w:val="center"/>
          </w:tcPr>
          <w:p w14:paraId="0BB8918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23</w:t>
            </w:r>
          </w:p>
        </w:tc>
        <w:tc>
          <w:tcPr>
            <w:tcW w:w="7695" w:type="dxa"/>
            <w:tcBorders>
              <w:tl2br w:val="nil"/>
              <w:tr2bl w:val="nil"/>
            </w:tcBorders>
            <w:noWrap w:val="0"/>
            <w:tcMar>
              <w:top w:w="0" w:type="dxa"/>
              <w:left w:w="0" w:type="dxa"/>
              <w:bottom w:w="0" w:type="dxa"/>
              <w:right w:w="0" w:type="dxa"/>
            </w:tcMar>
            <w:vAlign w:val="center"/>
          </w:tcPr>
          <w:p w14:paraId="143D7A26">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记录方式：可自动打印过程曲线并记录A0值；可连接追溯系统</w:t>
            </w:r>
          </w:p>
        </w:tc>
      </w:tr>
      <w:tr w14:paraId="7D6FD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77" w:hRule="atLeast"/>
        </w:trPr>
        <w:tc>
          <w:tcPr>
            <w:tcW w:w="616" w:type="dxa"/>
            <w:tcBorders>
              <w:tl2br w:val="nil"/>
              <w:tr2bl w:val="nil"/>
            </w:tcBorders>
            <w:noWrap w:val="0"/>
            <w:tcMar>
              <w:top w:w="0" w:type="dxa"/>
              <w:left w:w="0" w:type="dxa"/>
              <w:bottom w:w="0" w:type="dxa"/>
              <w:right w:w="0" w:type="dxa"/>
            </w:tcMar>
            <w:vAlign w:val="center"/>
          </w:tcPr>
          <w:p w14:paraId="73791E9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24</w:t>
            </w:r>
          </w:p>
        </w:tc>
        <w:tc>
          <w:tcPr>
            <w:tcW w:w="7695" w:type="dxa"/>
            <w:tcBorders>
              <w:tl2br w:val="nil"/>
              <w:tr2bl w:val="nil"/>
            </w:tcBorders>
            <w:noWrap w:val="0"/>
            <w:tcMar>
              <w:top w:w="0" w:type="dxa"/>
              <w:left w:w="0" w:type="dxa"/>
              <w:bottom w:w="0" w:type="dxa"/>
              <w:right w:w="0" w:type="dxa"/>
            </w:tcMar>
            <w:vAlign w:val="center"/>
          </w:tcPr>
          <w:p w14:paraId="034423BB">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程序：≥30套预置程序，用户可编辑</w:t>
            </w:r>
          </w:p>
        </w:tc>
      </w:tr>
      <w:tr w14:paraId="422ED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9" w:hRule="atLeast"/>
        </w:trPr>
        <w:tc>
          <w:tcPr>
            <w:tcW w:w="616" w:type="dxa"/>
            <w:tcBorders>
              <w:tl2br w:val="nil"/>
              <w:tr2bl w:val="nil"/>
            </w:tcBorders>
            <w:noWrap w:val="0"/>
            <w:tcMar>
              <w:top w:w="0" w:type="dxa"/>
              <w:left w:w="0" w:type="dxa"/>
              <w:bottom w:w="0" w:type="dxa"/>
              <w:right w:w="0" w:type="dxa"/>
            </w:tcMar>
            <w:vAlign w:val="center"/>
          </w:tcPr>
          <w:p w14:paraId="6DDA041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25</w:t>
            </w:r>
          </w:p>
        </w:tc>
        <w:tc>
          <w:tcPr>
            <w:tcW w:w="7695" w:type="dxa"/>
            <w:tcBorders>
              <w:tl2br w:val="nil"/>
              <w:tr2bl w:val="nil"/>
            </w:tcBorders>
            <w:noWrap w:val="0"/>
            <w:tcMar>
              <w:top w:w="0" w:type="dxa"/>
              <w:left w:w="0" w:type="dxa"/>
              <w:bottom w:w="0" w:type="dxa"/>
              <w:right w:w="0" w:type="dxa"/>
            </w:tcMar>
            <w:vAlign w:val="center"/>
          </w:tcPr>
          <w:p w14:paraId="3D4181EC">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标准循环运行时间≤30分钟</w:t>
            </w:r>
          </w:p>
        </w:tc>
      </w:tr>
      <w:tr w14:paraId="6FDFD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47" w:hRule="atLeast"/>
        </w:trPr>
        <w:tc>
          <w:tcPr>
            <w:tcW w:w="616" w:type="dxa"/>
            <w:tcBorders>
              <w:tl2br w:val="nil"/>
              <w:tr2bl w:val="nil"/>
            </w:tcBorders>
            <w:noWrap w:val="0"/>
            <w:tcMar>
              <w:top w:w="0" w:type="dxa"/>
              <w:left w:w="0" w:type="dxa"/>
              <w:bottom w:w="0" w:type="dxa"/>
              <w:right w:w="0" w:type="dxa"/>
            </w:tcMar>
            <w:vAlign w:val="center"/>
          </w:tcPr>
          <w:p w14:paraId="3E63853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26</w:t>
            </w:r>
          </w:p>
        </w:tc>
        <w:tc>
          <w:tcPr>
            <w:tcW w:w="7695" w:type="dxa"/>
            <w:tcBorders>
              <w:tl2br w:val="nil"/>
              <w:tr2bl w:val="nil"/>
            </w:tcBorders>
            <w:noWrap w:val="0"/>
            <w:tcMar>
              <w:top w:w="0" w:type="dxa"/>
              <w:left w:w="0" w:type="dxa"/>
              <w:bottom w:w="0" w:type="dxa"/>
              <w:right w:w="0" w:type="dxa"/>
            </w:tcMar>
            <w:vAlign w:val="center"/>
          </w:tcPr>
          <w:p w14:paraId="7143B264">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最大装载量：18个标准器械托盘（480×250×50mm）</w:t>
            </w:r>
          </w:p>
        </w:tc>
      </w:tr>
      <w:tr w14:paraId="2F66F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8" w:hRule="atLeast"/>
        </w:trPr>
        <w:tc>
          <w:tcPr>
            <w:tcW w:w="616" w:type="dxa"/>
            <w:tcBorders>
              <w:tl2br w:val="nil"/>
              <w:tr2bl w:val="nil"/>
            </w:tcBorders>
            <w:noWrap w:val="0"/>
            <w:tcMar>
              <w:top w:w="0" w:type="dxa"/>
              <w:left w:w="0" w:type="dxa"/>
              <w:bottom w:w="0" w:type="dxa"/>
              <w:right w:w="0" w:type="dxa"/>
            </w:tcMar>
            <w:vAlign w:val="center"/>
          </w:tcPr>
          <w:p w14:paraId="41248E6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27</w:t>
            </w:r>
          </w:p>
        </w:tc>
        <w:tc>
          <w:tcPr>
            <w:tcW w:w="7695" w:type="dxa"/>
            <w:tcBorders>
              <w:tl2br w:val="nil"/>
              <w:tr2bl w:val="nil"/>
            </w:tcBorders>
            <w:noWrap w:val="0"/>
            <w:tcMar>
              <w:top w:w="0" w:type="dxa"/>
              <w:left w:w="0" w:type="dxa"/>
              <w:bottom w:w="0" w:type="dxa"/>
              <w:right w:w="0" w:type="dxa"/>
            </w:tcMar>
            <w:vAlign w:val="center"/>
          </w:tcPr>
          <w:p w14:paraId="2061A6E2">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使用寿命：10年或15000次循环</w:t>
            </w:r>
          </w:p>
        </w:tc>
      </w:tr>
      <w:tr w14:paraId="08CDD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46" w:hRule="atLeast"/>
        </w:trPr>
        <w:tc>
          <w:tcPr>
            <w:tcW w:w="616" w:type="dxa"/>
            <w:tcBorders>
              <w:tl2br w:val="nil"/>
              <w:tr2bl w:val="nil"/>
            </w:tcBorders>
            <w:noWrap w:val="0"/>
            <w:tcMar>
              <w:top w:w="0" w:type="dxa"/>
              <w:left w:w="0" w:type="dxa"/>
              <w:bottom w:w="0" w:type="dxa"/>
              <w:right w:w="0" w:type="dxa"/>
            </w:tcMar>
            <w:vAlign w:val="center"/>
          </w:tcPr>
          <w:p w14:paraId="35D1F43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28</w:t>
            </w:r>
          </w:p>
        </w:tc>
        <w:tc>
          <w:tcPr>
            <w:tcW w:w="7695" w:type="dxa"/>
            <w:tcBorders>
              <w:tl2br w:val="nil"/>
              <w:tr2bl w:val="nil"/>
            </w:tcBorders>
            <w:noWrap w:val="0"/>
            <w:tcMar>
              <w:top w:w="0" w:type="dxa"/>
              <w:left w:w="0" w:type="dxa"/>
              <w:bottom w:w="0" w:type="dxa"/>
              <w:right w:w="0" w:type="dxa"/>
            </w:tcMar>
            <w:vAlign w:val="center"/>
          </w:tcPr>
          <w:p w14:paraId="2A90251D">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加热方式：蒸汽加热；设备功率≤18kW</w:t>
            </w:r>
          </w:p>
        </w:tc>
      </w:tr>
      <w:tr w14:paraId="7C31D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04" w:hRule="atLeast"/>
        </w:trPr>
        <w:tc>
          <w:tcPr>
            <w:tcW w:w="616" w:type="dxa"/>
            <w:tcBorders>
              <w:tl2br w:val="nil"/>
              <w:tr2bl w:val="nil"/>
            </w:tcBorders>
            <w:noWrap w:val="0"/>
            <w:tcMar>
              <w:top w:w="0" w:type="dxa"/>
              <w:left w:w="0" w:type="dxa"/>
              <w:bottom w:w="0" w:type="dxa"/>
              <w:right w:w="0" w:type="dxa"/>
            </w:tcMar>
            <w:vAlign w:val="center"/>
          </w:tcPr>
          <w:p w14:paraId="796E3D0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29</w:t>
            </w:r>
          </w:p>
        </w:tc>
        <w:tc>
          <w:tcPr>
            <w:tcW w:w="7695" w:type="dxa"/>
            <w:tcBorders>
              <w:tl2br w:val="nil"/>
              <w:tr2bl w:val="nil"/>
            </w:tcBorders>
            <w:noWrap w:val="0"/>
            <w:tcMar>
              <w:top w:w="0" w:type="dxa"/>
              <w:left w:w="0" w:type="dxa"/>
              <w:bottom w:w="0" w:type="dxa"/>
              <w:right w:w="0" w:type="dxa"/>
            </w:tcMar>
            <w:vAlign w:val="center"/>
          </w:tcPr>
          <w:p w14:paraId="44C42612">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标准配置：主机1台、4层器械清洗架1个、搬运车2个、标准器械托盘12个</w:t>
            </w:r>
          </w:p>
        </w:tc>
      </w:tr>
      <w:tr w14:paraId="76D57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trPr>
        <w:tc>
          <w:tcPr>
            <w:tcW w:w="616" w:type="dxa"/>
            <w:tcBorders>
              <w:tl2br w:val="nil"/>
              <w:tr2bl w:val="nil"/>
            </w:tcBorders>
            <w:noWrap w:val="0"/>
            <w:tcMar>
              <w:top w:w="0" w:type="dxa"/>
              <w:left w:w="0" w:type="dxa"/>
              <w:bottom w:w="0" w:type="dxa"/>
              <w:right w:w="0" w:type="dxa"/>
            </w:tcMar>
            <w:vAlign w:val="center"/>
          </w:tcPr>
          <w:p w14:paraId="35C7CD0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30</w:t>
            </w:r>
          </w:p>
        </w:tc>
        <w:tc>
          <w:tcPr>
            <w:tcW w:w="7695" w:type="dxa"/>
            <w:tcBorders>
              <w:tl2br w:val="nil"/>
              <w:tr2bl w:val="nil"/>
            </w:tcBorders>
            <w:noWrap w:val="0"/>
            <w:tcMar>
              <w:top w:w="0" w:type="dxa"/>
              <w:left w:w="0" w:type="dxa"/>
              <w:bottom w:w="0" w:type="dxa"/>
              <w:right w:w="0" w:type="dxa"/>
            </w:tcMar>
            <w:vAlign w:val="center"/>
          </w:tcPr>
          <w:p w14:paraId="77AF6401">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▲消毒效果保证：设备属于消毒产品，提供全国消毒产品网上备案信息服务平台查询截图</w:t>
            </w:r>
          </w:p>
        </w:tc>
      </w:tr>
      <w:tr w14:paraId="4CA23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20" w:hRule="atLeast"/>
        </w:trPr>
        <w:tc>
          <w:tcPr>
            <w:tcW w:w="616" w:type="dxa"/>
            <w:tcBorders>
              <w:tl2br w:val="nil"/>
              <w:tr2bl w:val="nil"/>
            </w:tcBorders>
            <w:noWrap w:val="0"/>
            <w:tcMar>
              <w:top w:w="0" w:type="dxa"/>
              <w:left w:w="0" w:type="dxa"/>
              <w:bottom w:w="0" w:type="dxa"/>
              <w:right w:w="0" w:type="dxa"/>
            </w:tcMar>
            <w:vAlign w:val="center"/>
          </w:tcPr>
          <w:p w14:paraId="271A361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31</w:t>
            </w:r>
          </w:p>
        </w:tc>
        <w:tc>
          <w:tcPr>
            <w:tcW w:w="7695" w:type="dxa"/>
            <w:tcBorders>
              <w:tl2br w:val="nil"/>
              <w:tr2bl w:val="nil"/>
            </w:tcBorders>
            <w:noWrap w:val="0"/>
            <w:tcMar>
              <w:top w:w="0" w:type="dxa"/>
              <w:left w:w="0" w:type="dxa"/>
              <w:bottom w:w="0" w:type="dxa"/>
              <w:right w:w="0" w:type="dxa"/>
            </w:tcMar>
            <w:vAlign w:val="center"/>
          </w:tcPr>
          <w:p w14:paraId="7D9C76EB">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资质要求：提供卫生安全评价报告（含消毒效果检测报告）及EMC电磁兼容检验报告</w:t>
            </w:r>
          </w:p>
        </w:tc>
      </w:tr>
      <w:tr w14:paraId="3E707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trPr>
        <w:tc>
          <w:tcPr>
            <w:tcW w:w="616" w:type="dxa"/>
            <w:tcBorders>
              <w:tl2br w:val="nil"/>
              <w:tr2bl w:val="nil"/>
            </w:tcBorders>
            <w:noWrap w:val="0"/>
            <w:tcMar>
              <w:top w:w="0" w:type="dxa"/>
              <w:left w:w="0" w:type="dxa"/>
              <w:bottom w:w="0" w:type="dxa"/>
              <w:right w:w="0" w:type="dxa"/>
            </w:tcMar>
            <w:vAlign w:val="center"/>
          </w:tcPr>
          <w:p w14:paraId="676A2C2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32</w:t>
            </w:r>
          </w:p>
        </w:tc>
        <w:tc>
          <w:tcPr>
            <w:tcW w:w="7695" w:type="dxa"/>
            <w:tcBorders>
              <w:tl2br w:val="nil"/>
              <w:tr2bl w:val="nil"/>
            </w:tcBorders>
            <w:noWrap w:val="0"/>
            <w:tcMar>
              <w:top w:w="0" w:type="dxa"/>
              <w:left w:w="0" w:type="dxa"/>
              <w:bottom w:w="0" w:type="dxa"/>
              <w:right w:w="0" w:type="dxa"/>
            </w:tcMar>
            <w:vAlign w:val="center"/>
          </w:tcPr>
          <w:p w14:paraId="5EFF2213">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售后服务：制造商在采购人所在省份设有售后服务机构（提供详细地址及服务人员名单），保证设备使用期内零配件供应及服务及时性；终身免费上门维修，响应时间≤2小时，到达现场≤4小时，解决问题≤8小时</w:t>
            </w:r>
          </w:p>
        </w:tc>
      </w:tr>
    </w:tbl>
    <w:p w14:paraId="0FF51650">
      <w:pPr>
        <w:pStyle w:val="3"/>
        <w:keepNext w:val="0"/>
        <w:keepLines w:val="0"/>
        <w:widowControl/>
        <w:suppressLineNumbers w:val="0"/>
        <w:shd w:val="clear" w:color="auto" w:fill="FFFFFF"/>
        <w:spacing w:before="480" w:beforeAutospacing="0" w:after="240" w:afterAutospacing="0" w:line="480" w:lineRule="atLeast"/>
        <w:ind w:left="0" w:right="0" w:firstLine="0"/>
        <w:rPr>
          <w:rFonts w:hint="eastAsia" w:ascii="宋体" w:hAnsi="宋体" w:eastAsia="宋体" w:cs="宋体"/>
          <w:b w:val="0"/>
          <w:bCs w:val="0"/>
          <w:caps w:val="0"/>
          <w:color w:val="auto"/>
          <w:spacing w:val="0"/>
          <w:sz w:val="21"/>
          <w:szCs w:val="21"/>
          <w:shd w:val="clear" w:color="auto" w:fill="FFFFFF"/>
          <w:lang w:eastAsia="zh-CN"/>
        </w:rPr>
      </w:pPr>
    </w:p>
    <w:p w14:paraId="0FFA7D8E">
      <w:pPr>
        <w:pStyle w:val="3"/>
        <w:keepNext w:val="0"/>
        <w:keepLines w:val="0"/>
        <w:widowControl/>
        <w:suppressLineNumbers w:val="0"/>
        <w:shd w:val="clear" w:color="auto" w:fill="FFFFFF"/>
        <w:spacing w:before="480" w:beforeAutospacing="0" w:after="240" w:afterAutospacing="0" w:line="480" w:lineRule="atLeast"/>
        <w:ind w:left="0" w:right="0" w:firstLine="0"/>
        <w:rPr>
          <w:rFonts w:hint="eastAsia" w:ascii="宋体" w:hAnsi="宋体" w:eastAsia="宋体" w:cs="宋体"/>
          <w:b w:val="0"/>
          <w:bCs w:val="0"/>
          <w:caps w:val="0"/>
          <w:color w:val="auto"/>
          <w:spacing w:val="0"/>
          <w:sz w:val="21"/>
          <w:szCs w:val="21"/>
          <w:shd w:val="clear" w:color="auto" w:fill="FFFFFF"/>
          <w:lang w:eastAsia="zh-CN"/>
        </w:rPr>
      </w:pPr>
    </w:p>
    <w:p w14:paraId="6B13C533">
      <w:pPr>
        <w:rPr>
          <w:rFonts w:hint="eastAsia"/>
          <w:lang w:eastAsia="zh-CN"/>
        </w:rPr>
      </w:pPr>
      <w:bookmarkStart w:id="5" w:name="_GoBack"/>
      <w:bookmarkEnd w:id="5"/>
    </w:p>
    <w:p w14:paraId="6D512503">
      <w:pPr>
        <w:pStyle w:val="3"/>
        <w:keepNext w:val="0"/>
        <w:keepLines w:val="0"/>
        <w:pageBreakBefore w:val="0"/>
        <w:widowControl/>
        <w:suppressLineNumbers w:val="0"/>
        <w:shd w:val="clear" w:color="auto" w:fill="FFFFFF"/>
        <w:kinsoku/>
        <w:wordWrap/>
        <w:overflowPunct/>
        <w:topLinePunct w:val="0"/>
        <w:autoSpaceDE/>
        <w:autoSpaceDN/>
        <w:bidi w:val="0"/>
        <w:adjustRightInd/>
        <w:snapToGrid/>
        <w:spacing w:before="240" w:beforeAutospacing="0" w:after="240" w:afterAutospacing="0" w:line="480" w:lineRule="atLeast"/>
        <w:ind w:left="0" w:right="0" w:firstLine="0"/>
        <w:textAlignment w:val="auto"/>
        <w:rPr>
          <w:rFonts w:hint="eastAsia" w:ascii="宋体" w:hAnsi="宋体" w:eastAsia="宋体" w:cs="宋体"/>
          <w:b w:val="0"/>
          <w:bCs w:val="0"/>
          <w:caps w:val="0"/>
          <w:color w:val="auto"/>
          <w:spacing w:val="0"/>
          <w:sz w:val="21"/>
          <w:szCs w:val="21"/>
          <w:lang w:val="en-US" w:eastAsia="zh-CN"/>
        </w:rPr>
      </w:pPr>
      <w:r>
        <w:rPr>
          <w:rFonts w:hint="eastAsia" w:ascii="宋体" w:hAnsi="宋体" w:eastAsia="宋体" w:cs="宋体"/>
          <w:b w:val="0"/>
          <w:bCs w:val="0"/>
          <w:caps w:val="0"/>
          <w:color w:val="auto"/>
          <w:spacing w:val="0"/>
          <w:sz w:val="21"/>
          <w:szCs w:val="21"/>
          <w:shd w:val="clear" w:color="auto" w:fill="FFFFFF"/>
          <w:lang w:eastAsia="zh-CN"/>
        </w:rPr>
        <w:t>（</w:t>
      </w:r>
      <w:r>
        <w:rPr>
          <w:rFonts w:hint="eastAsia" w:ascii="宋体" w:hAnsi="宋体" w:eastAsia="宋体" w:cs="宋体"/>
          <w:b w:val="0"/>
          <w:bCs w:val="0"/>
          <w:caps w:val="0"/>
          <w:color w:val="auto"/>
          <w:spacing w:val="0"/>
          <w:sz w:val="21"/>
          <w:szCs w:val="21"/>
          <w:shd w:val="clear" w:color="auto" w:fill="FFFFFF"/>
        </w:rPr>
        <w:t>三</w:t>
      </w:r>
      <w:r>
        <w:rPr>
          <w:rFonts w:hint="eastAsia" w:ascii="宋体" w:hAnsi="宋体" w:eastAsia="宋体" w:cs="宋体"/>
          <w:b w:val="0"/>
          <w:bCs w:val="0"/>
          <w:caps w:val="0"/>
          <w:color w:val="auto"/>
          <w:spacing w:val="0"/>
          <w:sz w:val="21"/>
          <w:szCs w:val="21"/>
          <w:shd w:val="clear" w:color="auto" w:fill="FFFFFF"/>
          <w:lang w:eastAsia="zh-CN"/>
        </w:rPr>
        <w:t>）</w:t>
      </w:r>
      <w:r>
        <w:rPr>
          <w:rFonts w:hint="eastAsia" w:ascii="宋体" w:hAnsi="宋体" w:eastAsia="宋体" w:cs="宋体"/>
          <w:b w:val="0"/>
          <w:bCs w:val="0"/>
          <w:caps w:val="0"/>
          <w:color w:val="auto"/>
          <w:spacing w:val="0"/>
          <w:sz w:val="21"/>
          <w:szCs w:val="21"/>
          <w:shd w:val="clear" w:color="auto" w:fill="FFFFFF"/>
        </w:rPr>
        <w:t>、医用纯水机</w:t>
      </w:r>
      <w:r>
        <w:rPr>
          <w:rFonts w:hint="eastAsia" w:ascii="宋体" w:hAnsi="宋体" w:eastAsia="宋体" w:cs="宋体"/>
          <w:b w:val="0"/>
          <w:bCs w:val="0"/>
          <w:caps w:val="0"/>
          <w:color w:val="auto"/>
          <w:spacing w:val="0"/>
          <w:sz w:val="21"/>
          <w:szCs w:val="21"/>
          <w:shd w:val="clear" w:color="auto" w:fill="FFFFFF"/>
          <w:lang w:val="en-US" w:eastAsia="zh-CN"/>
        </w:rPr>
        <w:t>1套</w:t>
      </w:r>
    </w:p>
    <w:tbl>
      <w:tblPr>
        <w:tblStyle w:val="5"/>
        <w:tblW w:w="82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616"/>
        <w:gridCol w:w="7663"/>
      </w:tblGrid>
      <w:tr w14:paraId="566E0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49" w:hRule="atLeast"/>
          <w:tblHeader/>
        </w:trPr>
        <w:tc>
          <w:tcPr>
            <w:tcW w:w="616" w:type="dxa"/>
            <w:tcBorders>
              <w:tl2br w:val="nil"/>
              <w:tr2bl w:val="nil"/>
            </w:tcBorders>
            <w:noWrap w:val="0"/>
            <w:tcMar>
              <w:top w:w="0" w:type="dxa"/>
              <w:left w:w="0" w:type="dxa"/>
              <w:bottom w:w="0" w:type="dxa"/>
              <w:right w:w="0" w:type="dxa"/>
            </w:tcMar>
            <w:vAlign w:val="center"/>
          </w:tcPr>
          <w:p w14:paraId="6B9BC86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序号</w:t>
            </w:r>
          </w:p>
        </w:tc>
        <w:tc>
          <w:tcPr>
            <w:tcW w:w="7663" w:type="dxa"/>
            <w:tcBorders>
              <w:tl2br w:val="nil"/>
              <w:tr2bl w:val="nil"/>
            </w:tcBorders>
            <w:noWrap w:val="0"/>
            <w:tcMar>
              <w:top w:w="0" w:type="dxa"/>
              <w:left w:w="240" w:type="dxa"/>
              <w:bottom w:w="0" w:type="dxa"/>
              <w:right w:w="0" w:type="dxa"/>
            </w:tcMar>
            <w:vAlign w:val="center"/>
          </w:tcPr>
          <w:p w14:paraId="0C15350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技术参数要求</w:t>
            </w:r>
          </w:p>
        </w:tc>
      </w:tr>
      <w:tr w14:paraId="45DFC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11" w:hRule="atLeast"/>
        </w:trPr>
        <w:tc>
          <w:tcPr>
            <w:tcW w:w="616" w:type="dxa"/>
            <w:tcBorders>
              <w:tl2br w:val="nil"/>
              <w:tr2bl w:val="nil"/>
            </w:tcBorders>
            <w:noWrap w:val="0"/>
            <w:tcMar>
              <w:top w:w="0" w:type="dxa"/>
              <w:left w:w="0" w:type="dxa"/>
              <w:bottom w:w="0" w:type="dxa"/>
              <w:right w:w="0" w:type="dxa"/>
            </w:tcMar>
            <w:vAlign w:val="center"/>
          </w:tcPr>
          <w:p w14:paraId="1A8E9D14">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1</w:t>
            </w:r>
          </w:p>
        </w:tc>
        <w:tc>
          <w:tcPr>
            <w:tcW w:w="7663" w:type="dxa"/>
            <w:tcBorders>
              <w:tl2br w:val="nil"/>
              <w:tr2bl w:val="nil"/>
            </w:tcBorders>
            <w:noWrap w:val="0"/>
            <w:tcMar>
              <w:top w:w="0" w:type="dxa"/>
              <w:left w:w="0" w:type="dxa"/>
              <w:bottom w:w="0" w:type="dxa"/>
              <w:right w:w="0" w:type="dxa"/>
            </w:tcMar>
            <w:vAlign w:val="center"/>
          </w:tcPr>
          <w:p w14:paraId="3B355A77">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▲产水量：一级纯水≥1500L/h；二级纯水≥500L/h</w:t>
            </w:r>
          </w:p>
        </w:tc>
      </w:tr>
      <w:tr w14:paraId="19C15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50" w:hRule="atLeast"/>
        </w:trPr>
        <w:tc>
          <w:tcPr>
            <w:tcW w:w="616" w:type="dxa"/>
            <w:tcBorders>
              <w:tl2br w:val="nil"/>
              <w:tr2bl w:val="nil"/>
            </w:tcBorders>
            <w:noWrap w:val="0"/>
            <w:tcMar>
              <w:top w:w="0" w:type="dxa"/>
              <w:left w:w="0" w:type="dxa"/>
              <w:bottom w:w="0" w:type="dxa"/>
              <w:right w:w="0" w:type="dxa"/>
            </w:tcMar>
            <w:vAlign w:val="center"/>
          </w:tcPr>
          <w:p w14:paraId="1CA1FD2A">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2</w:t>
            </w:r>
          </w:p>
        </w:tc>
        <w:tc>
          <w:tcPr>
            <w:tcW w:w="7663" w:type="dxa"/>
            <w:tcBorders>
              <w:tl2br w:val="nil"/>
              <w:tr2bl w:val="nil"/>
            </w:tcBorders>
            <w:noWrap w:val="0"/>
            <w:tcMar>
              <w:top w:w="0" w:type="dxa"/>
              <w:left w:w="0" w:type="dxa"/>
              <w:bottom w:w="0" w:type="dxa"/>
              <w:right w:w="0" w:type="dxa"/>
            </w:tcMar>
            <w:vAlign w:val="center"/>
          </w:tcPr>
          <w:p w14:paraId="2069A858">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▲产水水质：满足WS310.1-2016《医院消毒供应中心 第1部分：管理规范》中清洗用纯化水电导率≤15μS/cm（25℃）的要求；同时满足压力蒸汽灭菌器供给水电导率≤5μS/cm、硬度≤0.02mmol/L等指标</w:t>
            </w:r>
          </w:p>
        </w:tc>
      </w:tr>
      <w:tr w14:paraId="789B7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50" w:hRule="atLeast"/>
        </w:trPr>
        <w:tc>
          <w:tcPr>
            <w:tcW w:w="616" w:type="dxa"/>
            <w:tcBorders>
              <w:tl2br w:val="nil"/>
              <w:tr2bl w:val="nil"/>
            </w:tcBorders>
            <w:noWrap w:val="0"/>
            <w:tcMar>
              <w:top w:w="0" w:type="dxa"/>
              <w:left w:w="0" w:type="dxa"/>
              <w:bottom w:w="0" w:type="dxa"/>
              <w:right w:w="0" w:type="dxa"/>
            </w:tcMar>
            <w:vAlign w:val="center"/>
          </w:tcPr>
          <w:p w14:paraId="3AED32A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3</w:t>
            </w:r>
          </w:p>
        </w:tc>
        <w:tc>
          <w:tcPr>
            <w:tcW w:w="7663" w:type="dxa"/>
            <w:tcBorders>
              <w:tl2br w:val="nil"/>
              <w:tr2bl w:val="nil"/>
            </w:tcBorders>
            <w:noWrap w:val="0"/>
            <w:tcMar>
              <w:top w:w="0" w:type="dxa"/>
              <w:left w:w="0" w:type="dxa"/>
              <w:bottom w:w="0" w:type="dxa"/>
              <w:right w:w="0" w:type="dxa"/>
            </w:tcMar>
            <w:vAlign w:val="center"/>
          </w:tcPr>
          <w:p w14:paraId="27B59020">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控制系统：采用“PLC+触摸屏”自动控制，可实现远程监控，系统部件受液位联锁自动运行；触摸屏实时显示运行状态（水质、流量、压力等）；具备自动制水、自动冲洗、原水缺水/水箱满水自动停机等功能</w:t>
            </w:r>
          </w:p>
        </w:tc>
      </w:tr>
      <w:tr w14:paraId="35570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11" w:hRule="atLeast"/>
        </w:trPr>
        <w:tc>
          <w:tcPr>
            <w:tcW w:w="616" w:type="dxa"/>
            <w:tcBorders>
              <w:tl2br w:val="nil"/>
              <w:tr2bl w:val="nil"/>
            </w:tcBorders>
            <w:noWrap w:val="0"/>
            <w:tcMar>
              <w:top w:w="0" w:type="dxa"/>
              <w:left w:w="0" w:type="dxa"/>
              <w:bottom w:w="0" w:type="dxa"/>
              <w:right w:w="0" w:type="dxa"/>
            </w:tcMar>
            <w:vAlign w:val="center"/>
          </w:tcPr>
          <w:p w14:paraId="5635F6B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4</w:t>
            </w:r>
          </w:p>
        </w:tc>
        <w:tc>
          <w:tcPr>
            <w:tcW w:w="7663" w:type="dxa"/>
            <w:tcBorders>
              <w:tl2br w:val="nil"/>
              <w:tr2bl w:val="nil"/>
            </w:tcBorders>
            <w:noWrap w:val="0"/>
            <w:tcMar>
              <w:top w:w="0" w:type="dxa"/>
              <w:left w:w="0" w:type="dxa"/>
              <w:bottom w:w="0" w:type="dxa"/>
              <w:right w:w="0" w:type="dxa"/>
            </w:tcMar>
            <w:vAlign w:val="center"/>
          </w:tcPr>
          <w:p w14:paraId="40B77E7B">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主要工艺流程：预处理+单/双级反渗透+纯水恒压供水</w:t>
            </w:r>
          </w:p>
        </w:tc>
      </w:tr>
      <w:tr w14:paraId="7C905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11" w:hRule="atLeast"/>
        </w:trPr>
        <w:tc>
          <w:tcPr>
            <w:tcW w:w="616" w:type="dxa"/>
            <w:tcBorders>
              <w:tl2br w:val="nil"/>
              <w:tr2bl w:val="nil"/>
            </w:tcBorders>
            <w:noWrap w:val="0"/>
            <w:tcMar>
              <w:top w:w="0" w:type="dxa"/>
              <w:left w:w="0" w:type="dxa"/>
              <w:bottom w:w="0" w:type="dxa"/>
              <w:right w:w="0" w:type="dxa"/>
            </w:tcMar>
            <w:vAlign w:val="center"/>
          </w:tcPr>
          <w:p w14:paraId="07A96B2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5</w:t>
            </w:r>
          </w:p>
        </w:tc>
        <w:tc>
          <w:tcPr>
            <w:tcW w:w="7663" w:type="dxa"/>
            <w:tcBorders>
              <w:tl2br w:val="nil"/>
              <w:tr2bl w:val="nil"/>
            </w:tcBorders>
            <w:noWrap w:val="0"/>
            <w:tcMar>
              <w:top w:w="0" w:type="dxa"/>
              <w:left w:w="0" w:type="dxa"/>
              <w:bottom w:w="0" w:type="dxa"/>
              <w:right w:w="0" w:type="dxa"/>
            </w:tcMar>
            <w:vAlign w:val="center"/>
          </w:tcPr>
          <w:p w14:paraId="5152EFC6">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运行方式：受水箱液位、压力、流量联锁控制自动运行</w:t>
            </w:r>
          </w:p>
        </w:tc>
      </w:tr>
      <w:tr w14:paraId="7079F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11" w:hRule="atLeast"/>
        </w:trPr>
        <w:tc>
          <w:tcPr>
            <w:tcW w:w="616" w:type="dxa"/>
            <w:tcBorders>
              <w:tl2br w:val="nil"/>
              <w:tr2bl w:val="nil"/>
            </w:tcBorders>
            <w:noWrap w:val="0"/>
            <w:tcMar>
              <w:top w:w="0" w:type="dxa"/>
              <w:left w:w="0" w:type="dxa"/>
              <w:bottom w:w="0" w:type="dxa"/>
              <w:right w:w="0" w:type="dxa"/>
            </w:tcMar>
            <w:vAlign w:val="center"/>
          </w:tcPr>
          <w:p w14:paraId="3573699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6</w:t>
            </w:r>
          </w:p>
        </w:tc>
        <w:tc>
          <w:tcPr>
            <w:tcW w:w="7663" w:type="dxa"/>
            <w:tcBorders>
              <w:tl2br w:val="nil"/>
              <w:tr2bl w:val="nil"/>
            </w:tcBorders>
            <w:noWrap w:val="0"/>
            <w:tcMar>
              <w:top w:w="0" w:type="dxa"/>
              <w:left w:w="0" w:type="dxa"/>
              <w:bottom w:w="0" w:type="dxa"/>
              <w:right w:w="0" w:type="dxa"/>
            </w:tcMar>
            <w:vAlign w:val="center"/>
          </w:tcPr>
          <w:p w14:paraId="634F2E4D">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具备应急控制措施：自动/手动切换，多种模式协调运行，保证连续制水</w:t>
            </w:r>
          </w:p>
        </w:tc>
      </w:tr>
      <w:tr w14:paraId="097B9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11" w:hRule="atLeast"/>
        </w:trPr>
        <w:tc>
          <w:tcPr>
            <w:tcW w:w="616" w:type="dxa"/>
            <w:tcBorders>
              <w:tl2br w:val="nil"/>
              <w:tr2bl w:val="nil"/>
            </w:tcBorders>
            <w:noWrap w:val="0"/>
            <w:tcMar>
              <w:top w:w="0" w:type="dxa"/>
              <w:left w:w="0" w:type="dxa"/>
              <w:bottom w:w="0" w:type="dxa"/>
              <w:right w:w="0" w:type="dxa"/>
            </w:tcMar>
            <w:vAlign w:val="center"/>
          </w:tcPr>
          <w:p w14:paraId="4FEB6BE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7</w:t>
            </w:r>
          </w:p>
        </w:tc>
        <w:tc>
          <w:tcPr>
            <w:tcW w:w="7663" w:type="dxa"/>
            <w:tcBorders>
              <w:tl2br w:val="nil"/>
              <w:tr2bl w:val="nil"/>
            </w:tcBorders>
            <w:noWrap w:val="0"/>
            <w:tcMar>
              <w:top w:w="0" w:type="dxa"/>
              <w:left w:w="0" w:type="dxa"/>
              <w:bottom w:w="0" w:type="dxa"/>
              <w:right w:w="0" w:type="dxa"/>
            </w:tcMar>
            <w:vAlign w:val="center"/>
          </w:tcPr>
          <w:p w14:paraId="6879C2B4">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主机管路采用纯水专用不锈钢+UPVC管道；主机框架为不锈钢一体化机架，集成反渗透及供水系统</w:t>
            </w:r>
          </w:p>
        </w:tc>
      </w:tr>
      <w:tr w14:paraId="27974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50" w:hRule="atLeast"/>
        </w:trPr>
        <w:tc>
          <w:tcPr>
            <w:tcW w:w="616" w:type="dxa"/>
            <w:tcBorders>
              <w:tl2br w:val="nil"/>
              <w:tr2bl w:val="nil"/>
            </w:tcBorders>
            <w:noWrap w:val="0"/>
            <w:tcMar>
              <w:top w:w="0" w:type="dxa"/>
              <w:left w:w="0" w:type="dxa"/>
              <w:bottom w:w="0" w:type="dxa"/>
              <w:right w:w="0" w:type="dxa"/>
            </w:tcMar>
            <w:vAlign w:val="center"/>
          </w:tcPr>
          <w:p w14:paraId="69F17A4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8</w:t>
            </w:r>
          </w:p>
        </w:tc>
        <w:tc>
          <w:tcPr>
            <w:tcW w:w="7663" w:type="dxa"/>
            <w:tcBorders>
              <w:tl2br w:val="nil"/>
              <w:tr2bl w:val="nil"/>
            </w:tcBorders>
            <w:noWrap w:val="0"/>
            <w:tcMar>
              <w:top w:w="0" w:type="dxa"/>
              <w:left w:w="0" w:type="dxa"/>
              <w:bottom w:w="0" w:type="dxa"/>
              <w:right w:w="0" w:type="dxa"/>
            </w:tcMar>
            <w:vAlign w:val="center"/>
          </w:tcPr>
          <w:p w14:paraId="6CB4EC7E">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预处理系统：包含多介质过滤器、活性炭过滤器、软化装置、精密过滤器及相关辅助设备，可实现自动正洗、反洗、再生</w:t>
            </w:r>
          </w:p>
        </w:tc>
      </w:tr>
      <w:tr w14:paraId="66C83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11" w:hRule="atLeast"/>
        </w:trPr>
        <w:tc>
          <w:tcPr>
            <w:tcW w:w="616" w:type="dxa"/>
            <w:tcBorders>
              <w:tl2br w:val="nil"/>
              <w:tr2bl w:val="nil"/>
            </w:tcBorders>
            <w:noWrap w:val="0"/>
            <w:tcMar>
              <w:top w:w="0" w:type="dxa"/>
              <w:left w:w="0" w:type="dxa"/>
              <w:bottom w:w="0" w:type="dxa"/>
              <w:right w:w="0" w:type="dxa"/>
            </w:tcMar>
            <w:vAlign w:val="center"/>
          </w:tcPr>
          <w:p w14:paraId="2EB94DA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9</w:t>
            </w:r>
          </w:p>
        </w:tc>
        <w:tc>
          <w:tcPr>
            <w:tcW w:w="7663" w:type="dxa"/>
            <w:tcBorders>
              <w:tl2br w:val="nil"/>
              <w:tr2bl w:val="nil"/>
            </w:tcBorders>
            <w:noWrap w:val="0"/>
            <w:tcMar>
              <w:top w:w="0" w:type="dxa"/>
              <w:left w:w="0" w:type="dxa"/>
              <w:bottom w:w="0" w:type="dxa"/>
              <w:right w:w="0" w:type="dxa"/>
            </w:tcMar>
            <w:vAlign w:val="center"/>
          </w:tcPr>
          <w:p w14:paraId="3305F81D">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预处理罐及控制阀选用知名品牌</w:t>
            </w:r>
          </w:p>
        </w:tc>
      </w:tr>
      <w:tr w14:paraId="3EA65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11" w:hRule="atLeast"/>
        </w:trPr>
        <w:tc>
          <w:tcPr>
            <w:tcW w:w="616" w:type="dxa"/>
            <w:tcBorders>
              <w:tl2br w:val="nil"/>
              <w:tr2bl w:val="nil"/>
            </w:tcBorders>
            <w:noWrap w:val="0"/>
            <w:tcMar>
              <w:top w:w="0" w:type="dxa"/>
              <w:left w:w="0" w:type="dxa"/>
              <w:bottom w:w="0" w:type="dxa"/>
              <w:right w:w="0" w:type="dxa"/>
            </w:tcMar>
            <w:vAlign w:val="center"/>
          </w:tcPr>
          <w:p w14:paraId="6E232BA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10</w:t>
            </w:r>
          </w:p>
        </w:tc>
        <w:tc>
          <w:tcPr>
            <w:tcW w:w="7663" w:type="dxa"/>
            <w:tcBorders>
              <w:tl2br w:val="nil"/>
              <w:tr2bl w:val="nil"/>
            </w:tcBorders>
            <w:noWrap w:val="0"/>
            <w:tcMar>
              <w:top w:w="0" w:type="dxa"/>
              <w:left w:w="0" w:type="dxa"/>
              <w:bottom w:w="0" w:type="dxa"/>
              <w:right w:w="0" w:type="dxa"/>
            </w:tcMar>
            <w:vAlign w:val="center"/>
          </w:tcPr>
          <w:p w14:paraId="1B967002">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反渗透系统：具备运行冲洗、定时冲洗、手动冲洗等功能</w:t>
            </w:r>
          </w:p>
        </w:tc>
      </w:tr>
      <w:tr w14:paraId="788B8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11" w:hRule="atLeast"/>
        </w:trPr>
        <w:tc>
          <w:tcPr>
            <w:tcW w:w="616" w:type="dxa"/>
            <w:tcBorders>
              <w:tl2br w:val="nil"/>
              <w:tr2bl w:val="nil"/>
            </w:tcBorders>
            <w:noWrap w:val="0"/>
            <w:tcMar>
              <w:top w:w="0" w:type="dxa"/>
              <w:left w:w="0" w:type="dxa"/>
              <w:bottom w:w="0" w:type="dxa"/>
              <w:right w:w="0" w:type="dxa"/>
            </w:tcMar>
            <w:vAlign w:val="center"/>
          </w:tcPr>
          <w:p w14:paraId="2957E07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11</w:t>
            </w:r>
          </w:p>
        </w:tc>
        <w:tc>
          <w:tcPr>
            <w:tcW w:w="7663" w:type="dxa"/>
            <w:tcBorders>
              <w:tl2br w:val="nil"/>
              <w:tr2bl w:val="nil"/>
            </w:tcBorders>
            <w:noWrap w:val="0"/>
            <w:tcMar>
              <w:top w:w="0" w:type="dxa"/>
              <w:left w:w="0" w:type="dxa"/>
              <w:bottom w:w="0" w:type="dxa"/>
              <w:right w:w="0" w:type="dxa"/>
            </w:tcMar>
            <w:vAlign w:val="center"/>
          </w:tcPr>
          <w:p w14:paraId="288B4A4B">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反渗透膜元件采用优质产品（芳香型聚酰胺复合膜，卷式结构）</w:t>
            </w:r>
          </w:p>
        </w:tc>
      </w:tr>
      <w:tr w14:paraId="61CDF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11" w:hRule="atLeast"/>
        </w:trPr>
        <w:tc>
          <w:tcPr>
            <w:tcW w:w="616" w:type="dxa"/>
            <w:tcBorders>
              <w:tl2br w:val="nil"/>
              <w:tr2bl w:val="nil"/>
            </w:tcBorders>
            <w:noWrap w:val="0"/>
            <w:tcMar>
              <w:top w:w="0" w:type="dxa"/>
              <w:left w:w="0" w:type="dxa"/>
              <w:bottom w:w="0" w:type="dxa"/>
              <w:right w:w="0" w:type="dxa"/>
            </w:tcMar>
            <w:vAlign w:val="center"/>
          </w:tcPr>
          <w:p w14:paraId="5098FDB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12</w:t>
            </w:r>
          </w:p>
        </w:tc>
        <w:tc>
          <w:tcPr>
            <w:tcW w:w="7663" w:type="dxa"/>
            <w:tcBorders>
              <w:tl2br w:val="nil"/>
              <w:tr2bl w:val="nil"/>
            </w:tcBorders>
            <w:noWrap w:val="0"/>
            <w:tcMar>
              <w:top w:w="0" w:type="dxa"/>
              <w:left w:w="0" w:type="dxa"/>
              <w:bottom w:w="0" w:type="dxa"/>
              <w:right w:w="0" w:type="dxa"/>
            </w:tcMar>
            <w:vAlign w:val="center"/>
          </w:tcPr>
          <w:p w14:paraId="4637A90C">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反渗透膜等关键零部件提供相关证明文件</w:t>
            </w:r>
          </w:p>
        </w:tc>
      </w:tr>
      <w:tr w14:paraId="563A6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11" w:hRule="atLeast"/>
        </w:trPr>
        <w:tc>
          <w:tcPr>
            <w:tcW w:w="616" w:type="dxa"/>
            <w:tcBorders>
              <w:tl2br w:val="nil"/>
              <w:tr2bl w:val="nil"/>
            </w:tcBorders>
            <w:noWrap w:val="0"/>
            <w:tcMar>
              <w:top w:w="0" w:type="dxa"/>
              <w:left w:w="0" w:type="dxa"/>
              <w:bottom w:w="0" w:type="dxa"/>
              <w:right w:w="0" w:type="dxa"/>
            </w:tcMar>
            <w:vAlign w:val="center"/>
          </w:tcPr>
          <w:p w14:paraId="7C06C98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13</w:t>
            </w:r>
          </w:p>
        </w:tc>
        <w:tc>
          <w:tcPr>
            <w:tcW w:w="7663" w:type="dxa"/>
            <w:tcBorders>
              <w:tl2br w:val="nil"/>
              <w:tr2bl w:val="nil"/>
            </w:tcBorders>
            <w:noWrap w:val="0"/>
            <w:tcMar>
              <w:top w:w="0" w:type="dxa"/>
              <w:left w:w="0" w:type="dxa"/>
              <w:bottom w:w="0" w:type="dxa"/>
              <w:right w:w="0" w:type="dxa"/>
            </w:tcMar>
            <w:vAlign w:val="center"/>
          </w:tcPr>
          <w:p w14:paraId="534C1713">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纯水水箱：设有液位控制器，控制反渗透装置和供水泵的启停</w:t>
            </w:r>
          </w:p>
        </w:tc>
      </w:tr>
      <w:tr w14:paraId="0F53E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11" w:hRule="atLeast"/>
        </w:trPr>
        <w:tc>
          <w:tcPr>
            <w:tcW w:w="616" w:type="dxa"/>
            <w:tcBorders>
              <w:tl2br w:val="nil"/>
              <w:tr2bl w:val="nil"/>
            </w:tcBorders>
            <w:noWrap w:val="0"/>
            <w:tcMar>
              <w:top w:w="0" w:type="dxa"/>
              <w:left w:w="0" w:type="dxa"/>
              <w:bottom w:w="0" w:type="dxa"/>
              <w:right w:w="0" w:type="dxa"/>
            </w:tcMar>
            <w:vAlign w:val="center"/>
          </w:tcPr>
          <w:p w14:paraId="34CF729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14</w:t>
            </w:r>
          </w:p>
        </w:tc>
        <w:tc>
          <w:tcPr>
            <w:tcW w:w="7663" w:type="dxa"/>
            <w:tcBorders>
              <w:tl2br w:val="nil"/>
              <w:tr2bl w:val="nil"/>
            </w:tcBorders>
            <w:noWrap w:val="0"/>
            <w:tcMar>
              <w:top w:w="0" w:type="dxa"/>
              <w:left w:w="0" w:type="dxa"/>
              <w:bottom w:w="0" w:type="dxa"/>
              <w:right w:w="0" w:type="dxa"/>
            </w:tcMar>
            <w:vAlign w:val="center"/>
          </w:tcPr>
          <w:p w14:paraId="139CCA2C">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纯水供水采用恒压输出方式，流量和压力满足用水设备要求</w:t>
            </w:r>
          </w:p>
        </w:tc>
      </w:tr>
      <w:tr w14:paraId="50753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50" w:hRule="atLeast"/>
        </w:trPr>
        <w:tc>
          <w:tcPr>
            <w:tcW w:w="616" w:type="dxa"/>
            <w:tcBorders>
              <w:tl2br w:val="nil"/>
              <w:tr2bl w:val="nil"/>
            </w:tcBorders>
            <w:noWrap w:val="0"/>
            <w:tcMar>
              <w:top w:w="0" w:type="dxa"/>
              <w:left w:w="0" w:type="dxa"/>
              <w:bottom w:w="0" w:type="dxa"/>
              <w:right w:w="0" w:type="dxa"/>
            </w:tcMar>
            <w:vAlign w:val="center"/>
          </w:tcPr>
          <w:p w14:paraId="667506B9">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15</w:t>
            </w:r>
          </w:p>
        </w:tc>
        <w:tc>
          <w:tcPr>
            <w:tcW w:w="7663" w:type="dxa"/>
            <w:tcBorders>
              <w:tl2br w:val="nil"/>
              <w:tr2bl w:val="nil"/>
            </w:tcBorders>
            <w:noWrap w:val="0"/>
            <w:tcMar>
              <w:top w:w="0" w:type="dxa"/>
              <w:left w:w="0" w:type="dxa"/>
              <w:bottom w:w="0" w:type="dxa"/>
              <w:right w:w="0" w:type="dxa"/>
            </w:tcMar>
            <w:vAlign w:val="center"/>
          </w:tcPr>
          <w:p w14:paraId="78ABE47F">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具备开机自检、缺水保护、停电自动复位、水箱满水停机、高水压及过载保护等功能；RO膜自动冲洗，水质在线监测</w:t>
            </w:r>
          </w:p>
        </w:tc>
      </w:tr>
      <w:tr w14:paraId="195D9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11" w:hRule="atLeast"/>
        </w:trPr>
        <w:tc>
          <w:tcPr>
            <w:tcW w:w="616" w:type="dxa"/>
            <w:tcBorders>
              <w:tl2br w:val="nil"/>
              <w:tr2bl w:val="nil"/>
            </w:tcBorders>
            <w:noWrap w:val="0"/>
            <w:tcMar>
              <w:top w:w="0" w:type="dxa"/>
              <w:left w:w="0" w:type="dxa"/>
              <w:bottom w:w="0" w:type="dxa"/>
              <w:right w:w="0" w:type="dxa"/>
            </w:tcMar>
            <w:vAlign w:val="center"/>
          </w:tcPr>
          <w:p w14:paraId="744DF04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16</w:t>
            </w:r>
          </w:p>
        </w:tc>
        <w:tc>
          <w:tcPr>
            <w:tcW w:w="7663" w:type="dxa"/>
            <w:tcBorders>
              <w:tl2br w:val="nil"/>
              <w:tr2bl w:val="nil"/>
            </w:tcBorders>
            <w:noWrap w:val="0"/>
            <w:tcMar>
              <w:top w:w="0" w:type="dxa"/>
              <w:left w:w="0" w:type="dxa"/>
              <w:bottom w:w="0" w:type="dxa"/>
              <w:right w:w="0" w:type="dxa"/>
            </w:tcMar>
            <w:vAlign w:val="center"/>
          </w:tcPr>
          <w:p w14:paraId="091FF053">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产水设有流量计，监视并调节产水量及系统水利用率，通过合理设计提高水利用率</w:t>
            </w:r>
          </w:p>
        </w:tc>
      </w:tr>
      <w:tr w14:paraId="0F4C5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11" w:hRule="atLeast"/>
        </w:trPr>
        <w:tc>
          <w:tcPr>
            <w:tcW w:w="616" w:type="dxa"/>
            <w:tcBorders>
              <w:tl2br w:val="nil"/>
              <w:tr2bl w:val="nil"/>
            </w:tcBorders>
            <w:noWrap w:val="0"/>
            <w:tcMar>
              <w:top w:w="0" w:type="dxa"/>
              <w:left w:w="0" w:type="dxa"/>
              <w:bottom w:w="0" w:type="dxa"/>
              <w:right w:w="0" w:type="dxa"/>
            </w:tcMar>
            <w:vAlign w:val="center"/>
          </w:tcPr>
          <w:p w14:paraId="14BA945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17</w:t>
            </w:r>
          </w:p>
        </w:tc>
        <w:tc>
          <w:tcPr>
            <w:tcW w:w="7663" w:type="dxa"/>
            <w:tcBorders>
              <w:tl2br w:val="nil"/>
              <w:tr2bl w:val="nil"/>
            </w:tcBorders>
            <w:noWrap w:val="0"/>
            <w:tcMar>
              <w:top w:w="0" w:type="dxa"/>
              <w:left w:w="0" w:type="dxa"/>
              <w:bottom w:w="0" w:type="dxa"/>
              <w:right w:w="0" w:type="dxa"/>
            </w:tcMar>
            <w:vAlign w:val="center"/>
          </w:tcPr>
          <w:p w14:paraId="1A6A9051">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电导仪连续监测并实时显示一级、二级产水水质</w:t>
            </w:r>
          </w:p>
        </w:tc>
      </w:tr>
    </w:tbl>
    <w:p w14:paraId="61375D7F">
      <w:pPr>
        <w:pStyle w:val="3"/>
        <w:keepNext w:val="0"/>
        <w:keepLines w:val="0"/>
        <w:widowControl/>
        <w:suppressLineNumbers w:val="0"/>
        <w:shd w:val="clear" w:color="auto" w:fill="FFFFFF"/>
        <w:spacing w:before="480" w:beforeAutospacing="0" w:after="240" w:afterAutospacing="0" w:line="480" w:lineRule="atLeast"/>
        <w:ind w:left="0" w:right="0" w:firstLine="0"/>
        <w:rPr>
          <w:rFonts w:hint="eastAsia" w:ascii="宋体" w:hAnsi="宋体" w:eastAsia="宋体" w:cs="宋体"/>
          <w:b w:val="0"/>
          <w:bCs w:val="0"/>
          <w:caps w:val="0"/>
          <w:color w:val="auto"/>
          <w:spacing w:val="0"/>
          <w:sz w:val="21"/>
          <w:szCs w:val="21"/>
          <w:lang w:val="en-US" w:eastAsia="zh-CN"/>
        </w:rPr>
      </w:pPr>
      <w:r>
        <w:rPr>
          <w:rFonts w:hint="eastAsia" w:ascii="宋体" w:hAnsi="宋体" w:eastAsia="宋体" w:cs="宋体"/>
          <w:b w:val="0"/>
          <w:bCs w:val="0"/>
          <w:caps w:val="0"/>
          <w:color w:val="auto"/>
          <w:spacing w:val="0"/>
          <w:sz w:val="21"/>
          <w:szCs w:val="21"/>
          <w:shd w:val="clear" w:color="auto" w:fill="FFFFFF"/>
          <w:lang w:eastAsia="zh-CN"/>
        </w:rPr>
        <w:t>（</w:t>
      </w:r>
      <w:r>
        <w:rPr>
          <w:rFonts w:hint="eastAsia" w:ascii="宋体" w:hAnsi="宋体" w:eastAsia="宋体" w:cs="宋体"/>
          <w:b w:val="0"/>
          <w:bCs w:val="0"/>
          <w:caps w:val="0"/>
          <w:color w:val="auto"/>
          <w:spacing w:val="0"/>
          <w:sz w:val="21"/>
          <w:szCs w:val="21"/>
          <w:shd w:val="clear" w:color="auto" w:fill="FFFFFF"/>
        </w:rPr>
        <w:t>四</w:t>
      </w:r>
      <w:r>
        <w:rPr>
          <w:rFonts w:hint="eastAsia" w:ascii="宋体" w:hAnsi="宋体" w:eastAsia="宋体" w:cs="宋体"/>
          <w:b w:val="0"/>
          <w:bCs w:val="0"/>
          <w:caps w:val="0"/>
          <w:color w:val="auto"/>
          <w:spacing w:val="0"/>
          <w:sz w:val="21"/>
          <w:szCs w:val="21"/>
          <w:shd w:val="clear" w:color="auto" w:fill="FFFFFF"/>
          <w:lang w:eastAsia="zh-CN"/>
        </w:rPr>
        <w:t>）</w:t>
      </w:r>
      <w:r>
        <w:rPr>
          <w:rFonts w:hint="eastAsia" w:ascii="宋体" w:hAnsi="宋体" w:eastAsia="宋体" w:cs="宋体"/>
          <w:b w:val="0"/>
          <w:bCs w:val="0"/>
          <w:caps w:val="0"/>
          <w:color w:val="auto"/>
          <w:spacing w:val="0"/>
          <w:sz w:val="21"/>
          <w:szCs w:val="21"/>
          <w:shd w:val="clear" w:color="auto" w:fill="FFFFFF"/>
        </w:rPr>
        <w:t>、大功率电蒸汽发生器</w:t>
      </w:r>
      <w:r>
        <w:rPr>
          <w:rFonts w:hint="eastAsia" w:ascii="宋体" w:hAnsi="宋体" w:eastAsia="宋体" w:cs="宋体"/>
          <w:b w:val="0"/>
          <w:bCs w:val="0"/>
          <w:caps w:val="0"/>
          <w:color w:val="auto"/>
          <w:spacing w:val="0"/>
          <w:sz w:val="21"/>
          <w:szCs w:val="21"/>
          <w:shd w:val="clear" w:color="auto" w:fill="FFFFFF"/>
          <w:lang w:val="en-US" w:eastAsia="zh-CN"/>
        </w:rPr>
        <w:t>3台</w:t>
      </w:r>
    </w:p>
    <w:tbl>
      <w:tblPr>
        <w:tblStyle w:val="5"/>
        <w:tblW w:w="83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559"/>
        <w:gridCol w:w="7840"/>
      </w:tblGrid>
      <w:tr w14:paraId="2F493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05" w:hRule="atLeast"/>
          <w:tblHeader/>
        </w:trPr>
        <w:tc>
          <w:tcPr>
            <w:tcW w:w="559" w:type="dxa"/>
            <w:tcBorders>
              <w:tl2br w:val="nil"/>
              <w:tr2bl w:val="nil"/>
            </w:tcBorders>
            <w:noWrap w:val="0"/>
            <w:tcMar>
              <w:top w:w="0" w:type="dxa"/>
              <w:left w:w="0" w:type="dxa"/>
              <w:bottom w:w="0" w:type="dxa"/>
              <w:right w:w="0" w:type="dxa"/>
            </w:tcMar>
            <w:vAlign w:val="center"/>
          </w:tcPr>
          <w:p w14:paraId="181B884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序号</w:t>
            </w:r>
          </w:p>
        </w:tc>
        <w:tc>
          <w:tcPr>
            <w:tcW w:w="7840" w:type="dxa"/>
            <w:tcBorders>
              <w:tl2br w:val="nil"/>
              <w:tr2bl w:val="nil"/>
            </w:tcBorders>
            <w:noWrap w:val="0"/>
            <w:tcMar>
              <w:top w:w="0" w:type="dxa"/>
              <w:left w:w="240" w:type="dxa"/>
              <w:bottom w:w="0" w:type="dxa"/>
              <w:right w:w="0" w:type="dxa"/>
            </w:tcMar>
            <w:vAlign w:val="center"/>
          </w:tcPr>
          <w:p w14:paraId="41FCE60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技术参数要求</w:t>
            </w:r>
          </w:p>
        </w:tc>
      </w:tr>
      <w:tr w14:paraId="0B02F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74" w:hRule="atLeast"/>
        </w:trPr>
        <w:tc>
          <w:tcPr>
            <w:tcW w:w="559" w:type="dxa"/>
            <w:tcBorders>
              <w:tl2br w:val="nil"/>
              <w:tr2bl w:val="nil"/>
            </w:tcBorders>
            <w:noWrap w:val="0"/>
            <w:tcMar>
              <w:top w:w="0" w:type="dxa"/>
              <w:left w:w="0" w:type="dxa"/>
              <w:bottom w:w="0" w:type="dxa"/>
              <w:right w:w="0" w:type="dxa"/>
            </w:tcMar>
            <w:vAlign w:val="center"/>
          </w:tcPr>
          <w:p w14:paraId="07BD6E13">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1</w:t>
            </w:r>
          </w:p>
        </w:tc>
        <w:tc>
          <w:tcPr>
            <w:tcW w:w="7840" w:type="dxa"/>
            <w:tcBorders>
              <w:tl2br w:val="nil"/>
              <w:tr2bl w:val="nil"/>
            </w:tcBorders>
            <w:noWrap w:val="0"/>
            <w:tcMar>
              <w:top w:w="0" w:type="dxa"/>
              <w:left w:w="0" w:type="dxa"/>
              <w:bottom w:w="0" w:type="dxa"/>
              <w:right w:w="0" w:type="dxa"/>
            </w:tcMar>
            <w:vAlign w:val="center"/>
          </w:tcPr>
          <w:p w14:paraId="6104B4CC">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筒体材质：304无缝不锈钢管</w:t>
            </w:r>
          </w:p>
        </w:tc>
      </w:tr>
      <w:tr w14:paraId="31A71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74" w:hRule="atLeast"/>
        </w:trPr>
        <w:tc>
          <w:tcPr>
            <w:tcW w:w="559" w:type="dxa"/>
            <w:tcBorders>
              <w:tl2br w:val="nil"/>
              <w:tr2bl w:val="nil"/>
            </w:tcBorders>
            <w:noWrap w:val="0"/>
            <w:tcMar>
              <w:top w:w="0" w:type="dxa"/>
              <w:left w:w="0" w:type="dxa"/>
              <w:bottom w:w="0" w:type="dxa"/>
              <w:right w:w="0" w:type="dxa"/>
            </w:tcMar>
            <w:vAlign w:val="center"/>
          </w:tcPr>
          <w:p w14:paraId="713A098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2</w:t>
            </w:r>
          </w:p>
        </w:tc>
        <w:tc>
          <w:tcPr>
            <w:tcW w:w="7840" w:type="dxa"/>
            <w:tcBorders>
              <w:tl2br w:val="nil"/>
              <w:tr2bl w:val="nil"/>
            </w:tcBorders>
            <w:noWrap w:val="0"/>
            <w:tcMar>
              <w:top w:w="0" w:type="dxa"/>
              <w:left w:w="0" w:type="dxa"/>
              <w:bottom w:w="0" w:type="dxa"/>
              <w:right w:w="0" w:type="dxa"/>
            </w:tcMar>
            <w:vAlign w:val="center"/>
          </w:tcPr>
          <w:p w14:paraId="0FA7859E">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▲额定电压380V/50Hz，额定功率≥120kW；额定蒸发量≥160kg/h；设计温度≥170℃</w:t>
            </w:r>
          </w:p>
        </w:tc>
      </w:tr>
      <w:tr w14:paraId="70446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74" w:hRule="atLeast"/>
        </w:trPr>
        <w:tc>
          <w:tcPr>
            <w:tcW w:w="559" w:type="dxa"/>
            <w:tcBorders>
              <w:tl2br w:val="nil"/>
              <w:tr2bl w:val="nil"/>
            </w:tcBorders>
            <w:noWrap w:val="0"/>
            <w:tcMar>
              <w:top w:w="0" w:type="dxa"/>
              <w:left w:w="0" w:type="dxa"/>
              <w:bottom w:w="0" w:type="dxa"/>
              <w:right w:w="0" w:type="dxa"/>
            </w:tcMar>
            <w:vAlign w:val="center"/>
          </w:tcPr>
          <w:p w14:paraId="3715295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3</w:t>
            </w:r>
          </w:p>
        </w:tc>
        <w:tc>
          <w:tcPr>
            <w:tcW w:w="7840" w:type="dxa"/>
            <w:tcBorders>
              <w:tl2br w:val="nil"/>
              <w:tr2bl w:val="nil"/>
            </w:tcBorders>
            <w:noWrap w:val="0"/>
            <w:tcMar>
              <w:top w:w="0" w:type="dxa"/>
              <w:left w:w="0" w:type="dxa"/>
              <w:bottom w:w="0" w:type="dxa"/>
              <w:right w:w="0" w:type="dxa"/>
            </w:tcMar>
            <w:vAlign w:val="center"/>
          </w:tcPr>
          <w:p w14:paraId="3F2A6CC9">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▲水容积≤46L，设计压力≤0.8MPa，且设备无需办理安装告知手续</w:t>
            </w:r>
          </w:p>
        </w:tc>
      </w:tr>
      <w:tr w14:paraId="4747E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74" w:hRule="atLeast"/>
        </w:trPr>
        <w:tc>
          <w:tcPr>
            <w:tcW w:w="559" w:type="dxa"/>
            <w:tcBorders>
              <w:tl2br w:val="nil"/>
              <w:tr2bl w:val="nil"/>
            </w:tcBorders>
            <w:noWrap w:val="0"/>
            <w:tcMar>
              <w:top w:w="0" w:type="dxa"/>
              <w:left w:w="0" w:type="dxa"/>
              <w:bottom w:w="0" w:type="dxa"/>
              <w:right w:w="0" w:type="dxa"/>
            </w:tcMar>
            <w:vAlign w:val="center"/>
          </w:tcPr>
          <w:p w14:paraId="32D35B0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4</w:t>
            </w:r>
          </w:p>
        </w:tc>
        <w:tc>
          <w:tcPr>
            <w:tcW w:w="7840" w:type="dxa"/>
            <w:tcBorders>
              <w:tl2br w:val="nil"/>
              <w:tr2bl w:val="nil"/>
            </w:tcBorders>
            <w:noWrap w:val="0"/>
            <w:tcMar>
              <w:top w:w="0" w:type="dxa"/>
              <w:left w:w="0" w:type="dxa"/>
              <w:bottom w:w="0" w:type="dxa"/>
              <w:right w:w="0" w:type="dxa"/>
            </w:tcMar>
            <w:vAlign w:val="center"/>
          </w:tcPr>
          <w:p w14:paraId="6D390E5F">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工作压力范围：常压～0.65MPa（可调）</w:t>
            </w:r>
          </w:p>
        </w:tc>
      </w:tr>
      <w:tr w14:paraId="64C71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74" w:hRule="atLeast"/>
        </w:trPr>
        <w:tc>
          <w:tcPr>
            <w:tcW w:w="559" w:type="dxa"/>
            <w:tcBorders>
              <w:tl2br w:val="nil"/>
              <w:tr2bl w:val="nil"/>
            </w:tcBorders>
            <w:noWrap w:val="0"/>
            <w:tcMar>
              <w:top w:w="0" w:type="dxa"/>
              <w:left w:w="0" w:type="dxa"/>
              <w:bottom w:w="0" w:type="dxa"/>
              <w:right w:w="0" w:type="dxa"/>
            </w:tcMar>
            <w:vAlign w:val="center"/>
          </w:tcPr>
          <w:p w14:paraId="46AB4F2B">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5</w:t>
            </w:r>
          </w:p>
        </w:tc>
        <w:tc>
          <w:tcPr>
            <w:tcW w:w="7840" w:type="dxa"/>
            <w:tcBorders>
              <w:tl2br w:val="nil"/>
              <w:tr2bl w:val="nil"/>
            </w:tcBorders>
            <w:noWrap w:val="0"/>
            <w:tcMar>
              <w:top w:w="0" w:type="dxa"/>
              <w:left w:w="0" w:type="dxa"/>
              <w:bottom w:w="0" w:type="dxa"/>
              <w:right w:w="0" w:type="dxa"/>
            </w:tcMar>
            <w:vAlign w:val="center"/>
          </w:tcPr>
          <w:p w14:paraId="54E43316">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电热管分组垂直安装，达到设定压力后自动切换加热功率</w:t>
            </w:r>
          </w:p>
        </w:tc>
      </w:tr>
      <w:tr w14:paraId="5191E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74" w:hRule="atLeast"/>
        </w:trPr>
        <w:tc>
          <w:tcPr>
            <w:tcW w:w="559" w:type="dxa"/>
            <w:tcBorders>
              <w:tl2br w:val="nil"/>
              <w:tr2bl w:val="nil"/>
            </w:tcBorders>
            <w:noWrap w:val="0"/>
            <w:tcMar>
              <w:top w:w="0" w:type="dxa"/>
              <w:left w:w="0" w:type="dxa"/>
              <w:bottom w:w="0" w:type="dxa"/>
              <w:right w:w="0" w:type="dxa"/>
            </w:tcMar>
            <w:vAlign w:val="center"/>
          </w:tcPr>
          <w:p w14:paraId="2896E7DF">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6</w:t>
            </w:r>
          </w:p>
        </w:tc>
        <w:tc>
          <w:tcPr>
            <w:tcW w:w="7840" w:type="dxa"/>
            <w:tcBorders>
              <w:tl2br w:val="nil"/>
              <w:tr2bl w:val="nil"/>
            </w:tcBorders>
            <w:noWrap w:val="0"/>
            <w:tcMar>
              <w:top w:w="0" w:type="dxa"/>
              <w:left w:w="0" w:type="dxa"/>
              <w:bottom w:w="0" w:type="dxa"/>
              <w:right w:w="0" w:type="dxa"/>
            </w:tcMar>
            <w:vAlign w:val="center"/>
          </w:tcPr>
          <w:p w14:paraId="0FFCDEEB">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安全阀：开启压力≤0.70MPa，回座压力≥0.60MPa，数量≥2个</w:t>
            </w:r>
          </w:p>
        </w:tc>
      </w:tr>
      <w:tr w14:paraId="22C7C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74" w:hRule="atLeast"/>
        </w:trPr>
        <w:tc>
          <w:tcPr>
            <w:tcW w:w="559" w:type="dxa"/>
            <w:tcBorders>
              <w:tl2br w:val="nil"/>
              <w:tr2bl w:val="nil"/>
            </w:tcBorders>
            <w:noWrap w:val="0"/>
            <w:tcMar>
              <w:top w:w="0" w:type="dxa"/>
              <w:left w:w="0" w:type="dxa"/>
              <w:bottom w:w="0" w:type="dxa"/>
              <w:right w:w="0" w:type="dxa"/>
            </w:tcMar>
            <w:vAlign w:val="center"/>
          </w:tcPr>
          <w:p w14:paraId="39DD745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7</w:t>
            </w:r>
          </w:p>
        </w:tc>
        <w:tc>
          <w:tcPr>
            <w:tcW w:w="7840" w:type="dxa"/>
            <w:tcBorders>
              <w:tl2br w:val="nil"/>
              <w:tr2bl w:val="nil"/>
            </w:tcBorders>
            <w:noWrap w:val="0"/>
            <w:tcMar>
              <w:top w:w="0" w:type="dxa"/>
              <w:left w:w="0" w:type="dxa"/>
              <w:bottom w:w="0" w:type="dxa"/>
              <w:right w:w="0" w:type="dxa"/>
            </w:tcMar>
            <w:vAlign w:val="center"/>
          </w:tcPr>
          <w:p w14:paraId="366B39C6">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控制方式：可编程控制器（PLC），精确采集压力、温度及运行状态</w:t>
            </w:r>
          </w:p>
        </w:tc>
      </w:tr>
      <w:tr w14:paraId="034C4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74" w:hRule="atLeast"/>
        </w:trPr>
        <w:tc>
          <w:tcPr>
            <w:tcW w:w="559" w:type="dxa"/>
            <w:tcBorders>
              <w:tl2br w:val="nil"/>
              <w:tr2bl w:val="nil"/>
            </w:tcBorders>
            <w:noWrap w:val="0"/>
            <w:tcMar>
              <w:top w:w="0" w:type="dxa"/>
              <w:left w:w="0" w:type="dxa"/>
              <w:bottom w:w="0" w:type="dxa"/>
              <w:right w:w="0" w:type="dxa"/>
            </w:tcMar>
            <w:vAlign w:val="center"/>
          </w:tcPr>
          <w:p w14:paraId="4D8A7E92">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8</w:t>
            </w:r>
          </w:p>
        </w:tc>
        <w:tc>
          <w:tcPr>
            <w:tcW w:w="7840" w:type="dxa"/>
            <w:tcBorders>
              <w:tl2br w:val="nil"/>
              <w:tr2bl w:val="nil"/>
            </w:tcBorders>
            <w:noWrap w:val="0"/>
            <w:tcMar>
              <w:top w:w="0" w:type="dxa"/>
              <w:left w:w="0" w:type="dxa"/>
              <w:bottom w:w="0" w:type="dxa"/>
              <w:right w:w="0" w:type="dxa"/>
            </w:tcMar>
            <w:vAlign w:val="center"/>
          </w:tcPr>
          <w:p w14:paraId="6B8935AA">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水位控制：磁翻柱式液位计，通过磁性浮子实现液位显示和信号输出</w:t>
            </w:r>
          </w:p>
        </w:tc>
      </w:tr>
      <w:tr w14:paraId="7DFE9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049" w:hRule="atLeast"/>
        </w:trPr>
        <w:tc>
          <w:tcPr>
            <w:tcW w:w="559" w:type="dxa"/>
            <w:tcBorders>
              <w:tl2br w:val="nil"/>
              <w:tr2bl w:val="nil"/>
            </w:tcBorders>
            <w:noWrap w:val="0"/>
            <w:tcMar>
              <w:top w:w="0" w:type="dxa"/>
              <w:left w:w="0" w:type="dxa"/>
              <w:bottom w:w="0" w:type="dxa"/>
              <w:right w:w="0" w:type="dxa"/>
            </w:tcMar>
            <w:vAlign w:val="center"/>
          </w:tcPr>
          <w:p w14:paraId="394A6A51">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9</w:t>
            </w:r>
          </w:p>
        </w:tc>
        <w:tc>
          <w:tcPr>
            <w:tcW w:w="7840" w:type="dxa"/>
            <w:tcBorders>
              <w:tl2br w:val="nil"/>
              <w:tr2bl w:val="nil"/>
            </w:tcBorders>
            <w:noWrap w:val="0"/>
            <w:tcMar>
              <w:top w:w="0" w:type="dxa"/>
              <w:left w:w="0" w:type="dxa"/>
              <w:bottom w:w="0" w:type="dxa"/>
              <w:right w:w="0" w:type="dxa"/>
            </w:tcMar>
            <w:vAlign w:val="center"/>
          </w:tcPr>
          <w:p w14:paraId="0E717203">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加热保护：液位控制器和温度控制器双重自动保护；水位低于下限时自动切断加热；若液位控制器失效导致水位低于电热管，温度控制器将切断加热电源，防止干烧</w:t>
            </w:r>
          </w:p>
        </w:tc>
      </w:tr>
      <w:tr w14:paraId="38CB0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74" w:hRule="atLeast"/>
        </w:trPr>
        <w:tc>
          <w:tcPr>
            <w:tcW w:w="559" w:type="dxa"/>
            <w:tcBorders>
              <w:tl2br w:val="nil"/>
              <w:tr2bl w:val="nil"/>
            </w:tcBorders>
            <w:noWrap w:val="0"/>
            <w:tcMar>
              <w:top w:w="0" w:type="dxa"/>
              <w:left w:w="0" w:type="dxa"/>
              <w:bottom w:w="0" w:type="dxa"/>
              <w:right w:w="0" w:type="dxa"/>
            </w:tcMar>
            <w:vAlign w:val="center"/>
          </w:tcPr>
          <w:p w14:paraId="7D04495C">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10</w:t>
            </w:r>
          </w:p>
        </w:tc>
        <w:tc>
          <w:tcPr>
            <w:tcW w:w="7840" w:type="dxa"/>
            <w:tcBorders>
              <w:tl2br w:val="nil"/>
              <w:tr2bl w:val="nil"/>
            </w:tcBorders>
            <w:noWrap w:val="0"/>
            <w:tcMar>
              <w:top w:w="0" w:type="dxa"/>
              <w:left w:w="0" w:type="dxa"/>
              <w:bottom w:w="0" w:type="dxa"/>
              <w:right w:w="0" w:type="dxa"/>
            </w:tcMar>
            <w:vAlign w:val="center"/>
          </w:tcPr>
          <w:p w14:paraId="0E14D5B0">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双重超压自动保护：压力传感器和安全阀双重保护</w:t>
            </w:r>
          </w:p>
        </w:tc>
      </w:tr>
    </w:tbl>
    <w:p w14:paraId="782A6F40">
      <w:pPr>
        <w:pStyle w:val="3"/>
        <w:keepNext w:val="0"/>
        <w:keepLines w:val="0"/>
        <w:pageBreakBefore w:val="0"/>
        <w:widowControl/>
        <w:suppressLineNumbers w:val="0"/>
        <w:shd w:val="clear" w:color="auto" w:fill="FFFFFF"/>
        <w:kinsoku/>
        <w:wordWrap/>
        <w:overflowPunct/>
        <w:topLinePunct w:val="0"/>
        <w:autoSpaceDE/>
        <w:autoSpaceDN/>
        <w:bidi w:val="0"/>
        <w:adjustRightInd/>
        <w:snapToGrid/>
        <w:spacing w:before="240" w:beforeAutospacing="0" w:after="240" w:afterAutospacing="0" w:line="480" w:lineRule="atLeast"/>
        <w:ind w:left="0" w:right="0" w:firstLine="0"/>
        <w:textAlignment w:val="auto"/>
        <w:rPr>
          <w:rFonts w:hint="eastAsia" w:ascii="宋体" w:hAnsi="宋体" w:eastAsia="宋体" w:cs="宋体"/>
          <w:b w:val="0"/>
          <w:bCs w:val="0"/>
          <w:caps w:val="0"/>
          <w:color w:val="auto"/>
          <w:spacing w:val="0"/>
          <w:sz w:val="21"/>
          <w:szCs w:val="21"/>
          <w:shd w:val="clear" w:color="auto" w:fill="FFFFFF"/>
          <w:lang w:eastAsia="zh-CN"/>
        </w:rPr>
      </w:pPr>
    </w:p>
    <w:p w14:paraId="27AE3F13">
      <w:pPr>
        <w:pStyle w:val="3"/>
        <w:keepNext w:val="0"/>
        <w:keepLines w:val="0"/>
        <w:pageBreakBefore w:val="0"/>
        <w:widowControl/>
        <w:suppressLineNumbers w:val="0"/>
        <w:shd w:val="clear" w:color="auto" w:fill="FFFFFF"/>
        <w:kinsoku/>
        <w:wordWrap/>
        <w:overflowPunct/>
        <w:topLinePunct w:val="0"/>
        <w:autoSpaceDE/>
        <w:autoSpaceDN/>
        <w:bidi w:val="0"/>
        <w:adjustRightInd/>
        <w:snapToGrid/>
        <w:spacing w:before="240" w:beforeAutospacing="0" w:after="240" w:afterAutospacing="0" w:line="480" w:lineRule="atLeast"/>
        <w:ind w:left="0" w:right="0" w:firstLine="0"/>
        <w:textAlignment w:val="auto"/>
        <w:rPr>
          <w:rFonts w:hint="eastAsia" w:ascii="宋体" w:hAnsi="宋体" w:eastAsia="宋体" w:cs="宋体"/>
          <w:b w:val="0"/>
          <w:bCs w:val="0"/>
          <w:caps w:val="0"/>
          <w:color w:val="auto"/>
          <w:spacing w:val="0"/>
          <w:sz w:val="21"/>
          <w:szCs w:val="21"/>
          <w:shd w:val="clear" w:color="auto" w:fill="FFFFFF"/>
          <w:lang w:eastAsia="zh-CN"/>
        </w:rPr>
      </w:pPr>
    </w:p>
    <w:p w14:paraId="582BDCF3">
      <w:pPr>
        <w:pStyle w:val="3"/>
        <w:keepNext w:val="0"/>
        <w:keepLines w:val="0"/>
        <w:pageBreakBefore w:val="0"/>
        <w:widowControl/>
        <w:suppressLineNumbers w:val="0"/>
        <w:shd w:val="clear" w:color="auto" w:fill="FFFFFF"/>
        <w:kinsoku/>
        <w:wordWrap/>
        <w:overflowPunct/>
        <w:topLinePunct w:val="0"/>
        <w:autoSpaceDE/>
        <w:autoSpaceDN/>
        <w:bidi w:val="0"/>
        <w:adjustRightInd/>
        <w:snapToGrid/>
        <w:spacing w:before="240" w:beforeAutospacing="0" w:after="240" w:afterAutospacing="0" w:line="480" w:lineRule="atLeast"/>
        <w:ind w:left="0" w:right="0" w:firstLine="0"/>
        <w:textAlignment w:val="auto"/>
        <w:rPr>
          <w:rFonts w:hint="eastAsia" w:ascii="宋体" w:hAnsi="宋体" w:eastAsia="宋体" w:cs="宋体"/>
          <w:b w:val="0"/>
          <w:bCs w:val="0"/>
          <w:caps w:val="0"/>
          <w:color w:val="auto"/>
          <w:spacing w:val="0"/>
          <w:sz w:val="21"/>
          <w:szCs w:val="21"/>
          <w:shd w:val="clear" w:color="auto" w:fill="FFFFFF"/>
          <w:lang w:eastAsia="zh-CN"/>
        </w:rPr>
      </w:pPr>
    </w:p>
    <w:p w14:paraId="7D1AFC90">
      <w:pPr>
        <w:pStyle w:val="3"/>
        <w:keepNext w:val="0"/>
        <w:keepLines w:val="0"/>
        <w:pageBreakBefore w:val="0"/>
        <w:widowControl/>
        <w:suppressLineNumbers w:val="0"/>
        <w:shd w:val="clear" w:color="auto" w:fill="FFFFFF"/>
        <w:kinsoku/>
        <w:wordWrap/>
        <w:overflowPunct/>
        <w:topLinePunct w:val="0"/>
        <w:autoSpaceDE/>
        <w:autoSpaceDN/>
        <w:bidi w:val="0"/>
        <w:adjustRightInd/>
        <w:snapToGrid/>
        <w:spacing w:before="240" w:beforeAutospacing="0" w:after="240" w:afterAutospacing="0" w:line="480" w:lineRule="atLeast"/>
        <w:ind w:left="0" w:right="0" w:firstLine="0"/>
        <w:textAlignment w:val="auto"/>
        <w:rPr>
          <w:rFonts w:hint="eastAsia" w:ascii="宋体" w:hAnsi="宋体" w:eastAsia="宋体" w:cs="宋体"/>
          <w:b w:val="0"/>
          <w:bCs w:val="0"/>
          <w:caps w:val="0"/>
          <w:color w:val="auto"/>
          <w:spacing w:val="0"/>
          <w:sz w:val="21"/>
          <w:szCs w:val="21"/>
          <w:shd w:val="clear" w:color="auto" w:fill="FFFFFF"/>
          <w:lang w:eastAsia="zh-CN"/>
        </w:rPr>
      </w:pPr>
    </w:p>
    <w:p w14:paraId="470AD845">
      <w:pPr>
        <w:pStyle w:val="3"/>
        <w:keepNext w:val="0"/>
        <w:keepLines w:val="0"/>
        <w:pageBreakBefore w:val="0"/>
        <w:widowControl/>
        <w:suppressLineNumbers w:val="0"/>
        <w:shd w:val="clear" w:color="auto" w:fill="FFFFFF"/>
        <w:kinsoku/>
        <w:wordWrap/>
        <w:overflowPunct/>
        <w:topLinePunct w:val="0"/>
        <w:autoSpaceDE/>
        <w:autoSpaceDN/>
        <w:bidi w:val="0"/>
        <w:adjustRightInd/>
        <w:snapToGrid/>
        <w:spacing w:before="240" w:beforeAutospacing="0" w:after="240" w:afterAutospacing="0" w:line="480" w:lineRule="atLeast"/>
        <w:ind w:left="0" w:right="0" w:firstLine="0"/>
        <w:textAlignment w:val="auto"/>
        <w:rPr>
          <w:rFonts w:hint="eastAsia" w:ascii="宋体" w:hAnsi="宋体" w:eastAsia="宋体" w:cs="宋体"/>
          <w:b w:val="0"/>
          <w:bCs w:val="0"/>
          <w:caps w:val="0"/>
          <w:color w:val="auto"/>
          <w:spacing w:val="0"/>
          <w:sz w:val="21"/>
          <w:szCs w:val="21"/>
          <w:shd w:val="clear" w:color="auto" w:fill="FFFFFF"/>
          <w:lang w:eastAsia="zh-CN"/>
        </w:rPr>
      </w:pPr>
    </w:p>
    <w:p w14:paraId="580091A1">
      <w:pPr>
        <w:pStyle w:val="3"/>
        <w:keepNext w:val="0"/>
        <w:keepLines w:val="0"/>
        <w:pageBreakBefore w:val="0"/>
        <w:widowControl/>
        <w:suppressLineNumbers w:val="0"/>
        <w:shd w:val="clear" w:color="auto" w:fill="FFFFFF"/>
        <w:kinsoku/>
        <w:wordWrap/>
        <w:overflowPunct/>
        <w:topLinePunct w:val="0"/>
        <w:autoSpaceDE/>
        <w:autoSpaceDN/>
        <w:bidi w:val="0"/>
        <w:adjustRightInd/>
        <w:snapToGrid/>
        <w:spacing w:before="240" w:beforeAutospacing="0" w:after="240" w:afterAutospacing="0" w:line="480" w:lineRule="atLeast"/>
        <w:ind w:left="0" w:right="0" w:firstLine="0"/>
        <w:textAlignment w:val="auto"/>
        <w:rPr>
          <w:rFonts w:hint="eastAsia" w:ascii="宋体" w:hAnsi="宋体" w:eastAsia="宋体" w:cs="宋体"/>
          <w:b w:val="0"/>
          <w:bCs w:val="0"/>
          <w:caps w:val="0"/>
          <w:color w:val="auto"/>
          <w:spacing w:val="0"/>
          <w:sz w:val="21"/>
          <w:szCs w:val="21"/>
          <w:shd w:val="clear" w:color="auto" w:fill="FFFFFF"/>
          <w:lang w:eastAsia="zh-CN"/>
        </w:rPr>
      </w:pPr>
    </w:p>
    <w:p w14:paraId="60865F20">
      <w:pPr>
        <w:pStyle w:val="3"/>
        <w:keepNext w:val="0"/>
        <w:keepLines w:val="0"/>
        <w:pageBreakBefore w:val="0"/>
        <w:widowControl/>
        <w:suppressLineNumbers w:val="0"/>
        <w:shd w:val="clear" w:color="auto" w:fill="FFFFFF"/>
        <w:kinsoku/>
        <w:wordWrap/>
        <w:overflowPunct/>
        <w:topLinePunct w:val="0"/>
        <w:autoSpaceDE/>
        <w:autoSpaceDN/>
        <w:bidi w:val="0"/>
        <w:adjustRightInd/>
        <w:snapToGrid/>
        <w:spacing w:before="240" w:beforeAutospacing="0" w:after="240" w:afterAutospacing="0" w:line="480" w:lineRule="atLeast"/>
        <w:ind w:left="0" w:right="0" w:firstLine="0"/>
        <w:textAlignment w:val="auto"/>
        <w:rPr>
          <w:rFonts w:hint="eastAsia" w:ascii="宋体" w:hAnsi="宋体" w:eastAsia="宋体" w:cs="宋体"/>
          <w:b w:val="0"/>
          <w:bCs w:val="0"/>
          <w:caps w:val="0"/>
          <w:color w:val="auto"/>
          <w:spacing w:val="0"/>
          <w:sz w:val="21"/>
          <w:szCs w:val="21"/>
          <w:shd w:val="clear" w:color="auto" w:fill="FFFFFF"/>
          <w:lang w:eastAsia="zh-CN"/>
        </w:rPr>
      </w:pPr>
    </w:p>
    <w:p w14:paraId="4FA13A6C">
      <w:pPr>
        <w:pStyle w:val="3"/>
        <w:keepNext w:val="0"/>
        <w:keepLines w:val="0"/>
        <w:pageBreakBefore w:val="0"/>
        <w:widowControl/>
        <w:suppressLineNumbers w:val="0"/>
        <w:shd w:val="clear" w:color="auto" w:fill="FFFFFF"/>
        <w:kinsoku/>
        <w:wordWrap/>
        <w:overflowPunct/>
        <w:topLinePunct w:val="0"/>
        <w:autoSpaceDE/>
        <w:autoSpaceDN/>
        <w:bidi w:val="0"/>
        <w:adjustRightInd/>
        <w:snapToGrid/>
        <w:spacing w:before="240" w:beforeAutospacing="0" w:after="240" w:afterAutospacing="0" w:line="480" w:lineRule="atLeast"/>
        <w:ind w:left="0" w:right="0" w:firstLine="0"/>
        <w:textAlignment w:val="auto"/>
        <w:rPr>
          <w:rFonts w:hint="eastAsia" w:ascii="宋体" w:hAnsi="宋体" w:eastAsia="宋体" w:cs="宋体"/>
          <w:b w:val="0"/>
          <w:bCs w:val="0"/>
          <w:caps w:val="0"/>
          <w:color w:val="auto"/>
          <w:spacing w:val="0"/>
          <w:sz w:val="21"/>
          <w:szCs w:val="21"/>
          <w:lang w:val="en-US" w:eastAsia="zh-CN"/>
        </w:rPr>
      </w:pPr>
      <w:r>
        <w:rPr>
          <w:rFonts w:hint="eastAsia" w:ascii="宋体" w:hAnsi="宋体" w:eastAsia="宋体" w:cs="宋体"/>
          <w:b w:val="0"/>
          <w:bCs w:val="0"/>
          <w:caps w:val="0"/>
          <w:color w:val="auto"/>
          <w:spacing w:val="0"/>
          <w:sz w:val="21"/>
          <w:szCs w:val="21"/>
          <w:shd w:val="clear" w:color="auto" w:fill="FFFFFF"/>
          <w:lang w:eastAsia="zh-CN"/>
        </w:rPr>
        <w:t>（</w:t>
      </w:r>
      <w:r>
        <w:rPr>
          <w:rFonts w:hint="eastAsia" w:ascii="宋体" w:hAnsi="宋体" w:eastAsia="宋体" w:cs="宋体"/>
          <w:b w:val="0"/>
          <w:bCs w:val="0"/>
          <w:caps w:val="0"/>
          <w:color w:val="auto"/>
          <w:spacing w:val="0"/>
          <w:sz w:val="21"/>
          <w:szCs w:val="21"/>
          <w:shd w:val="clear" w:color="auto" w:fill="FFFFFF"/>
        </w:rPr>
        <w:t>五</w:t>
      </w:r>
      <w:r>
        <w:rPr>
          <w:rFonts w:hint="eastAsia" w:ascii="宋体" w:hAnsi="宋体" w:eastAsia="宋体" w:cs="宋体"/>
          <w:b w:val="0"/>
          <w:bCs w:val="0"/>
          <w:caps w:val="0"/>
          <w:color w:val="auto"/>
          <w:spacing w:val="0"/>
          <w:sz w:val="21"/>
          <w:szCs w:val="21"/>
          <w:shd w:val="clear" w:color="auto" w:fill="FFFFFF"/>
          <w:lang w:eastAsia="zh-CN"/>
        </w:rPr>
        <w:t>）</w:t>
      </w:r>
      <w:r>
        <w:rPr>
          <w:rFonts w:hint="eastAsia" w:ascii="宋体" w:hAnsi="宋体" w:eastAsia="宋体" w:cs="宋体"/>
          <w:b w:val="0"/>
          <w:bCs w:val="0"/>
          <w:caps w:val="0"/>
          <w:color w:val="auto"/>
          <w:spacing w:val="0"/>
          <w:sz w:val="21"/>
          <w:szCs w:val="21"/>
          <w:shd w:val="clear" w:color="auto" w:fill="FFFFFF"/>
        </w:rPr>
        <w:t>、不锈钢器械清洗池</w:t>
      </w:r>
      <w:r>
        <w:rPr>
          <w:rFonts w:hint="eastAsia" w:ascii="宋体" w:hAnsi="宋体" w:eastAsia="宋体" w:cs="宋体"/>
          <w:b w:val="0"/>
          <w:bCs w:val="0"/>
          <w:caps w:val="0"/>
          <w:color w:val="auto"/>
          <w:spacing w:val="0"/>
          <w:sz w:val="21"/>
          <w:szCs w:val="21"/>
          <w:shd w:val="clear" w:color="auto" w:fill="FFFFFF"/>
          <w:lang w:val="en-US" w:eastAsia="zh-CN"/>
        </w:rPr>
        <w:t>1组</w:t>
      </w:r>
    </w:p>
    <w:tbl>
      <w:tblPr>
        <w:tblStyle w:val="5"/>
        <w:tblW w:w="82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639"/>
        <w:gridCol w:w="7660"/>
      </w:tblGrid>
      <w:tr w14:paraId="43C9C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75" w:hRule="atLeast"/>
          <w:tblHeader/>
        </w:trPr>
        <w:tc>
          <w:tcPr>
            <w:tcW w:w="662" w:type="dxa"/>
            <w:tcBorders>
              <w:tl2br w:val="nil"/>
              <w:tr2bl w:val="nil"/>
            </w:tcBorders>
            <w:noWrap w:val="0"/>
            <w:tcMar>
              <w:top w:w="0" w:type="dxa"/>
              <w:left w:w="0" w:type="dxa"/>
              <w:bottom w:w="0" w:type="dxa"/>
              <w:right w:w="0" w:type="dxa"/>
            </w:tcMar>
            <w:vAlign w:val="center"/>
          </w:tcPr>
          <w:p w14:paraId="5D1DA2A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序号</w:t>
            </w:r>
          </w:p>
        </w:tc>
        <w:tc>
          <w:tcPr>
            <w:tcW w:w="7637" w:type="dxa"/>
            <w:tcBorders>
              <w:tl2br w:val="nil"/>
              <w:tr2bl w:val="nil"/>
            </w:tcBorders>
            <w:noWrap w:val="0"/>
            <w:tcMar>
              <w:top w:w="0" w:type="dxa"/>
              <w:left w:w="240" w:type="dxa"/>
              <w:bottom w:w="0" w:type="dxa"/>
              <w:right w:w="240" w:type="dxa"/>
            </w:tcMar>
            <w:vAlign w:val="center"/>
          </w:tcPr>
          <w:p w14:paraId="631CF850">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技术参数要求</w:t>
            </w:r>
          </w:p>
        </w:tc>
      </w:tr>
      <w:tr w14:paraId="5F6F1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75" w:hRule="atLeast"/>
        </w:trPr>
        <w:tc>
          <w:tcPr>
            <w:tcW w:w="662" w:type="dxa"/>
            <w:tcBorders>
              <w:tl2br w:val="nil"/>
              <w:tr2bl w:val="nil"/>
            </w:tcBorders>
            <w:noWrap w:val="0"/>
            <w:tcMar>
              <w:top w:w="0" w:type="dxa"/>
              <w:left w:w="0" w:type="dxa"/>
              <w:bottom w:w="0" w:type="dxa"/>
              <w:right w:w="0" w:type="dxa"/>
            </w:tcMar>
            <w:vAlign w:val="center"/>
          </w:tcPr>
          <w:p w14:paraId="16380A4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1</w:t>
            </w:r>
          </w:p>
        </w:tc>
        <w:tc>
          <w:tcPr>
            <w:tcW w:w="0" w:type="auto"/>
            <w:tcBorders>
              <w:tl2br w:val="nil"/>
              <w:tr2bl w:val="nil"/>
            </w:tcBorders>
            <w:noWrap w:val="0"/>
            <w:tcMar>
              <w:top w:w="0" w:type="dxa"/>
              <w:left w:w="0" w:type="dxa"/>
              <w:bottom w:w="0" w:type="dxa"/>
              <w:right w:w="0" w:type="dxa"/>
            </w:tcMar>
            <w:vAlign w:val="center"/>
          </w:tcPr>
          <w:p w14:paraId="4878A808">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材质：304不锈钢</w:t>
            </w:r>
          </w:p>
        </w:tc>
      </w:tr>
      <w:tr w14:paraId="2DEB7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75" w:hRule="atLeast"/>
        </w:trPr>
        <w:tc>
          <w:tcPr>
            <w:tcW w:w="662" w:type="dxa"/>
            <w:tcBorders>
              <w:tl2br w:val="nil"/>
              <w:tr2bl w:val="nil"/>
            </w:tcBorders>
            <w:noWrap w:val="0"/>
            <w:tcMar>
              <w:top w:w="0" w:type="dxa"/>
              <w:left w:w="0" w:type="dxa"/>
              <w:bottom w:w="0" w:type="dxa"/>
              <w:right w:w="0" w:type="dxa"/>
            </w:tcMar>
            <w:vAlign w:val="center"/>
          </w:tcPr>
          <w:p w14:paraId="07C75275">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2</w:t>
            </w:r>
          </w:p>
        </w:tc>
        <w:tc>
          <w:tcPr>
            <w:tcW w:w="0" w:type="auto"/>
            <w:tcBorders>
              <w:tl2br w:val="nil"/>
              <w:tr2bl w:val="nil"/>
            </w:tcBorders>
            <w:noWrap w:val="0"/>
            <w:tcMar>
              <w:top w:w="0" w:type="dxa"/>
              <w:left w:w="0" w:type="dxa"/>
              <w:bottom w:w="0" w:type="dxa"/>
              <w:right w:w="0" w:type="dxa"/>
            </w:tcMar>
            <w:vAlign w:val="center"/>
          </w:tcPr>
          <w:p w14:paraId="42377B63">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结构：双槽+干燥台，水槽模具拉伸成型，边角圆弧无锐边，美观耐用</w:t>
            </w:r>
          </w:p>
        </w:tc>
      </w:tr>
      <w:tr w14:paraId="09131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75" w:hRule="atLeast"/>
        </w:trPr>
        <w:tc>
          <w:tcPr>
            <w:tcW w:w="662" w:type="dxa"/>
            <w:tcBorders>
              <w:tl2br w:val="nil"/>
              <w:tr2bl w:val="nil"/>
            </w:tcBorders>
            <w:noWrap w:val="0"/>
            <w:tcMar>
              <w:top w:w="0" w:type="dxa"/>
              <w:left w:w="0" w:type="dxa"/>
              <w:bottom w:w="0" w:type="dxa"/>
              <w:right w:w="0" w:type="dxa"/>
            </w:tcMar>
            <w:vAlign w:val="center"/>
          </w:tcPr>
          <w:p w14:paraId="5311297D">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3</w:t>
            </w:r>
          </w:p>
        </w:tc>
        <w:tc>
          <w:tcPr>
            <w:tcW w:w="0" w:type="auto"/>
            <w:tcBorders>
              <w:tl2br w:val="nil"/>
              <w:tr2bl w:val="nil"/>
            </w:tcBorders>
            <w:noWrap w:val="0"/>
            <w:tcMar>
              <w:top w:w="0" w:type="dxa"/>
              <w:left w:w="0" w:type="dxa"/>
              <w:bottom w:w="0" w:type="dxa"/>
              <w:right w:w="0" w:type="dxa"/>
            </w:tcMar>
            <w:vAlign w:val="center"/>
          </w:tcPr>
          <w:p w14:paraId="052E6A6E">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台面设置滚压台阶线，沥水时水流回水槽，防止水流至地面或人员身上</w:t>
            </w:r>
          </w:p>
        </w:tc>
      </w:tr>
      <w:tr w14:paraId="49A6D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75" w:hRule="atLeast"/>
        </w:trPr>
        <w:tc>
          <w:tcPr>
            <w:tcW w:w="662" w:type="dxa"/>
            <w:tcBorders>
              <w:tl2br w:val="nil"/>
              <w:tr2bl w:val="nil"/>
            </w:tcBorders>
            <w:noWrap w:val="0"/>
            <w:tcMar>
              <w:top w:w="0" w:type="dxa"/>
              <w:left w:w="0" w:type="dxa"/>
              <w:bottom w:w="0" w:type="dxa"/>
              <w:right w:w="0" w:type="dxa"/>
            </w:tcMar>
            <w:vAlign w:val="center"/>
          </w:tcPr>
          <w:p w14:paraId="406C8D78">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4</w:t>
            </w:r>
          </w:p>
        </w:tc>
        <w:tc>
          <w:tcPr>
            <w:tcW w:w="0" w:type="auto"/>
            <w:tcBorders>
              <w:tl2br w:val="nil"/>
              <w:tr2bl w:val="nil"/>
            </w:tcBorders>
            <w:noWrap w:val="0"/>
            <w:tcMar>
              <w:top w:w="0" w:type="dxa"/>
              <w:left w:w="0" w:type="dxa"/>
              <w:bottom w:w="0" w:type="dxa"/>
              <w:right w:w="0" w:type="dxa"/>
            </w:tcMar>
            <w:vAlign w:val="center"/>
          </w:tcPr>
          <w:p w14:paraId="54BB29D9">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双鹅颈型水龙头，冷热水接口，可自由调节流量和水温</w:t>
            </w:r>
          </w:p>
        </w:tc>
      </w:tr>
      <w:tr w14:paraId="6C851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75" w:hRule="atLeast"/>
        </w:trPr>
        <w:tc>
          <w:tcPr>
            <w:tcW w:w="662" w:type="dxa"/>
            <w:tcBorders>
              <w:tl2br w:val="nil"/>
              <w:tr2bl w:val="nil"/>
            </w:tcBorders>
            <w:noWrap w:val="0"/>
            <w:tcMar>
              <w:top w:w="0" w:type="dxa"/>
              <w:left w:w="0" w:type="dxa"/>
              <w:bottom w:w="0" w:type="dxa"/>
              <w:right w:w="0" w:type="dxa"/>
            </w:tcMar>
            <w:vAlign w:val="center"/>
          </w:tcPr>
          <w:p w14:paraId="26C4FDEE">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5</w:t>
            </w:r>
          </w:p>
        </w:tc>
        <w:tc>
          <w:tcPr>
            <w:tcW w:w="0" w:type="auto"/>
            <w:tcBorders>
              <w:tl2br w:val="nil"/>
              <w:tr2bl w:val="nil"/>
            </w:tcBorders>
            <w:noWrap w:val="0"/>
            <w:tcMar>
              <w:top w:w="0" w:type="dxa"/>
              <w:left w:w="0" w:type="dxa"/>
              <w:bottom w:w="0" w:type="dxa"/>
              <w:right w:w="0" w:type="dxa"/>
            </w:tcMar>
            <w:vAlign w:val="center"/>
          </w:tcPr>
          <w:p w14:paraId="54BBD0EC">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外形尺寸≥1800×630×950mm</w:t>
            </w:r>
          </w:p>
        </w:tc>
      </w:tr>
      <w:tr w14:paraId="2B160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75" w:hRule="atLeast"/>
        </w:trPr>
        <w:tc>
          <w:tcPr>
            <w:tcW w:w="662" w:type="dxa"/>
            <w:tcBorders>
              <w:tl2br w:val="nil"/>
              <w:tr2bl w:val="nil"/>
            </w:tcBorders>
            <w:noWrap w:val="0"/>
            <w:tcMar>
              <w:top w:w="0" w:type="dxa"/>
              <w:left w:w="0" w:type="dxa"/>
              <w:bottom w:w="0" w:type="dxa"/>
              <w:right w:w="0" w:type="dxa"/>
            </w:tcMar>
            <w:vAlign w:val="center"/>
          </w:tcPr>
          <w:p w14:paraId="33872696">
            <w:pPr>
              <w:keepNext w:val="0"/>
              <w:keepLines w:val="0"/>
              <w:pageBreakBefore w:val="0"/>
              <w:widowControl/>
              <w:suppressLineNumbers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6</w:t>
            </w:r>
          </w:p>
        </w:tc>
        <w:tc>
          <w:tcPr>
            <w:tcW w:w="0" w:type="auto"/>
            <w:tcBorders>
              <w:tl2br w:val="nil"/>
              <w:tr2bl w:val="nil"/>
            </w:tcBorders>
            <w:noWrap w:val="0"/>
            <w:tcMar>
              <w:top w:w="0" w:type="dxa"/>
              <w:left w:w="0" w:type="dxa"/>
              <w:bottom w:w="0" w:type="dxa"/>
              <w:right w:w="0" w:type="dxa"/>
            </w:tcMar>
            <w:vAlign w:val="center"/>
          </w:tcPr>
          <w:p w14:paraId="37AB164D">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kern w:val="0"/>
                <w:sz w:val="21"/>
                <w:szCs w:val="21"/>
                <w:lang w:val="en-US" w:eastAsia="zh-CN" w:bidi="ar"/>
              </w:rPr>
              <w:t>水槽下方为柜体结构，便于维修且可储物；柜门铰链为阻尼铰链，可实现自动闭合到位</w:t>
            </w:r>
          </w:p>
        </w:tc>
      </w:tr>
    </w:tbl>
    <w:p w14:paraId="32F4869D">
      <w:pPr>
        <w:pStyle w:val="3"/>
        <w:keepNext w:val="0"/>
        <w:keepLines w:val="0"/>
        <w:pageBreakBefore w:val="0"/>
        <w:widowControl/>
        <w:suppressLineNumbers w:val="0"/>
        <w:shd w:val="clear" w:color="auto" w:fill="FFFFFF"/>
        <w:kinsoku/>
        <w:wordWrap/>
        <w:overflowPunct/>
        <w:topLinePunct w:val="0"/>
        <w:autoSpaceDE/>
        <w:autoSpaceDN/>
        <w:bidi w:val="0"/>
        <w:adjustRightInd/>
        <w:snapToGrid/>
        <w:spacing w:before="240" w:beforeAutospacing="0" w:after="240" w:afterAutospacing="0" w:line="480" w:lineRule="atLeast"/>
        <w:ind w:left="0" w:right="0" w:firstLine="0"/>
        <w:textAlignment w:val="auto"/>
        <w:rPr>
          <w:rFonts w:hint="eastAsia" w:ascii="宋体" w:hAnsi="宋体" w:eastAsia="宋体" w:cs="宋体"/>
          <w:b w:val="0"/>
          <w:bCs w:val="0"/>
          <w:caps w:val="0"/>
          <w:color w:val="auto"/>
          <w:spacing w:val="0"/>
          <w:sz w:val="21"/>
          <w:szCs w:val="21"/>
          <w:lang w:val="en-US" w:eastAsia="zh-CN"/>
        </w:rPr>
      </w:pPr>
    </w:p>
    <w:p w14:paraId="0A018CE9">
      <w:pPr>
        <w:rPr>
          <w:rFonts w:hint="eastAsia" w:ascii="宋体" w:hAnsi="宋体" w:eastAsia="宋体" w:cs="宋体"/>
          <w:b w:val="0"/>
          <w:bCs w:val="0"/>
          <w:color w:val="auto"/>
          <w:sz w:val="21"/>
          <w:szCs w:val="21"/>
        </w:rPr>
      </w:pPr>
    </w:p>
    <w:p w14:paraId="301CE398">
      <w:pPr>
        <w:spacing w:line="360" w:lineRule="auto"/>
        <w:ind w:firstLine="2800" w:firstLineChars="1000"/>
        <w:rPr>
          <w:rFonts w:hint="eastAsia" w:ascii="黑体" w:hAnsi="黑体" w:eastAsia="黑体"/>
          <w:color w:val="auto"/>
          <w:sz w:val="28"/>
          <w:szCs w:val="28"/>
        </w:rPr>
      </w:pPr>
    </w:p>
    <w:p w14:paraId="4D794C6A">
      <w:pPr>
        <w:spacing w:line="360" w:lineRule="auto"/>
        <w:ind w:firstLine="2800" w:firstLineChars="1000"/>
        <w:rPr>
          <w:rFonts w:hint="eastAsia" w:ascii="黑体" w:hAnsi="黑体" w:eastAsia="黑体"/>
          <w:color w:val="auto"/>
          <w:sz w:val="28"/>
          <w:szCs w:val="28"/>
        </w:rPr>
      </w:pPr>
    </w:p>
    <w:p w14:paraId="47146470">
      <w:pPr>
        <w:spacing w:line="360" w:lineRule="auto"/>
        <w:ind w:firstLine="2800" w:firstLineChars="1000"/>
        <w:rPr>
          <w:rFonts w:hint="eastAsia" w:ascii="黑体" w:hAnsi="黑体" w:eastAsia="黑体"/>
          <w:color w:val="auto"/>
          <w:sz w:val="28"/>
          <w:szCs w:val="28"/>
        </w:rPr>
      </w:pPr>
    </w:p>
    <w:p w14:paraId="5BA23500">
      <w:pPr>
        <w:spacing w:line="360" w:lineRule="auto"/>
        <w:ind w:firstLine="2800" w:firstLineChars="1000"/>
        <w:rPr>
          <w:rFonts w:hint="eastAsia" w:ascii="黑体" w:hAnsi="黑体" w:eastAsia="黑体"/>
          <w:color w:val="auto"/>
          <w:sz w:val="28"/>
          <w:szCs w:val="28"/>
        </w:rPr>
      </w:pPr>
    </w:p>
    <w:p w14:paraId="190FD0AD">
      <w:pPr>
        <w:spacing w:line="360" w:lineRule="auto"/>
        <w:ind w:firstLine="2800" w:firstLineChars="1000"/>
        <w:rPr>
          <w:rFonts w:hint="eastAsia" w:ascii="黑体" w:hAnsi="黑体" w:eastAsia="黑体"/>
          <w:color w:val="auto"/>
          <w:sz w:val="28"/>
          <w:szCs w:val="28"/>
        </w:rPr>
      </w:pPr>
    </w:p>
    <w:p w14:paraId="2685DD47">
      <w:pPr>
        <w:spacing w:line="360" w:lineRule="auto"/>
        <w:ind w:firstLine="2800" w:firstLineChars="1000"/>
        <w:rPr>
          <w:rFonts w:hint="eastAsia" w:ascii="黑体" w:hAnsi="黑体" w:eastAsia="黑体"/>
          <w:color w:val="auto"/>
          <w:sz w:val="28"/>
          <w:szCs w:val="28"/>
        </w:rPr>
      </w:pPr>
    </w:p>
    <w:p w14:paraId="652EF0E4">
      <w:pPr>
        <w:spacing w:line="360" w:lineRule="auto"/>
        <w:ind w:firstLine="2800" w:firstLineChars="1000"/>
        <w:rPr>
          <w:rFonts w:hint="eastAsia" w:ascii="黑体" w:hAnsi="黑体" w:eastAsia="黑体"/>
          <w:color w:val="auto"/>
          <w:sz w:val="28"/>
          <w:szCs w:val="28"/>
        </w:rPr>
      </w:pPr>
    </w:p>
    <w:p w14:paraId="1708B758">
      <w:pPr>
        <w:spacing w:line="360" w:lineRule="auto"/>
        <w:ind w:firstLine="2800" w:firstLineChars="1000"/>
        <w:rPr>
          <w:rFonts w:hint="eastAsia" w:ascii="黑体" w:hAnsi="黑体" w:eastAsia="黑体"/>
          <w:color w:val="auto"/>
          <w:sz w:val="28"/>
          <w:szCs w:val="28"/>
        </w:rPr>
      </w:pPr>
    </w:p>
    <w:p w14:paraId="19449D6A">
      <w:pPr>
        <w:spacing w:line="360" w:lineRule="auto"/>
        <w:ind w:firstLine="2800" w:firstLineChars="1000"/>
        <w:rPr>
          <w:rFonts w:hint="eastAsia" w:ascii="黑体" w:hAnsi="黑体" w:eastAsia="黑体"/>
          <w:color w:val="auto"/>
          <w:sz w:val="28"/>
          <w:szCs w:val="28"/>
        </w:rPr>
      </w:pPr>
    </w:p>
    <w:p w14:paraId="11F692B5">
      <w:pPr>
        <w:spacing w:line="360" w:lineRule="auto"/>
        <w:ind w:firstLine="2800" w:firstLineChars="1000"/>
        <w:rPr>
          <w:rFonts w:hint="eastAsia" w:ascii="黑体" w:hAnsi="黑体" w:eastAsia="黑体"/>
          <w:color w:val="auto"/>
          <w:sz w:val="28"/>
          <w:szCs w:val="28"/>
        </w:rPr>
      </w:pPr>
    </w:p>
    <w:p w14:paraId="2B635A5E">
      <w:pPr>
        <w:spacing w:line="360" w:lineRule="auto"/>
        <w:ind w:firstLine="2800" w:firstLineChars="1000"/>
        <w:rPr>
          <w:rFonts w:hint="eastAsia" w:ascii="黑体" w:hAnsi="黑体" w:eastAsia="黑体"/>
          <w:color w:val="auto"/>
          <w:sz w:val="28"/>
          <w:szCs w:val="28"/>
        </w:rPr>
      </w:pPr>
    </w:p>
    <w:p w14:paraId="07136C2A">
      <w:pPr>
        <w:spacing w:line="360" w:lineRule="auto"/>
        <w:ind w:firstLine="2800" w:firstLineChars="1000"/>
        <w:rPr>
          <w:rFonts w:hint="eastAsia" w:ascii="黑体" w:hAnsi="黑体" w:eastAsia="黑体"/>
          <w:color w:val="auto"/>
          <w:sz w:val="28"/>
          <w:szCs w:val="28"/>
        </w:rPr>
      </w:pPr>
    </w:p>
    <w:p w14:paraId="0CE9AFEF">
      <w:pPr>
        <w:spacing w:line="360" w:lineRule="auto"/>
        <w:ind w:firstLine="2800" w:firstLineChars="1000"/>
        <w:rPr>
          <w:rFonts w:hint="eastAsia" w:ascii="黑体" w:hAnsi="黑体" w:eastAsia="黑体"/>
          <w:color w:val="auto"/>
          <w:sz w:val="28"/>
          <w:szCs w:val="28"/>
        </w:rPr>
      </w:pPr>
    </w:p>
    <w:p w14:paraId="66B736EF">
      <w:pPr>
        <w:spacing w:line="360" w:lineRule="auto"/>
        <w:ind w:firstLine="2800" w:firstLineChars="1000"/>
        <w:rPr>
          <w:rFonts w:ascii="黑体" w:hAnsi="黑体" w:eastAsia="黑体"/>
          <w:color w:val="auto"/>
          <w:sz w:val="28"/>
          <w:szCs w:val="28"/>
        </w:rPr>
      </w:pPr>
      <w:r>
        <w:rPr>
          <w:rFonts w:hint="eastAsia" w:ascii="黑体" w:hAnsi="黑体" w:eastAsia="黑体"/>
          <w:color w:val="auto"/>
          <w:sz w:val="28"/>
          <w:szCs w:val="28"/>
        </w:rPr>
        <w:t>第三节 商务</w:t>
      </w:r>
      <w:r>
        <w:rPr>
          <w:rFonts w:ascii="黑体" w:hAnsi="黑体" w:eastAsia="黑体"/>
          <w:color w:val="auto"/>
          <w:sz w:val="28"/>
          <w:szCs w:val="28"/>
        </w:rPr>
        <w:t>要求</w:t>
      </w:r>
    </w:p>
    <w:p w14:paraId="155D567F">
      <w:pPr>
        <w:pStyle w:val="9"/>
        <w:ind w:firstLine="480"/>
        <w:rPr>
          <w:color w:val="auto"/>
        </w:rPr>
      </w:pPr>
    </w:p>
    <w:bookmarkEnd w:id="4"/>
    <w:p w14:paraId="6B8C7D86">
      <w:pPr>
        <w:spacing w:line="360" w:lineRule="auto"/>
        <w:ind w:firstLine="422" w:firstLineChars="200"/>
        <w:rPr>
          <w:rFonts w:hint="eastAsia" w:ascii="宋体" w:hAnsi="宋体" w:cs="宋体"/>
          <w:b/>
          <w:bCs/>
          <w:color w:val="auto"/>
          <w:sz w:val="21"/>
          <w:szCs w:val="21"/>
        </w:rPr>
      </w:pPr>
      <w:r>
        <w:rPr>
          <w:rFonts w:hint="eastAsia" w:ascii="宋体" w:hAnsi="宋体" w:cs="宋体"/>
          <w:b/>
          <w:bCs/>
          <w:color w:val="auto"/>
          <w:sz w:val="21"/>
          <w:szCs w:val="21"/>
          <w:lang w:eastAsia="zh-CN"/>
        </w:rPr>
        <w:t>（</w:t>
      </w:r>
      <w:r>
        <w:rPr>
          <w:rFonts w:hint="eastAsia" w:ascii="宋体" w:hAnsi="宋体" w:cs="宋体"/>
          <w:b/>
          <w:bCs/>
          <w:color w:val="auto"/>
          <w:sz w:val="21"/>
          <w:szCs w:val="21"/>
          <w:lang w:val="en-US" w:eastAsia="zh-CN"/>
        </w:rPr>
        <w:t>一</w:t>
      </w:r>
      <w:r>
        <w:rPr>
          <w:rFonts w:hint="eastAsia" w:ascii="宋体" w:hAnsi="宋体" w:cs="宋体"/>
          <w:b/>
          <w:bCs/>
          <w:color w:val="auto"/>
          <w:sz w:val="21"/>
          <w:szCs w:val="21"/>
          <w:lang w:eastAsia="zh-CN"/>
        </w:rPr>
        <w:t>）</w:t>
      </w:r>
      <w:r>
        <w:rPr>
          <w:rFonts w:hint="eastAsia" w:ascii="宋体" w:hAnsi="宋体" w:cs="宋体"/>
          <w:b/>
          <w:bCs/>
          <w:color w:val="auto"/>
          <w:sz w:val="21"/>
          <w:szCs w:val="21"/>
        </w:rPr>
        <w:t>主要商务要求</w:t>
      </w:r>
    </w:p>
    <w:p w14:paraId="0F0E8490">
      <w:pPr>
        <w:adjustRightInd w:val="0"/>
        <w:snapToGrid w:val="0"/>
        <w:spacing w:line="360" w:lineRule="auto"/>
        <w:ind w:left="1470" w:leftChars="200" w:hanging="1050" w:hangingChars="500"/>
        <w:rPr>
          <w:rFonts w:hint="eastAsia" w:ascii="宋体" w:hAnsi="宋体" w:eastAsia="宋体" w:cs="宋体"/>
          <w:color w:val="auto"/>
          <w:sz w:val="21"/>
          <w:szCs w:val="21"/>
          <w:highlight w:val="none"/>
          <w:lang w:eastAsia="zh-CN"/>
        </w:rPr>
      </w:pPr>
      <w:r>
        <w:rPr>
          <w:rFonts w:hint="eastAsia" w:ascii="宋体" w:hAnsi="宋体" w:cs="宋体"/>
          <w:color w:val="auto"/>
          <w:sz w:val="21"/>
          <w:szCs w:val="21"/>
        </w:rPr>
        <w:t>1、项目名称：</w:t>
      </w:r>
      <w:r>
        <w:rPr>
          <w:rFonts w:hint="eastAsia" w:ascii="宋体" w:hAnsi="宋体" w:cs="宋体"/>
          <w:color w:val="auto"/>
          <w:sz w:val="21"/>
          <w:szCs w:val="21"/>
          <w:lang w:eastAsia="zh-CN"/>
        </w:rPr>
        <w:t>华容县</w:t>
      </w:r>
      <w:r>
        <w:rPr>
          <w:rFonts w:hint="eastAsia" w:ascii="宋体" w:hAnsi="宋体" w:eastAsia="宋体" w:cs="宋体"/>
          <w:color w:val="auto"/>
          <w:sz w:val="21"/>
          <w:szCs w:val="21"/>
          <w:lang w:eastAsia="zh-CN"/>
        </w:rPr>
        <w:t>人民医院紧密型县域医共体暨医疗卫生强基工程提标扩能项目消毒供应中心设备采购</w:t>
      </w:r>
    </w:p>
    <w:p w14:paraId="6F70182D">
      <w:pPr>
        <w:adjustRightInd w:val="0"/>
        <w:snapToGrid w:val="0"/>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2、采购项目预算：</w:t>
      </w:r>
      <w:r>
        <w:rPr>
          <w:rFonts w:hint="eastAsia" w:ascii="宋体" w:hAnsi="宋体" w:eastAsia="宋体" w:cs="宋体"/>
          <w:color w:val="auto"/>
          <w:sz w:val="21"/>
          <w:szCs w:val="21"/>
          <w:highlight w:val="none"/>
          <w:lang w:val="en-US" w:eastAsia="zh-CN"/>
        </w:rPr>
        <w:t>1171302元</w:t>
      </w:r>
    </w:p>
    <w:p w14:paraId="5298427D">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3、交货时间及要求：</w:t>
      </w:r>
      <w:r>
        <w:rPr>
          <w:rFonts w:hint="eastAsia" w:ascii="宋体" w:hAnsi="宋体" w:eastAsia="宋体" w:cs="宋体"/>
          <w:color w:val="auto"/>
          <w:kern w:val="0"/>
          <w:sz w:val="21"/>
          <w:szCs w:val="21"/>
          <w:lang w:eastAsia="zh-CN"/>
        </w:rPr>
        <w:t>合同签订后60天内完成供货到院及安装调试并验收合格</w:t>
      </w:r>
      <w:r>
        <w:rPr>
          <w:rFonts w:hint="eastAsia" w:ascii="宋体" w:hAnsi="宋体" w:eastAsia="宋体" w:cs="宋体"/>
          <w:snapToGrid w:val="0"/>
          <w:color w:val="auto"/>
          <w:spacing w:val="-7"/>
          <w:kern w:val="0"/>
          <w:sz w:val="21"/>
          <w:szCs w:val="21"/>
          <w:highlight w:val="none"/>
          <w:lang w:val="en-US" w:eastAsia="zh-CN" w:bidi="ar-SA"/>
        </w:rPr>
        <w:t>。</w:t>
      </w:r>
    </w:p>
    <w:p w14:paraId="41234D12">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4、项目现场：采购人指定地点</w:t>
      </w:r>
    </w:p>
    <w:p w14:paraId="4FEC9BF7">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5、交货方式：货到指定地点完成安装调试且验收合格，并按合同约定移交有关资料。</w:t>
      </w:r>
    </w:p>
    <w:p w14:paraId="0BEC692A">
      <w:pPr>
        <w:numPr>
          <w:ilvl w:val="0"/>
          <w:numId w:val="0"/>
        </w:numPr>
        <w:snapToGrid w:val="0"/>
        <w:spacing w:line="360" w:lineRule="auto"/>
        <w:ind w:firstLine="420"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6、质量保证期：项目整体提供</w:t>
      </w:r>
      <w:r>
        <w:rPr>
          <w:rFonts w:hint="eastAsia" w:ascii="宋体" w:hAnsi="宋体" w:eastAsia="宋体" w:cs="宋体"/>
          <w:bCs/>
          <w:color w:val="auto"/>
          <w:sz w:val="21"/>
          <w:szCs w:val="21"/>
          <w:highlight w:val="none"/>
          <w:lang w:eastAsia="zh-CN"/>
        </w:rPr>
        <w:t>少于</w:t>
      </w:r>
      <w:r>
        <w:rPr>
          <w:rFonts w:hint="eastAsia" w:ascii="宋体" w:hAnsi="宋体" w:eastAsia="宋体" w:cs="宋体"/>
          <w:color w:val="auto"/>
          <w:sz w:val="21"/>
          <w:szCs w:val="21"/>
          <w:highlight w:val="none"/>
          <w:lang w:val="en-US" w:eastAsia="zh-CN"/>
        </w:rPr>
        <w:t>三</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lang w:eastAsia="zh-CN"/>
        </w:rPr>
        <w:t>原厂全保</w:t>
      </w:r>
      <w:r>
        <w:rPr>
          <w:rFonts w:hint="eastAsia" w:ascii="宋体" w:hAnsi="宋体" w:eastAsia="宋体" w:cs="宋体"/>
          <w:color w:val="auto"/>
          <w:sz w:val="21"/>
          <w:szCs w:val="21"/>
          <w:highlight w:val="none"/>
        </w:rPr>
        <w:t>，</w:t>
      </w:r>
      <w:r>
        <w:rPr>
          <w:rFonts w:hint="eastAsia" w:ascii="宋体" w:hAnsi="宋体" w:eastAsia="宋体" w:cs="宋体"/>
          <w:b w:val="0"/>
          <w:bCs w:val="0"/>
          <w:i w:val="0"/>
          <w:iCs w:val="0"/>
          <w:caps w:val="0"/>
          <w:color w:val="auto"/>
          <w:spacing w:val="0"/>
          <w:sz w:val="21"/>
          <w:szCs w:val="21"/>
          <w:shd w:val="clear" w:color="auto" w:fill="FFFFFF"/>
        </w:rPr>
        <w:t>质保期从</w:t>
      </w:r>
      <w:r>
        <w:rPr>
          <w:rFonts w:hint="eastAsia" w:ascii="宋体" w:hAnsi="宋体" w:eastAsia="宋体" w:cs="宋体"/>
          <w:color w:val="auto"/>
          <w:sz w:val="21"/>
          <w:szCs w:val="21"/>
          <w:highlight w:val="none"/>
        </w:rPr>
        <w:t>采购人</w:t>
      </w:r>
      <w:r>
        <w:rPr>
          <w:rFonts w:hint="eastAsia" w:ascii="宋体" w:hAnsi="宋体" w:eastAsia="宋体" w:cs="宋体"/>
          <w:b w:val="0"/>
          <w:bCs w:val="0"/>
          <w:i w:val="0"/>
          <w:iCs w:val="0"/>
          <w:caps w:val="0"/>
          <w:color w:val="auto"/>
          <w:spacing w:val="0"/>
          <w:sz w:val="21"/>
          <w:szCs w:val="21"/>
          <w:shd w:val="clear" w:color="auto" w:fill="FFFFFF"/>
        </w:rPr>
        <w:t>签署《医疗器械验收报告单》之日起计算。</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注：①保修期内因故障引起一周以上的停机，在故障处理完后保修期向后推移，必要时赔偿损失；②终身提供软件升级服务。</w:t>
      </w:r>
      <w:r>
        <w:rPr>
          <w:rFonts w:hint="eastAsia" w:ascii="宋体" w:hAnsi="宋体" w:eastAsia="宋体" w:cs="宋体"/>
          <w:color w:val="auto"/>
          <w:sz w:val="21"/>
          <w:szCs w:val="21"/>
          <w:highlight w:val="none"/>
          <w:lang w:eastAsia="zh-CN"/>
        </w:rPr>
        <w:t>）</w:t>
      </w:r>
    </w:p>
    <w:p w14:paraId="0110D230">
      <w:pPr>
        <w:numPr>
          <w:ilvl w:val="0"/>
          <w:numId w:val="0"/>
        </w:numPr>
        <w:snapToGrid w:val="0"/>
        <w:spacing w:line="360" w:lineRule="auto"/>
        <w:ind w:firstLine="420"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投标人应在投标文件中提供按出厂标准供应的主要备品备件/消耗品/维修零配件/常用耗材/选购件价格清单及其制造商名称、地址、使用寿命。如采购人质保期后购买备品备件/消耗品/维修零配件/常用耗材/选购件，其价格不能超过此清单价格及折扣。</w:t>
      </w:r>
    </w:p>
    <w:p w14:paraId="09B35481">
      <w:pPr>
        <w:numPr>
          <w:ilvl w:val="0"/>
          <w:numId w:val="0"/>
        </w:numPr>
        <w:snapToGrid w:val="0"/>
        <w:spacing w:line="360" w:lineRule="auto"/>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投标人所投核心产品制造商在国内至少有一家零部件仓库（投标时提供相应证明文件），保证10年以上的供应期。在设备正常有效期寿命内提供各种零备件维修、供应、更换服务，并且保证每周7天向采购人开放。所需零配件根据采购人要求以最快方式迅速发送。</w:t>
      </w:r>
    </w:p>
    <w:p w14:paraId="4FD7DE97">
      <w:pPr>
        <w:numPr>
          <w:ilvl w:val="0"/>
          <w:numId w:val="0"/>
        </w:numPr>
        <w:snapToGrid w:val="0"/>
        <w:spacing w:line="360" w:lineRule="auto"/>
        <w:ind w:firstLine="420" w:firstLineChars="200"/>
        <w:textAlignment w:val="baseline"/>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highlight w:val="none"/>
          <w:lang w:val="en-US" w:eastAsia="zh-CN"/>
        </w:rPr>
        <w:t>9、投标人（制造商或销售商）需设有专业的售后服务机构和设施，并配备受过专业培训的售后服务人员，应对所提供的设备提供相应的售后服务承诺（售后服务承诺书）。</w:t>
      </w:r>
    </w:p>
    <w:p w14:paraId="766689D1">
      <w:pPr>
        <w:numPr>
          <w:ilvl w:val="0"/>
          <w:numId w:val="0"/>
        </w:numPr>
        <w:snapToGrid w:val="0"/>
        <w:spacing w:line="360" w:lineRule="auto"/>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、售后响应时间：7*24小时</w:t>
      </w:r>
    </w:p>
    <w:p w14:paraId="4C2D2992">
      <w:pPr>
        <w:numPr>
          <w:ilvl w:val="0"/>
          <w:numId w:val="0"/>
        </w:numPr>
        <w:snapToGrid w:val="0"/>
        <w:spacing w:line="360" w:lineRule="auto"/>
        <w:ind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11、付款方式：合同签订后，采购人向中标单位支付合同总金额的30%；设备安装、调试、培训完毕并交付临床正常使用一个月，经采购人组织验收合格并签署《医疗器械验收报告单》后，采购人支付合同总金额的67%（累计支付至97%）；设备正常使用满一年若无质量问题，一次性付清合同全部余款（3%）。资金来源说明：本合同付款资金来源于纳入湖南省发改委2026年第二批中央预算内投资计划的资金（以下简称“中央投资”）及采购人自筹资金。其中中央投资部分按照财政资金管理程序申请拨付，单位自筹部分由采购人自行筹措支付。无论资金来源如何，上述各阶段付款比例、时间节点及条件均不改变，所有款项不计利息，满一年从验收合格之日起计算。</w:t>
      </w:r>
    </w:p>
    <w:p w14:paraId="3DF6FBE5">
      <w:pPr>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12</w:t>
      </w:r>
      <w:r>
        <w:rPr>
          <w:rFonts w:hint="eastAsia" w:ascii="宋体" w:hAnsi="宋体" w:eastAsia="宋体" w:cs="宋体"/>
          <w:color w:val="auto"/>
          <w:sz w:val="21"/>
          <w:szCs w:val="21"/>
          <w:highlight w:val="none"/>
        </w:rPr>
        <w:t>、报价要求：本项目采用费用包干方式 (即交钥匙工程)，投标报价是投标人为完成本项目要求所需的一切费用，包括所投货物价款及其备品、备件费用、运至最终目的地的运输装卸费、通过相关质检部门检测费用及有关保险费、售后服务、利润及其他各项应有费用，采购人不再单独支付其他任何费用。</w:t>
      </w:r>
    </w:p>
    <w:p w14:paraId="1B31B197">
      <w:pPr>
        <w:spacing w:line="360" w:lineRule="auto"/>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二</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 xml:space="preserve">产品运输、保管及保险 </w:t>
      </w:r>
    </w:p>
    <w:p w14:paraId="446FED68">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1、中标人负责负责产品到交货地点的全部运输，包括装卸及现场搬运等。由于搬运、装卸、吊装及运输不当造成的各种事故责任和损失由中标人承担。 </w:t>
      </w:r>
    </w:p>
    <w:p w14:paraId="1735349D">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2、中标人应对提供的货物在运输、存放及交货过程中的毁损或灭失进行保险投保，负责其派出的安装、服务等人员的人身意外保险</w:t>
      </w:r>
    </w:p>
    <w:p w14:paraId="3CF19C99">
      <w:pPr>
        <w:spacing w:line="360" w:lineRule="auto"/>
        <w:ind w:firstLine="422" w:firstLineChars="200"/>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三</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售后服务</w:t>
      </w:r>
    </w:p>
    <w:p w14:paraId="35CE781F">
      <w:pPr>
        <w:spacing w:line="36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rPr>
        <w:t>所有设备</w:t>
      </w:r>
      <w:r>
        <w:rPr>
          <w:rFonts w:hint="eastAsia" w:ascii="宋体" w:hAnsi="宋体" w:eastAsia="宋体" w:cs="宋体"/>
          <w:bCs/>
          <w:color w:val="auto"/>
          <w:sz w:val="21"/>
          <w:szCs w:val="21"/>
          <w:highlight w:val="none"/>
          <w:lang w:val="en-US" w:eastAsia="zh-CN"/>
        </w:rPr>
        <w:t>和产品</w:t>
      </w:r>
      <w:r>
        <w:rPr>
          <w:rFonts w:hint="eastAsia" w:ascii="宋体" w:hAnsi="宋体" w:eastAsia="宋体" w:cs="宋体"/>
          <w:bCs/>
          <w:color w:val="auto"/>
          <w:sz w:val="21"/>
          <w:szCs w:val="21"/>
          <w:highlight w:val="none"/>
        </w:rPr>
        <w:t>质保期</w:t>
      </w:r>
      <w:r>
        <w:rPr>
          <w:rFonts w:hint="eastAsia" w:ascii="宋体" w:hAnsi="宋体" w:eastAsia="宋体" w:cs="宋体"/>
          <w:bCs/>
          <w:color w:val="auto"/>
          <w:sz w:val="21"/>
          <w:szCs w:val="21"/>
          <w:highlight w:val="none"/>
          <w:lang w:eastAsia="zh-CN"/>
        </w:rPr>
        <w:t>不少于</w:t>
      </w:r>
      <w:r>
        <w:rPr>
          <w:rFonts w:hint="eastAsia" w:ascii="宋体" w:hAnsi="宋体" w:eastAsia="宋体" w:cs="宋体"/>
          <w:bCs/>
          <w:color w:val="auto"/>
          <w:sz w:val="21"/>
          <w:szCs w:val="21"/>
          <w:highlight w:val="none"/>
          <w:lang w:val="en-US" w:eastAsia="zh-CN"/>
        </w:rPr>
        <w:t>三</w:t>
      </w:r>
      <w:r>
        <w:rPr>
          <w:rFonts w:hint="eastAsia" w:ascii="宋体" w:hAnsi="宋体" w:eastAsia="宋体" w:cs="宋体"/>
          <w:bCs/>
          <w:color w:val="auto"/>
          <w:sz w:val="21"/>
          <w:szCs w:val="21"/>
          <w:highlight w:val="none"/>
          <w:lang w:eastAsia="zh-CN"/>
        </w:rPr>
        <w:t>年</w:t>
      </w:r>
      <w:r>
        <w:rPr>
          <w:rFonts w:hint="eastAsia" w:ascii="宋体" w:hAnsi="宋体" w:eastAsia="宋体" w:cs="宋体"/>
          <w:bCs/>
          <w:color w:val="auto"/>
          <w:sz w:val="21"/>
          <w:szCs w:val="21"/>
          <w:highlight w:val="none"/>
          <w:lang w:val="en-US" w:eastAsia="zh-CN"/>
        </w:rPr>
        <w:t>，所有设备和产品质保期外提供终身成本价维修服务</w:t>
      </w:r>
      <w:r>
        <w:rPr>
          <w:rFonts w:hint="eastAsia" w:ascii="宋体" w:hAnsi="宋体" w:eastAsia="宋体" w:cs="宋体"/>
          <w:bCs/>
          <w:color w:val="auto"/>
          <w:sz w:val="21"/>
          <w:szCs w:val="21"/>
          <w:highlight w:val="none"/>
        </w:rPr>
        <w:t>。</w:t>
      </w:r>
    </w:p>
    <w:p w14:paraId="7CA737B4">
      <w:pPr>
        <w:spacing w:line="36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rPr>
        <w:t>提供7*24小时技术咨询及上门服务，对于用户提出的技术问题或故障通知，专业技术人员应在2小时内响应，24小时内到达现场。对于用户提出的紧急问题，专业技术人员在接到用户通知后立即予以响应并解决。</w:t>
      </w:r>
    </w:p>
    <w:p w14:paraId="2200EB30">
      <w:pPr>
        <w:spacing w:line="360" w:lineRule="auto"/>
        <w:ind w:firstLine="420" w:firstLineChars="200"/>
        <w:jc w:val="left"/>
        <w:rPr>
          <w:rFonts w:ascii="宋体"/>
          <w:bCs/>
          <w:color w:val="auto"/>
          <w:sz w:val="21"/>
          <w:szCs w:val="21"/>
          <w:highlight w:val="none"/>
        </w:rPr>
      </w:pPr>
      <w:r>
        <w:rPr>
          <w:rFonts w:ascii="宋体" w:hAnsi="宋体"/>
          <w:bCs/>
          <w:color w:val="auto"/>
          <w:sz w:val="21"/>
          <w:szCs w:val="21"/>
          <w:highlight w:val="none"/>
        </w:rPr>
        <w:t>3</w:t>
      </w:r>
      <w:r>
        <w:rPr>
          <w:rFonts w:hint="eastAsia" w:ascii="宋体" w:hAnsi="宋体"/>
          <w:bCs/>
          <w:color w:val="auto"/>
          <w:sz w:val="21"/>
          <w:szCs w:val="21"/>
          <w:highlight w:val="none"/>
          <w:lang w:eastAsia="zh-CN"/>
        </w:rPr>
        <w:t>、</w:t>
      </w:r>
      <w:r>
        <w:rPr>
          <w:rFonts w:hint="eastAsia" w:ascii="宋体" w:hAnsi="宋体"/>
          <w:color w:val="auto"/>
          <w:sz w:val="21"/>
          <w:szCs w:val="21"/>
          <w:highlight w:val="none"/>
        </w:rPr>
        <w:t>供应商应指派专业技术人员在项目安装调试完成后，按采购人指定的时间、地点对采购人指定的相关管理、维护、操作人员等进行培训，培训内容包括产品基本原理、安装、调试、操作使用和维护保养等，并提供相关技术资料，达到用户相关人员熟练掌握操作技能、排除一般故障等的程度</w:t>
      </w:r>
      <w:r>
        <w:rPr>
          <w:rFonts w:hint="eastAsia" w:ascii="宋体" w:hAnsi="宋体"/>
          <w:bCs/>
          <w:color w:val="auto"/>
          <w:sz w:val="21"/>
          <w:szCs w:val="21"/>
          <w:highlight w:val="none"/>
        </w:rPr>
        <w:t>。供应商派出的培训人员的食宿及交通等费用自理。</w:t>
      </w:r>
    </w:p>
    <w:p w14:paraId="04876524">
      <w:pPr>
        <w:spacing w:line="360" w:lineRule="auto"/>
        <w:ind w:firstLine="420" w:firstLineChars="200"/>
        <w:jc w:val="left"/>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4</w:t>
      </w:r>
      <w:r>
        <w:rPr>
          <w:rFonts w:hint="eastAsia" w:ascii="宋体" w:hAnsi="宋体" w:eastAsia="宋体" w:cs="Times New Roman"/>
          <w:color w:val="auto"/>
          <w:sz w:val="21"/>
          <w:szCs w:val="21"/>
          <w:highlight w:val="none"/>
          <w:lang w:eastAsia="zh-CN"/>
        </w:rPr>
        <w:t>、</w:t>
      </w:r>
      <w:r>
        <w:rPr>
          <w:rFonts w:hint="eastAsia" w:ascii="宋体" w:hAnsi="宋体" w:eastAsia="宋体" w:cs="Times New Roman"/>
          <w:color w:val="auto"/>
          <w:sz w:val="21"/>
          <w:szCs w:val="21"/>
          <w:highlight w:val="none"/>
        </w:rPr>
        <w:t>投标单位所递交的投标报价均应包含本项目所有货物的购置、运输、安装、调试、验收等过程中的一切费用，包括人工费、机械费、材料（主材、辅材等）费、管理费、利润、税费、保险费等一切费用。采购人不再另行支付其它费用，全部由投标人负责。</w:t>
      </w:r>
    </w:p>
    <w:p w14:paraId="25A57D8C">
      <w:pPr>
        <w:spacing w:line="360" w:lineRule="auto"/>
        <w:ind w:firstLine="422" w:firstLineChars="200"/>
        <w:jc w:val="left"/>
        <w:rPr>
          <w:rFonts w:hint="eastAsia" w:ascii="宋体" w:hAnsi="宋体" w:cs="宋体"/>
          <w:b/>
          <w:bCs/>
          <w:color w:val="auto"/>
          <w:sz w:val="21"/>
          <w:szCs w:val="21"/>
          <w:highlight w:val="none"/>
        </w:rPr>
      </w:pPr>
      <w:r>
        <w:rPr>
          <w:rFonts w:hint="eastAsia" w:ascii="宋体" w:hAnsi="宋体" w:cs="Times New Roman"/>
          <w:b/>
          <w:bCs/>
          <w:color w:val="auto"/>
          <w:sz w:val="21"/>
          <w:szCs w:val="21"/>
          <w:highlight w:val="none"/>
          <w:lang w:eastAsia="zh-CN"/>
        </w:rPr>
        <w:t>（</w:t>
      </w:r>
      <w:r>
        <w:rPr>
          <w:rFonts w:hint="eastAsia" w:ascii="宋体" w:hAnsi="宋体" w:cs="Times New Roman"/>
          <w:b/>
          <w:bCs/>
          <w:color w:val="auto"/>
          <w:sz w:val="21"/>
          <w:szCs w:val="21"/>
          <w:highlight w:val="none"/>
          <w:lang w:val="en-US" w:eastAsia="zh-CN"/>
        </w:rPr>
        <w:t>四</w:t>
      </w:r>
      <w:r>
        <w:rPr>
          <w:rFonts w:hint="eastAsia" w:ascii="宋体" w:hAnsi="宋体" w:cs="Times New Roman"/>
          <w:b/>
          <w:bCs/>
          <w:color w:val="auto"/>
          <w:sz w:val="21"/>
          <w:szCs w:val="21"/>
          <w:highlight w:val="none"/>
          <w:lang w:eastAsia="zh-CN"/>
        </w:rPr>
        <w:t>）</w:t>
      </w:r>
      <w:r>
        <w:rPr>
          <w:rFonts w:hint="eastAsia" w:ascii="宋体" w:hAnsi="宋体" w:cs="宋体"/>
          <w:b/>
          <w:bCs/>
          <w:color w:val="auto"/>
          <w:kern w:val="0"/>
          <w:sz w:val="21"/>
          <w:szCs w:val="21"/>
          <w:highlight w:val="none"/>
          <w:lang w:bidi="ar"/>
        </w:rPr>
        <w:t xml:space="preserve">其他要求及说明 </w:t>
      </w:r>
    </w:p>
    <w:p w14:paraId="43DC5A54">
      <w:pPr>
        <w:widowControl/>
        <w:spacing w:line="360" w:lineRule="auto"/>
        <w:ind w:firstLine="420" w:firstLineChars="200"/>
        <w:jc w:val="left"/>
        <w:rPr>
          <w:rFonts w:hint="eastAsia" w:ascii="宋体" w:hAnsi="宋体" w:cs="宋体"/>
          <w:color w:val="auto"/>
          <w:sz w:val="21"/>
          <w:szCs w:val="21"/>
          <w:highlight w:val="none"/>
        </w:rPr>
      </w:pPr>
      <w:r>
        <w:rPr>
          <w:rFonts w:hint="eastAsia" w:ascii="宋体" w:hAnsi="宋体" w:cs="宋体"/>
          <w:color w:val="auto"/>
          <w:kern w:val="0"/>
          <w:sz w:val="21"/>
          <w:szCs w:val="21"/>
          <w:highlight w:val="none"/>
          <w:lang w:bidi="ar"/>
        </w:rPr>
        <w:t xml:space="preserve">1、本项目所列的国家或行业相关标准要求，如与最新出台的国家或行业标准相冲突的，按最新的标准执行。 </w:t>
      </w:r>
    </w:p>
    <w:p w14:paraId="01E5D194">
      <w:pPr>
        <w:pStyle w:val="11"/>
        <w:spacing w:line="360" w:lineRule="auto"/>
        <w:ind w:firstLine="420" w:firstLineChars="200"/>
        <w:rPr>
          <w:rFonts w:hint="eastAsia" w:ascii="宋体" w:hAnsi="宋体" w:cs="宋体"/>
          <w:color w:val="auto"/>
          <w:sz w:val="21"/>
          <w:szCs w:val="21"/>
          <w:highlight w:val="none"/>
        </w:rPr>
      </w:pPr>
      <w:r>
        <w:rPr>
          <w:rFonts w:hint="eastAsia" w:ascii="宋体" w:hAnsi="宋体" w:cs="宋体"/>
          <w:bCs/>
          <w:color w:val="auto"/>
          <w:sz w:val="21"/>
          <w:szCs w:val="21"/>
          <w:highlight w:val="none"/>
        </w:rPr>
        <w:t>2、</w:t>
      </w:r>
      <w:r>
        <w:rPr>
          <w:rFonts w:hint="eastAsia" w:ascii="宋体" w:hAnsi="宋体" w:cs="宋体"/>
          <w:color w:val="auto"/>
          <w:sz w:val="21"/>
          <w:szCs w:val="21"/>
          <w:highlight w:val="none"/>
        </w:rPr>
        <w:t>采购人不组织现场踏勘，投标人在投标前，如需踏勘现场，有关费用自理，踏勘期间发生的意外自负。</w:t>
      </w:r>
    </w:p>
    <w:p w14:paraId="10CD9480">
      <w:pPr>
        <w:spacing w:line="360" w:lineRule="auto"/>
        <w:ind w:firstLine="420" w:firstLineChars="200"/>
        <w:rPr>
          <w:color w:val="auto"/>
          <w:sz w:val="21"/>
          <w:szCs w:val="21"/>
        </w:rPr>
      </w:pPr>
      <w:r>
        <w:rPr>
          <w:rFonts w:hint="eastAsia" w:ascii="宋体" w:hAnsi="宋体" w:cs="宋体"/>
          <w:color w:val="auto"/>
          <w:kern w:val="0"/>
          <w:sz w:val="21"/>
          <w:szCs w:val="21"/>
          <w:highlight w:val="none"/>
          <w:lang w:bidi="ar"/>
        </w:rPr>
        <w:t>3、其他未尽事宜由采购人和中标人在采购合同中详细约定。</w:t>
      </w:r>
    </w:p>
    <w:p w14:paraId="470CEDC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F"/>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B2EB466F-D166-4FB3-8151-BCDAD249CCBC}"/>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BE66D87A-EBBF-4774-84C4-99E89450347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27073C77-D341-40B2-837E-EC14CF90ACF5}"/>
  </w:font>
  <w:font w:name="华文中宋">
    <w:panose1 w:val="02010600040101010101"/>
    <w:charset w:val="86"/>
    <w:family w:val="auto"/>
    <w:pitch w:val="default"/>
    <w:sig w:usb0="00000287" w:usb1="080F0000" w:usb2="00000000" w:usb3="00000000" w:csb0="0004009F" w:csb1="DFD70000"/>
    <w:embedRegular r:id="rId4" w:fontKey="{033D0B6C-4126-4C8E-BD00-5119B51CDF6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1C27BE0"/>
    <w:rsid w:val="7B8160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jc w:val="center"/>
      <w:outlineLvl w:val="0"/>
    </w:pPr>
    <w:rPr>
      <w:b/>
      <w:bCs/>
      <w:sz w:val="24"/>
      <w:szCs w:val="20"/>
    </w:rPr>
  </w:style>
  <w:style w:type="paragraph" w:styleId="3">
    <w:name w:val="heading 2"/>
    <w:basedOn w:val="1"/>
    <w:next w:val="1"/>
    <w:qFormat/>
    <w:uiPriority w:val="0"/>
    <w:pPr>
      <w:keepNext/>
      <w:keepLines/>
      <w:spacing w:line="360" w:lineRule="auto"/>
      <w:outlineLvl w:val="1"/>
    </w:pPr>
    <w:rPr>
      <w:rFonts w:ascii="Arial" w:hAnsi="Arial"/>
      <w:b/>
      <w:bCs/>
      <w:sz w:val="24"/>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7">
    <w:name w:val="首行缩进"/>
    <w:basedOn w:val="1"/>
    <w:qFormat/>
    <w:uiPriority w:val="0"/>
    <w:pPr>
      <w:ind w:firstLine="480" w:firstLineChars="200"/>
    </w:pPr>
    <w:rPr>
      <w:kern w:val="0"/>
      <w:szCs w:val="20"/>
      <w:lang w:val="zh-CN"/>
    </w:rPr>
  </w:style>
  <w:style w:type="character" w:customStyle="1" w:styleId="8">
    <w:name w:val="font21"/>
    <w:basedOn w:val="6"/>
    <w:qFormat/>
    <w:uiPriority w:val="0"/>
    <w:rPr>
      <w:rFonts w:hint="eastAsia" w:ascii="宋体" w:hAnsi="宋体" w:eastAsia="宋体" w:cs="宋体"/>
      <w:color w:val="000000"/>
      <w:sz w:val="21"/>
      <w:szCs w:val="21"/>
      <w:u w:val="none"/>
    </w:rPr>
  </w:style>
  <w:style w:type="paragraph" w:customStyle="1" w:styleId="9">
    <w:name w:val="列出段落1"/>
    <w:basedOn w:val="10"/>
    <w:qFormat/>
    <w:uiPriority w:val="0"/>
    <w:pPr>
      <w:ind w:firstLine="420" w:firstLineChars="200"/>
    </w:pPr>
    <w:rPr>
      <w:szCs w:val="21"/>
    </w:rPr>
  </w:style>
  <w:style w:type="paragraph" w:customStyle="1" w:styleId="10">
    <w:name w:val="正文_11_0"/>
    <w:next w:val="9"/>
    <w:qFormat/>
    <w:uiPriority w:val="0"/>
    <w:pPr>
      <w:widowControl w:val="0"/>
      <w:jc w:val="both"/>
    </w:pPr>
    <w:rPr>
      <w:rFonts w:ascii="Calibri" w:hAnsi="Calibri" w:eastAsia="宋体" w:cs="Times New Roman"/>
      <w:kern w:val="2"/>
      <w:sz w:val="24"/>
      <w:szCs w:val="22"/>
      <w:lang w:val="en-US" w:eastAsia="zh-CN" w:bidi="ar-SA"/>
    </w:rPr>
  </w:style>
  <w:style w:type="paragraph" w:customStyle="1" w:styleId="11">
    <w:name w:val="正文_1"/>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2024-08-12T01:08:00Z</dcterms:created>
  <dc:creator>Administrator</dc:creator>
  <cp:lastModifiedBy>Administrator</cp:lastModifiedBy>
  <dcterms:modified xsi:type="dcterms:W3CDTF">2026-09-07T02:21:51Z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74DAF67EC332429A83FECA46C9575A8B_12</vt:lpwstr>
  </property>
  <property fmtid="{D5CDD505-2E9C-101B-9397-08002B2CF9AE}" pid="4" name="KSOTemplateDocerSaveRecord">
    <vt:lpwstr>eyJoZGlkIjoiOWRmZjc4ODEwN2IwMGU1MTM1MTE1OWZiM2VlY2Q4NjUiLCJ1c2VySWQiOiI1MzQyMDAxNDAifQ==</vt:lpwstr>
  </property>
</Properties>
</file>