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E792B">
      <w:pPr>
        <w:shd w:val="clear" w:color="auto" w:fill="auto"/>
        <w:spacing w:line="440" w:lineRule="exact"/>
        <w:jc w:val="center"/>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sz w:val="32"/>
          <w:szCs w:val="32"/>
          <w:highlight w:val="none"/>
          <w:lang w:val="en-US" w:eastAsia="zh-CN"/>
        </w:rPr>
        <w:t>湖南省龙山县狮子头水库除险加固工程</w:t>
      </w:r>
      <w:bookmarkStart w:id="2" w:name="_GoBack"/>
      <w:bookmarkEnd w:id="2"/>
      <w:r>
        <w:rPr>
          <w:rFonts w:hint="eastAsia" w:ascii="仿宋" w:hAnsi="仿宋" w:eastAsia="仿宋" w:cs="仿宋"/>
          <w:b/>
          <w:bCs/>
          <w:color w:val="auto"/>
          <w:sz w:val="32"/>
          <w:szCs w:val="32"/>
          <w:highlight w:val="none"/>
        </w:rPr>
        <w:t>采购需求</w:t>
      </w:r>
    </w:p>
    <w:p w14:paraId="6FC4CF9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bookmarkStart w:id="0" w:name="_Toc27375"/>
      <w:bookmarkStart w:id="1" w:name="_Toc80861923"/>
    </w:p>
    <w:p w14:paraId="4542082B">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一、项目名称</w:t>
      </w:r>
      <w:r>
        <w:rPr>
          <w:rFonts w:hint="eastAsia" w:ascii="仿宋" w:hAnsi="仿宋" w:eastAsia="仿宋" w:cs="仿宋"/>
          <w:color w:val="auto"/>
          <w:kern w:val="0"/>
          <w:sz w:val="24"/>
          <w:szCs w:val="24"/>
          <w:highlight w:val="none"/>
          <w:lang w:val="en-US" w:eastAsia="zh-CN"/>
        </w:rPr>
        <w:t>：湖南省龙山县狮子头水库除险加固工程</w:t>
      </w:r>
    </w:p>
    <w:p w14:paraId="0F50294B">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二、采购预算/最高限价：</w:t>
      </w:r>
    </w:p>
    <w:p w14:paraId="0547ECE3">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1.采购预算：</w:t>
      </w:r>
      <w:r>
        <w:rPr>
          <w:rFonts w:hint="default" w:ascii="仿宋" w:hAnsi="仿宋" w:eastAsia="仿宋" w:cs="仿宋"/>
          <w:color w:val="auto"/>
          <w:kern w:val="0"/>
          <w:sz w:val="24"/>
          <w:szCs w:val="24"/>
          <w:highlight w:val="none"/>
          <w:lang w:val="en-US" w:eastAsia="zh-CN"/>
        </w:rPr>
        <w:t>3457800.00</w:t>
      </w:r>
      <w:r>
        <w:rPr>
          <w:rFonts w:hint="eastAsia" w:ascii="仿宋" w:hAnsi="仿宋" w:eastAsia="仿宋" w:cs="仿宋"/>
          <w:b w:val="0"/>
          <w:bCs w:val="0"/>
          <w:color w:val="auto"/>
          <w:kern w:val="0"/>
          <w:sz w:val="24"/>
          <w:szCs w:val="24"/>
          <w:highlight w:val="none"/>
          <w:lang w:val="en-US" w:eastAsia="zh-CN"/>
        </w:rPr>
        <w:t>元</w:t>
      </w:r>
    </w:p>
    <w:p w14:paraId="5B15174C">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2.最高限价：3457800.00元</w:t>
      </w:r>
    </w:p>
    <w:p w14:paraId="0AED76BD">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三、工程概况</w:t>
      </w:r>
    </w:p>
    <w:p w14:paraId="55319E2C">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湖南省龙山县狮子头水库除险加固工程实施地点为龙山县新城街道办事处狮子头村。主要建设内容如下：</w:t>
      </w:r>
    </w:p>
    <w:p w14:paraId="6089B61F">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1.防渗：对坝基及左右坝肩进行帷幕灌浆处理，左右坝肩渗流通道采用充填灌浆；</w:t>
      </w:r>
    </w:p>
    <w:p w14:paraId="7599C054">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2.大坝：对坝顶进行改造，堰型由原来的薄壁堰改为WES实用堰，采用C30钢筋砼。在下游新建C30钢筋砼护坦和坝脚培厚；</w:t>
      </w:r>
    </w:p>
    <w:p w14:paraId="2B097904">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3.上坝道路：对右岸上坝道路进行硬化，对隧洞断面开挖扩大并采用C25钢筋砼衬砌；左坝肩新建C20砼梯步：</w:t>
      </w:r>
    </w:p>
    <w:p w14:paraId="77BDEDAF">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4.右岸引水渠进口处设控制闸门，闸门在非运行工况下关闭以保证运行安全：</w:t>
      </w:r>
    </w:p>
    <w:p w14:paraId="14FC88D0">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5.对左岸下游坝肩岩体483．30m～497．30m高程范围采取锚索锚固，其余高程范围采取锚杆锚固，边坡进行新建C30钢筋砼台阶护坡（具体详见本项目的施工图纸及工程量清单）。</w:t>
      </w:r>
    </w:p>
    <w:p w14:paraId="083D2380">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2"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注：本项目技术复杂、施工难度较大。各投标人须认真研读采购文件，包括工程量清单、施工图纸等全部资料；投标人可自行进行现场踏勘，充分了解项目现场环境、施工条件及潜在风险。投标人应结合踏勘情况，评估自身履约能力，所有投标风险由投标人自行承担，避免因不具备施工能力等影响项目交付。</w:t>
      </w:r>
    </w:p>
    <w:p w14:paraId="5D50CBF4">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四、工程量清单及图纸</w:t>
      </w:r>
    </w:p>
    <w:p w14:paraId="28F5DFD6">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工程量清单（另册）及施工图纸（另册），请登录《湘西公共资源交易网》（http://ggzyjy.xxz.gov.cn）下载。</w:t>
      </w:r>
    </w:p>
    <w:p w14:paraId="2124F856">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五、编制依据</w:t>
      </w:r>
    </w:p>
    <w:p w14:paraId="5A161279">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1.本项目工程量清单及图纸；</w:t>
      </w:r>
    </w:p>
    <w:p w14:paraId="7173829C">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2.湘水建管〔2015〕130号文《湖南省水利水电工程设计概（估）算编制规定》；</w:t>
      </w:r>
    </w:p>
    <w:p w14:paraId="3382203A">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3.《湖南省水利水电工程建筑工程概算定额》、《湖南省水利水电工程设备安装工程概算定额》、《湖南省水利水电工程机械台时费定额》；</w:t>
      </w:r>
    </w:p>
    <w:p w14:paraId="658DC47A">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4.《湖南省房屋建筑与装饰工程消耗量标准（2020）》、《湖南安装工程消耗量标准2020》、《湖南市政工程消耗量标准2020》及相应的计价办法：</w:t>
      </w:r>
    </w:p>
    <w:p w14:paraId="3861E161">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5.材料价格按《湘西自治州工程造价》2026年第一期二月信息价执行，缺项材料参考当期市场价；</w:t>
      </w:r>
    </w:p>
    <w:p w14:paraId="79E06DB3">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6.人工工资单价按湘水建管〔2015〕130号文件的人工工资单价执行，工长：11.72元/工时、高级工IO.76元/工时、中级工：8.93元/工时、初级工6．55元/工时：</w:t>
      </w:r>
    </w:p>
    <w:p w14:paraId="257812F8">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7.湘水发〔2019〕6号文湖南省水利厅关于印发《湖南省水利水电工程调整计价依据增值税计算标准》的通知；</w:t>
      </w:r>
    </w:p>
    <w:p w14:paraId="38D725D6">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8.办水总函〔2023〕38号文《水利部办公厅关于调整水利工程计价依据安全生产措施费计算标准的通知》的通知：</w:t>
      </w:r>
    </w:p>
    <w:p w14:paraId="548737AA">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9.其他相关文件规定。</w:t>
      </w:r>
    </w:p>
    <w:p w14:paraId="536C2EC6">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六、报价要求</w:t>
      </w:r>
    </w:p>
    <w:p w14:paraId="75A4EAE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val="en-US" w:eastAsia="zh-CN"/>
        </w:rPr>
        <w:t>1.投标人</w:t>
      </w:r>
      <w:r>
        <w:rPr>
          <w:rFonts w:hint="eastAsia" w:ascii="仿宋" w:hAnsi="仿宋" w:eastAsia="仿宋" w:cs="仿宋"/>
          <w:b/>
          <w:bCs/>
          <w:color w:val="auto"/>
          <w:sz w:val="24"/>
          <w:szCs w:val="24"/>
          <w:highlight w:val="none"/>
        </w:rPr>
        <w:t>对本项目的总报价最高不超过采购文件中的最高限价</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否则其投标将被视为无效投标而被拒接。</w:t>
      </w:r>
    </w:p>
    <w:p w14:paraId="4912B16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为平衡报价，投标人填报的各项子目单价不得超过采购文件工程量清单中载明的对应单价，否则其投标将被视为无效投标，作否决投标处理。采购人有权在施工合同签订前，对成交供应商投标文件中的报价进行核实。如发现报价不符合采购文件要求的，采购人有权取消该供应商成交资格，并可顺延确定下一名候选成交供应商，或重新组织采购。</w:t>
      </w:r>
    </w:p>
    <w:p w14:paraId="4455A0B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sz w:val="24"/>
          <w:szCs w:val="24"/>
          <w:highlight w:val="none"/>
        </w:rPr>
        <w:t>响应文件只有一个报价，无选择性报价。</w:t>
      </w:r>
    </w:p>
    <w:p w14:paraId="377C243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4.投标人</w:t>
      </w:r>
      <w:r>
        <w:rPr>
          <w:rFonts w:hint="eastAsia" w:ascii="仿宋" w:hAnsi="仿宋" w:eastAsia="仿宋" w:cs="仿宋"/>
          <w:color w:val="auto"/>
          <w:sz w:val="24"/>
          <w:szCs w:val="24"/>
          <w:highlight w:val="none"/>
        </w:rPr>
        <w:t>编制投标报价文件时不得缺漏项，应完整响应发布的工程量清单内容；根据自身实力、图纸及本项目的特点考虑各种风险，确定最后报价（包括但不限于建设所需材料费及辅助材料费、备品备件费、人工费、机械费、运输费、二次转运费、装卸费、保险费、管理费、涨价、规费、税费、检验检测费、利润、付款方式导致的资金占用利息费、</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相关服务及售后服务费等一切费用）。如</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sz w:val="24"/>
          <w:szCs w:val="24"/>
          <w:highlight w:val="none"/>
        </w:rPr>
        <w:t>遗漏磋商文件所列工程量清单内容，后果均由成交供应商自负。</w:t>
      </w:r>
    </w:p>
    <w:p w14:paraId="30CE563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sz w:val="24"/>
          <w:szCs w:val="24"/>
          <w:highlight w:val="none"/>
        </w:rPr>
        <w:t>工程量清单中的“安全生产费（不可竞争费）”、“暂列金”等，报价时按磋商文件工程量清单中列明的金额计入响应总价，否则其投标将被视为</w:t>
      </w:r>
      <w:r>
        <w:rPr>
          <w:rFonts w:hint="eastAsia" w:ascii="仿宋" w:hAnsi="仿宋" w:eastAsia="仿宋" w:cs="仿宋"/>
          <w:b/>
          <w:bCs/>
          <w:color w:val="auto"/>
          <w:sz w:val="24"/>
          <w:szCs w:val="24"/>
          <w:highlight w:val="none"/>
        </w:rPr>
        <w:t>投标无效</w:t>
      </w:r>
      <w:r>
        <w:rPr>
          <w:rFonts w:hint="eastAsia" w:ascii="仿宋" w:hAnsi="仿宋" w:eastAsia="仿宋" w:cs="仿宋"/>
          <w:color w:val="auto"/>
          <w:sz w:val="24"/>
          <w:szCs w:val="24"/>
          <w:highlight w:val="none"/>
        </w:rPr>
        <w:t>而被拒绝；结算时据实结算。</w:t>
      </w:r>
    </w:p>
    <w:p w14:paraId="0A6F51B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6.强化政府采购异常低价审查，磋商小组应当启动异常低价投标（响应）审查程序：</w:t>
      </w:r>
    </w:p>
    <w:p w14:paraId="6157F03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1）投标（响应）报价低于全部通过符合性审查供应商投标（响应）报价平均值65%的，即投标（响应）报价＜全部通过符合性审查供应商投标（响应）报价平均值×65%;</w:t>
      </w:r>
    </w:p>
    <w:p w14:paraId="13ED637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2）投标（响应）报价低于通过符合性审查的次低报价供应商投标（响应）报价65%的，即投标（响应）报价＜通过符合性审查的次低报价供应商投标（响应）报价×65%;</w:t>
      </w:r>
    </w:p>
    <w:p w14:paraId="7637065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3）投标（响应）报价低于采购项目最高限价×65%的；</w:t>
      </w:r>
    </w:p>
    <w:p w14:paraId="1B16516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磋商小组基于专业判断，认为投标（响应）供应商报价过低，有可能影响产品质量或者不能诚信履约的其他情形，应当要求相关供应商对投标（响应）价格作出解释，提供项目具体成本测算等与报价合理性相关的书面说明及必要的证明材料，包括但不限于原材料成本，人工成本，制造费用等，给予相关供应商的合理时间一般不少于30分钟。投标（响应）供应商不能提供书面说明，证明材料，或者提供的书面说明，证明材料不能证明其报价合理性的，磋商小组应当将其作为无效投标（响应）处理。</w:t>
      </w:r>
    </w:p>
    <w:p w14:paraId="6FD86575">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七、工期及质量要求</w:t>
      </w:r>
    </w:p>
    <w:p w14:paraId="22E914DB">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1.工期：4个月（自合同签订之日起）。</w:t>
      </w:r>
    </w:p>
    <w:p w14:paraId="4BE8E101">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2.质量要求：符合国家、水利行业现行有关施工规范、质量检验评定标准、验收规程及本工程设计文件要求；单元、分部、单位工程施工质量验收、各阶段验收及竣工验收按《水利水电建设工程验收规程》（SL/T 223—2025）执行，竣工验收合格。</w:t>
      </w:r>
    </w:p>
    <w:p w14:paraId="1CA0F7F5">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3.保修要求：</w:t>
      </w:r>
      <w:r>
        <w:rPr>
          <w:rFonts w:hint="eastAsia" w:ascii="仿宋" w:hAnsi="仿宋" w:eastAsia="仿宋" w:cs="仿宋"/>
          <w:color w:val="auto"/>
          <w:sz w:val="24"/>
          <w:szCs w:val="24"/>
          <w:highlight w:val="none"/>
        </w:rPr>
        <w:t>按照国务院《建设工程质量管理条例》，本项目保修期为一年。若工程质量出现永久性缺陷的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承担责任的期限不受以上保修期限制。</w:t>
      </w:r>
    </w:p>
    <w:p w14:paraId="6ADBFA0F">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八、项实施要求</w:t>
      </w:r>
    </w:p>
    <w:p w14:paraId="4815EF8C">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1.建筑材料运输、保管及保险：</w:t>
      </w:r>
    </w:p>
    <w:p w14:paraId="75F4F16C">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 成交供应商负责建筑材料到施工地点的全部运输，包括装卸及现场搬运等。</w:t>
      </w:r>
    </w:p>
    <w:p w14:paraId="69AF9A50">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 成交供应商负责建筑材料在施工地点的保管，直至项目验收合格。</w:t>
      </w:r>
    </w:p>
    <w:p w14:paraId="549F08FF">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1.3 </w:t>
      </w:r>
      <w:r>
        <w:rPr>
          <w:rFonts w:hint="eastAsia" w:ascii="仿宋" w:hAnsi="仿宋" w:eastAsia="仿宋" w:cs="仿宋"/>
          <w:color w:val="auto"/>
          <w:sz w:val="24"/>
          <w:szCs w:val="24"/>
          <w:highlight w:val="none"/>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须按当地政府及采购人要求购买建筑施工安全生产责任保险等相关保险。</w:t>
      </w:r>
    </w:p>
    <w:p w14:paraId="23996664">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 成交供应商负责其派出的施工人员的人身意外保险。</w:t>
      </w:r>
    </w:p>
    <w:p w14:paraId="7797B641">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2.施工要求：</w:t>
      </w:r>
    </w:p>
    <w:p w14:paraId="4676E164">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2.1 </w:t>
      </w:r>
      <w:r>
        <w:rPr>
          <w:rFonts w:hint="eastAsia" w:ascii="仿宋" w:hAnsi="仿宋" w:eastAsia="仿宋" w:cs="仿宋"/>
          <w:color w:val="auto"/>
          <w:sz w:val="24"/>
          <w:szCs w:val="24"/>
          <w:highlight w:val="none"/>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须加强施工的组织管理，所有施工人员须遵守文明安全施工的有关规章制度持证上岗。施工期间，应接受采购人或采购人委托的监理工程师的监督管理，遵守有关规定。</w:t>
      </w:r>
    </w:p>
    <w:p w14:paraId="13B47A72">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2.2 </w:t>
      </w:r>
      <w:r>
        <w:rPr>
          <w:rFonts w:hint="eastAsia" w:ascii="仿宋" w:hAnsi="仿宋" w:eastAsia="仿宋" w:cs="仿宋"/>
          <w:color w:val="auto"/>
          <w:sz w:val="24"/>
          <w:szCs w:val="24"/>
          <w:highlight w:val="none"/>
        </w:rPr>
        <w:t>具体施工方案及标准以工程量清单和施工图纸为准</w:t>
      </w:r>
      <w:r>
        <w:rPr>
          <w:rFonts w:hint="eastAsia" w:ascii="仿宋" w:hAnsi="仿宋" w:eastAsia="仿宋" w:cs="仿宋"/>
          <w:color w:val="auto"/>
          <w:kern w:val="0"/>
          <w:sz w:val="24"/>
          <w:szCs w:val="24"/>
          <w:highlight w:val="none"/>
          <w:lang w:val="en-US" w:eastAsia="zh-CN"/>
        </w:rPr>
        <w:t>。</w:t>
      </w:r>
    </w:p>
    <w:p w14:paraId="2E8ACE4B">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2.3 </w:t>
      </w:r>
      <w:r>
        <w:rPr>
          <w:rFonts w:hint="eastAsia" w:ascii="仿宋" w:hAnsi="仿宋" w:eastAsia="仿宋" w:cs="仿宋"/>
          <w:color w:val="auto"/>
          <w:sz w:val="24"/>
          <w:szCs w:val="24"/>
          <w:highlight w:val="none"/>
        </w:rPr>
        <w:t>所有工程完工后，采购人将组织验收小组（由相关职能部门组成）根据本项目竞争性磋商文件及供应商响应文件完成项目验收事宜</w:t>
      </w:r>
      <w:r>
        <w:rPr>
          <w:rFonts w:hint="eastAsia" w:ascii="仿宋" w:hAnsi="仿宋" w:eastAsia="仿宋" w:cs="仿宋"/>
          <w:color w:val="auto"/>
          <w:kern w:val="0"/>
          <w:sz w:val="24"/>
          <w:szCs w:val="24"/>
          <w:highlight w:val="none"/>
          <w:lang w:val="en-US" w:eastAsia="zh-CN"/>
        </w:rPr>
        <w:t>。</w:t>
      </w:r>
    </w:p>
    <w:p w14:paraId="3A8D94F6">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2.4 </w:t>
      </w:r>
      <w:r>
        <w:rPr>
          <w:rFonts w:hint="eastAsia" w:ascii="仿宋" w:hAnsi="仿宋" w:eastAsia="仿宋" w:cs="仿宋"/>
          <w:color w:val="auto"/>
          <w:sz w:val="24"/>
          <w:szCs w:val="24"/>
          <w:highlight w:val="none"/>
        </w:rPr>
        <w:t>项目完成后，成交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应将项目有关的全部资料，包括技术文档、施工图纸等，移交采购人</w:t>
      </w:r>
      <w:r>
        <w:rPr>
          <w:rFonts w:hint="eastAsia" w:ascii="仿宋" w:hAnsi="仿宋" w:eastAsia="仿宋" w:cs="仿宋"/>
          <w:color w:val="auto"/>
          <w:kern w:val="0"/>
          <w:sz w:val="24"/>
          <w:szCs w:val="24"/>
          <w:highlight w:val="none"/>
          <w:lang w:val="en-US" w:eastAsia="zh-CN"/>
        </w:rPr>
        <w:t>。</w:t>
      </w:r>
    </w:p>
    <w:p w14:paraId="620A238A">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九、结算方式</w:t>
      </w:r>
    </w:p>
    <w:p w14:paraId="7AB314CC">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支付方式：（1）本项目无预付款；（2）工程款按月计量，按季度向县财政部门请款后支付给承包人。当累计付款达到合同签约价80%时暂停支付，待工程竣工验收合格并办理完结算审计后付至审定金额的97%，余下结算款的3%作为质量保修金，在保修期满后支付（不计息）；（3）工程款支付时间及额度以县财政局资金</w:t>
      </w:r>
      <w:r>
        <w:rPr>
          <w:rFonts w:hint="eastAsia" w:ascii="仿宋" w:hAnsi="仿宋" w:eastAsia="仿宋" w:cs="仿宋"/>
          <w:color w:val="auto"/>
          <w:sz w:val="24"/>
          <w:szCs w:val="24"/>
          <w:highlight w:val="none"/>
          <w:lang w:eastAsia="zh-CN"/>
        </w:rPr>
        <w:t>拨付</w:t>
      </w:r>
      <w:r>
        <w:rPr>
          <w:rFonts w:hint="eastAsia" w:ascii="仿宋" w:hAnsi="仿宋" w:eastAsia="仿宋" w:cs="仿宋"/>
          <w:color w:val="auto"/>
          <w:sz w:val="24"/>
          <w:szCs w:val="24"/>
          <w:highlight w:val="none"/>
        </w:rPr>
        <w:t xml:space="preserve">为准，承包人不得因为资金拨付时间推迟和额度减少原因而索赔或停工误工，否则发包人可视承包人违约。 </w:t>
      </w:r>
    </w:p>
    <w:p w14:paraId="775184FB">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竣工结算：工程竣工后双方应及时办理工程结算，承包人应积极配合，发包人再审核认可，未办理完结算不支付工程款，并不计算利息。工程竣工验收后，承包方应在10天内提交完整齐备的工程竣工资料和验收资料装整成册交采购人存档，并必须保证所有归档资料的真实性。</w:t>
      </w:r>
    </w:p>
    <w:p w14:paraId="23548219">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工程竣工验收： </w:t>
      </w:r>
    </w:p>
    <w:p w14:paraId="6A406783">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 工程竣工验收程序为采购人验收小组验收合格后方可进行申报有关部门进行竣工验收。验收小组验收之前成交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应向采购人提交</w:t>
      </w:r>
      <w:r>
        <w:rPr>
          <w:rFonts w:hint="eastAsia" w:ascii="仿宋" w:hAnsi="仿宋" w:eastAsia="仿宋" w:cs="仿宋"/>
          <w:color w:val="auto"/>
          <w:sz w:val="24"/>
          <w:szCs w:val="24"/>
          <w:highlight w:val="none"/>
          <w:lang w:val="en-US" w:eastAsia="zh-CN"/>
        </w:rPr>
        <w:t>不少于</w:t>
      </w:r>
      <w:r>
        <w:rPr>
          <w:rFonts w:hint="eastAsia" w:ascii="仿宋" w:hAnsi="仿宋" w:eastAsia="仿宋" w:cs="仿宋"/>
          <w:color w:val="auto"/>
          <w:sz w:val="24"/>
          <w:szCs w:val="24"/>
          <w:highlight w:val="none"/>
        </w:rPr>
        <w:t>一套完整的竣工资料（原件且需满足同类工程行业要求），经检查竣工资料符合后方可进行下一步验收。</w:t>
      </w:r>
    </w:p>
    <w:p w14:paraId="4CB9538E">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的工程档案资料必须按要求及时收集、汇总、整理。由此造成的费用增加，由供应商在报价时自行考虑。 </w:t>
      </w:r>
    </w:p>
    <w:p w14:paraId="0BDA3255">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工程竣工后，成交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 xml:space="preserve">应按要求编制并提交完整的竣工资料及竣工图纸（原件及电子文档）给采购人存档。 </w:t>
      </w:r>
    </w:p>
    <w:p w14:paraId="5B36273D">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 xml:space="preserve">十、其他要求及说明 </w:t>
      </w:r>
    </w:p>
    <w:p w14:paraId="1FDE6A98">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工程实施过程中不得擅自变更工程建设内容、规模、标准。</w:t>
      </w:r>
      <w:r>
        <w:rPr>
          <w:rFonts w:hint="eastAsia" w:ascii="仿宋" w:hAnsi="仿宋" w:eastAsia="仿宋" w:cs="仿宋"/>
          <w:color w:val="auto"/>
          <w:sz w:val="24"/>
          <w:szCs w:val="24"/>
          <w:highlight w:val="none"/>
          <w:lang w:val="en-US" w:eastAsia="zh-CN"/>
        </w:rPr>
        <w:t>当</w:t>
      </w:r>
      <w:r>
        <w:rPr>
          <w:rFonts w:hint="eastAsia" w:ascii="仿宋" w:hAnsi="仿宋" w:eastAsia="仿宋" w:cs="仿宋"/>
          <w:color w:val="auto"/>
          <w:sz w:val="24"/>
          <w:szCs w:val="24"/>
          <w:highlight w:val="none"/>
        </w:rPr>
        <w:t>发生工程变更、工程量增减时，由采购人进行审核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未经审批擅自实施的工程量不予计量和支付。</w:t>
      </w:r>
    </w:p>
    <w:p w14:paraId="5C9DF58F">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本工程成交后不得转包，否则作违约处理，视情节追究供应商及供应商法定代表人责任，并承担相应的商务损失。驻场施工管理人员必须与成交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响应文件中承诺投放的驻场施工管理人员一致，如要变更，须经采购人同意后方可变更，变更后的人员须与原人员的主要条件一致。项目负责人原则上不得变更，如要变更，须提供书面函说明理由并经采购人核实同意后方可进行变更。未经采购人同意擅自变更人员的，采购人有权取消其成交资格并上报相关主管部门。 </w:t>
      </w:r>
    </w:p>
    <w:p w14:paraId="38784E61">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本工程的项目负责人，必须在现场实施全过程、全方位的施工管理，不得承担其他工程项目的管理工作。项目施工驻场到场项目管理人员（项目负责人）必须与成交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响应文件中所承诺投放的驻场施工管理人员（项目负责人）一致，驻场时需提供身份证供采购人查验。在采购人组织的不定期检查中，若发现违反有关规定的，在采购人提出整改要求后，若没有及时改进的，情节严重的采购人有权单方解除施工合同。</w:t>
      </w:r>
      <w:r>
        <w:rPr>
          <w:rFonts w:hint="eastAsia" w:ascii="仿宋" w:hAnsi="仿宋" w:eastAsia="仿宋" w:cs="仿宋"/>
          <w:color w:val="auto"/>
          <w:sz w:val="24"/>
          <w:szCs w:val="24"/>
          <w:highlight w:val="none"/>
        </w:rPr>
        <w:t>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应承担相应的商务责任。</w:t>
      </w:r>
    </w:p>
    <w:p w14:paraId="69C1ECA0">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4.本工程为水库除险加固工程，供应商中标后须编制专项施工方案及汛期施工度汛方案，严格服从水库调度运行管理，确保工程度汛安全，汛期施工风险由承包人自行承担。</w:t>
      </w:r>
    </w:p>
    <w:p w14:paraId="1133BED2">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十一、其他需要说明的事项</w:t>
      </w:r>
    </w:p>
    <w:p w14:paraId="706386C8">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1.现场踏勘：采购人不另行组织对本项目实施现场踏勘，供应商可以自行踏勘，费用与安全自行负责。</w:t>
      </w:r>
    </w:p>
    <w:p w14:paraId="267FB26F">
      <w:pPr>
        <w:keepNext w:val="0"/>
        <w:keepLines w:val="0"/>
        <w:pageBreakBefore w:val="0"/>
        <w:widowControl w:val="0"/>
        <w:shd w:val="clear" w:color="auto" w:fill="auto"/>
        <w:kinsoku/>
        <w:wordWrap/>
        <w:overflowPunct/>
        <w:topLinePunct w:val="0"/>
        <w:autoSpaceDE/>
        <w:autoSpaceDN/>
        <w:bidi w:val="0"/>
        <w:adjustRightInd w:val="0"/>
        <w:snapToGrid w:val="0"/>
        <w:spacing w:line="47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2.对于上述项目要求，供应商应在响应文件中进行回应，作出承诺及说明。</w:t>
      </w:r>
    </w:p>
    <w:p w14:paraId="106AD2E6">
      <w:pPr>
        <w:keepNext w:val="0"/>
        <w:keepLines w:val="0"/>
        <w:pageBreakBefore w:val="0"/>
        <w:widowControl w:val="0"/>
        <w:kinsoku/>
        <w:wordWrap/>
        <w:overflowPunct/>
        <w:topLinePunct w:val="0"/>
        <w:autoSpaceDE/>
        <w:autoSpaceDN/>
        <w:bidi w:val="0"/>
        <w:spacing w:line="470" w:lineRule="exact"/>
        <w:textAlignment w:val="auto"/>
        <w:rPr>
          <w:rFonts w:hint="eastAsia" w:ascii="仿宋" w:hAnsi="仿宋" w:eastAsia="仿宋" w:cs="仿宋"/>
          <w:b/>
          <w:bCs/>
          <w:color w:val="auto"/>
          <w:sz w:val="24"/>
          <w:szCs w:val="24"/>
          <w:highlight w:val="none"/>
          <w:lang w:bidi="ar"/>
        </w:rPr>
      </w:pPr>
    </w:p>
    <w:p w14:paraId="43B8310E">
      <w:pPr>
        <w:keepNext w:val="0"/>
        <w:keepLines w:val="0"/>
        <w:pageBreakBefore w:val="0"/>
        <w:widowControl w:val="0"/>
        <w:kinsoku/>
        <w:wordWrap/>
        <w:overflowPunct/>
        <w:topLinePunct w:val="0"/>
        <w:autoSpaceDE/>
        <w:autoSpaceDN/>
        <w:bidi w:val="0"/>
        <w:spacing w:line="460" w:lineRule="exact"/>
        <w:textAlignment w:val="auto"/>
        <w:rPr>
          <w:rFonts w:hint="eastAsia" w:ascii="仿宋" w:hAnsi="仿宋" w:eastAsia="仿宋" w:cs="仿宋"/>
          <w:b/>
          <w:bCs/>
          <w:color w:val="auto"/>
          <w:sz w:val="24"/>
          <w:szCs w:val="24"/>
          <w:highlight w:val="none"/>
          <w:lang w:bidi="ar"/>
        </w:rPr>
      </w:pPr>
      <w:r>
        <w:rPr>
          <w:rFonts w:hint="eastAsia" w:ascii="仿宋" w:hAnsi="仿宋" w:eastAsia="仿宋" w:cs="仿宋"/>
          <w:b/>
          <w:bCs/>
          <w:color w:val="auto"/>
          <w:sz w:val="24"/>
          <w:szCs w:val="24"/>
          <w:highlight w:val="none"/>
          <w:lang w:bidi="ar"/>
        </w:rPr>
        <w:t>注：对本次采购涉及有关国家或省内有最新的法规或政策文件出台的，按最新的政策执行。</w:t>
      </w:r>
    </w:p>
    <w:bookmarkEnd w:id="0"/>
    <w:bookmarkEnd w:id="1"/>
    <w:p w14:paraId="413831BD">
      <w:pPr>
        <w:rPr>
          <w:color w:val="auto"/>
          <w:highlight w:val="none"/>
        </w:rPr>
      </w:pP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7D7766"/>
    <w:rsid w:val="587D7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2026-09-28T06:41:00Z</dcterms:created>
  <dc:creator>批注者</dc:creator>
  <cp:lastModifiedBy>批注者</cp:lastModifiedBy>
  <dcterms:modified xsi:type="dcterms:W3CDTF">2026-09-28T06:41:45Z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E4A10CEA83C6425298CF53C332B688D5_11</vt:lpwstr>
  </property>
  <property fmtid="{D5CDD505-2E9C-101B-9397-08002B2CF9AE}" pid="4" name="KSOTemplateDocerSaveRecord">
    <vt:lpwstr>eyJoZGlkIjoiZDc4NzRiMjBlZDVmMzY5NzU0MTIzYjZlYWMxOTcwN2QiLCJ1c2VySWQiOiIxNDQ1ODk3MTcwIn0=</vt:lpwstr>
  </property>
</Properties>
</file>