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BFEA7">
      <w:pPr>
        <w:pStyle w:val="2"/>
        <w:bidi w:val="0"/>
        <w:jc w:val="center"/>
        <w:rPr>
          <w:rFonts w:hint="eastAsia" w:ascii="宋体" w:hAnsi="宋体" w:eastAsia="宋体" w:cs="宋体"/>
          <w:color w:val="auto"/>
          <w:highlight w:val="none"/>
        </w:rPr>
      </w:pPr>
      <w:r>
        <w:rPr>
          <w:rFonts w:hint="eastAsia" w:ascii="宋体" w:hAnsi="宋体" w:eastAsia="宋体" w:cs="宋体"/>
          <w:color w:val="auto"/>
          <w:highlight w:val="none"/>
        </w:rPr>
        <w:t>采购内容与要求</w:t>
      </w:r>
    </w:p>
    <w:p w14:paraId="02CEAC17">
      <w:pPr>
        <w:keepLines w:val="0"/>
        <w:pageBreakBefore w:val="0"/>
        <w:widowControl/>
        <w:kinsoku/>
        <w:wordWrap/>
        <w:overflowPunct/>
        <w:topLinePunct w:val="0"/>
        <w:bidi w:val="0"/>
        <w:spacing w:line="240" w:lineRule="auto"/>
        <w:ind w:right="0"/>
        <w:jc w:val="center"/>
        <w:rPr>
          <w:rStyle w:val="4"/>
          <w:rFonts w:hint="eastAsia" w:ascii="宋体" w:hAnsi="宋体" w:eastAsia="宋体" w:cs="宋体"/>
          <w:color w:val="auto"/>
          <w:kern w:val="0"/>
          <w:sz w:val="24"/>
          <w:szCs w:val="24"/>
          <w:highlight w:val="none"/>
        </w:rPr>
      </w:pPr>
      <w:r>
        <w:rPr>
          <w:rStyle w:val="4"/>
          <w:rFonts w:hint="eastAsia" w:ascii="宋体" w:hAnsi="宋体" w:eastAsia="宋体" w:cs="宋体"/>
          <w:b/>
          <w:bCs/>
          <w:color w:val="auto"/>
          <w:spacing w:val="30"/>
          <w:kern w:val="0"/>
          <w:sz w:val="30"/>
          <w:szCs w:val="30"/>
          <w:highlight w:val="none"/>
        </w:rPr>
        <w:t>第一节 技术要求</w:t>
      </w:r>
    </w:p>
    <w:p w14:paraId="4B90D267">
      <w:pPr>
        <w:spacing w:after="0" w:line="360" w:lineRule="auto"/>
        <w:ind w:firstLine="482" w:firstLineChars="200"/>
        <w:contextualSpacing/>
        <w:jc w:val="both"/>
        <w:outlineLvl w:val="1"/>
        <w:rPr>
          <w:rFonts w:hint="eastAsia" w:ascii="宋体" w:hAnsi="宋体" w:eastAsia="宋体" w:cs="宋体"/>
          <w:b/>
          <w:bCs/>
          <w:color w:val="auto"/>
          <w:sz w:val="24"/>
          <w:szCs w:val="24"/>
          <w:highlight w:val="none"/>
        </w:rPr>
      </w:pPr>
      <w:bookmarkStart w:id="0" w:name="EB90aa937564e642cd807793a91dd25f34"/>
      <w:r>
        <w:rPr>
          <w:rFonts w:hint="eastAsia" w:ascii="宋体" w:hAnsi="宋体" w:eastAsia="宋体" w:cs="宋体"/>
          <w:b/>
          <w:bCs/>
          <w:color w:val="auto"/>
          <w:kern w:val="0"/>
          <w:sz w:val="24"/>
          <w:szCs w:val="24"/>
          <w:highlight w:val="none"/>
        </w:rPr>
        <w:t>一、项目概况</w:t>
      </w:r>
    </w:p>
    <w:p w14:paraId="6FE74D2D">
      <w:pPr>
        <w:spacing w:after="0" w:line="360" w:lineRule="auto"/>
        <w:ind w:firstLine="482" w:firstLineChars="200"/>
        <w:contextualSpacing/>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1、项目建设目标和任务</w:t>
      </w:r>
    </w:p>
    <w:p w14:paraId="165FB334">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动车（重点为大型车辆）驾驶人考试管理是道路交通安全管控工作的核心环节，是从源头筑牢道路交通安全防线的关键举措。为严格规范驾驶人考试准入标准，全面合规落实《机动车驾驶人考试系统通用技术条件》（GA/T1028.1-2022）及公安部《公安交通管理信息系统外挂软件安全管理规定》等国家及行业最新技术规范，本项目依托现代信息化、智能化技术，搭建标准化、规范化的科目三考试信息管理体系。项目将实现驾驶人科目三考试全流程数据化记录、联网化管控、全过程可追溯，全面适配公安部对考试系统软硬件配置、运行标准、安全规范的各项要求，保障系统与社会化服务监管平台高效、稳定对接。通过对系统功能架构、接口调用逻辑、安全防护体系、数据交换机制、运行环境及软硬件配套设施的全方位标准化设计，打造一套稳定可靠、安全合规、全程可溯、运维便捷的智能化科目三考试信息系统。</w:t>
      </w:r>
    </w:p>
    <w:p w14:paraId="32E6799B">
      <w:pPr>
        <w:spacing w:after="0" w:line="360" w:lineRule="auto"/>
        <w:ind w:firstLine="482" w:firstLineChars="200"/>
        <w:contextualSpacing/>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2、建设内容和规模</w:t>
      </w:r>
    </w:p>
    <w:p w14:paraId="6DC58A03">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在现有小型车科目三考试系统的基础上，新增大型车科目三智能化考试配套体系，补齐大型车驾驶人智能化考试服务能力。核心建设内容涵盖考试控制中心管理配套设备、大型车专用智能化车载考试设备、考试路段电子地图绘制、考试线路及项目标识标牌布设等软硬件及配套工程。大型车专用智能化车载考试设备新增大A1车型2套、A2车型2套、B1车型2套、B2车型2套。全面完善大小型车辆全覆盖的科目三智能化考试系统，满足各类机动车驾驶人科目三标准化考试及监管工作需求。</w:t>
      </w:r>
    </w:p>
    <w:p w14:paraId="194ED3E8">
      <w:pPr>
        <w:spacing w:after="0" w:line="360" w:lineRule="auto"/>
        <w:ind w:firstLine="482" w:firstLineChars="200"/>
        <w:contextualSpacing/>
        <w:jc w:val="both"/>
        <w:outlineLvl w:val="1"/>
        <w:rPr>
          <w:rFonts w:hint="eastAsia" w:ascii="宋体" w:hAnsi="宋体" w:eastAsia="宋体" w:cs="宋体"/>
          <w:b/>
          <w:bCs/>
          <w:color w:val="auto"/>
          <w:kern w:val="0"/>
          <w:sz w:val="24"/>
          <w:szCs w:val="24"/>
          <w:highlight w:val="none"/>
        </w:rPr>
      </w:pPr>
      <w:bookmarkStart w:id="1" w:name="_Toc206666780"/>
      <w:r>
        <w:rPr>
          <w:rFonts w:hint="eastAsia" w:ascii="宋体" w:hAnsi="宋体" w:eastAsia="宋体" w:cs="宋体"/>
          <w:b/>
          <w:bCs/>
          <w:color w:val="auto"/>
          <w:kern w:val="0"/>
          <w:sz w:val="24"/>
          <w:szCs w:val="24"/>
          <w:highlight w:val="none"/>
        </w:rPr>
        <w:t>二、建设原则</w:t>
      </w:r>
      <w:bookmarkEnd w:id="1"/>
    </w:p>
    <w:p w14:paraId="4A8BCC60">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系统的稳定性和可靠性</w:t>
      </w:r>
    </w:p>
    <w:p w14:paraId="7AC60E8D">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由于设备使用环境复杂，面临夏季高温、冬季寒冷气候，雨、雪、雾、风等复杂的自然条件以及灰尘、泥沙等使用环境。所以如何提高设备的稳定性和可靠性是最基本的原则。</w:t>
      </w:r>
    </w:p>
    <w:p w14:paraId="0E059E6A">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2.系统先进性和成熟性</w:t>
      </w:r>
    </w:p>
    <w:p w14:paraId="0A9C8D9B">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由于该系统涉及的技术面广、实现难度大，所以采用各类成熟的技术和科研成果，以便节约研发成本、缩短研发周期，尽快向市场推出性能稳定、功能实用的计算机考试产品。</w:t>
      </w:r>
    </w:p>
    <w:p w14:paraId="22680DB8">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3.系统的实用性和经济性</w:t>
      </w:r>
    </w:p>
    <w:p w14:paraId="043EFF88">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满足机动车驾驶人考试的顺利、正常进行，为一切系统实现功能的出发点，充分发挥系统的整体功能，最大程度的减少考试员的劳动强度，节约警力。同时对系统进行合理配置，避免不必要的浪费，为用户节约投资。</w:t>
      </w:r>
    </w:p>
    <w:p w14:paraId="0665FB72">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4.系统的开放性和标准性</w:t>
      </w:r>
    </w:p>
    <w:p w14:paraId="0EDDABE6">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算机考试系统涉及与驾管工作其他各项业务的互连，所以系统具有良好的开放性，通过制定统一接口规范的策略，使得系统具有良好的开放性和标准性。系统中的各技术子系统之间具有良好的互联能力和互操作能力。在软件设计规范方面，严格遵守最新的国际标准、国家标准和行业标准。可以与其它相关系统联网和通讯；支持标准的应用开发平台，系统软硬件平台的良好扩容、扩展能力，可方便地与外部设备/系统连接。</w:t>
      </w:r>
    </w:p>
    <w:p w14:paraId="56716343">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5．系统的可扩展性和易维护性</w:t>
      </w:r>
    </w:p>
    <w:p w14:paraId="0EA9A906">
      <w:pPr>
        <w:spacing w:after="0" w:line="360" w:lineRule="auto"/>
        <w:ind w:firstLine="480" w:firstLineChars="200"/>
        <w:contextualSpacing/>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系统设计具有良好的升级、扩展能力，具有一定的考试冗余容量，和很好的扩展余地，为保持系统的规模和功能扩展留下空间。</w:t>
      </w:r>
      <w:bookmarkStart w:id="2" w:name="_Toc206666791"/>
    </w:p>
    <w:p w14:paraId="6E812313">
      <w:pPr>
        <w:spacing w:after="0" w:line="360" w:lineRule="auto"/>
        <w:contextualSpacing/>
        <w:jc w:val="both"/>
        <w:outlineLvl w:val="1"/>
        <w:rPr>
          <w:rFonts w:hint="eastAsia" w:ascii="宋体" w:hAnsi="宋体" w:eastAsia="宋体" w:cs="宋体"/>
          <w:b/>
          <w:bCs/>
          <w:color w:val="auto"/>
          <w:kern w:val="0"/>
          <w:sz w:val="24"/>
          <w:szCs w:val="24"/>
          <w:highlight w:val="none"/>
        </w:rPr>
        <w:sectPr>
          <w:pgSz w:w="11905" w:h="16838"/>
          <w:pgMar w:top="1701" w:right="1701" w:bottom="1417" w:left="1701" w:header="1003" w:footer="1003" w:gutter="0"/>
          <w:pgBorders>
            <w:top w:val="none" w:sz="0" w:space="0"/>
            <w:left w:val="none" w:sz="0" w:space="0"/>
            <w:bottom w:val="none" w:sz="0" w:space="0"/>
            <w:right w:val="none" w:sz="0" w:space="0"/>
          </w:pgBorders>
          <w:pgNumType w:fmt="numberInDash"/>
          <w:cols w:space="720" w:num="1"/>
          <w:rtlGutter w:val="0"/>
          <w:docGrid w:linePitch="1" w:charSpace="0"/>
        </w:sectPr>
      </w:pPr>
    </w:p>
    <w:p w14:paraId="4F8F1213">
      <w:pPr>
        <w:spacing w:after="0" w:line="360" w:lineRule="auto"/>
        <w:contextualSpacing/>
        <w:jc w:val="both"/>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bookmarkEnd w:id="2"/>
      <w:r>
        <w:rPr>
          <w:rFonts w:hint="eastAsia" w:ascii="宋体" w:hAnsi="宋体" w:eastAsia="宋体" w:cs="宋体"/>
          <w:b/>
          <w:bCs/>
          <w:color w:val="auto"/>
          <w:kern w:val="0"/>
          <w:sz w:val="24"/>
          <w:szCs w:val="24"/>
          <w:highlight w:val="none"/>
        </w:rPr>
        <w:t>采购设备清单</w:t>
      </w:r>
      <w:bookmarkStart w:id="3" w:name="_Toc206666792"/>
      <w:r>
        <w:rPr>
          <w:rFonts w:hint="eastAsia" w:ascii="宋体" w:hAnsi="宋体" w:eastAsia="宋体" w:cs="宋体"/>
          <w:b/>
          <w:bCs/>
          <w:color w:val="auto"/>
          <w:kern w:val="0"/>
          <w:sz w:val="24"/>
          <w:szCs w:val="24"/>
          <w:highlight w:val="none"/>
        </w:rPr>
        <w:t>及技术参数</w:t>
      </w:r>
    </w:p>
    <w:bookmarkEnd w:id="3"/>
    <w:tbl>
      <w:tblPr>
        <w:tblStyle w:val="3"/>
        <w:tblW w:w="13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101"/>
        <w:gridCol w:w="10681"/>
        <w:gridCol w:w="491"/>
        <w:gridCol w:w="493"/>
        <w:gridCol w:w="518"/>
      </w:tblGrid>
      <w:tr w14:paraId="7D2E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5E5AE288">
            <w:pPr>
              <w:widowControl/>
              <w:snapToGrid w:val="0"/>
              <w:spacing w:after="0" w:line="240" w:lineRule="auto"/>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1101" w:type="dxa"/>
            <w:noWrap w:val="0"/>
            <w:vAlign w:val="center"/>
          </w:tcPr>
          <w:p w14:paraId="380CE159">
            <w:pPr>
              <w:widowControl/>
              <w:snapToGrid w:val="0"/>
              <w:spacing w:after="0" w:line="240" w:lineRule="auto"/>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设备名称</w:t>
            </w:r>
          </w:p>
        </w:tc>
        <w:tc>
          <w:tcPr>
            <w:tcW w:w="10681" w:type="dxa"/>
            <w:noWrap w:val="0"/>
            <w:vAlign w:val="center"/>
          </w:tcPr>
          <w:p w14:paraId="2E52375D">
            <w:pPr>
              <w:widowControl/>
              <w:snapToGrid w:val="0"/>
              <w:spacing w:after="0" w:line="240" w:lineRule="auto"/>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技术规格</w:t>
            </w:r>
          </w:p>
        </w:tc>
        <w:tc>
          <w:tcPr>
            <w:tcW w:w="491" w:type="dxa"/>
            <w:noWrap w:val="0"/>
            <w:vAlign w:val="center"/>
          </w:tcPr>
          <w:p w14:paraId="7419C844">
            <w:pPr>
              <w:widowControl/>
              <w:snapToGrid w:val="0"/>
              <w:spacing w:after="0" w:line="240" w:lineRule="auto"/>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单位</w:t>
            </w:r>
          </w:p>
        </w:tc>
        <w:tc>
          <w:tcPr>
            <w:tcW w:w="493" w:type="dxa"/>
            <w:noWrap w:val="0"/>
            <w:vAlign w:val="center"/>
          </w:tcPr>
          <w:p w14:paraId="4989C9EA">
            <w:pPr>
              <w:widowControl/>
              <w:snapToGrid w:val="0"/>
              <w:spacing w:after="0" w:line="240" w:lineRule="auto"/>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数量</w:t>
            </w:r>
          </w:p>
        </w:tc>
        <w:tc>
          <w:tcPr>
            <w:tcW w:w="518" w:type="dxa"/>
            <w:noWrap w:val="0"/>
            <w:vAlign w:val="center"/>
          </w:tcPr>
          <w:p w14:paraId="7AEBC19B">
            <w:pPr>
              <w:widowControl/>
              <w:snapToGrid w:val="0"/>
              <w:spacing w:after="0" w:line="240" w:lineRule="auto"/>
              <w:ind w:left="0" w:leftChars="0" w:right="0" w:rightChars="0"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备注</w:t>
            </w:r>
          </w:p>
        </w:tc>
      </w:tr>
      <w:tr w14:paraId="5416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936" w:type="dxa"/>
            <w:gridSpan w:val="6"/>
            <w:noWrap w:val="0"/>
            <w:vAlign w:val="center"/>
          </w:tcPr>
          <w:p w14:paraId="0EF72FD0">
            <w:pPr>
              <w:widowControl/>
              <w:snapToGrid w:val="0"/>
              <w:spacing w:after="0" w:line="240" w:lineRule="auto"/>
              <w:ind w:left="0" w:leftChars="0" w:right="0" w:rightChars="0" w:firstLine="0" w:firstLineChars="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1、科目三考试监控中心升级（大车补充)</w:t>
            </w:r>
          </w:p>
        </w:tc>
      </w:tr>
      <w:tr w14:paraId="48E3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shd w:val="clear" w:color="000000" w:fill="FFFFFF"/>
            <w:noWrap w:val="0"/>
            <w:vAlign w:val="center"/>
          </w:tcPr>
          <w:p w14:paraId="60DCC51F">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01" w:type="dxa"/>
            <w:noWrap w:val="0"/>
            <w:vAlign w:val="center"/>
          </w:tcPr>
          <w:p w14:paraId="52D0F227">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考试管理软件</w:t>
            </w:r>
          </w:p>
        </w:tc>
        <w:tc>
          <w:tcPr>
            <w:tcW w:w="10681" w:type="dxa"/>
            <w:noWrap w:val="0"/>
            <w:vAlign w:val="center"/>
          </w:tcPr>
          <w:p w14:paraId="4C6390AD">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大车科目三管理软件，功能包括监督、管理电子化考试过程，考生管理，考试数据查询、统计、分析等；按公安部172号令有关规定的考试程序，响应GA/T1027-2017和GA/T1028-2022的新标准要求。</w:t>
            </w:r>
          </w:p>
        </w:tc>
        <w:tc>
          <w:tcPr>
            <w:tcW w:w="491" w:type="dxa"/>
            <w:noWrap w:val="0"/>
            <w:vAlign w:val="center"/>
          </w:tcPr>
          <w:p w14:paraId="73A1BA1C">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7C9528F0">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18" w:type="dxa"/>
            <w:noWrap w:val="0"/>
            <w:vAlign w:val="center"/>
          </w:tcPr>
          <w:p w14:paraId="05832B9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5C57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shd w:val="clear" w:color="000000" w:fill="FFFFFF"/>
            <w:noWrap w:val="0"/>
            <w:vAlign w:val="center"/>
          </w:tcPr>
          <w:p w14:paraId="7B1990EF">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101" w:type="dxa"/>
            <w:noWrap w:val="0"/>
            <w:vAlign w:val="center"/>
          </w:tcPr>
          <w:p w14:paraId="0041EC36">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参数设置软件</w:t>
            </w:r>
          </w:p>
        </w:tc>
        <w:tc>
          <w:tcPr>
            <w:tcW w:w="10681" w:type="dxa"/>
            <w:noWrap w:val="0"/>
            <w:vAlign w:val="center"/>
          </w:tcPr>
          <w:p w14:paraId="1CC7E1E6">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大车科目三参数设置软件，按公安部172号令有关规定的考试程序，响应GA/T1027-2017和GA/T1028-2022的新标准要求。</w:t>
            </w:r>
          </w:p>
        </w:tc>
        <w:tc>
          <w:tcPr>
            <w:tcW w:w="491" w:type="dxa"/>
            <w:noWrap w:val="0"/>
            <w:vAlign w:val="center"/>
          </w:tcPr>
          <w:p w14:paraId="1807A93B">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2B1630BF">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18" w:type="dxa"/>
            <w:noWrap w:val="0"/>
            <w:vAlign w:val="center"/>
          </w:tcPr>
          <w:p w14:paraId="129B386D">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0F54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shd w:val="clear" w:color="000000" w:fill="FFFFFF"/>
            <w:noWrap w:val="0"/>
            <w:vAlign w:val="center"/>
          </w:tcPr>
          <w:p w14:paraId="38B918DA">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101" w:type="dxa"/>
            <w:noWrap w:val="0"/>
            <w:vAlign w:val="center"/>
          </w:tcPr>
          <w:p w14:paraId="1D19448B">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采集评判软件</w:t>
            </w:r>
          </w:p>
        </w:tc>
        <w:tc>
          <w:tcPr>
            <w:tcW w:w="10681" w:type="dxa"/>
            <w:noWrap w:val="0"/>
            <w:vAlign w:val="center"/>
          </w:tcPr>
          <w:p w14:paraId="173336C7">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大车科目三采集评判软件，按公安部172号令有关规定的考试程序，响应GA/T1027-2017和GA/T1028-2022的新标准要求。</w:t>
            </w:r>
          </w:p>
        </w:tc>
        <w:tc>
          <w:tcPr>
            <w:tcW w:w="491" w:type="dxa"/>
            <w:noWrap w:val="0"/>
            <w:vAlign w:val="center"/>
          </w:tcPr>
          <w:p w14:paraId="27BF3EBA">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66ED9163">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18" w:type="dxa"/>
            <w:noWrap w:val="0"/>
            <w:vAlign w:val="center"/>
          </w:tcPr>
          <w:p w14:paraId="4EEDE150">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469B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shd w:val="clear" w:color="000000" w:fill="FFFFFF"/>
            <w:noWrap w:val="0"/>
            <w:vAlign w:val="center"/>
          </w:tcPr>
          <w:p w14:paraId="1DA7047F">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1101" w:type="dxa"/>
            <w:noWrap w:val="0"/>
            <w:vAlign w:val="center"/>
          </w:tcPr>
          <w:p w14:paraId="4CCA8B75">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考试流程软件</w:t>
            </w:r>
          </w:p>
        </w:tc>
        <w:tc>
          <w:tcPr>
            <w:tcW w:w="10681" w:type="dxa"/>
            <w:noWrap w:val="0"/>
            <w:vAlign w:val="center"/>
          </w:tcPr>
          <w:p w14:paraId="713E3F3F">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大车考试流程软件排队、叫号、拍照、人脸识别、成绩查询、考试流程管理软件等按公安部172号令有关规定的考试程序，响应响应GA/T1027-2017和GA/T1028-2022的新标准要求。</w:t>
            </w:r>
          </w:p>
        </w:tc>
        <w:tc>
          <w:tcPr>
            <w:tcW w:w="491" w:type="dxa"/>
            <w:noWrap w:val="0"/>
            <w:vAlign w:val="center"/>
          </w:tcPr>
          <w:p w14:paraId="3697B286">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2694B81B">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18" w:type="dxa"/>
            <w:noWrap/>
            <w:vAlign w:val="center"/>
          </w:tcPr>
          <w:p w14:paraId="387369C0">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549C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shd w:val="clear" w:color="000000" w:fill="FFFFFF"/>
            <w:noWrap w:val="0"/>
            <w:vAlign w:val="center"/>
          </w:tcPr>
          <w:p w14:paraId="20E73B61">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101" w:type="dxa"/>
            <w:noWrap w:val="0"/>
            <w:vAlign w:val="center"/>
          </w:tcPr>
          <w:p w14:paraId="46D7BF26">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网关</w:t>
            </w:r>
          </w:p>
        </w:tc>
        <w:tc>
          <w:tcPr>
            <w:tcW w:w="10681" w:type="dxa"/>
            <w:noWrap w:val="0"/>
            <w:vAlign w:val="center"/>
          </w:tcPr>
          <w:p w14:paraId="0B7C7825">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1.配置千兆二层电口(可切换为WAN口）≥24个，千兆WAN电口≥4个，万兆光口(可切换为LAN口)≥8个，模块插槽≥4个；</w:t>
            </w:r>
          </w:p>
          <w:p w14:paraId="750918F5">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2.交换容量≥230Gbps，转发性能≥120Mpps；</w:t>
            </w:r>
          </w:p>
          <w:p w14:paraId="0A118E3F">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rPr>
              <w:t>3.设备CPU芯片、交换芯片、内存、PHY芯片、FLASH芯片、时钟芯片、CPLD芯片等关键器件均为国产</w:t>
            </w:r>
            <w:r>
              <w:rPr>
                <w:rFonts w:hint="eastAsia" w:ascii="宋体" w:hAnsi="宋体" w:eastAsia="宋体" w:cs="宋体"/>
                <w:color w:val="auto"/>
                <w:kern w:val="0"/>
                <w:sz w:val="21"/>
                <w:szCs w:val="21"/>
                <w:highlight w:val="none"/>
                <w:lang w:eastAsia="zh-CN"/>
              </w:rPr>
              <w:t>；</w:t>
            </w:r>
          </w:p>
          <w:p w14:paraId="10AD191A">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4.设备支持2E1/CE1、POS、4G、5G业务卡</w:t>
            </w:r>
            <w:r>
              <w:rPr>
                <w:rFonts w:hint="eastAsia" w:ascii="宋体" w:hAnsi="宋体" w:eastAsia="宋体" w:cs="宋体"/>
                <w:color w:val="auto"/>
                <w:kern w:val="0"/>
                <w:sz w:val="21"/>
                <w:szCs w:val="21"/>
                <w:highlight w:val="none"/>
                <w:lang w:eastAsia="zh-CN"/>
              </w:rPr>
              <w:t>。</w:t>
            </w:r>
          </w:p>
          <w:p w14:paraId="30F6D670">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rPr>
              <w:t>5.▲为提高整机可靠性，支持双BOOT/IOS备份功能，升级BOOT和IOS的过程中异常下电，设备重启后查看版本信息，BOOT和IOS的版本还是升级之前的版本</w:t>
            </w:r>
            <w:r>
              <w:rPr>
                <w:rFonts w:hint="eastAsia" w:ascii="宋体" w:hAnsi="宋体" w:eastAsia="宋体" w:cs="宋体"/>
                <w:color w:val="auto"/>
                <w:kern w:val="0"/>
                <w:sz w:val="21"/>
                <w:szCs w:val="21"/>
                <w:highlight w:val="none"/>
                <w:lang w:eastAsia="zh-CN"/>
              </w:rPr>
              <w:t>；</w:t>
            </w:r>
            <w:r>
              <w:rPr>
                <w:rFonts w:hint="eastAsia" w:ascii="宋体" w:hAnsi="宋体" w:eastAsia="宋体" w:cs="宋体"/>
                <w:b/>
                <w:bCs/>
                <w:i w:val="0"/>
                <w:iCs w:val="0"/>
                <w:color w:val="auto"/>
                <w:kern w:val="0"/>
                <w:sz w:val="21"/>
                <w:szCs w:val="21"/>
                <w:highlight w:val="none"/>
                <w:u w:val="none"/>
                <w:lang w:val="en-US" w:eastAsia="zh-CN" w:bidi="ar"/>
              </w:rPr>
              <w:t>（提供国家认可的第三方检测机构出具的具有“CMA”或“CNAS”标识的有效检测报告扫描件，并加盖投标人公章。）</w:t>
            </w:r>
          </w:p>
          <w:p w14:paraId="47DA53C1">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6.支持L3路由国际标准协议：RIP/RIPv2，OSPFv2/v3，BGP4/4+，IPv4,IPv6</w:t>
            </w:r>
          </w:p>
          <w:p w14:paraId="40024B0C">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7.支持PIM、IGMPv3、DHCP等协议；</w:t>
            </w:r>
          </w:p>
          <w:p w14:paraId="24B48596">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rPr>
              <w:t>8.▲支持IPv4路由表容量≥90W条；IPv6路由表容量≥90W条</w:t>
            </w:r>
            <w:r>
              <w:rPr>
                <w:rFonts w:hint="eastAsia" w:ascii="宋体" w:hAnsi="宋体" w:eastAsia="宋体" w:cs="宋体"/>
                <w:color w:val="auto"/>
                <w:kern w:val="0"/>
                <w:sz w:val="21"/>
                <w:szCs w:val="21"/>
                <w:highlight w:val="none"/>
                <w:lang w:eastAsia="zh-CN"/>
              </w:rPr>
              <w:t>；</w:t>
            </w:r>
            <w:r>
              <w:rPr>
                <w:rFonts w:hint="eastAsia" w:ascii="宋体" w:hAnsi="宋体" w:eastAsia="宋体" w:cs="宋体"/>
                <w:b/>
                <w:bCs/>
                <w:i w:val="0"/>
                <w:iCs w:val="0"/>
                <w:color w:val="auto"/>
                <w:kern w:val="0"/>
                <w:sz w:val="21"/>
                <w:szCs w:val="21"/>
                <w:highlight w:val="none"/>
                <w:u w:val="none"/>
                <w:lang w:val="en-US" w:eastAsia="zh-CN" w:bidi="ar"/>
              </w:rPr>
              <w:t>（提供国家认可的第三方检测机构出具的具有“CMA”或“CNAS”标识的有效检测报告扫描件，并加盖投标人公章。）</w:t>
            </w:r>
          </w:p>
          <w:p w14:paraId="24107CEF">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rPr>
              <w:t>9.▲设备支持RLDP环路检测，能发现二层设备之间的二层环路，并且进行二层端口转发阻塞</w:t>
            </w:r>
            <w:r>
              <w:rPr>
                <w:rFonts w:hint="eastAsia" w:ascii="宋体" w:hAnsi="宋体" w:eastAsia="宋体" w:cs="宋体"/>
                <w:color w:val="auto"/>
                <w:kern w:val="0"/>
                <w:sz w:val="21"/>
                <w:szCs w:val="21"/>
                <w:highlight w:val="none"/>
                <w:lang w:eastAsia="zh-CN"/>
              </w:rPr>
              <w:t>；</w:t>
            </w:r>
            <w:r>
              <w:rPr>
                <w:rFonts w:hint="eastAsia" w:ascii="宋体" w:hAnsi="宋体" w:eastAsia="宋体" w:cs="宋体"/>
                <w:b/>
                <w:bCs/>
                <w:i w:val="0"/>
                <w:iCs w:val="0"/>
                <w:color w:val="auto"/>
                <w:kern w:val="0"/>
                <w:sz w:val="21"/>
                <w:szCs w:val="21"/>
                <w:highlight w:val="none"/>
                <w:u w:val="none"/>
                <w:lang w:val="en-US" w:eastAsia="zh-CN" w:bidi="ar"/>
              </w:rPr>
              <w:t>（提供国家认可的第三方检测机构出具的具有“CMA”或“CNAS”标识的有效检测报告扫描件，并加盖投标人公章。）</w:t>
            </w:r>
          </w:p>
          <w:p w14:paraId="2A5ACFBF">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10.设备应全面支持IPv6+技术，支持SRv6 Policy、EVPN、信道化子接口切片技术、IFIT等； </w:t>
            </w:r>
          </w:p>
          <w:p w14:paraId="60B2FE56">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11.支持国密局商密算法SM1、SM2、SM3、SM4；</w:t>
            </w:r>
          </w:p>
          <w:p w14:paraId="23797F31">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配置要求：</w:t>
            </w:r>
          </w:p>
          <w:p w14:paraId="7F8A3E55">
            <w:pPr>
              <w:keepNext w:val="0"/>
              <w:keepLines w:val="0"/>
              <w:pageBreakBefore w:val="0"/>
              <w:widowControl/>
              <w:numPr>
                <w:ilvl w:val="0"/>
                <w:numId w:val="0"/>
              </w:numPr>
              <w:kinsoku/>
              <w:wordWrap w:val="0"/>
              <w:overflowPunct/>
              <w:topLinePunct w:val="0"/>
              <w:autoSpaceDE/>
              <w:autoSpaceDN/>
              <w:bidi w:val="0"/>
              <w:adjustRightInd/>
              <w:snapToGrid w:val="0"/>
              <w:spacing w:after="0" w:line="240" w:lineRule="auto"/>
              <w:ind w:leftChars="0" w:right="0" w:right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配置完整主机、冗余电源；</w:t>
            </w:r>
          </w:p>
          <w:p w14:paraId="5E3D63BB">
            <w:pPr>
              <w:keepNext w:val="0"/>
              <w:keepLines w:val="0"/>
              <w:pageBreakBefore w:val="0"/>
              <w:widowControl/>
              <w:numPr>
                <w:ilvl w:val="0"/>
                <w:numId w:val="0"/>
              </w:numPr>
              <w:kinsoku/>
              <w:wordWrap w:val="0"/>
              <w:overflowPunct/>
              <w:topLinePunct w:val="0"/>
              <w:autoSpaceDE/>
              <w:autoSpaceDN/>
              <w:bidi w:val="0"/>
              <w:adjustRightInd/>
              <w:snapToGrid w:val="0"/>
              <w:spacing w:after="0" w:line="240" w:lineRule="auto"/>
              <w:ind w:leftChars="0" w:right="0" w:right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2.1个端口全制式4G无线广域网接口HSIC模块，支持移动/联通/电信的4G/3G/2G，磁吸式七模全频段全向4G延长天线，馈线3米。</w:t>
            </w:r>
          </w:p>
        </w:tc>
        <w:tc>
          <w:tcPr>
            <w:tcW w:w="491" w:type="dxa"/>
            <w:noWrap w:val="0"/>
            <w:vAlign w:val="center"/>
          </w:tcPr>
          <w:p w14:paraId="1D7852BE">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4F9B9A1C">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18" w:type="dxa"/>
            <w:noWrap/>
            <w:vAlign w:val="center"/>
          </w:tcPr>
          <w:p w14:paraId="05BC4C62">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4928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shd w:val="clear" w:color="000000" w:fill="FFFFFF"/>
            <w:noWrap w:val="0"/>
            <w:vAlign w:val="center"/>
          </w:tcPr>
          <w:p w14:paraId="4522C5BA">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101" w:type="dxa"/>
            <w:noWrap w:val="0"/>
            <w:vAlign w:val="center"/>
          </w:tcPr>
          <w:p w14:paraId="1A680CFD">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端口设备</w:t>
            </w:r>
          </w:p>
        </w:tc>
        <w:tc>
          <w:tcPr>
            <w:tcW w:w="10681" w:type="dxa"/>
            <w:noWrap w:val="0"/>
            <w:vAlign w:val="center"/>
          </w:tcPr>
          <w:p w14:paraId="7AA6EB68">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1、可用千兆电接口数量24个，千兆光接口数量4个，支持独立的console管理串口。交换容量≥336Gbps，包转发率≥78Mpps。</w:t>
            </w:r>
          </w:p>
          <w:p w14:paraId="2D5AB78A">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2、▲提供工信部入网许可证及CQC认证证书。支持基于源MAC地址的、目的MAC的 ACL，支持基于源MAC地址、目的MAC的流分类。</w:t>
            </w:r>
            <w:r>
              <w:rPr>
                <w:rFonts w:hint="eastAsia" w:ascii="宋体" w:hAnsi="宋体" w:eastAsia="宋体" w:cs="宋体"/>
                <w:b/>
                <w:bCs/>
                <w:i w:val="0"/>
                <w:iCs w:val="0"/>
                <w:color w:val="auto"/>
                <w:kern w:val="0"/>
                <w:sz w:val="21"/>
                <w:szCs w:val="21"/>
                <w:highlight w:val="none"/>
                <w:u w:val="none"/>
                <w:lang w:val="en-US" w:eastAsia="zh-CN" w:bidi="ar"/>
              </w:rPr>
              <w:t>（提供公安部检测报告扫描件并加盖投标人公章）</w:t>
            </w:r>
          </w:p>
          <w:p w14:paraId="7F7DAC1A">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3、支持通过平台进行整网VLAN配置，支持基于拓扑可视化选择划分VLAN的设备端口，支持自动识别网络设备端口对端的物联设备业务类型。</w:t>
            </w:r>
          </w:p>
          <w:p w14:paraId="642F4956">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4、▲支持一键生成交付报告：报告包含设备清单、上联设备信息、网络拓扑等； 支持报告查看和导出功能。支持通过平台进行拓扑可视化配置业务优先；支持在拓扑图上直接选择任意两个设备配置为业务优先保障，系统自动完成相关配置的下发。</w:t>
            </w:r>
            <w:r>
              <w:rPr>
                <w:rFonts w:hint="eastAsia" w:ascii="宋体" w:hAnsi="宋体" w:eastAsia="宋体" w:cs="宋体"/>
                <w:b/>
                <w:bCs/>
                <w:i w:val="0"/>
                <w:iCs w:val="0"/>
                <w:color w:val="auto"/>
                <w:kern w:val="0"/>
                <w:sz w:val="21"/>
                <w:szCs w:val="21"/>
                <w:highlight w:val="none"/>
                <w:u w:val="none"/>
                <w:lang w:val="en-US" w:eastAsia="zh-CN" w:bidi="ar"/>
              </w:rPr>
              <w:t>（提供公安部检测报告扫描件并加盖投标人公章）</w:t>
            </w:r>
          </w:p>
          <w:p w14:paraId="53459047">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支持通过平台进行区域分组管理，支持设备名称同步、设备名称下发、固件升级、一键免密远程跳转到设备web端、定位到拓扑图显示等操作。支持通过平台进行拓扑图链路提供运行信息，信息包括：1）支持链路的实时速率、带宽利用率信息；2）支持链路过去24小时/7天带宽利用率运行趋势。</w:t>
            </w:r>
            <w:r>
              <w:rPr>
                <w:rFonts w:hint="eastAsia" w:ascii="宋体" w:hAnsi="宋体" w:eastAsia="宋体" w:cs="宋体"/>
                <w:b/>
                <w:bCs/>
                <w:i w:val="0"/>
                <w:iCs w:val="0"/>
                <w:color w:val="auto"/>
                <w:kern w:val="0"/>
                <w:sz w:val="21"/>
                <w:szCs w:val="21"/>
                <w:highlight w:val="none"/>
                <w:u w:val="none"/>
                <w:lang w:val="en-US" w:eastAsia="zh-CN" w:bidi="ar"/>
              </w:rPr>
              <w:t>（提供公安部检测报告扫描件并加盖投标人公章）</w:t>
            </w:r>
          </w:p>
          <w:p w14:paraId="62F45235">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6、▲支持通过平台对交换机与摄像头、NVR、DVR、门禁设备、访客机设备、入侵报警设备、解码设备、安检设备等物联设备进行资产统一管理，资产信息的导入和导出；查看每个设备的使用时间、负责人。</w:t>
            </w:r>
          </w:p>
          <w:p w14:paraId="6C6DD8CA">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7、支持通过平台进行拓扑可视化配置业务优先；支持在拓扑图上直接选择任意两个设备配置为业务优先保障，系统自动完成相关配置的下发。</w:t>
            </w:r>
            <w:r>
              <w:rPr>
                <w:rFonts w:hint="eastAsia" w:ascii="宋体" w:hAnsi="宋体" w:eastAsia="宋体" w:cs="宋体"/>
                <w:b/>
                <w:bCs/>
                <w:i w:val="0"/>
                <w:iCs w:val="0"/>
                <w:color w:val="auto"/>
                <w:kern w:val="0"/>
                <w:sz w:val="21"/>
                <w:szCs w:val="21"/>
                <w:highlight w:val="none"/>
                <w:u w:val="none"/>
                <w:lang w:val="en-US" w:eastAsia="zh-CN" w:bidi="ar"/>
              </w:rPr>
              <w:t>（提供公安部检测报告扫描件并加盖投标人公章）</w:t>
            </w:r>
          </w:p>
          <w:p w14:paraId="280D5E7B">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8、▲支持通过平台只允许已授权设备接入使用；支持设置禁用名单，当禁用名单的终端设备接入时应产生告警；支持禁用名单防护，启用之后当有禁用名单设备接入时，会自动关闭对应端口。</w:t>
            </w:r>
            <w:r>
              <w:rPr>
                <w:rFonts w:hint="eastAsia" w:ascii="宋体" w:hAnsi="宋体" w:eastAsia="宋体" w:cs="宋体"/>
                <w:b/>
                <w:bCs/>
                <w:i w:val="0"/>
                <w:iCs w:val="0"/>
                <w:color w:val="auto"/>
                <w:kern w:val="0"/>
                <w:sz w:val="21"/>
                <w:szCs w:val="21"/>
                <w:highlight w:val="none"/>
                <w:u w:val="none"/>
                <w:lang w:val="en-US" w:eastAsia="zh-CN" w:bidi="ar"/>
              </w:rPr>
              <w:t>（提供公安部检测报告扫描件并加盖投标人公章）</w:t>
            </w:r>
          </w:p>
        </w:tc>
        <w:tc>
          <w:tcPr>
            <w:tcW w:w="491" w:type="dxa"/>
            <w:noWrap w:val="0"/>
            <w:vAlign w:val="center"/>
          </w:tcPr>
          <w:p w14:paraId="797CDA3E">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70416DD3">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18" w:type="dxa"/>
            <w:noWrap/>
            <w:vAlign w:val="center"/>
          </w:tcPr>
          <w:p w14:paraId="1F18D7EB">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3A669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936" w:type="dxa"/>
            <w:gridSpan w:val="6"/>
            <w:noWrap w:val="0"/>
            <w:vAlign w:val="center"/>
          </w:tcPr>
          <w:p w14:paraId="27D25C3E">
            <w:pPr>
              <w:widowControl/>
              <w:snapToGrid w:val="0"/>
              <w:spacing w:after="0" w:line="240" w:lineRule="auto"/>
              <w:ind w:left="0" w:leftChars="0" w:right="0" w:rightChars="0" w:firstLine="0" w:firstLineChars="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2、科目三大车智能化评判车载设备</w:t>
            </w:r>
          </w:p>
        </w:tc>
      </w:tr>
      <w:tr w14:paraId="5AB20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134612FF">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01" w:type="dxa"/>
            <w:noWrap w:val="0"/>
            <w:vAlign w:val="center"/>
          </w:tcPr>
          <w:p w14:paraId="2228EABA">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科目三（室外）车载主机</w:t>
            </w:r>
          </w:p>
        </w:tc>
        <w:tc>
          <w:tcPr>
            <w:tcW w:w="10681" w:type="dxa"/>
            <w:noWrap w:val="0"/>
            <w:vAlign w:val="center"/>
          </w:tcPr>
          <w:p w14:paraId="56FA8789">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高精度三卫星定位定向系统（北斗/GPS/GLONASS），实现车辆全姿态轮廓跟踪检测，能够实现与考试相关的考车状态信息采集、处理及传输；能够显示考生信息、选项项目、在考项目、下一个考试项目、扣分原因及当期成绩等。</w:t>
            </w:r>
          </w:p>
        </w:tc>
        <w:tc>
          <w:tcPr>
            <w:tcW w:w="491" w:type="dxa"/>
            <w:noWrap w:val="0"/>
            <w:vAlign w:val="center"/>
          </w:tcPr>
          <w:p w14:paraId="3F47DA6C">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391B73FA">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265B7E52">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3CBED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01CEAA56">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101" w:type="dxa"/>
            <w:noWrap w:val="0"/>
            <w:vAlign w:val="center"/>
          </w:tcPr>
          <w:p w14:paraId="136069F7">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工控机套件</w:t>
            </w:r>
          </w:p>
        </w:tc>
        <w:tc>
          <w:tcPr>
            <w:tcW w:w="10681" w:type="dxa"/>
            <w:noWrap w:val="0"/>
            <w:vAlign w:val="center"/>
          </w:tcPr>
          <w:p w14:paraId="2719B02E">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(1)显示屏不低于10.4寸车规级电容触摸屏；</w:t>
            </w:r>
          </w:p>
          <w:p w14:paraId="0EF461AA">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(2)CPU主频不低于2GHz；</w:t>
            </w:r>
          </w:p>
          <w:p w14:paraId="2F3CBB37">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(3)内存≥4GB；存储不低于64GB固态硬盘；</w:t>
            </w:r>
          </w:p>
          <w:p w14:paraId="111FD119">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(4)分辨率不低于1024 x 768；亮度(cd/㎡)：500及以上；</w:t>
            </w:r>
          </w:p>
          <w:p w14:paraId="12CA8D97">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(5)对比度400</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1；前面板防护等级不低于IP66。</w:t>
            </w:r>
          </w:p>
        </w:tc>
        <w:tc>
          <w:tcPr>
            <w:tcW w:w="491" w:type="dxa"/>
            <w:noWrap w:val="0"/>
            <w:vAlign w:val="center"/>
          </w:tcPr>
          <w:p w14:paraId="7DCA6D75">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2212ECA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530B0987">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2640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1AB18A81">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101" w:type="dxa"/>
            <w:noWrap w:val="0"/>
            <w:vAlign w:val="center"/>
          </w:tcPr>
          <w:p w14:paraId="0688715D">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车载音视频单元</w:t>
            </w:r>
          </w:p>
        </w:tc>
        <w:tc>
          <w:tcPr>
            <w:tcW w:w="10681" w:type="dxa"/>
            <w:noWrap w:val="0"/>
            <w:vAlign w:val="center"/>
          </w:tcPr>
          <w:p w14:paraId="2F343C2D">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含车内三套吸顶摄像机，车顶一套枪式摄像机及支架，车内拾音设备，音视频采集编解码设备等</w:t>
            </w:r>
            <w:r>
              <w:rPr>
                <w:rFonts w:hint="eastAsia" w:ascii="宋体" w:hAnsi="宋体" w:eastAsia="宋体" w:cs="宋体"/>
                <w:color w:val="auto"/>
                <w:kern w:val="0"/>
                <w:sz w:val="21"/>
                <w:szCs w:val="21"/>
                <w:highlight w:val="none"/>
                <w:lang w:eastAsia="zh-CN"/>
              </w:rPr>
              <w:t>。</w:t>
            </w:r>
          </w:p>
        </w:tc>
        <w:tc>
          <w:tcPr>
            <w:tcW w:w="491" w:type="dxa"/>
            <w:noWrap w:val="0"/>
            <w:vAlign w:val="center"/>
          </w:tcPr>
          <w:p w14:paraId="69E9A35F">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46805871">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1DD11E4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1FD9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23541A71">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1101" w:type="dxa"/>
            <w:noWrap w:val="0"/>
            <w:vAlign w:val="center"/>
          </w:tcPr>
          <w:p w14:paraId="7079615D">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4G路由器</w:t>
            </w:r>
          </w:p>
        </w:tc>
        <w:tc>
          <w:tcPr>
            <w:tcW w:w="10681" w:type="dxa"/>
            <w:noWrap w:val="0"/>
            <w:vAlign w:val="center"/>
          </w:tcPr>
          <w:p w14:paraId="3C1DE854">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1、支持多种VPN，包括IPSec客户端和服务端、L2TP/PPT 客户端和服务端、OpenVPN、GRE/GRE Tap、VxLAN、N2N、EoIP、MPLS、Wireguard等VPN</w:t>
            </w:r>
            <w:r>
              <w:rPr>
                <w:rFonts w:hint="eastAsia" w:ascii="宋体" w:hAnsi="宋体" w:eastAsia="宋体" w:cs="宋体"/>
                <w:color w:val="auto"/>
                <w:kern w:val="0"/>
                <w:sz w:val="21"/>
                <w:szCs w:val="21"/>
                <w:highlight w:val="none"/>
                <w:lang w:eastAsia="zh-CN"/>
              </w:rPr>
              <w:t>；</w:t>
            </w:r>
          </w:p>
          <w:p w14:paraId="06A9A535">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2、支持移动网络智能诊断功能，诊断记录网络异常状态历史、便于事后分析异常原因</w:t>
            </w:r>
            <w:r>
              <w:rPr>
                <w:rFonts w:hint="eastAsia" w:ascii="宋体" w:hAnsi="宋体" w:eastAsia="宋体" w:cs="宋体"/>
                <w:color w:val="auto"/>
                <w:kern w:val="0"/>
                <w:sz w:val="21"/>
                <w:szCs w:val="21"/>
                <w:highlight w:val="none"/>
                <w:lang w:eastAsia="zh-CN"/>
              </w:rPr>
              <w:t>；</w:t>
            </w:r>
          </w:p>
          <w:p w14:paraId="158AEE35">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3、支持JT/T 808协议2013和2019版本</w:t>
            </w:r>
            <w:r>
              <w:rPr>
                <w:rFonts w:hint="eastAsia" w:ascii="宋体" w:hAnsi="宋体" w:eastAsia="宋体" w:cs="宋体"/>
                <w:color w:val="auto"/>
                <w:kern w:val="0"/>
                <w:sz w:val="21"/>
                <w:szCs w:val="21"/>
                <w:highlight w:val="none"/>
                <w:lang w:eastAsia="zh-CN"/>
              </w:rPr>
              <w:t>；</w:t>
            </w:r>
          </w:p>
          <w:p w14:paraId="7C5DA67B">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4、支持中国移动探针应用，支持TR069管理协议</w:t>
            </w:r>
            <w:r>
              <w:rPr>
                <w:rFonts w:hint="eastAsia" w:ascii="宋体" w:hAnsi="宋体" w:eastAsia="宋体" w:cs="宋体"/>
                <w:color w:val="auto"/>
                <w:kern w:val="0"/>
                <w:sz w:val="21"/>
                <w:szCs w:val="21"/>
                <w:highlight w:val="none"/>
                <w:lang w:eastAsia="zh-CN"/>
              </w:rPr>
              <w:t>；</w:t>
            </w:r>
          </w:p>
          <w:p w14:paraId="22C415C5">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5、支持定时任务，执行定时开启/关闭LAN、移动网络、以及自定义等功能</w:t>
            </w:r>
            <w:r>
              <w:rPr>
                <w:rFonts w:hint="eastAsia" w:ascii="宋体" w:hAnsi="宋体" w:eastAsia="宋体" w:cs="宋体"/>
                <w:color w:val="auto"/>
                <w:kern w:val="0"/>
                <w:sz w:val="21"/>
                <w:szCs w:val="21"/>
                <w:highlight w:val="none"/>
                <w:lang w:eastAsia="zh-CN"/>
              </w:rPr>
              <w:t>；</w:t>
            </w:r>
          </w:p>
          <w:p w14:paraId="452BFF1A">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6、支持LAN设备检测，LAN设备异常后重置接口或重启设备</w:t>
            </w:r>
            <w:r>
              <w:rPr>
                <w:rFonts w:hint="eastAsia" w:ascii="宋体" w:hAnsi="宋体" w:eastAsia="宋体" w:cs="宋体"/>
                <w:color w:val="auto"/>
                <w:kern w:val="0"/>
                <w:sz w:val="21"/>
                <w:szCs w:val="21"/>
                <w:highlight w:val="none"/>
                <w:lang w:eastAsia="zh-CN"/>
              </w:rPr>
              <w:t>；</w:t>
            </w:r>
          </w:p>
          <w:p w14:paraId="32CFE962">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7、支持多链路负载均衡与备份</w:t>
            </w:r>
            <w:r>
              <w:rPr>
                <w:rFonts w:hint="eastAsia" w:ascii="宋体" w:hAnsi="宋体" w:eastAsia="宋体" w:cs="宋体"/>
                <w:color w:val="auto"/>
                <w:kern w:val="0"/>
                <w:sz w:val="21"/>
                <w:szCs w:val="21"/>
                <w:highlight w:val="none"/>
                <w:lang w:eastAsia="zh-CN"/>
              </w:rPr>
              <w:t>；</w:t>
            </w:r>
          </w:p>
          <w:p w14:paraId="028F451C">
            <w:pPr>
              <w:keepNext w:val="0"/>
              <w:keepLines w:val="0"/>
              <w:pageBreakBefore w:val="0"/>
              <w:widowControl/>
              <w:kinsoku/>
              <w:wordWrap w:val="0"/>
              <w:overflowPunct/>
              <w:topLinePunct w:val="0"/>
              <w:autoSpaceDE/>
              <w:autoSpaceDN/>
              <w:bidi w:val="0"/>
              <w:adjustRightInd/>
              <w:snapToGrid w:val="0"/>
              <w:spacing w:after="0" w:line="240" w:lineRule="auto"/>
              <w:ind w:left="0" w:leftChars="0" w:right="0" w:rightChars="0" w:firstLine="0" w:firstLineChars="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8、支持安装应用程序，扩展设备功能</w:t>
            </w:r>
            <w:r>
              <w:rPr>
                <w:rFonts w:hint="eastAsia" w:ascii="宋体" w:hAnsi="宋体" w:eastAsia="宋体" w:cs="宋体"/>
                <w:color w:val="auto"/>
                <w:kern w:val="0"/>
                <w:sz w:val="21"/>
                <w:szCs w:val="21"/>
                <w:highlight w:val="none"/>
                <w:lang w:eastAsia="zh-CN"/>
              </w:rPr>
              <w:t>。</w:t>
            </w:r>
          </w:p>
        </w:tc>
        <w:tc>
          <w:tcPr>
            <w:tcW w:w="491" w:type="dxa"/>
            <w:noWrap w:val="0"/>
            <w:vAlign w:val="center"/>
          </w:tcPr>
          <w:p w14:paraId="0FA919FC">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33721273">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6DCBE1DF">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470D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77CC5166">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101" w:type="dxa"/>
            <w:noWrap w:val="0"/>
            <w:vAlign w:val="center"/>
          </w:tcPr>
          <w:p w14:paraId="028E0E5B">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车载安装配件</w:t>
            </w:r>
          </w:p>
        </w:tc>
        <w:tc>
          <w:tcPr>
            <w:tcW w:w="10681" w:type="dxa"/>
            <w:noWrap w:val="0"/>
            <w:vAlign w:val="center"/>
          </w:tcPr>
          <w:p w14:paraId="79E55BE5">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车载供电管理及线材与辅件 国标/传感器组 档位、灯光、制动、油门、雨刮器和方向盘等采集模块。</w:t>
            </w:r>
          </w:p>
        </w:tc>
        <w:tc>
          <w:tcPr>
            <w:tcW w:w="491" w:type="dxa"/>
            <w:noWrap w:val="0"/>
            <w:vAlign w:val="center"/>
          </w:tcPr>
          <w:p w14:paraId="3BD9E9FB">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5D8E6BE1">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43767CC4">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4085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0AD576A2">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101" w:type="dxa"/>
            <w:noWrap w:val="0"/>
            <w:vAlign w:val="center"/>
          </w:tcPr>
          <w:p w14:paraId="474E0A92">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车载安装耗材</w:t>
            </w:r>
          </w:p>
        </w:tc>
        <w:tc>
          <w:tcPr>
            <w:tcW w:w="10681" w:type="dxa"/>
            <w:noWrap w:val="0"/>
            <w:vAlign w:val="center"/>
          </w:tcPr>
          <w:p w14:paraId="4AE0AE13">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车载安装信号线、电源线、网线，各类接插件等。</w:t>
            </w:r>
          </w:p>
        </w:tc>
        <w:tc>
          <w:tcPr>
            <w:tcW w:w="491" w:type="dxa"/>
            <w:noWrap w:val="0"/>
            <w:vAlign w:val="center"/>
          </w:tcPr>
          <w:p w14:paraId="5458931B">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06FCFA9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5B28CCB1">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5A1C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7EED3CF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c>
          <w:tcPr>
            <w:tcW w:w="1101" w:type="dxa"/>
            <w:noWrap w:val="0"/>
            <w:vAlign w:val="center"/>
          </w:tcPr>
          <w:p w14:paraId="6FED8130">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车载传感器组件</w:t>
            </w:r>
          </w:p>
        </w:tc>
        <w:tc>
          <w:tcPr>
            <w:tcW w:w="10681" w:type="dxa"/>
            <w:noWrap w:val="0"/>
            <w:vAlign w:val="center"/>
          </w:tcPr>
          <w:p w14:paraId="58913FBF">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采集车载信号、可实现数模转换，速度、安全带、熄火等、副刹等等 符合公安部172号令要求，绕车一周检测装置配备按键式开关，每台考车配备4个按键开关</w:t>
            </w:r>
            <w:r>
              <w:rPr>
                <w:rFonts w:hint="eastAsia" w:ascii="宋体" w:hAnsi="宋体" w:eastAsia="宋体" w:cs="宋体"/>
                <w:color w:val="auto"/>
                <w:kern w:val="0"/>
                <w:sz w:val="21"/>
                <w:szCs w:val="21"/>
                <w:highlight w:val="none"/>
                <w:lang w:eastAsia="zh-CN"/>
              </w:rPr>
              <w:t>。</w:t>
            </w:r>
          </w:p>
        </w:tc>
        <w:tc>
          <w:tcPr>
            <w:tcW w:w="491" w:type="dxa"/>
            <w:noWrap w:val="0"/>
            <w:vAlign w:val="center"/>
          </w:tcPr>
          <w:p w14:paraId="5DA16DCE">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237EFFDE">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093DEE24">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47B1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7A25C45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1101" w:type="dxa"/>
            <w:noWrap w:val="0"/>
            <w:vAlign w:val="center"/>
          </w:tcPr>
          <w:p w14:paraId="788959CB">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车载天线安装件</w:t>
            </w:r>
          </w:p>
        </w:tc>
        <w:tc>
          <w:tcPr>
            <w:tcW w:w="10681" w:type="dxa"/>
            <w:noWrap w:val="0"/>
            <w:vAlign w:val="center"/>
          </w:tcPr>
          <w:p w14:paraId="60484D08">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定制：根据具体车型配发</w:t>
            </w:r>
            <w:r>
              <w:rPr>
                <w:rFonts w:hint="eastAsia" w:ascii="宋体" w:hAnsi="宋体" w:eastAsia="宋体" w:cs="宋体"/>
                <w:color w:val="auto"/>
                <w:kern w:val="0"/>
                <w:sz w:val="21"/>
                <w:szCs w:val="21"/>
                <w:highlight w:val="none"/>
                <w:lang w:eastAsia="zh-CN"/>
              </w:rPr>
              <w:t>。</w:t>
            </w:r>
          </w:p>
        </w:tc>
        <w:tc>
          <w:tcPr>
            <w:tcW w:w="491" w:type="dxa"/>
            <w:noWrap w:val="0"/>
            <w:vAlign w:val="center"/>
          </w:tcPr>
          <w:p w14:paraId="608EA96C">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740F6A77">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0E13CCC1">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274E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4D584E53">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p>
        </w:tc>
        <w:tc>
          <w:tcPr>
            <w:tcW w:w="1101" w:type="dxa"/>
            <w:noWrap w:val="0"/>
            <w:vAlign w:val="center"/>
          </w:tcPr>
          <w:p w14:paraId="4FEC2372">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车顶显示屏</w:t>
            </w:r>
          </w:p>
        </w:tc>
        <w:tc>
          <w:tcPr>
            <w:tcW w:w="10681" w:type="dxa"/>
            <w:noWrap w:val="0"/>
            <w:vAlign w:val="center"/>
          </w:tcPr>
          <w:p w14:paraId="79F46D9E">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定制：ф5 单红色、DC9-36V、刷新频率160HZ、功率&lt;15W、可视距离 1-50m。</w:t>
            </w:r>
          </w:p>
        </w:tc>
        <w:tc>
          <w:tcPr>
            <w:tcW w:w="491" w:type="dxa"/>
            <w:noWrap w:val="0"/>
            <w:vAlign w:val="center"/>
          </w:tcPr>
          <w:p w14:paraId="2A3745FF">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493" w:type="dxa"/>
            <w:noWrap w:val="0"/>
            <w:vAlign w:val="center"/>
          </w:tcPr>
          <w:p w14:paraId="72C71735">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141380B1">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54886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3C80BF3F">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w:t>
            </w:r>
          </w:p>
        </w:tc>
        <w:tc>
          <w:tcPr>
            <w:tcW w:w="1101" w:type="dxa"/>
            <w:noWrap w:val="0"/>
            <w:vAlign w:val="center"/>
          </w:tcPr>
          <w:p w14:paraId="61749F4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电源模块</w:t>
            </w:r>
          </w:p>
        </w:tc>
        <w:tc>
          <w:tcPr>
            <w:tcW w:w="10681" w:type="dxa"/>
            <w:noWrap w:val="0"/>
            <w:vAlign w:val="center"/>
          </w:tcPr>
          <w:p w14:paraId="449602E3">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定制模块车载电源稳压、整流管理</w:t>
            </w:r>
            <w:r>
              <w:rPr>
                <w:rFonts w:hint="eastAsia" w:ascii="宋体" w:hAnsi="宋体" w:eastAsia="宋体" w:cs="宋体"/>
                <w:color w:val="auto"/>
                <w:kern w:val="0"/>
                <w:sz w:val="21"/>
                <w:szCs w:val="21"/>
                <w:highlight w:val="none"/>
                <w:lang w:eastAsia="zh-CN"/>
              </w:rPr>
              <w:t>。</w:t>
            </w:r>
          </w:p>
        </w:tc>
        <w:tc>
          <w:tcPr>
            <w:tcW w:w="491" w:type="dxa"/>
            <w:noWrap w:val="0"/>
            <w:vAlign w:val="center"/>
          </w:tcPr>
          <w:p w14:paraId="177024C0">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21FC12EB">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6AD7C78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1608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790C933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c>
          <w:tcPr>
            <w:tcW w:w="1101" w:type="dxa"/>
            <w:noWrap w:val="0"/>
            <w:vAlign w:val="center"/>
          </w:tcPr>
          <w:p w14:paraId="16824583">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车载考试评判软件</w:t>
            </w:r>
          </w:p>
        </w:tc>
        <w:tc>
          <w:tcPr>
            <w:tcW w:w="10681" w:type="dxa"/>
            <w:noWrap w:val="0"/>
            <w:vAlign w:val="center"/>
          </w:tcPr>
          <w:p w14:paraId="5D0CFF05">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科目三车载评判软件，符合公安部172号令要求，符合考场验收相关文件要求。</w:t>
            </w:r>
          </w:p>
        </w:tc>
        <w:tc>
          <w:tcPr>
            <w:tcW w:w="491" w:type="dxa"/>
            <w:noWrap w:val="0"/>
            <w:vAlign w:val="center"/>
          </w:tcPr>
          <w:p w14:paraId="724FAACA">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0FD86AA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ign w:val="center"/>
          </w:tcPr>
          <w:p w14:paraId="25B1E2E3">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2895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0148A0F5">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w:t>
            </w:r>
          </w:p>
        </w:tc>
        <w:tc>
          <w:tcPr>
            <w:tcW w:w="1101" w:type="dxa"/>
            <w:noWrap w:val="0"/>
            <w:vAlign w:val="center"/>
          </w:tcPr>
          <w:p w14:paraId="1EBE1FE2">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车外摄像机支架</w:t>
            </w:r>
          </w:p>
        </w:tc>
        <w:tc>
          <w:tcPr>
            <w:tcW w:w="10681" w:type="dxa"/>
            <w:noWrap w:val="0"/>
            <w:vAlign w:val="center"/>
          </w:tcPr>
          <w:p w14:paraId="74B9C306">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根据具体车型配发</w:t>
            </w:r>
            <w:r>
              <w:rPr>
                <w:rFonts w:hint="eastAsia" w:ascii="宋体" w:hAnsi="宋体" w:eastAsia="宋体" w:cs="宋体"/>
                <w:color w:val="auto"/>
                <w:kern w:val="0"/>
                <w:sz w:val="21"/>
                <w:szCs w:val="21"/>
                <w:highlight w:val="none"/>
                <w:lang w:eastAsia="zh-CN"/>
              </w:rPr>
              <w:t>。</w:t>
            </w:r>
          </w:p>
        </w:tc>
        <w:tc>
          <w:tcPr>
            <w:tcW w:w="491" w:type="dxa"/>
            <w:noWrap w:val="0"/>
            <w:vAlign w:val="center"/>
          </w:tcPr>
          <w:p w14:paraId="621AB5AD">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70CE5F10">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75B7816D">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3101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noWrap w:val="0"/>
            <w:vAlign w:val="center"/>
          </w:tcPr>
          <w:p w14:paraId="289FBA18">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p>
        </w:tc>
        <w:tc>
          <w:tcPr>
            <w:tcW w:w="1101" w:type="dxa"/>
            <w:noWrap w:val="0"/>
            <w:vAlign w:val="center"/>
          </w:tcPr>
          <w:p w14:paraId="735C2AFC">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车载身份认证</w:t>
            </w:r>
          </w:p>
        </w:tc>
        <w:tc>
          <w:tcPr>
            <w:tcW w:w="10681" w:type="dxa"/>
            <w:noWrap w:val="0"/>
            <w:vAlign w:val="center"/>
          </w:tcPr>
          <w:p w14:paraId="11E175A7">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车载FACE通（含软件）</w:t>
            </w:r>
            <w:r>
              <w:rPr>
                <w:rFonts w:hint="eastAsia" w:ascii="宋体" w:hAnsi="宋体" w:eastAsia="宋体" w:cs="宋体"/>
                <w:color w:val="auto"/>
                <w:kern w:val="0"/>
                <w:sz w:val="21"/>
                <w:szCs w:val="21"/>
                <w:highlight w:val="none"/>
                <w:lang w:eastAsia="zh-CN"/>
              </w:rPr>
              <w:t>。</w:t>
            </w:r>
          </w:p>
        </w:tc>
        <w:tc>
          <w:tcPr>
            <w:tcW w:w="491" w:type="dxa"/>
            <w:noWrap w:val="0"/>
            <w:vAlign w:val="center"/>
          </w:tcPr>
          <w:p w14:paraId="383B48EF">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noWrap w:val="0"/>
            <w:vAlign w:val="center"/>
          </w:tcPr>
          <w:p w14:paraId="565CD93B">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518" w:type="dxa"/>
            <w:noWrap w:val="0"/>
            <w:vAlign w:val="center"/>
          </w:tcPr>
          <w:p w14:paraId="2ABA0906">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5B63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936" w:type="dxa"/>
            <w:gridSpan w:val="6"/>
            <w:noWrap w:val="0"/>
            <w:vAlign w:val="center"/>
          </w:tcPr>
          <w:p w14:paraId="5CCB79EF">
            <w:pPr>
              <w:widowControl/>
              <w:snapToGrid w:val="0"/>
              <w:spacing w:after="0" w:line="240" w:lineRule="auto"/>
              <w:ind w:left="0" w:leftChars="0" w:right="0" w:rightChars="0" w:firstLine="0" w:firstLineChars="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3、科目三道路测绘及项目标牌</w:t>
            </w:r>
          </w:p>
        </w:tc>
      </w:tr>
      <w:tr w14:paraId="27CE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shd w:val="clear" w:color="auto" w:fill="auto"/>
            <w:noWrap w:val="0"/>
            <w:vAlign w:val="center"/>
          </w:tcPr>
          <w:p w14:paraId="137F8E24">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01" w:type="dxa"/>
            <w:shd w:val="clear" w:color="auto" w:fill="auto"/>
            <w:noWrap w:val="0"/>
            <w:vAlign w:val="center"/>
          </w:tcPr>
          <w:p w14:paraId="3C40D8D1">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实际道路项目测绘</w:t>
            </w:r>
          </w:p>
        </w:tc>
        <w:tc>
          <w:tcPr>
            <w:tcW w:w="10681" w:type="dxa"/>
            <w:shd w:val="clear" w:color="auto" w:fill="auto"/>
            <w:noWrap w:val="0"/>
            <w:vAlign w:val="center"/>
          </w:tcPr>
          <w:p w14:paraId="2098F000">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实际道路项目测绘和评判电子地图制作,打点测绘、评判传感器制作等</w:t>
            </w:r>
            <w:r>
              <w:rPr>
                <w:rFonts w:hint="eastAsia" w:ascii="宋体" w:hAnsi="宋体" w:eastAsia="宋体" w:cs="宋体"/>
                <w:color w:val="auto"/>
                <w:kern w:val="0"/>
                <w:sz w:val="21"/>
                <w:szCs w:val="21"/>
                <w:highlight w:val="none"/>
                <w:lang w:eastAsia="zh-CN"/>
              </w:rPr>
              <w:t>。</w:t>
            </w:r>
          </w:p>
        </w:tc>
        <w:tc>
          <w:tcPr>
            <w:tcW w:w="491" w:type="dxa"/>
            <w:shd w:val="clear" w:color="000000" w:fill="FFFFFF"/>
            <w:noWrap w:val="0"/>
            <w:vAlign w:val="center"/>
          </w:tcPr>
          <w:p w14:paraId="3324CAEA">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shd w:val="clear" w:color="auto" w:fill="auto"/>
            <w:noWrap/>
            <w:vAlign w:val="center"/>
          </w:tcPr>
          <w:p w14:paraId="5E0A4109">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518" w:type="dxa"/>
            <w:shd w:val="clear" w:color="000000" w:fill="FFFFFF"/>
            <w:noWrap/>
            <w:vAlign w:val="center"/>
          </w:tcPr>
          <w:p w14:paraId="2558AF4E">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r w14:paraId="7146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2" w:type="dxa"/>
            <w:shd w:val="clear" w:color="auto" w:fill="auto"/>
            <w:noWrap w:val="0"/>
            <w:vAlign w:val="center"/>
          </w:tcPr>
          <w:p w14:paraId="29252E9A">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101" w:type="dxa"/>
            <w:shd w:val="clear" w:color="auto" w:fill="auto"/>
            <w:noWrap w:val="0"/>
            <w:vAlign w:val="center"/>
          </w:tcPr>
          <w:p w14:paraId="6CF7DF03">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考试项目标牌</w:t>
            </w:r>
          </w:p>
        </w:tc>
        <w:tc>
          <w:tcPr>
            <w:tcW w:w="10681" w:type="dxa"/>
            <w:shd w:val="clear" w:color="auto" w:fill="auto"/>
            <w:noWrap w:val="0"/>
            <w:vAlign w:val="center"/>
          </w:tcPr>
          <w:p w14:paraId="58E9F40B">
            <w:pPr>
              <w:widowControl/>
              <w:snapToGrid w:val="0"/>
              <w:spacing w:after="0" w:line="240" w:lineRule="auto"/>
              <w:ind w:left="0" w:leftChars="0" w:right="0" w:rightChars="0" w:firstLine="0" w:firstLineChars="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定制根据实际道路项目制作所有考试项目标牌，1条考试线路、考试项目15套、起点终点2套、辅助标牌考试专用10套等</w:t>
            </w:r>
            <w:r>
              <w:rPr>
                <w:rFonts w:hint="eastAsia" w:ascii="宋体" w:hAnsi="宋体" w:eastAsia="宋体" w:cs="宋体"/>
                <w:color w:val="auto"/>
                <w:kern w:val="0"/>
                <w:sz w:val="21"/>
                <w:szCs w:val="21"/>
                <w:highlight w:val="none"/>
                <w:lang w:eastAsia="zh-CN"/>
              </w:rPr>
              <w:t>。</w:t>
            </w:r>
          </w:p>
        </w:tc>
        <w:tc>
          <w:tcPr>
            <w:tcW w:w="491" w:type="dxa"/>
            <w:shd w:val="clear" w:color="000000" w:fill="FFFFFF"/>
            <w:noWrap w:val="0"/>
            <w:vAlign w:val="center"/>
          </w:tcPr>
          <w:p w14:paraId="700DAA03">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套</w:t>
            </w:r>
          </w:p>
        </w:tc>
        <w:tc>
          <w:tcPr>
            <w:tcW w:w="493" w:type="dxa"/>
            <w:shd w:val="clear" w:color="auto" w:fill="auto"/>
            <w:noWrap/>
            <w:vAlign w:val="center"/>
          </w:tcPr>
          <w:p w14:paraId="3EB5403D">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518" w:type="dxa"/>
            <w:shd w:val="clear" w:color="000000" w:fill="FFFFFF"/>
            <w:noWrap/>
            <w:vAlign w:val="center"/>
          </w:tcPr>
          <w:p w14:paraId="253A6E70">
            <w:pPr>
              <w:widowControl/>
              <w:snapToGrid w:val="0"/>
              <w:spacing w:after="0" w:line="240" w:lineRule="auto"/>
              <w:ind w:left="0" w:leftChars="0" w:right="0" w:rightChars="0" w:firstLine="0" w:firstLineChars="0"/>
              <w:jc w:val="center"/>
              <w:rPr>
                <w:rFonts w:hint="eastAsia" w:ascii="宋体" w:hAnsi="宋体" w:eastAsia="宋体" w:cs="宋体"/>
                <w:color w:val="auto"/>
                <w:kern w:val="0"/>
                <w:sz w:val="21"/>
                <w:szCs w:val="21"/>
                <w:highlight w:val="none"/>
              </w:rPr>
            </w:pPr>
          </w:p>
        </w:tc>
      </w:tr>
    </w:tbl>
    <w:p w14:paraId="008C55BA">
      <w:pPr>
        <w:keepLines w:val="0"/>
        <w:pageBreakBefore w:val="0"/>
        <w:widowControl/>
        <w:kinsoku/>
        <w:wordWrap/>
        <w:overflowPunct/>
        <w:topLinePunct w:val="0"/>
        <w:bidi w:val="0"/>
        <w:spacing w:line="360" w:lineRule="auto"/>
        <w:ind w:right="0"/>
        <w:jc w:val="center"/>
        <w:rPr>
          <w:rStyle w:val="4"/>
          <w:rFonts w:hint="eastAsia" w:ascii="宋体" w:hAnsi="宋体" w:eastAsia="宋体" w:cs="宋体"/>
          <w:b/>
          <w:bCs/>
          <w:color w:val="auto"/>
          <w:spacing w:val="30"/>
          <w:kern w:val="0"/>
          <w:sz w:val="30"/>
          <w:szCs w:val="30"/>
          <w:highlight w:val="none"/>
        </w:rPr>
      </w:pPr>
    </w:p>
    <w:p w14:paraId="47AFD903">
      <w:pPr>
        <w:keepLines w:val="0"/>
        <w:pageBreakBefore w:val="0"/>
        <w:widowControl/>
        <w:kinsoku/>
        <w:wordWrap/>
        <w:overflowPunct/>
        <w:topLinePunct w:val="0"/>
        <w:bidi w:val="0"/>
        <w:spacing w:line="360" w:lineRule="auto"/>
        <w:ind w:right="0"/>
        <w:jc w:val="center"/>
        <w:rPr>
          <w:rStyle w:val="4"/>
          <w:rFonts w:hint="eastAsia" w:ascii="宋体" w:hAnsi="宋体" w:eastAsia="宋体" w:cs="宋体"/>
          <w:b/>
          <w:bCs/>
          <w:color w:val="auto"/>
          <w:spacing w:val="30"/>
          <w:kern w:val="0"/>
          <w:sz w:val="30"/>
          <w:szCs w:val="30"/>
          <w:highlight w:val="none"/>
        </w:rPr>
      </w:pPr>
    </w:p>
    <w:p w14:paraId="36500505">
      <w:pPr>
        <w:keepLines w:val="0"/>
        <w:pageBreakBefore w:val="0"/>
        <w:widowControl/>
        <w:kinsoku/>
        <w:wordWrap/>
        <w:overflowPunct/>
        <w:topLinePunct w:val="0"/>
        <w:bidi w:val="0"/>
        <w:spacing w:line="360" w:lineRule="auto"/>
        <w:ind w:right="0"/>
        <w:jc w:val="center"/>
        <w:rPr>
          <w:rStyle w:val="4"/>
          <w:rFonts w:hint="eastAsia" w:ascii="宋体" w:hAnsi="宋体" w:eastAsia="宋体" w:cs="宋体"/>
          <w:b/>
          <w:bCs/>
          <w:color w:val="auto"/>
          <w:spacing w:val="30"/>
          <w:kern w:val="0"/>
          <w:sz w:val="30"/>
          <w:szCs w:val="30"/>
          <w:highlight w:val="none"/>
        </w:rPr>
        <w:sectPr>
          <w:pgSz w:w="16838" w:h="11905" w:orient="landscape"/>
          <w:pgMar w:top="1701" w:right="1701" w:bottom="1701" w:left="1417" w:header="1003" w:footer="1003" w:gutter="0"/>
          <w:pgBorders>
            <w:top w:val="none" w:sz="0" w:space="0"/>
            <w:left w:val="none" w:sz="0" w:space="0"/>
            <w:bottom w:val="none" w:sz="0" w:space="0"/>
            <w:right w:val="none" w:sz="0" w:space="0"/>
          </w:pgBorders>
          <w:pgNumType w:fmt="numberInDash"/>
          <w:cols w:space="720" w:num="1"/>
          <w:rtlGutter w:val="0"/>
          <w:docGrid w:linePitch="1" w:charSpace="0"/>
        </w:sectPr>
      </w:pPr>
    </w:p>
    <w:p w14:paraId="6769E7F6">
      <w:pPr>
        <w:keepLines w:val="0"/>
        <w:pageBreakBefore w:val="0"/>
        <w:widowControl/>
        <w:kinsoku/>
        <w:wordWrap/>
        <w:overflowPunct/>
        <w:topLinePunct w:val="0"/>
        <w:bidi w:val="0"/>
        <w:spacing w:line="360" w:lineRule="auto"/>
        <w:ind w:right="0"/>
        <w:jc w:val="center"/>
        <w:rPr>
          <w:rStyle w:val="4"/>
          <w:rFonts w:hint="eastAsia" w:ascii="宋体" w:hAnsi="宋体" w:eastAsia="宋体" w:cs="宋体"/>
          <w:color w:val="auto"/>
          <w:kern w:val="0"/>
          <w:sz w:val="24"/>
          <w:szCs w:val="24"/>
          <w:highlight w:val="none"/>
        </w:rPr>
      </w:pPr>
      <w:r>
        <w:rPr>
          <w:rStyle w:val="4"/>
          <w:rFonts w:hint="eastAsia" w:ascii="宋体" w:hAnsi="宋体" w:eastAsia="宋体" w:cs="宋体"/>
          <w:b/>
          <w:bCs/>
          <w:color w:val="auto"/>
          <w:spacing w:val="30"/>
          <w:kern w:val="0"/>
          <w:sz w:val="30"/>
          <w:szCs w:val="30"/>
          <w:highlight w:val="none"/>
        </w:rPr>
        <w:t>第二节 商务要求</w:t>
      </w:r>
    </w:p>
    <w:p w14:paraId="29C35335">
      <w:pPr>
        <w:keepNext w:val="0"/>
        <w:keepLines w:val="0"/>
        <w:pageBreakBefore w:val="0"/>
        <w:widowControl/>
        <w:kinsoku/>
        <w:wordWrap/>
        <w:overflowPunct/>
        <w:topLinePunct w:val="0"/>
        <w:autoSpaceDE/>
        <w:autoSpaceDN/>
        <w:bidi w:val="0"/>
        <w:adjustRightInd/>
        <w:snapToGrid/>
        <w:spacing w:line="360" w:lineRule="auto"/>
        <w:ind w:right="0" w:firstLine="602" w:firstLineChars="200"/>
        <w:jc w:val="left"/>
        <w:textAlignment w:val="auto"/>
        <w:rPr>
          <w:rStyle w:val="4"/>
          <w:rFonts w:hint="eastAsia" w:ascii="宋体" w:hAnsi="宋体" w:eastAsia="宋体" w:cs="宋体"/>
          <w:b/>
          <w:bCs/>
          <w:color w:val="auto"/>
          <w:kern w:val="0"/>
          <w:sz w:val="24"/>
          <w:szCs w:val="24"/>
          <w:highlight w:val="none"/>
        </w:rPr>
      </w:pPr>
      <w:r>
        <w:rPr>
          <w:rStyle w:val="4"/>
          <w:rFonts w:hint="eastAsia" w:ascii="宋体" w:hAnsi="宋体" w:eastAsia="宋体" w:cs="宋体"/>
          <w:b/>
          <w:bCs/>
          <w:color w:val="auto"/>
          <w:spacing w:val="30"/>
          <w:kern w:val="0"/>
          <w:sz w:val="24"/>
          <w:szCs w:val="24"/>
          <w:highlight w:val="none"/>
        </w:rPr>
        <w:t>一、主要商务要求</w:t>
      </w:r>
    </w:p>
    <w:tbl>
      <w:tblPr>
        <w:tblStyle w:val="3"/>
        <w:tblW w:w="85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2178"/>
        <w:gridCol w:w="6361"/>
      </w:tblGrid>
      <w:tr w14:paraId="39ECF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755" w:hRule="atLeast"/>
          <w:jc w:val="center"/>
        </w:trPr>
        <w:tc>
          <w:tcPr>
            <w:tcW w:w="2178" w:type="dxa"/>
            <w:tcBorders>
              <w:tl2br w:val="nil"/>
              <w:tr2bl w:val="nil"/>
            </w:tcBorders>
            <w:noWrap w:val="0"/>
            <w:tcMar>
              <w:top w:w="0" w:type="dxa"/>
              <w:left w:w="108" w:type="dxa"/>
              <w:bottom w:w="0" w:type="dxa"/>
              <w:right w:w="108" w:type="dxa"/>
            </w:tcMar>
            <w:vAlign w:val="center"/>
          </w:tcPr>
          <w:p w14:paraId="6F7BE9C3">
            <w:pPr>
              <w:keepNext w:val="0"/>
              <w:keepLines w:val="0"/>
              <w:pageBreakBefore w:val="0"/>
              <w:widowControl/>
              <w:kinsoku/>
              <w:wordWrap/>
              <w:overflowPunct/>
              <w:topLinePunct w:val="0"/>
              <w:autoSpaceDE/>
              <w:autoSpaceDN/>
              <w:bidi w:val="0"/>
              <w:adjustRightInd/>
              <w:snapToGrid/>
              <w:spacing w:line="480" w:lineRule="exact"/>
              <w:ind w:right="0"/>
              <w:jc w:val="center"/>
              <w:textAlignment w:val="auto"/>
              <w:rPr>
                <w:rStyle w:val="4"/>
                <w:rFonts w:hint="eastAsia" w:ascii="宋体" w:hAnsi="宋体" w:eastAsia="宋体" w:cs="宋体"/>
                <w:color w:val="auto"/>
                <w:spacing w:val="0"/>
                <w:kern w:val="0"/>
                <w:sz w:val="24"/>
                <w:szCs w:val="24"/>
                <w:highlight w:val="none"/>
              </w:rPr>
            </w:pPr>
            <w:r>
              <w:rPr>
                <w:rStyle w:val="4"/>
                <w:rFonts w:hint="eastAsia" w:ascii="宋体" w:hAnsi="宋体" w:eastAsia="宋体" w:cs="宋体"/>
                <w:color w:val="auto"/>
                <w:spacing w:val="0"/>
                <w:kern w:val="0"/>
                <w:sz w:val="24"/>
                <w:szCs w:val="24"/>
                <w:highlight w:val="none"/>
              </w:rPr>
              <w:t>履行合同的时间、地点及方式</w:t>
            </w:r>
          </w:p>
        </w:tc>
        <w:tc>
          <w:tcPr>
            <w:tcW w:w="6361" w:type="dxa"/>
            <w:tcBorders>
              <w:tl2br w:val="nil"/>
              <w:tr2bl w:val="nil"/>
            </w:tcBorders>
            <w:noWrap w:val="0"/>
            <w:tcMar>
              <w:top w:w="0" w:type="dxa"/>
              <w:left w:w="108" w:type="dxa"/>
              <w:bottom w:w="0" w:type="dxa"/>
              <w:right w:w="108" w:type="dxa"/>
            </w:tcMar>
            <w:vAlign w:val="center"/>
          </w:tcPr>
          <w:p w14:paraId="7C9B624D">
            <w:pPr>
              <w:keepNext w:val="0"/>
              <w:keepLines w:val="0"/>
              <w:pageBreakBefore w:val="0"/>
              <w:widowControl/>
              <w:kinsoku/>
              <w:wordWrap/>
              <w:overflowPunct/>
              <w:topLinePunct w:val="0"/>
              <w:autoSpaceDE/>
              <w:autoSpaceDN/>
              <w:bidi w:val="0"/>
              <w:adjustRightInd/>
              <w:snapToGrid/>
              <w:spacing w:line="480" w:lineRule="exact"/>
              <w:ind w:right="0"/>
              <w:jc w:val="left"/>
              <w:textAlignment w:val="auto"/>
              <w:rPr>
                <w:rStyle w:val="4"/>
                <w:rFonts w:hint="eastAsia" w:ascii="宋体" w:hAnsi="宋体" w:eastAsia="宋体" w:cs="宋体"/>
                <w:color w:val="auto"/>
                <w:spacing w:val="0"/>
                <w:kern w:val="0"/>
                <w:sz w:val="24"/>
                <w:szCs w:val="24"/>
                <w:highlight w:val="none"/>
                <w:lang w:val="en-US" w:eastAsia="zh-CN"/>
              </w:rPr>
            </w:pPr>
            <w:r>
              <w:rPr>
                <w:rStyle w:val="4"/>
                <w:rFonts w:hint="eastAsia" w:ascii="宋体" w:hAnsi="宋体" w:eastAsia="宋体" w:cs="宋体"/>
                <w:color w:val="auto"/>
                <w:spacing w:val="0"/>
                <w:kern w:val="0"/>
                <w:sz w:val="24"/>
                <w:szCs w:val="24"/>
                <w:highlight w:val="none"/>
                <w:lang w:eastAsia="zh-CN"/>
              </w:rPr>
              <w:t>供货期及</w:t>
            </w:r>
            <w:r>
              <w:rPr>
                <w:rStyle w:val="4"/>
                <w:rFonts w:hint="eastAsia" w:ascii="宋体" w:hAnsi="宋体" w:eastAsia="宋体" w:cs="宋体"/>
                <w:color w:val="auto"/>
                <w:spacing w:val="0"/>
                <w:kern w:val="0"/>
                <w:sz w:val="24"/>
                <w:szCs w:val="24"/>
                <w:highlight w:val="none"/>
              </w:rPr>
              <w:t>交货时间：合同签订生效之日起30日历天内完成供货、安装，并通过采购</w:t>
            </w:r>
            <w:r>
              <w:rPr>
                <w:rStyle w:val="4"/>
                <w:rFonts w:hint="eastAsia" w:ascii="宋体" w:hAnsi="宋体" w:eastAsia="宋体" w:cs="宋体"/>
                <w:color w:val="auto"/>
                <w:spacing w:val="0"/>
                <w:kern w:val="0"/>
                <w:sz w:val="24"/>
                <w:szCs w:val="24"/>
                <w:highlight w:val="none"/>
                <w:lang w:val="en-US" w:eastAsia="zh-CN"/>
              </w:rPr>
              <w:t>人</w:t>
            </w:r>
            <w:r>
              <w:rPr>
                <w:rStyle w:val="4"/>
                <w:rFonts w:hint="eastAsia" w:ascii="宋体" w:hAnsi="宋体" w:eastAsia="宋体" w:cs="宋体"/>
                <w:color w:val="auto"/>
                <w:spacing w:val="0"/>
                <w:kern w:val="0"/>
                <w:sz w:val="24"/>
                <w:szCs w:val="24"/>
                <w:highlight w:val="none"/>
              </w:rPr>
              <w:t>的功能测试、验收，且能投入运行使用</w:t>
            </w:r>
            <w:r>
              <w:rPr>
                <w:rStyle w:val="4"/>
                <w:rFonts w:hint="eastAsia" w:ascii="宋体" w:hAnsi="宋体" w:eastAsia="宋体" w:cs="宋体"/>
                <w:color w:val="auto"/>
                <w:spacing w:val="0"/>
                <w:kern w:val="0"/>
                <w:sz w:val="24"/>
                <w:szCs w:val="24"/>
                <w:highlight w:val="none"/>
                <w:lang w:val="en-US" w:eastAsia="zh-CN"/>
              </w:rPr>
              <w:t>。</w:t>
            </w:r>
          </w:p>
          <w:p w14:paraId="77D7AD2E">
            <w:pPr>
              <w:keepNext w:val="0"/>
              <w:keepLines w:val="0"/>
              <w:pageBreakBefore w:val="0"/>
              <w:widowControl/>
              <w:kinsoku/>
              <w:wordWrap/>
              <w:overflowPunct/>
              <w:topLinePunct w:val="0"/>
              <w:autoSpaceDE/>
              <w:autoSpaceDN/>
              <w:bidi w:val="0"/>
              <w:adjustRightInd/>
              <w:snapToGrid/>
              <w:spacing w:line="480" w:lineRule="exact"/>
              <w:ind w:right="0"/>
              <w:jc w:val="left"/>
              <w:textAlignment w:val="auto"/>
              <w:rPr>
                <w:rStyle w:val="4"/>
                <w:rFonts w:hint="eastAsia" w:ascii="宋体" w:hAnsi="宋体" w:eastAsia="宋体" w:cs="宋体"/>
                <w:color w:val="auto"/>
                <w:spacing w:val="0"/>
                <w:kern w:val="0"/>
                <w:sz w:val="24"/>
                <w:szCs w:val="24"/>
                <w:highlight w:val="none"/>
                <w:lang w:eastAsia="zh-CN"/>
              </w:rPr>
            </w:pPr>
            <w:r>
              <w:rPr>
                <w:rStyle w:val="4"/>
                <w:rFonts w:hint="eastAsia" w:ascii="宋体" w:hAnsi="宋体" w:eastAsia="宋体" w:cs="宋体"/>
                <w:color w:val="auto"/>
                <w:spacing w:val="0"/>
                <w:kern w:val="0"/>
                <w:sz w:val="24"/>
                <w:szCs w:val="24"/>
                <w:highlight w:val="none"/>
              </w:rPr>
              <w:t>交货地点：采购人指定地点</w:t>
            </w:r>
            <w:r>
              <w:rPr>
                <w:rStyle w:val="4"/>
                <w:rFonts w:hint="eastAsia" w:ascii="宋体" w:hAnsi="宋体" w:eastAsia="宋体" w:cs="宋体"/>
                <w:color w:val="auto"/>
                <w:spacing w:val="0"/>
                <w:kern w:val="0"/>
                <w:sz w:val="24"/>
                <w:szCs w:val="24"/>
                <w:highlight w:val="none"/>
                <w:lang w:eastAsia="zh-CN"/>
              </w:rPr>
              <w:t>。</w:t>
            </w:r>
          </w:p>
          <w:p w14:paraId="1E6619A8">
            <w:pPr>
              <w:keepNext w:val="0"/>
              <w:keepLines w:val="0"/>
              <w:pageBreakBefore w:val="0"/>
              <w:widowControl/>
              <w:kinsoku/>
              <w:wordWrap/>
              <w:overflowPunct/>
              <w:topLinePunct w:val="0"/>
              <w:autoSpaceDE/>
              <w:autoSpaceDN/>
              <w:bidi w:val="0"/>
              <w:adjustRightInd/>
              <w:snapToGrid/>
              <w:spacing w:line="480" w:lineRule="exact"/>
              <w:ind w:right="0"/>
              <w:jc w:val="left"/>
              <w:textAlignment w:val="auto"/>
              <w:rPr>
                <w:rStyle w:val="4"/>
                <w:rFonts w:hint="eastAsia" w:ascii="宋体" w:hAnsi="宋体" w:eastAsia="宋体" w:cs="宋体"/>
                <w:color w:val="auto"/>
                <w:spacing w:val="0"/>
                <w:kern w:val="0"/>
                <w:sz w:val="24"/>
                <w:szCs w:val="24"/>
                <w:highlight w:val="none"/>
                <w:lang w:val="en-US" w:eastAsia="zh-CN"/>
              </w:rPr>
            </w:pPr>
            <w:r>
              <w:rPr>
                <w:rStyle w:val="4"/>
                <w:rFonts w:hint="eastAsia" w:ascii="宋体" w:hAnsi="宋体" w:eastAsia="宋体" w:cs="宋体"/>
                <w:color w:val="auto"/>
                <w:spacing w:val="0"/>
                <w:kern w:val="0"/>
                <w:sz w:val="24"/>
                <w:szCs w:val="24"/>
                <w:highlight w:val="none"/>
              </w:rPr>
              <w:t>交货方式：</w:t>
            </w:r>
            <w:r>
              <w:rPr>
                <w:rStyle w:val="4"/>
                <w:rFonts w:hint="eastAsia" w:ascii="宋体" w:hAnsi="宋体" w:eastAsia="宋体" w:cs="宋体"/>
                <w:color w:val="auto"/>
                <w:spacing w:val="0"/>
                <w:kern w:val="0"/>
                <w:sz w:val="24"/>
                <w:szCs w:val="24"/>
                <w:highlight w:val="none"/>
                <w:lang w:val="en-US" w:eastAsia="zh-CN"/>
              </w:rPr>
              <w:t>采购人</w:t>
            </w:r>
            <w:r>
              <w:rPr>
                <w:rStyle w:val="4"/>
                <w:rFonts w:hint="eastAsia" w:ascii="宋体" w:hAnsi="宋体" w:eastAsia="宋体" w:cs="宋体"/>
                <w:color w:val="auto"/>
                <w:spacing w:val="0"/>
                <w:kern w:val="0"/>
                <w:sz w:val="24"/>
                <w:szCs w:val="24"/>
                <w:highlight w:val="none"/>
              </w:rPr>
              <w:t>指定</w:t>
            </w:r>
            <w:r>
              <w:rPr>
                <w:rStyle w:val="4"/>
                <w:rFonts w:hint="eastAsia" w:ascii="宋体" w:hAnsi="宋体" w:eastAsia="宋体" w:cs="宋体"/>
                <w:color w:val="auto"/>
                <w:spacing w:val="0"/>
                <w:kern w:val="0"/>
                <w:sz w:val="24"/>
                <w:szCs w:val="24"/>
                <w:highlight w:val="none"/>
                <w:lang w:val="en-US" w:eastAsia="zh-CN"/>
              </w:rPr>
              <w:t>方式。</w:t>
            </w:r>
          </w:p>
        </w:tc>
      </w:tr>
      <w:tr w14:paraId="4E75C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90" w:hRule="atLeast"/>
          <w:jc w:val="center"/>
        </w:trPr>
        <w:tc>
          <w:tcPr>
            <w:tcW w:w="2178" w:type="dxa"/>
            <w:tcBorders>
              <w:tl2br w:val="nil"/>
              <w:tr2bl w:val="nil"/>
            </w:tcBorders>
            <w:noWrap w:val="0"/>
            <w:tcMar>
              <w:top w:w="0" w:type="dxa"/>
              <w:left w:w="108" w:type="dxa"/>
              <w:bottom w:w="0" w:type="dxa"/>
              <w:right w:w="108" w:type="dxa"/>
            </w:tcMar>
            <w:vAlign w:val="center"/>
          </w:tcPr>
          <w:p w14:paraId="3E5C1D9E">
            <w:pPr>
              <w:keepNext w:val="0"/>
              <w:keepLines w:val="0"/>
              <w:pageBreakBefore w:val="0"/>
              <w:widowControl/>
              <w:kinsoku/>
              <w:wordWrap/>
              <w:overflowPunct/>
              <w:topLinePunct w:val="0"/>
              <w:autoSpaceDE/>
              <w:autoSpaceDN/>
              <w:bidi w:val="0"/>
              <w:adjustRightInd/>
              <w:snapToGrid/>
              <w:spacing w:line="480" w:lineRule="exact"/>
              <w:ind w:right="0"/>
              <w:jc w:val="center"/>
              <w:textAlignment w:val="auto"/>
              <w:rPr>
                <w:rStyle w:val="4"/>
                <w:rFonts w:hint="eastAsia" w:ascii="宋体" w:hAnsi="宋体" w:eastAsia="宋体" w:cs="宋体"/>
                <w:color w:val="auto"/>
                <w:spacing w:val="0"/>
                <w:kern w:val="0"/>
                <w:sz w:val="24"/>
                <w:szCs w:val="24"/>
                <w:highlight w:val="none"/>
              </w:rPr>
            </w:pPr>
            <w:r>
              <w:rPr>
                <w:rStyle w:val="4"/>
                <w:rFonts w:hint="eastAsia" w:ascii="宋体" w:hAnsi="宋体" w:eastAsia="宋体" w:cs="宋体"/>
                <w:color w:val="auto"/>
                <w:spacing w:val="0"/>
                <w:kern w:val="0"/>
                <w:sz w:val="24"/>
                <w:szCs w:val="24"/>
                <w:highlight w:val="none"/>
              </w:rPr>
              <w:t>质量保证期</w:t>
            </w:r>
          </w:p>
        </w:tc>
        <w:tc>
          <w:tcPr>
            <w:tcW w:w="6361" w:type="dxa"/>
            <w:tcBorders>
              <w:tl2br w:val="nil"/>
              <w:tr2bl w:val="nil"/>
            </w:tcBorders>
            <w:noWrap w:val="0"/>
            <w:tcMar>
              <w:top w:w="0" w:type="dxa"/>
              <w:left w:w="108" w:type="dxa"/>
              <w:bottom w:w="0" w:type="dxa"/>
              <w:right w:w="108" w:type="dxa"/>
            </w:tcMar>
            <w:vAlign w:val="center"/>
          </w:tcPr>
          <w:p w14:paraId="0B926558">
            <w:pPr>
              <w:keepNext w:val="0"/>
              <w:keepLines w:val="0"/>
              <w:pageBreakBefore w:val="0"/>
              <w:widowControl/>
              <w:kinsoku/>
              <w:wordWrap/>
              <w:overflowPunct/>
              <w:topLinePunct w:val="0"/>
              <w:autoSpaceDE/>
              <w:autoSpaceDN/>
              <w:bidi w:val="0"/>
              <w:adjustRightInd/>
              <w:snapToGrid/>
              <w:spacing w:line="480" w:lineRule="exact"/>
              <w:ind w:right="0"/>
              <w:jc w:val="left"/>
              <w:textAlignment w:val="auto"/>
              <w:rPr>
                <w:rStyle w:val="4"/>
                <w:rFonts w:hint="eastAsia" w:ascii="宋体" w:hAnsi="宋体" w:eastAsia="宋体" w:cs="宋体"/>
                <w:color w:val="auto"/>
                <w:spacing w:val="0"/>
                <w:kern w:val="0"/>
                <w:sz w:val="24"/>
                <w:szCs w:val="24"/>
                <w:highlight w:val="none"/>
                <w:lang w:val="en-US" w:eastAsia="zh-CN"/>
              </w:rPr>
            </w:pPr>
            <w:r>
              <w:rPr>
                <w:rStyle w:val="4"/>
                <w:rFonts w:hint="eastAsia" w:ascii="宋体" w:hAnsi="宋体" w:eastAsia="宋体" w:cs="宋体"/>
                <w:color w:val="auto"/>
                <w:spacing w:val="0"/>
                <w:kern w:val="0"/>
                <w:sz w:val="24"/>
                <w:szCs w:val="24"/>
                <w:highlight w:val="none"/>
                <w:lang w:val="en-US" w:eastAsia="zh-CN"/>
              </w:rPr>
              <w:t>验收合格之日起1年。</w:t>
            </w:r>
          </w:p>
        </w:tc>
      </w:tr>
      <w:tr w14:paraId="26808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345" w:hRule="atLeast"/>
          <w:jc w:val="center"/>
        </w:trPr>
        <w:tc>
          <w:tcPr>
            <w:tcW w:w="2178" w:type="dxa"/>
            <w:tcBorders>
              <w:tl2br w:val="nil"/>
              <w:tr2bl w:val="nil"/>
            </w:tcBorders>
            <w:noWrap w:val="0"/>
            <w:tcMar>
              <w:top w:w="0" w:type="dxa"/>
              <w:left w:w="108" w:type="dxa"/>
              <w:bottom w:w="0" w:type="dxa"/>
              <w:right w:w="108" w:type="dxa"/>
            </w:tcMar>
            <w:vAlign w:val="center"/>
          </w:tcPr>
          <w:p w14:paraId="1C78BFEF">
            <w:pPr>
              <w:keepNext w:val="0"/>
              <w:keepLines w:val="0"/>
              <w:pageBreakBefore w:val="0"/>
              <w:widowControl/>
              <w:kinsoku/>
              <w:wordWrap/>
              <w:overflowPunct/>
              <w:topLinePunct w:val="0"/>
              <w:autoSpaceDE/>
              <w:autoSpaceDN/>
              <w:bidi w:val="0"/>
              <w:adjustRightInd/>
              <w:snapToGrid/>
              <w:spacing w:line="480" w:lineRule="exact"/>
              <w:ind w:right="0"/>
              <w:jc w:val="center"/>
              <w:textAlignment w:val="auto"/>
              <w:rPr>
                <w:rStyle w:val="4"/>
                <w:rFonts w:hint="eastAsia" w:ascii="宋体" w:hAnsi="宋体" w:eastAsia="宋体" w:cs="宋体"/>
                <w:color w:val="auto"/>
                <w:spacing w:val="0"/>
                <w:kern w:val="0"/>
                <w:sz w:val="24"/>
                <w:szCs w:val="24"/>
                <w:highlight w:val="none"/>
              </w:rPr>
            </w:pPr>
            <w:r>
              <w:rPr>
                <w:rStyle w:val="4"/>
                <w:rFonts w:hint="eastAsia" w:ascii="宋体" w:hAnsi="宋体" w:eastAsia="宋体" w:cs="宋体"/>
                <w:color w:val="auto"/>
                <w:spacing w:val="0"/>
                <w:kern w:val="0"/>
                <w:sz w:val="24"/>
                <w:szCs w:val="24"/>
                <w:highlight w:val="none"/>
              </w:rPr>
              <w:t>响应时间</w:t>
            </w:r>
          </w:p>
        </w:tc>
        <w:tc>
          <w:tcPr>
            <w:tcW w:w="6361" w:type="dxa"/>
            <w:tcBorders>
              <w:tl2br w:val="nil"/>
              <w:tr2bl w:val="nil"/>
            </w:tcBorders>
            <w:noWrap w:val="0"/>
            <w:tcMar>
              <w:top w:w="0" w:type="dxa"/>
              <w:left w:w="108" w:type="dxa"/>
              <w:bottom w:w="0" w:type="dxa"/>
              <w:right w:w="108" w:type="dxa"/>
            </w:tcMar>
            <w:vAlign w:val="center"/>
          </w:tcPr>
          <w:p w14:paraId="55E5069B">
            <w:pPr>
              <w:keepNext w:val="0"/>
              <w:keepLines w:val="0"/>
              <w:pageBreakBefore w:val="0"/>
              <w:widowControl/>
              <w:kinsoku/>
              <w:wordWrap/>
              <w:overflowPunct/>
              <w:topLinePunct w:val="0"/>
              <w:autoSpaceDE/>
              <w:autoSpaceDN/>
              <w:bidi w:val="0"/>
              <w:adjustRightInd/>
              <w:snapToGrid/>
              <w:spacing w:line="480" w:lineRule="exact"/>
              <w:ind w:right="0"/>
              <w:jc w:val="left"/>
              <w:textAlignment w:val="auto"/>
              <w:rPr>
                <w:rStyle w:val="4"/>
                <w:rFonts w:hint="eastAsia" w:ascii="宋体" w:hAnsi="宋体" w:eastAsia="宋体" w:cs="宋体"/>
                <w:color w:val="auto"/>
                <w:spacing w:val="0"/>
                <w:kern w:val="0"/>
                <w:sz w:val="24"/>
                <w:szCs w:val="24"/>
                <w:highlight w:val="none"/>
                <w:lang w:val="en-US" w:eastAsia="zh-CN"/>
              </w:rPr>
            </w:pPr>
            <w:r>
              <w:rPr>
                <w:rStyle w:val="4"/>
                <w:rFonts w:hint="eastAsia" w:ascii="宋体" w:hAnsi="宋体" w:eastAsia="宋体" w:cs="宋体"/>
                <w:color w:val="auto"/>
                <w:spacing w:val="0"/>
                <w:kern w:val="0"/>
                <w:sz w:val="24"/>
                <w:szCs w:val="24"/>
                <w:highlight w:val="none"/>
                <w:lang w:val="en-US" w:eastAsia="zh-CN"/>
              </w:rPr>
              <w:t>7*24小时。</w:t>
            </w:r>
          </w:p>
        </w:tc>
      </w:tr>
      <w:tr w14:paraId="37C41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1500" w:hRule="atLeast"/>
          <w:jc w:val="center"/>
        </w:trPr>
        <w:tc>
          <w:tcPr>
            <w:tcW w:w="2178" w:type="dxa"/>
            <w:tcBorders>
              <w:tl2br w:val="nil"/>
              <w:tr2bl w:val="nil"/>
            </w:tcBorders>
            <w:noWrap w:val="0"/>
            <w:tcMar>
              <w:top w:w="0" w:type="dxa"/>
              <w:left w:w="108" w:type="dxa"/>
              <w:bottom w:w="0" w:type="dxa"/>
              <w:right w:w="108" w:type="dxa"/>
            </w:tcMar>
            <w:vAlign w:val="center"/>
          </w:tcPr>
          <w:p w14:paraId="420FFAAB">
            <w:pPr>
              <w:keepNext w:val="0"/>
              <w:keepLines w:val="0"/>
              <w:pageBreakBefore w:val="0"/>
              <w:widowControl/>
              <w:kinsoku/>
              <w:wordWrap/>
              <w:overflowPunct/>
              <w:topLinePunct w:val="0"/>
              <w:autoSpaceDE/>
              <w:autoSpaceDN/>
              <w:bidi w:val="0"/>
              <w:adjustRightInd/>
              <w:snapToGrid/>
              <w:spacing w:line="480" w:lineRule="exact"/>
              <w:ind w:right="0"/>
              <w:jc w:val="center"/>
              <w:textAlignment w:val="auto"/>
              <w:rPr>
                <w:rStyle w:val="4"/>
                <w:rFonts w:hint="eastAsia" w:ascii="宋体" w:hAnsi="宋体" w:eastAsia="宋体" w:cs="宋体"/>
                <w:color w:val="auto"/>
                <w:spacing w:val="0"/>
                <w:kern w:val="0"/>
                <w:sz w:val="24"/>
                <w:szCs w:val="24"/>
                <w:highlight w:val="none"/>
              </w:rPr>
            </w:pPr>
            <w:r>
              <w:rPr>
                <w:rStyle w:val="4"/>
                <w:rFonts w:hint="eastAsia" w:ascii="宋体" w:hAnsi="宋体" w:eastAsia="宋体" w:cs="宋体"/>
                <w:color w:val="auto"/>
                <w:spacing w:val="0"/>
                <w:kern w:val="0"/>
                <w:sz w:val="24"/>
                <w:szCs w:val="24"/>
                <w:highlight w:val="none"/>
              </w:rPr>
              <w:t>合同价款支付方式和条件</w:t>
            </w:r>
          </w:p>
        </w:tc>
        <w:tc>
          <w:tcPr>
            <w:tcW w:w="6361" w:type="dxa"/>
            <w:tcBorders>
              <w:tl2br w:val="nil"/>
              <w:tr2bl w:val="nil"/>
            </w:tcBorders>
            <w:noWrap w:val="0"/>
            <w:tcMar>
              <w:top w:w="0" w:type="dxa"/>
              <w:left w:w="108" w:type="dxa"/>
              <w:bottom w:w="0" w:type="dxa"/>
              <w:right w:w="108" w:type="dxa"/>
            </w:tcMar>
            <w:vAlign w:val="center"/>
          </w:tcPr>
          <w:p w14:paraId="021CCE98">
            <w:pPr>
              <w:keepNext w:val="0"/>
              <w:keepLines w:val="0"/>
              <w:pageBreakBefore w:val="0"/>
              <w:widowControl/>
              <w:kinsoku/>
              <w:wordWrap/>
              <w:overflowPunct/>
              <w:topLinePunct w:val="0"/>
              <w:autoSpaceDE/>
              <w:autoSpaceDN/>
              <w:bidi w:val="0"/>
              <w:adjustRightInd/>
              <w:snapToGrid/>
              <w:spacing w:line="480" w:lineRule="exact"/>
              <w:ind w:right="0"/>
              <w:jc w:val="left"/>
              <w:textAlignment w:val="auto"/>
              <w:rPr>
                <w:rStyle w:val="4"/>
                <w:rFonts w:hint="eastAsia" w:ascii="宋体" w:hAnsi="宋体" w:eastAsia="宋体" w:cs="宋体"/>
                <w:color w:val="auto"/>
                <w:spacing w:val="0"/>
                <w:kern w:val="0"/>
                <w:sz w:val="24"/>
                <w:szCs w:val="24"/>
                <w:highlight w:val="none"/>
                <w:lang w:val="en-US" w:eastAsia="zh-CN"/>
              </w:rPr>
            </w:pPr>
            <w:r>
              <w:rPr>
                <w:rStyle w:val="4"/>
                <w:rFonts w:hint="eastAsia" w:ascii="宋体" w:hAnsi="宋体" w:eastAsia="宋体" w:cs="宋体"/>
                <w:color w:val="auto"/>
                <w:spacing w:val="0"/>
                <w:kern w:val="0"/>
                <w:sz w:val="24"/>
                <w:szCs w:val="24"/>
                <w:highlight w:val="none"/>
                <w:lang w:val="en-US" w:eastAsia="zh-CN"/>
              </w:rPr>
              <w:t>全部设备到货进场验收合格后；安装调试完成，项目验收合格后支付合同总金额的</w:t>
            </w:r>
            <w:r>
              <w:rPr>
                <w:rStyle w:val="4"/>
                <w:rFonts w:hint="eastAsia" w:ascii="宋体" w:hAnsi="宋体" w:eastAsia="宋体" w:cs="宋体"/>
                <w:color w:val="auto"/>
                <w:spacing w:val="0"/>
                <w:kern w:val="0"/>
                <w:sz w:val="24"/>
                <w:szCs w:val="24"/>
                <w:highlight w:val="none"/>
                <w:lang w:val="en" w:eastAsia="zh-CN"/>
              </w:rPr>
              <w:t>90</w:t>
            </w:r>
            <w:r>
              <w:rPr>
                <w:rStyle w:val="4"/>
                <w:rFonts w:hint="eastAsia" w:ascii="宋体" w:hAnsi="宋体" w:eastAsia="宋体" w:cs="宋体"/>
                <w:color w:val="auto"/>
                <w:spacing w:val="0"/>
                <w:kern w:val="0"/>
                <w:sz w:val="24"/>
                <w:szCs w:val="24"/>
                <w:highlight w:val="none"/>
                <w:lang w:val="en-US" w:eastAsia="zh-CN"/>
              </w:rPr>
              <w:t>%，剩余</w:t>
            </w:r>
            <w:r>
              <w:rPr>
                <w:rStyle w:val="4"/>
                <w:rFonts w:hint="eastAsia" w:ascii="宋体" w:hAnsi="宋体" w:eastAsia="宋体" w:cs="宋体"/>
                <w:color w:val="auto"/>
                <w:spacing w:val="0"/>
                <w:kern w:val="0"/>
                <w:sz w:val="24"/>
                <w:szCs w:val="24"/>
                <w:highlight w:val="none"/>
                <w:lang w:val="en" w:eastAsia="zh-CN"/>
              </w:rPr>
              <w:t>10</w:t>
            </w:r>
            <w:r>
              <w:rPr>
                <w:rStyle w:val="4"/>
                <w:rFonts w:hint="eastAsia" w:ascii="宋体" w:hAnsi="宋体" w:eastAsia="宋体" w:cs="宋体"/>
                <w:color w:val="auto"/>
                <w:spacing w:val="0"/>
                <w:kern w:val="0"/>
                <w:sz w:val="24"/>
                <w:szCs w:val="24"/>
                <w:highlight w:val="none"/>
                <w:lang w:val="en-US" w:eastAsia="zh-CN"/>
              </w:rPr>
              <w:t>%作为质保金，在免费运维期满两年后且无质量问题无息付清。</w:t>
            </w:r>
          </w:p>
        </w:tc>
      </w:tr>
      <w:bookmarkEnd w:id="0"/>
    </w:tbl>
    <w:p w14:paraId="46BBAC2A">
      <w:pPr>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both"/>
        <w:textAlignment w:val="auto"/>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二、 项目实施要求与说明</w:t>
      </w:r>
    </w:p>
    <w:p w14:paraId="2254753F">
      <w:pPr>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1．产品运输、保险及保管</w:t>
      </w:r>
    </w:p>
    <w:p w14:paraId="393C8536">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1.1中标人负责产品到实施地点的全部运输，包括装卸及现场搬运等。</w:t>
      </w:r>
    </w:p>
    <w:p w14:paraId="79E540FB">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1.2中标人负责产品在实施地点的保管，直至项目验收合格。</w:t>
      </w:r>
    </w:p>
    <w:p w14:paraId="4D70AC8A">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1.3中标人负责其派出的项目实施人员的人身意外保险。</w:t>
      </w:r>
    </w:p>
    <w:p w14:paraId="3530C6C2">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质量符合国家或行业相关标准，货物的包装均应有良好的防湿、防锈、防潮、防雨、防腐及防碰撞的措施，货物要求有包装材料保护运至现场。凡由于包装不良导致货物损坏、锈蚀等的损失和由此产生的费用均由中标人承担。</w:t>
      </w:r>
    </w:p>
    <w:p w14:paraId="4C978365">
      <w:pPr>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2.交货与安装调试</w:t>
      </w:r>
    </w:p>
    <w:p w14:paraId="7E75C1E7">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2.1交付时间：所有设备材料到货后需经采购方验收合格后方可安装。并于合同签订后30个工作日内交付使用</w:t>
      </w:r>
      <w:r>
        <w:rPr>
          <w:rFonts w:hint="eastAsia" w:ascii="宋体" w:hAnsi="宋体" w:eastAsia="宋体" w:cs="宋体"/>
          <w:color w:val="auto"/>
          <w:kern w:val="2"/>
          <w:sz w:val="24"/>
          <w:szCs w:val="24"/>
          <w:highlight w:val="none"/>
          <w:lang w:val="en-US" w:eastAsia="zh-CN" w:bidi="ar-SA"/>
        </w:rPr>
        <w:t>（具体时间以签订合同为准）</w:t>
      </w:r>
      <w:r>
        <w:rPr>
          <w:rFonts w:hint="eastAsia" w:ascii="宋体" w:hAnsi="宋体" w:eastAsia="宋体" w:cs="宋体"/>
          <w:b w:val="0"/>
          <w:bCs/>
          <w:color w:val="auto"/>
          <w:kern w:val="2"/>
          <w:sz w:val="24"/>
          <w:szCs w:val="24"/>
          <w:highlight w:val="none"/>
          <w:lang w:val="en-US" w:eastAsia="zh-CN" w:bidi="ar-SA"/>
        </w:rPr>
        <w:t>。</w:t>
      </w:r>
    </w:p>
    <w:p w14:paraId="1489CC6E">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交货地点：采购人指定地点。</w:t>
      </w:r>
    </w:p>
    <w:p w14:paraId="600B5479">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2.2中标人须负责所有设备的安装调试，在项目实施过程中须加强项目实施的组织管理，所有人员应具备项目性质相关资质和业主要求的条件上岗。</w:t>
      </w:r>
    </w:p>
    <w:p w14:paraId="170C33B8">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2.3项目完成后，中标人应将项目有关的全部资料，包括产品资料、技术文档等移交采购人。</w:t>
      </w:r>
    </w:p>
    <w:p w14:paraId="4582B7F2">
      <w:pPr>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3.测试验收</w:t>
      </w:r>
    </w:p>
    <w:p w14:paraId="0E21C9A8">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3.1项目验收国家有强制性规定的，按国家规定执行，验收费用由中标人承担。</w:t>
      </w:r>
    </w:p>
    <w:p w14:paraId="36C6F696">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3.2验收过程中产生纠纷的，由市场监管部门认定的检测机构检测,如为中标人原因造成的，由中标人承担检测费用；否则，由采购人承担。</w:t>
      </w:r>
    </w:p>
    <w:p w14:paraId="7983C3D3">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3.3项目验收不合格，由中标人返工直至合格，有关返工、再行验收，以及给采购人造成的损失等费用由中标人承担。连续两次验收不合格的，采购人可终止合同，另行按规定选择其他供应商采购，由此带来的一切损失由中标人承担。</w:t>
      </w:r>
    </w:p>
    <w:p w14:paraId="6CEC12EF">
      <w:pPr>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4.质量保证</w:t>
      </w:r>
    </w:p>
    <w:p w14:paraId="29284801">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4.1中标人提供的产品应是原装正品，符合国家质量检测标准，具有出厂合格证或国家鉴定合格证。</w:t>
      </w:r>
    </w:p>
    <w:p w14:paraId="16E03915">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4.2 从项目验收合格之日起中标人免费提供一年免费质保服务，包含硬件、软件及相关服务，采购产品清单及产品技术参数、功能要求中另有规定的，按其规定。从验收合格之日起开始计算。质保期内所有设备维护维修等要求免费上门服务。超出生产厂家正常维修范围的，中标人需向生产厂家协商采购；未在投标报价表中单列其费用的，视为免费提供。生产厂家质保期优于招标文件规定的，按生产厂家的质保承诺提供质保服务。</w:t>
      </w:r>
    </w:p>
    <w:p w14:paraId="746521D6">
      <w:pPr>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5.售后服务</w:t>
      </w:r>
    </w:p>
    <w:p w14:paraId="243D1B2B">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5.1 从项目验收合格之日起中标人免费提供二年免费运维服务，组织每季度对设备进行全面维护，以保证设备工作在最佳状态，减少设备的故障率。各设备有详细的维护记录，记录内容包括检查时间、检查情况、清洁保养时间和每次维护时间、维护内容、维护结果等。</w:t>
      </w:r>
    </w:p>
    <w:p w14:paraId="0BECC325">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5.2 在维保期内，2小时内电话响应、8小时到场，24小时内修好，48小时内未修好提供替代品，负责安装到位。免费维保期内中标人须对整个设备提供升级更新及其他的支持服务，并提供7*24小时技术支持，包括各种模块设备故障及对各种突发事件采取应急措施等，中标人在维护服务过程中必须认真严格执行国家相关行业规范，加强安全管理工作，所需相关人员、各类车辆、各类工具和各类耗材仪表等均自行解决，如遇意外人身事故、设备事故、交通违章等状况，均自行承担相应的责任。</w:t>
      </w:r>
    </w:p>
    <w:p w14:paraId="61BBE5D6">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5.3中标人应对本项目涉及的采购人机密、知识产权及其它应保密的事项予以保密，所有数据未经采购人的书面批准，中标人不得以任何形式或任何方式将有关信息披露或透露给任何第三方。中标人故意或工作疏忽而造成的采购人机密泄漏或知识产权受到侵害，中标人须赔偿采购人因此造成的直接经济损失，并承担相应的法律责任。</w:t>
      </w:r>
    </w:p>
    <w:p w14:paraId="7B04D06B">
      <w:pPr>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6.培训</w:t>
      </w:r>
    </w:p>
    <w:p w14:paraId="7A49347F">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6.1中标人应按招标文件要求负责进行必要的人员培训，达到熟练掌握产品性能、操作技能及排除一般故障的程度。</w:t>
      </w:r>
    </w:p>
    <w:p w14:paraId="756C13EF">
      <w:pPr>
        <w:keepNext w:val="0"/>
        <w:keepLines w:val="0"/>
        <w:pageBreakBefore w:val="0"/>
        <w:widowControl w:val="0"/>
        <w:kinsoku/>
        <w:wordWrap/>
        <w:overflowPunct/>
        <w:topLinePunct w:val="0"/>
        <w:autoSpaceDE/>
        <w:autoSpaceDN/>
        <w:bidi w:val="0"/>
        <w:adjustRightInd/>
        <w:snapToGrid/>
        <w:spacing w:after="0" w:line="480" w:lineRule="exact"/>
        <w:ind w:left="0" w:leftChars="0" w:firstLine="482" w:firstLineChars="200"/>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7.其他要求</w:t>
      </w:r>
    </w:p>
    <w:p w14:paraId="705DF122">
      <w:pPr>
        <w:keepNext w:val="0"/>
        <w:keepLines w:val="0"/>
        <w:pageBreakBefore w:val="0"/>
        <w:widowControl w:val="0"/>
        <w:kinsoku/>
        <w:wordWrap/>
        <w:overflowPunct/>
        <w:topLinePunct w:val="0"/>
        <w:autoSpaceDE/>
        <w:autoSpaceDN/>
        <w:bidi w:val="0"/>
        <w:adjustRightInd/>
        <w:snapToGrid/>
        <w:spacing w:after="0" w:line="480" w:lineRule="exact"/>
        <w:ind w:left="0" w:leftChars="0" w:firstLine="480" w:firstLineChars="200"/>
        <w:jc w:val="both"/>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7.1本项目投标报价应包含但不限于以下内容：设备费、安装调试费质、质保期内维护费、技术支持与培训费、人员费（含工资、加班费、福利费等）、办公设备费、通讯费、管理费、利润、税金、政策性文件规定及为达到采购文件要求所包含的所有风险、责任等各项费用。</w:t>
      </w:r>
      <w:r>
        <w:rPr>
          <w:rFonts w:hint="eastAsia" w:ascii="宋体" w:hAnsi="宋体" w:eastAsia="宋体" w:cs="宋体"/>
          <w:bCs/>
          <w:color w:val="auto"/>
          <w:kern w:val="2"/>
          <w:sz w:val="24"/>
          <w:szCs w:val="24"/>
          <w:highlight w:val="none"/>
          <w:lang w:val="en-US" w:eastAsia="zh-CN" w:bidi="ar-SA"/>
        </w:rPr>
        <w:t>如一旦中标，在项目实施中出现任何遗漏，采购人不再支付任何费用。</w:t>
      </w:r>
    </w:p>
    <w:p w14:paraId="1AFAD2B5">
      <w:pPr>
        <w:bidi w:val="0"/>
        <w:rPr>
          <w:rFonts w:hint="eastAsia" w:ascii="宋体" w:hAnsi="宋体" w:eastAsia="宋体" w:cs="宋体"/>
          <w:color w:val="auto"/>
          <w:highlight w:val="none"/>
        </w:rPr>
      </w:pPr>
    </w:p>
    <w:p w14:paraId="58AF1F2A">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C10103"/>
    <w:rsid w:val="05C101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next w:val="1"/>
    <w:qFormat/>
    <w:uiPriority w:val="0"/>
    <w:pPr>
      <w:keepNext/>
      <w:widowControl w:val="0"/>
      <w:spacing w:before="50" w:beforeLines="50" w:after="50" w:afterLines="50" w:line="360" w:lineRule="auto"/>
      <w:jc w:val="center"/>
      <w:outlineLvl w:val="0"/>
    </w:pPr>
    <w:rPr>
      <w:rFonts w:ascii="黑体" w:hAnsi="黑体" w:eastAsia="黑体" w:cs="黑体"/>
      <w:b/>
      <w:bCs/>
      <w:kern w:val="32"/>
      <w:sz w:val="36"/>
      <w:szCs w:val="48"/>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2026-09-01T10:04:00Z</dcterms:created>
  <dc:creator>Administrator</dc:creator>
  <cp:lastModifiedBy>Administrator</cp:lastModifiedBy>
  <dcterms:modified xsi:type="dcterms:W3CDTF">2026-09-01T10:05:24Z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295D240A6A784E3298837FEFC1E804D6_11</vt:lpwstr>
  </property>
  <property fmtid="{D5CDD505-2E9C-101B-9397-08002B2CF9AE}" pid="4" name="KSOTemplateDocerSaveRecord">
    <vt:lpwstr>eyJoZGlkIjoiMjlmYjhmMDYzOGQ5NTk5ODJjMzhkOWU3Mjk0NjUzNDIiLCJ1c2VySWQiOiIxMTQwMzY5MDAwIn0=</vt:lpwstr>
  </property>
</Properties>
</file>