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D16AF">
      <w:pPr>
        <w:pStyle w:val="3"/>
        <w:keepNext w:val="0"/>
        <w:adjustRightInd w:val="0"/>
        <w:snapToGrid w:val="0"/>
        <w:spacing w:before="156" w:beforeLines="50" w:line="360" w:lineRule="auto"/>
        <w:rPr>
          <w:rFonts w:ascii="黑体" w:hAnsi="华文中宋" w:eastAsia="黑体"/>
          <w:color w:val="auto"/>
          <w:sz w:val="32"/>
          <w:szCs w:val="32"/>
          <w:highlight w:val="none"/>
        </w:rPr>
      </w:pPr>
      <w:bookmarkStart w:id="0" w:name="_Toc12252"/>
      <w:r>
        <w:rPr>
          <w:rFonts w:hint="eastAsia" w:ascii="黑体" w:hAnsi="华文中宋" w:eastAsia="黑体"/>
          <w:color w:val="auto"/>
          <w:sz w:val="32"/>
          <w:szCs w:val="32"/>
          <w:highlight w:val="none"/>
        </w:rPr>
        <w:t>采购需求</w:t>
      </w:r>
      <w:bookmarkEnd w:id="0"/>
    </w:p>
    <w:p w14:paraId="0C3392CD">
      <w:pPr>
        <w:pStyle w:val="4"/>
        <w:adjustRightInd w:val="0"/>
        <w:snapToGrid w:val="0"/>
        <w:spacing w:before="156" w:beforeLines="50"/>
        <w:jc w:val="center"/>
        <w:rPr>
          <w:rFonts w:ascii="黑体" w:hAnsi="黑体" w:eastAsia="黑体"/>
          <w:color w:val="auto"/>
          <w:sz w:val="28"/>
          <w:szCs w:val="28"/>
          <w:highlight w:val="none"/>
        </w:rPr>
      </w:pPr>
      <w:bookmarkStart w:id="1" w:name="_Toc3070"/>
      <w:r>
        <w:rPr>
          <w:rFonts w:hint="eastAsia" w:ascii="黑体" w:hAnsi="黑体" w:eastAsia="黑体"/>
          <w:color w:val="auto"/>
          <w:sz w:val="28"/>
          <w:szCs w:val="28"/>
          <w:highlight w:val="none"/>
        </w:rPr>
        <w:t>第一节 采购清单一览表</w:t>
      </w:r>
      <w:bookmarkEnd w:id="1"/>
    </w:p>
    <w:tbl>
      <w:tblPr>
        <w:tblStyle w:val="13"/>
        <w:tblW w:w="891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5"/>
        <w:gridCol w:w="1026"/>
        <w:gridCol w:w="2490"/>
        <w:gridCol w:w="2138"/>
        <w:gridCol w:w="1027"/>
        <w:gridCol w:w="835"/>
        <w:gridCol w:w="784"/>
      </w:tblGrid>
      <w:tr w14:paraId="5A52AB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jc w:val="center"/>
        </w:trPr>
        <w:tc>
          <w:tcPr>
            <w:tcW w:w="615" w:type="dxa"/>
            <w:noWrap w:val="0"/>
            <w:vAlign w:val="center"/>
          </w:tcPr>
          <w:p w14:paraId="07CEE650">
            <w:pPr>
              <w:adjustRightInd w:val="0"/>
              <w:snapToGrid w:val="0"/>
              <w:jc w:val="center"/>
              <w:rPr>
                <w:color w:val="auto"/>
                <w:szCs w:val="21"/>
                <w:highlight w:val="none"/>
              </w:rPr>
            </w:pPr>
            <w:r>
              <w:rPr>
                <w:rFonts w:hint="eastAsia"/>
                <w:color w:val="auto"/>
                <w:szCs w:val="21"/>
                <w:highlight w:val="none"/>
              </w:rPr>
              <w:t xml:space="preserve">包号 </w:t>
            </w:r>
          </w:p>
        </w:tc>
        <w:tc>
          <w:tcPr>
            <w:tcW w:w="1026" w:type="dxa"/>
            <w:noWrap w:val="0"/>
            <w:vAlign w:val="center"/>
          </w:tcPr>
          <w:p w14:paraId="64819B0B">
            <w:pPr>
              <w:adjustRightInd w:val="0"/>
              <w:snapToGrid w:val="0"/>
              <w:jc w:val="center"/>
              <w:rPr>
                <w:color w:val="auto"/>
                <w:szCs w:val="21"/>
                <w:highlight w:val="none"/>
              </w:rPr>
            </w:pPr>
            <w:r>
              <w:rPr>
                <w:rFonts w:hint="eastAsia"/>
                <w:color w:val="auto"/>
                <w:szCs w:val="21"/>
                <w:highlight w:val="none"/>
              </w:rPr>
              <w:t>包名称</w:t>
            </w:r>
          </w:p>
        </w:tc>
        <w:tc>
          <w:tcPr>
            <w:tcW w:w="2490" w:type="dxa"/>
            <w:noWrap w:val="0"/>
            <w:vAlign w:val="center"/>
          </w:tcPr>
          <w:p w14:paraId="0D7CC645">
            <w:pPr>
              <w:adjustRightInd w:val="0"/>
              <w:snapToGrid w:val="0"/>
              <w:jc w:val="center"/>
              <w:rPr>
                <w:color w:val="0C0C0C"/>
                <w:szCs w:val="21"/>
                <w:highlight w:val="none"/>
              </w:rPr>
            </w:pPr>
            <w:r>
              <w:rPr>
                <w:rFonts w:hint="eastAsia"/>
                <w:color w:val="0C0C0C"/>
                <w:szCs w:val="21"/>
                <w:highlight w:val="none"/>
              </w:rPr>
              <w:t>标的名称</w:t>
            </w:r>
          </w:p>
        </w:tc>
        <w:tc>
          <w:tcPr>
            <w:tcW w:w="2138" w:type="dxa"/>
            <w:tcBorders>
              <w:left w:val="single" w:color="auto" w:sz="4" w:space="0"/>
            </w:tcBorders>
            <w:noWrap w:val="0"/>
            <w:vAlign w:val="center"/>
          </w:tcPr>
          <w:p w14:paraId="5F4F2D0F">
            <w:pPr>
              <w:adjustRightInd w:val="0"/>
              <w:snapToGrid w:val="0"/>
              <w:jc w:val="center"/>
              <w:rPr>
                <w:color w:val="auto"/>
                <w:szCs w:val="21"/>
                <w:highlight w:val="none"/>
              </w:rPr>
            </w:pPr>
            <w:r>
              <w:rPr>
                <w:rFonts w:hint="eastAsia"/>
                <w:color w:val="auto"/>
                <w:szCs w:val="21"/>
                <w:highlight w:val="none"/>
              </w:rPr>
              <w:t>简要技术要求</w:t>
            </w:r>
          </w:p>
        </w:tc>
        <w:tc>
          <w:tcPr>
            <w:tcW w:w="1027" w:type="dxa"/>
            <w:tcBorders>
              <w:left w:val="single" w:color="auto" w:sz="4" w:space="0"/>
            </w:tcBorders>
            <w:noWrap w:val="0"/>
            <w:vAlign w:val="center"/>
          </w:tcPr>
          <w:p w14:paraId="67733EE6">
            <w:pPr>
              <w:adjustRightInd w:val="0"/>
              <w:snapToGrid w:val="0"/>
              <w:jc w:val="center"/>
              <w:rPr>
                <w:rFonts w:ascii="宋体" w:hAnsi="宋体" w:cs="宋体"/>
                <w:color w:val="0C0C0C"/>
                <w:kern w:val="0"/>
                <w:szCs w:val="21"/>
                <w:highlight w:val="none"/>
              </w:rPr>
            </w:pPr>
            <w:r>
              <w:rPr>
                <w:rFonts w:hint="eastAsia"/>
                <w:color w:val="0C0C0C"/>
                <w:szCs w:val="21"/>
                <w:highlight w:val="none"/>
              </w:rPr>
              <w:t>数量</w:t>
            </w:r>
          </w:p>
        </w:tc>
        <w:tc>
          <w:tcPr>
            <w:tcW w:w="835" w:type="dxa"/>
            <w:noWrap w:val="0"/>
            <w:vAlign w:val="center"/>
          </w:tcPr>
          <w:p w14:paraId="382AF78D">
            <w:pPr>
              <w:adjustRightInd w:val="0"/>
              <w:snapToGrid w:val="0"/>
              <w:jc w:val="center"/>
              <w:rPr>
                <w:color w:val="0C0C0C"/>
                <w:szCs w:val="21"/>
                <w:highlight w:val="none"/>
              </w:rPr>
            </w:pPr>
            <w:r>
              <w:rPr>
                <w:rFonts w:hint="eastAsia"/>
                <w:color w:val="0C0C0C"/>
                <w:szCs w:val="21"/>
                <w:highlight w:val="none"/>
              </w:rPr>
              <w:t>节能产品</w:t>
            </w:r>
          </w:p>
        </w:tc>
        <w:tc>
          <w:tcPr>
            <w:tcW w:w="784" w:type="dxa"/>
            <w:noWrap w:val="0"/>
            <w:vAlign w:val="center"/>
          </w:tcPr>
          <w:p w14:paraId="36A18056">
            <w:pPr>
              <w:adjustRightInd w:val="0"/>
              <w:snapToGrid w:val="0"/>
              <w:jc w:val="center"/>
              <w:rPr>
                <w:color w:val="0C0C0C"/>
                <w:szCs w:val="21"/>
                <w:highlight w:val="none"/>
              </w:rPr>
            </w:pPr>
            <w:r>
              <w:rPr>
                <w:rFonts w:hint="eastAsia"/>
                <w:color w:val="0C0C0C"/>
                <w:szCs w:val="21"/>
                <w:highlight w:val="none"/>
              </w:rPr>
              <w:t>进口产品</w:t>
            </w:r>
          </w:p>
        </w:tc>
      </w:tr>
      <w:tr w14:paraId="353B89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52" w:hRule="atLeast"/>
          <w:jc w:val="center"/>
        </w:trPr>
        <w:tc>
          <w:tcPr>
            <w:tcW w:w="615" w:type="dxa"/>
            <w:noWrap w:val="0"/>
            <w:vAlign w:val="center"/>
          </w:tcPr>
          <w:p w14:paraId="39C4C4F3">
            <w:pPr>
              <w:adjustRightInd w:val="0"/>
              <w:snapToGrid w:val="0"/>
              <w:spacing w:before="156" w:beforeLines="50" w:line="360" w:lineRule="auto"/>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1026" w:type="dxa"/>
            <w:noWrap w:val="0"/>
            <w:vAlign w:val="center"/>
          </w:tcPr>
          <w:p w14:paraId="03CD565E">
            <w:pPr>
              <w:adjustRightInd w:val="0"/>
              <w:snapToGrid w:val="0"/>
              <w:spacing w:before="156" w:beforeLines="50" w:line="360" w:lineRule="auto"/>
              <w:jc w:val="center"/>
              <w:rPr>
                <w:color w:val="0C0C0C"/>
                <w:szCs w:val="21"/>
                <w:highlight w:val="none"/>
              </w:rPr>
            </w:pPr>
            <w:r>
              <w:rPr>
                <w:rFonts w:hint="eastAsia" w:ascii="宋体" w:hAnsi="宋体"/>
                <w:color w:val="0C0C0C"/>
                <w:szCs w:val="21"/>
                <w:highlight w:val="none"/>
                <w:u w:val="none"/>
                <w:lang w:eastAsia="zh-CN"/>
              </w:rPr>
              <w:t>包</w:t>
            </w:r>
            <w:r>
              <w:rPr>
                <w:rFonts w:hint="eastAsia" w:ascii="宋体" w:hAnsi="宋体"/>
                <w:color w:val="0C0C0C"/>
                <w:szCs w:val="21"/>
                <w:highlight w:val="none"/>
                <w:u w:val="none"/>
                <w:lang w:val="en-US" w:eastAsia="zh-CN"/>
              </w:rPr>
              <w:t>1</w:t>
            </w:r>
          </w:p>
        </w:tc>
        <w:tc>
          <w:tcPr>
            <w:tcW w:w="2490" w:type="dxa"/>
            <w:noWrap w:val="0"/>
            <w:vAlign w:val="center"/>
          </w:tcPr>
          <w:p w14:paraId="5BA1DF15">
            <w:pPr>
              <w:adjustRightInd w:val="0"/>
              <w:snapToGrid w:val="0"/>
              <w:spacing w:before="156" w:beforeLines="50" w:line="360" w:lineRule="auto"/>
              <w:jc w:val="center"/>
              <w:rPr>
                <w:color w:val="0C0C0C"/>
                <w:szCs w:val="21"/>
                <w:highlight w:val="none"/>
              </w:rPr>
            </w:pPr>
            <w:r>
              <w:rPr>
                <w:rFonts w:hint="eastAsia"/>
                <w:color w:val="0C0C0C"/>
                <w:szCs w:val="21"/>
                <w:highlight w:val="none"/>
                <w:lang w:eastAsia="zh-CN"/>
              </w:rPr>
              <w:t>岳阳市公安局民辅警食堂劳务服务项目（2026年10月-2027年10月）</w:t>
            </w:r>
          </w:p>
        </w:tc>
        <w:tc>
          <w:tcPr>
            <w:tcW w:w="2138" w:type="dxa"/>
            <w:tcBorders>
              <w:left w:val="single" w:color="auto" w:sz="4" w:space="0"/>
            </w:tcBorders>
            <w:noWrap w:val="0"/>
            <w:vAlign w:val="center"/>
          </w:tcPr>
          <w:p w14:paraId="17219388">
            <w:pPr>
              <w:adjustRightInd w:val="0"/>
              <w:snapToGrid w:val="0"/>
              <w:spacing w:before="156" w:beforeLines="50" w:line="360" w:lineRule="auto"/>
              <w:jc w:val="center"/>
              <w:rPr>
                <w:rFonts w:hint="eastAsia" w:eastAsia="宋体"/>
                <w:color w:val="0C0C0C"/>
                <w:szCs w:val="21"/>
                <w:highlight w:val="none"/>
                <w:lang w:eastAsia="zh-CN"/>
              </w:rPr>
            </w:pPr>
            <w:r>
              <w:rPr>
                <w:rFonts w:hint="eastAsia"/>
                <w:color w:val="0C0C0C"/>
                <w:szCs w:val="21"/>
                <w:highlight w:val="none"/>
                <w:lang w:eastAsia="zh-CN"/>
              </w:rPr>
              <w:t>详见本章第二节</w:t>
            </w:r>
          </w:p>
        </w:tc>
        <w:tc>
          <w:tcPr>
            <w:tcW w:w="1027" w:type="dxa"/>
            <w:tcBorders>
              <w:left w:val="single" w:color="auto" w:sz="4" w:space="0"/>
            </w:tcBorders>
            <w:noWrap w:val="0"/>
            <w:vAlign w:val="center"/>
          </w:tcPr>
          <w:p w14:paraId="28EBF6C9">
            <w:pPr>
              <w:adjustRightInd w:val="0"/>
              <w:snapToGrid w:val="0"/>
              <w:spacing w:before="156" w:beforeLines="50" w:line="360" w:lineRule="auto"/>
              <w:jc w:val="center"/>
              <w:rPr>
                <w:rFonts w:hint="eastAsia" w:eastAsia="宋体"/>
                <w:color w:val="0C0C0C"/>
                <w:szCs w:val="21"/>
                <w:highlight w:val="none"/>
                <w:lang w:val="en-US" w:eastAsia="zh-CN"/>
              </w:rPr>
            </w:pPr>
            <w:r>
              <w:rPr>
                <w:rFonts w:hint="eastAsia"/>
                <w:color w:val="0C0C0C"/>
                <w:szCs w:val="21"/>
                <w:highlight w:val="none"/>
                <w:lang w:val="en-US" w:eastAsia="zh-CN"/>
              </w:rPr>
              <w:t>1批</w:t>
            </w:r>
          </w:p>
        </w:tc>
        <w:tc>
          <w:tcPr>
            <w:tcW w:w="835" w:type="dxa"/>
            <w:noWrap w:val="0"/>
            <w:vAlign w:val="center"/>
          </w:tcPr>
          <w:p w14:paraId="1DB9572A">
            <w:pPr>
              <w:adjustRightInd w:val="0"/>
              <w:snapToGrid w:val="0"/>
              <w:spacing w:before="156" w:beforeLines="50" w:line="360" w:lineRule="auto"/>
              <w:jc w:val="center"/>
              <w:rPr>
                <w:color w:val="0C0C0C"/>
                <w:szCs w:val="21"/>
                <w:highlight w:val="none"/>
              </w:rPr>
            </w:pPr>
            <w:r>
              <w:rPr>
                <w:rFonts w:hint="eastAsia" w:ascii="宋体" w:hAnsi="宋体"/>
                <w:iCs/>
                <w:color w:val="0C0C0C"/>
                <w:szCs w:val="21"/>
                <w:highlight w:val="none"/>
              </w:rPr>
              <w:sym w:font="Wingdings" w:char="00A8"/>
            </w:r>
          </w:p>
        </w:tc>
        <w:tc>
          <w:tcPr>
            <w:tcW w:w="784" w:type="dxa"/>
            <w:noWrap w:val="0"/>
            <w:vAlign w:val="center"/>
          </w:tcPr>
          <w:p w14:paraId="716C34D2">
            <w:pPr>
              <w:adjustRightInd w:val="0"/>
              <w:snapToGrid w:val="0"/>
              <w:spacing w:before="156" w:beforeLines="50" w:line="360" w:lineRule="auto"/>
              <w:jc w:val="center"/>
              <w:rPr>
                <w:rFonts w:hint="eastAsia" w:eastAsia="宋体"/>
                <w:color w:val="0C0C0C"/>
                <w:szCs w:val="21"/>
                <w:highlight w:val="none"/>
                <w:lang w:eastAsia="zh-CN"/>
              </w:rPr>
            </w:pPr>
            <w:r>
              <w:rPr>
                <w:rFonts w:hint="eastAsia"/>
                <w:color w:val="0C0C0C"/>
                <w:szCs w:val="21"/>
                <w:highlight w:val="none"/>
                <w:lang w:eastAsia="zh-CN"/>
              </w:rPr>
              <w:t>否</w:t>
            </w:r>
          </w:p>
        </w:tc>
      </w:tr>
    </w:tbl>
    <w:p w14:paraId="069B7E6D">
      <w:pPr>
        <w:adjustRightInd w:val="0"/>
        <w:snapToGrid w:val="0"/>
        <w:spacing w:before="156" w:beforeLines="50" w:line="360" w:lineRule="auto"/>
        <w:ind w:firstLine="420" w:firstLineChars="200"/>
        <w:rPr>
          <w:rFonts w:hint="eastAsia" w:ascii="宋体" w:hAnsi="宋体" w:eastAsia="宋体" w:cs="Times New Roman"/>
          <w:color w:val="auto"/>
          <w:szCs w:val="21"/>
          <w:highlight w:val="none"/>
        </w:rPr>
      </w:pPr>
    </w:p>
    <w:p w14:paraId="36D5E44B">
      <w:pPr>
        <w:pStyle w:val="2"/>
        <w:rPr>
          <w:rFonts w:hint="eastAsia" w:ascii="宋体" w:hAnsi="宋体" w:eastAsia="宋体" w:cs="Times New Roman"/>
          <w:color w:val="auto"/>
          <w:szCs w:val="21"/>
          <w:highlight w:val="none"/>
        </w:rPr>
      </w:pPr>
    </w:p>
    <w:p w14:paraId="0B665C77">
      <w:pPr>
        <w:rPr>
          <w:rFonts w:hint="eastAsia" w:ascii="宋体" w:hAnsi="宋体" w:eastAsia="宋体" w:cs="Times New Roman"/>
          <w:color w:val="auto"/>
          <w:szCs w:val="21"/>
          <w:highlight w:val="none"/>
        </w:rPr>
      </w:pPr>
    </w:p>
    <w:p w14:paraId="61D039D7">
      <w:pPr>
        <w:pStyle w:val="2"/>
        <w:rPr>
          <w:rFonts w:hint="eastAsia" w:ascii="宋体" w:hAnsi="宋体" w:eastAsia="宋体" w:cs="Times New Roman"/>
          <w:color w:val="auto"/>
          <w:szCs w:val="21"/>
          <w:highlight w:val="none"/>
        </w:rPr>
      </w:pPr>
    </w:p>
    <w:p w14:paraId="49DEF096">
      <w:pPr>
        <w:rPr>
          <w:rFonts w:hint="eastAsia" w:ascii="宋体" w:hAnsi="宋体" w:eastAsia="宋体" w:cs="Times New Roman"/>
          <w:color w:val="auto"/>
          <w:szCs w:val="21"/>
          <w:highlight w:val="none"/>
        </w:rPr>
      </w:pPr>
    </w:p>
    <w:p w14:paraId="7BD63DA0">
      <w:pPr>
        <w:pStyle w:val="2"/>
        <w:rPr>
          <w:rFonts w:hint="eastAsia" w:ascii="宋体" w:hAnsi="宋体" w:eastAsia="宋体" w:cs="Times New Roman"/>
          <w:color w:val="auto"/>
          <w:szCs w:val="21"/>
          <w:highlight w:val="none"/>
        </w:rPr>
      </w:pPr>
    </w:p>
    <w:p w14:paraId="3855502D">
      <w:pPr>
        <w:rPr>
          <w:rFonts w:hint="eastAsia" w:ascii="宋体" w:hAnsi="宋体" w:eastAsia="宋体" w:cs="Times New Roman"/>
          <w:color w:val="auto"/>
          <w:szCs w:val="21"/>
          <w:highlight w:val="none"/>
        </w:rPr>
      </w:pPr>
    </w:p>
    <w:p w14:paraId="7D32026B">
      <w:pPr>
        <w:pStyle w:val="2"/>
        <w:rPr>
          <w:rFonts w:hint="eastAsia" w:ascii="宋体" w:hAnsi="宋体" w:eastAsia="宋体" w:cs="Times New Roman"/>
          <w:color w:val="auto"/>
          <w:szCs w:val="21"/>
          <w:highlight w:val="none"/>
        </w:rPr>
      </w:pPr>
    </w:p>
    <w:p w14:paraId="38A9ED06">
      <w:pPr>
        <w:rPr>
          <w:rFonts w:hint="eastAsia" w:ascii="宋体" w:hAnsi="宋体" w:eastAsia="宋体" w:cs="Times New Roman"/>
          <w:color w:val="auto"/>
          <w:szCs w:val="21"/>
          <w:highlight w:val="none"/>
        </w:rPr>
      </w:pPr>
    </w:p>
    <w:p w14:paraId="7A1A9781">
      <w:pPr>
        <w:pStyle w:val="2"/>
        <w:rPr>
          <w:rFonts w:hint="eastAsia" w:ascii="宋体" w:hAnsi="宋体" w:eastAsia="宋体" w:cs="Times New Roman"/>
          <w:color w:val="auto"/>
          <w:szCs w:val="21"/>
          <w:highlight w:val="none"/>
        </w:rPr>
      </w:pPr>
    </w:p>
    <w:p w14:paraId="5A0ECCE1">
      <w:pPr>
        <w:rPr>
          <w:rFonts w:hint="eastAsia" w:ascii="宋体" w:hAnsi="宋体" w:eastAsia="宋体" w:cs="Times New Roman"/>
          <w:color w:val="auto"/>
          <w:szCs w:val="21"/>
          <w:highlight w:val="none"/>
        </w:rPr>
      </w:pPr>
    </w:p>
    <w:p w14:paraId="0D5FC554">
      <w:pPr>
        <w:pStyle w:val="2"/>
        <w:rPr>
          <w:rFonts w:hint="eastAsia" w:ascii="宋体" w:hAnsi="宋体" w:eastAsia="宋体" w:cs="Times New Roman"/>
          <w:color w:val="auto"/>
          <w:szCs w:val="21"/>
          <w:highlight w:val="none"/>
        </w:rPr>
      </w:pPr>
    </w:p>
    <w:p w14:paraId="64B1C2CA">
      <w:pPr>
        <w:rPr>
          <w:rFonts w:hint="eastAsia" w:ascii="宋体" w:hAnsi="宋体" w:eastAsia="宋体" w:cs="Times New Roman"/>
          <w:color w:val="auto"/>
          <w:szCs w:val="21"/>
          <w:highlight w:val="none"/>
        </w:rPr>
      </w:pPr>
    </w:p>
    <w:p w14:paraId="20B10AB7">
      <w:pPr>
        <w:pStyle w:val="2"/>
        <w:rPr>
          <w:rFonts w:hint="eastAsia"/>
        </w:rPr>
      </w:pPr>
    </w:p>
    <w:p w14:paraId="70E16E1B">
      <w:pPr>
        <w:pStyle w:val="16"/>
        <w:rPr>
          <w:rFonts w:ascii="宋体" w:hAnsi="宋体" w:cs="宋体"/>
          <w:color w:val="auto"/>
          <w:kern w:val="0"/>
          <w:highlight w:val="none"/>
        </w:rPr>
      </w:pPr>
    </w:p>
    <w:p w14:paraId="254F5300">
      <w:pPr>
        <w:pStyle w:val="16"/>
        <w:rPr>
          <w:rFonts w:ascii="宋体" w:hAnsi="宋体" w:cs="宋体"/>
          <w:color w:val="auto"/>
          <w:kern w:val="0"/>
          <w:highlight w:val="none"/>
        </w:rPr>
      </w:pPr>
    </w:p>
    <w:p w14:paraId="08CC6A5C">
      <w:pPr>
        <w:pStyle w:val="16"/>
        <w:rPr>
          <w:rFonts w:ascii="宋体" w:hAnsi="宋体" w:cs="宋体"/>
          <w:color w:val="auto"/>
          <w:kern w:val="0"/>
          <w:highlight w:val="none"/>
        </w:rPr>
      </w:pPr>
    </w:p>
    <w:p w14:paraId="346384B1">
      <w:pPr>
        <w:pStyle w:val="16"/>
        <w:rPr>
          <w:rFonts w:ascii="宋体" w:hAnsi="宋体" w:cs="宋体"/>
          <w:color w:val="auto"/>
          <w:kern w:val="0"/>
          <w:highlight w:val="none"/>
        </w:rPr>
      </w:pPr>
    </w:p>
    <w:p w14:paraId="6A462412">
      <w:pPr>
        <w:pStyle w:val="16"/>
        <w:rPr>
          <w:rFonts w:ascii="宋体" w:hAnsi="宋体" w:cs="宋体"/>
          <w:color w:val="auto"/>
          <w:kern w:val="0"/>
          <w:highlight w:val="none"/>
        </w:rPr>
      </w:pPr>
    </w:p>
    <w:p w14:paraId="019A735D">
      <w:pPr>
        <w:pStyle w:val="16"/>
        <w:rPr>
          <w:rFonts w:ascii="宋体" w:hAnsi="宋体" w:cs="宋体"/>
          <w:color w:val="auto"/>
          <w:kern w:val="0"/>
          <w:highlight w:val="none"/>
        </w:rPr>
      </w:pPr>
    </w:p>
    <w:p w14:paraId="5176891E">
      <w:pPr>
        <w:pStyle w:val="16"/>
        <w:rPr>
          <w:rFonts w:ascii="宋体" w:hAnsi="宋体" w:cs="宋体"/>
          <w:color w:val="auto"/>
          <w:kern w:val="0"/>
          <w:highlight w:val="none"/>
        </w:rPr>
      </w:pPr>
    </w:p>
    <w:p w14:paraId="2AF31AF6">
      <w:pPr>
        <w:pStyle w:val="16"/>
        <w:rPr>
          <w:rFonts w:ascii="宋体" w:hAnsi="宋体" w:cs="宋体"/>
          <w:color w:val="auto"/>
          <w:kern w:val="0"/>
          <w:highlight w:val="none"/>
        </w:rPr>
      </w:pPr>
    </w:p>
    <w:p w14:paraId="019543F3">
      <w:pPr>
        <w:pStyle w:val="16"/>
        <w:rPr>
          <w:rFonts w:ascii="宋体" w:hAnsi="宋体" w:cs="宋体"/>
          <w:color w:val="auto"/>
          <w:kern w:val="0"/>
          <w:highlight w:val="none"/>
        </w:rPr>
      </w:pPr>
    </w:p>
    <w:p w14:paraId="419D0742">
      <w:pPr>
        <w:pStyle w:val="16"/>
        <w:rPr>
          <w:rFonts w:ascii="宋体" w:hAnsi="宋体" w:cs="宋体"/>
          <w:color w:val="auto"/>
          <w:kern w:val="0"/>
          <w:highlight w:val="none"/>
        </w:rPr>
      </w:pPr>
    </w:p>
    <w:p w14:paraId="7D3338AB">
      <w:pPr>
        <w:pStyle w:val="16"/>
        <w:rPr>
          <w:rFonts w:ascii="宋体" w:hAnsi="宋体" w:cs="宋体"/>
          <w:color w:val="auto"/>
          <w:kern w:val="0"/>
          <w:highlight w:val="none"/>
        </w:rPr>
      </w:pPr>
    </w:p>
    <w:p w14:paraId="6E7AD29F">
      <w:pPr>
        <w:pStyle w:val="16"/>
        <w:rPr>
          <w:rFonts w:ascii="宋体" w:hAnsi="宋体" w:cs="宋体"/>
          <w:color w:val="auto"/>
          <w:kern w:val="0"/>
          <w:highlight w:val="none"/>
        </w:rPr>
      </w:pPr>
    </w:p>
    <w:p w14:paraId="7A982214">
      <w:pPr>
        <w:pStyle w:val="16"/>
        <w:rPr>
          <w:rFonts w:ascii="宋体" w:hAnsi="宋体" w:cs="宋体"/>
          <w:color w:val="auto"/>
          <w:kern w:val="0"/>
          <w:highlight w:val="none"/>
        </w:rPr>
      </w:pPr>
    </w:p>
    <w:p w14:paraId="01568E94">
      <w:pPr>
        <w:pStyle w:val="16"/>
        <w:rPr>
          <w:rFonts w:ascii="宋体" w:hAnsi="宋体" w:cs="宋体"/>
          <w:color w:val="auto"/>
          <w:kern w:val="0"/>
          <w:highlight w:val="none"/>
        </w:rPr>
      </w:pPr>
    </w:p>
    <w:p w14:paraId="2B2456E5">
      <w:pPr>
        <w:pStyle w:val="4"/>
        <w:adjustRightInd w:val="0"/>
        <w:snapToGrid w:val="0"/>
        <w:spacing w:before="156" w:beforeLines="50"/>
        <w:jc w:val="center"/>
        <w:rPr>
          <w:rFonts w:ascii="黑体" w:hAnsi="黑体" w:eastAsia="黑体"/>
          <w:color w:val="auto"/>
          <w:sz w:val="28"/>
          <w:szCs w:val="28"/>
          <w:highlight w:val="none"/>
        </w:rPr>
      </w:pPr>
      <w:bookmarkStart w:id="2" w:name="_Toc13301"/>
      <w:r>
        <w:rPr>
          <w:rFonts w:hint="eastAsia" w:ascii="黑体" w:hAnsi="黑体" w:eastAsia="黑体"/>
          <w:color w:val="auto"/>
          <w:sz w:val="28"/>
          <w:szCs w:val="28"/>
          <w:highlight w:val="none"/>
        </w:rPr>
        <w:t xml:space="preserve">第二节 </w:t>
      </w:r>
      <w:r>
        <w:rPr>
          <w:rFonts w:ascii="黑体" w:hAnsi="黑体" w:eastAsia="黑体"/>
          <w:color w:val="auto"/>
          <w:sz w:val="28"/>
          <w:szCs w:val="28"/>
          <w:highlight w:val="none"/>
        </w:rPr>
        <w:t>技术要求</w:t>
      </w:r>
      <w:bookmarkEnd w:id="2"/>
    </w:p>
    <w:p w14:paraId="762B71D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0C0C0C"/>
          <w:kern w:val="0"/>
          <w:szCs w:val="21"/>
          <w:highlight w:val="none"/>
        </w:rPr>
      </w:pPr>
      <w:r>
        <w:rPr>
          <w:rFonts w:hint="eastAsia" w:ascii="宋体" w:hAnsi="宋体"/>
          <w:b/>
          <w:bCs/>
          <w:color w:val="000000"/>
          <w:szCs w:val="21"/>
          <w:highlight w:val="none"/>
        </w:rPr>
        <w:t>一</w:t>
      </w:r>
      <w:r>
        <w:rPr>
          <w:rFonts w:hint="eastAsia" w:ascii="宋体" w:hAnsi="宋体"/>
          <w:b/>
          <w:bCs/>
          <w:color w:val="0C0C0C"/>
          <w:szCs w:val="21"/>
          <w:highlight w:val="none"/>
        </w:rPr>
        <w:t>、</w:t>
      </w:r>
      <w:r>
        <w:rPr>
          <w:rFonts w:hint="eastAsia" w:ascii="宋体" w:hAnsi="宋体" w:cs="宋体"/>
          <w:b/>
          <w:bCs/>
          <w:color w:val="0C0C0C"/>
          <w:kern w:val="0"/>
          <w:szCs w:val="21"/>
          <w:highlight w:val="none"/>
        </w:rPr>
        <w:t>采购标的需实现的功能或者目标</w:t>
      </w:r>
    </w:p>
    <w:p w14:paraId="3C85C147">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标的功能：采购食堂全套劳务服务，保障岳阳市公安局民辅警食堂在服务首期内平稳运营，完成食堂日常后厨烹制、食材加工、前厅就餐服务、仓储物资管控、现场项目统筹全链条劳务工作，为民辅警提供合规规范、卫生达标的稳定就餐配套服务，全面支撑食堂全周期标准化运营。</w:t>
      </w:r>
    </w:p>
    <w:p w14:paraId="7A570FAC">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服务周期目标区间：本项目服务周期为1年（首期），服务期内须不间断提供食堂全流程劳务保障，维持就餐秩序平稳、后厨作业规范有序、仓储物资管控合规到位，全面防范用工管理、食品安全等各类运营风险。</w:t>
      </w:r>
    </w:p>
    <w:p w14:paraId="2892E242">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项目覆盖范围及就餐人次明细：</w:t>
      </w:r>
    </w:p>
    <w:p w14:paraId="19BC6C4A">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本项目服务范围包括岳阳市公安局机关本部食堂（即一食堂）、东风广场食堂（即二食堂）、森警院落食堂（即三食堂）、监管中心食堂（即四食堂）、警犬基地食堂、公交大队食堂、</w:t>
      </w:r>
      <w:r>
        <w:rPr>
          <w:rFonts w:hint="eastAsia"/>
          <w:color w:val="0C0C0C"/>
          <w:highlight w:val="none"/>
          <w:lang w:val="en-US" w:eastAsia="zh-CN"/>
        </w:rPr>
        <w:t>指居点食堂，以及采购人应急保障场景下另行指定的服务点位</w:t>
      </w:r>
      <w:r>
        <w:rPr>
          <w:rFonts w:hint="eastAsia" w:ascii="Times New Roman" w:hAnsi="Times New Roman" w:eastAsia="宋体" w:cs="Times New Roman"/>
          <w:color w:val="0C0C0C"/>
          <w:lang w:val="en-US" w:eastAsia="zh-CN"/>
        </w:rPr>
        <w:t>。各食堂工作日、周末的早餐、中餐、晚餐就餐人次、桌餐需求如下：</w:t>
      </w:r>
    </w:p>
    <w:p w14:paraId="07EF451E">
      <w:pPr>
        <w:widowControl w:val="0"/>
        <w:numPr>
          <w:ilvl w:val="0"/>
          <w:numId w:val="0"/>
        </w:numPr>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（1）一食堂：工作日早餐日均500人次、中餐日均420人次、晚餐日均120人次，月均桌餐40桌；周末（含法定节假日）早餐日均65人</w:t>
      </w:r>
      <w:r>
        <w:rPr>
          <w:rFonts w:hint="eastAsia" w:ascii="Times New Roman" w:hAnsi="Times New Roman" w:eastAsia="宋体" w:cs="Times New Roman"/>
          <w:color w:val="0C0C0C"/>
          <w:highlight w:val="none"/>
          <w:lang w:val="en-US" w:eastAsia="zh-CN"/>
        </w:rPr>
        <w:t>次、</w:t>
      </w:r>
      <w:r>
        <w:rPr>
          <w:rFonts w:hint="eastAsia" w:ascii="Times New Roman" w:hAnsi="Times New Roman" w:eastAsia="宋体" w:cs="Times New Roman"/>
          <w:color w:val="0C0C0C"/>
          <w:lang w:val="en-US" w:eastAsia="zh-CN"/>
        </w:rPr>
        <w:t>中餐日均55人</w:t>
      </w:r>
      <w:r>
        <w:rPr>
          <w:rFonts w:hint="eastAsia" w:ascii="Times New Roman" w:hAnsi="Times New Roman" w:eastAsia="宋体" w:cs="Times New Roman"/>
          <w:color w:val="0C0C0C"/>
          <w:highlight w:val="none"/>
          <w:lang w:val="en-US" w:eastAsia="zh-CN"/>
        </w:rPr>
        <w:t>次</w:t>
      </w:r>
      <w:r>
        <w:rPr>
          <w:rFonts w:hint="eastAsia" w:ascii="Times New Roman" w:hAnsi="Times New Roman" w:eastAsia="宋体" w:cs="Times New Roman"/>
          <w:color w:val="0C0C0C"/>
          <w:lang w:val="en-US" w:eastAsia="zh-CN"/>
        </w:rPr>
        <w:t>、晚餐日均4</w:t>
      </w:r>
      <w:r>
        <w:rPr>
          <w:rFonts w:hint="eastAsia" w:ascii="Times New Roman" w:hAnsi="Times New Roman" w:eastAsia="宋体" w:cs="Times New Roman"/>
          <w:color w:val="0C0C0C"/>
          <w:highlight w:val="none"/>
          <w:lang w:val="en-US" w:eastAsia="zh-CN"/>
        </w:rPr>
        <w:t>5人次；</w:t>
      </w:r>
    </w:p>
    <w:p w14:paraId="08B94F2A">
      <w:pPr>
        <w:widowControl w:val="0"/>
        <w:numPr>
          <w:ilvl w:val="0"/>
          <w:numId w:val="0"/>
        </w:numPr>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 xml:space="preserve">（2）二食堂：工作日早餐日均60人次、中餐日均60 人次、晚餐日均10 人次，周末（含法定节假日）不开餐； </w:t>
      </w:r>
    </w:p>
    <w:p w14:paraId="340A5E67">
      <w:pPr>
        <w:widowControl w:val="0"/>
        <w:numPr>
          <w:ilvl w:val="0"/>
          <w:numId w:val="0"/>
        </w:numPr>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（3）三食堂：工作日早餐日均50人次、中餐日均55 人次、晚餐日均5人次，周末（含法定节假日）不开餐；</w:t>
      </w:r>
    </w:p>
    <w:p w14:paraId="6ED3247F">
      <w:pPr>
        <w:widowControl w:val="0"/>
        <w:numPr>
          <w:ilvl w:val="0"/>
          <w:numId w:val="0"/>
        </w:numPr>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（4）四食堂：工作日早餐日均110人次、中餐日均75人次、晚餐日均45人次；周末（含法定节假日）早餐日均5</w:t>
      </w:r>
      <w:r>
        <w:rPr>
          <w:rFonts w:hint="eastAsia" w:ascii="Times New Roman" w:hAnsi="Times New Roman" w:eastAsia="宋体" w:cs="Times New Roman"/>
          <w:color w:val="0C0C0C"/>
          <w:highlight w:val="none"/>
          <w:lang w:val="en-US" w:eastAsia="zh-CN"/>
        </w:rPr>
        <w:t>5人次、中餐</w:t>
      </w:r>
      <w:r>
        <w:rPr>
          <w:rFonts w:hint="eastAsia" w:ascii="Times New Roman" w:hAnsi="Times New Roman" w:eastAsia="宋体" w:cs="Times New Roman"/>
          <w:color w:val="0C0C0C"/>
          <w:lang w:val="en-US" w:eastAsia="zh-CN"/>
        </w:rPr>
        <w:t>日均</w:t>
      </w:r>
      <w:r>
        <w:rPr>
          <w:rFonts w:hint="eastAsia" w:ascii="Times New Roman" w:hAnsi="Times New Roman" w:eastAsia="宋体" w:cs="Times New Roman"/>
          <w:color w:val="0C0C0C"/>
          <w:highlight w:val="none"/>
          <w:lang w:val="en-US" w:eastAsia="zh-CN"/>
        </w:rPr>
        <w:t>40 人次、晚餐</w:t>
      </w:r>
      <w:r>
        <w:rPr>
          <w:rFonts w:hint="eastAsia" w:ascii="Times New Roman" w:hAnsi="Times New Roman" w:eastAsia="宋体" w:cs="Times New Roman"/>
          <w:color w:val="0C0C0C"/>
          <w:lang w:val="en-US" w:eastAsia="zh-CN"/>
        </w:rPr>
        <w:t>日均</w:t>
      </w:r>
      <w:r>
        <w:rPr>
          <w:rFonts w:hint="eastAsia" w:ascii="Times New Roman" w:hAnsi="Times New Roman" w:eastAsia="宋体" w:cs="Times New Roman"/>
          <w:color w:val="0C0C0C"/>
          <w:highlight w:val="none"/>
          <w:lang w:val="en-US" w:eastAsia="zh-CN"/>
        </w:rPr>
        <w:t>30 人次；</w:t>
      </w:r>
    </w:p>
    <w:p w14:paraId="5991631F">
      <w:pPr>
        <w:widowControl w:val="0"/>
        <w:numPr>
          <w:ilvl w:val="0"/>
          <w:numId w:val="0"/>
        </w:numPr>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（5）警犬基地食</w:t>
      </w:r>
      <w:r>
        <w:rPr>
          <w:rFonts w:hint="eastAsia" w:ascii="Times New Roman" w:hAnsi="Times New Roman" w:eastAsia="宋体" w:cs="Times New Roman"/>
          <w:color w:val="0C0C0C"/>
          <w:highlight w:val="none"/>
          <w:lang w:val="en-US" w:eastAsia="zh-CN"/>
        </w:rPr>
        <w:t>堂：工作日早餐</w:t>
      </w:r>
      <w:r>
        <w:rPr>
          <w:rFonts w:hint="eastAsia" w:ascii="Times New Roman" w:hAnsi="Times New Roman" w:eastAsia="宋体" w:cs="Times New Roman"/>
          <w:color w:val="0C0C0C"/>
          <w:lang w:val="en-US" w:eastAsia="zh-CN"/>
        </w:rPr>
        <w:t>日均</w:t>
      </w:r>
      <w:r>
        <w:rPr>
          <w:rFonts w:hint="eastAsia" w:ascii="Times New Roman" w:hAnsi="Times New Roman" w:eastAsia="宋体" w:cs="Times New Roman"/>
          <w:color w:val="0C0C0C"/>
          <w:highlight w:val="none"/>
          <w:lang w:val="en-US" w:eastAsia="zh-CN"/>
        </w:rPr>
        <w:t>10人次、中餐</w:t>
      </w:r>
      <w:r>
        <w:rPr>
          <w:rFonts w:hint="eastAsia" w:ascii="Times New Roman" w:hAnsi="Times New Roman" w:eastAsia="宋体" w:cs="Times New Roman"/>
          <w:color w:val="0C0C0C"/>
          <w:lang w:val="en-US" w:eastAsia="zh-CN"/>
        </w:rPr>
        <w:t>日均</w:t>
      </w:r>
      <w:r>
        <w:rPr>
          <w:rFonts w:hint="eastAsia" w:ascii="Times New Roman" w:hAnsi="Times New Roman" w:eastAsia="宋体" w:cs="Times New Roman"/>
          <w:color w:val="0C0C0C"/>
          <w:highlight w:val="none"/>
          <w:lang w:val="en-US" w:eastAsia="zh-CN"/>
        </w:rPr>
        <w:t>12人次、晚餐</w:t>
      </w:r>
      <w:r>
        <w:rPr>
          <w:rFonts w:hint="eastAsia" w:ascii="Times New Roman" w:hAnsi="Times New Roman" w:eastAsia="宋体" w:cs="Times New Roman"/>
          <w:color w:val="0C0C0C"/>
          <w:lang w:val="en-US" w:eastAsia="zh-CN"/>
        </w:rPr>
        <w:t>日均</w:t>
      </w:r>
      <w:r>
        <w:rPr>
          <w:rFonts w:hint="eastAsia" w:ascii="Times New Roman" w:hAnsi="Times New Roman" w:eastAsia="宋体" w:cs="Times New Roman"/>
          <w:color w:val="0C0C0C"/>
          <w:highlight w:val="none"/>
          <w:lang w:val="en-US" w:eastAsia="zh-CN"/>
        </w:rPr>
        <w:t>10人次，周末（含法定节假日）</w:t>
      </w:r>
      <w:r>
        <w:rPr>
          <w:rFonts w:hint="eastAsia" w:ascii="Times New Roman" w:hAnsi="Times New Roman" w:eastAsia="宋体" w:cs="Times New Roman"/>
          <w:color w:val="0C0C0C"/>
          <w:lang w:val="en-US" w:eastAsia="zh-CN"/>
        </w:rPr>
        <w:t>日均</w:t>
      </w:r>
      <w:r>
        <w:rPr>
          <w:rFonts w:hint="eastAsia" w:ascii="Times New Roman" w:hAnsi="Times New Roman" w:eastAsia="宋体" w:cs="Times New Roman"/>
          <w:color w:val="0C0C0C"/>
          <w:highlight w:val="none"/>
          <w:lang w:val="en-US" w:eastAsia="zh-CN"/>
        </w:rPr>
        <w:t xml:space="preserve">2人次； </w:t>
      </w:r>
    </w:p>
    <w:p w14:paraId="450D840D">
      <w:pPr>
        <w:widowControl w:val="0"/>
        <w:numPr>
          <w:ilvl w:val="0"/>
          <w:numId w:val="0"/>
        </w:numPr>
        <w:spacing w:line="360" w:lineRule="auto"/>
        <w:ind w:firstLine="210" w:firstLineChars="100"/>
        <w:rPr>
          <w:rFonts w:hint="eastAsia" w:ascii="Times New Roman" w:hAnsi="Times New Roman" w:eastAsia="宋体" w:cs="Times New Roman"/>
          <w:color w:val="0C0C0C"/>
          <w:highlight w:val="none"/>
          <w:lang w:val="en-US" w:eastAsia="zh-CN"/>
        </w:rPr>
      </w:pPr>
      <w:r>
        <w:rPr>
          <w:rFonts w:hint="eastAsia" w:ascii="Times New Roman" w:hAnsi="Times New Roman" w:eastAsia="宋体" w:cs="Times New Roman"/>
          <w:color w:val="0C0C0C"/>
          <w:lang w:val="en-US" w:eastAsia="zh-CN"/>
        </w:rPr>
        <w:t>（6）公交大队食堂：工作日早餐日均</w:t>
      </w:r>
      <w:r>
        <w:rPr>
          <w:rFonts w:hint="eastAsia" w:ascii="Times New Roman" w:hAnsi="Times New Roman" w:eastAsia="宋体" w:cs="Times New Roman"/>
          <w:color w:val="0C0C0C"/>
          <w:highlight w:val="none"/>
          <w:lang w:val="en-US" w:eastAsia="zh-CN"/>
        </w:rPr>
        <w:t>25人次、中餐</w:t>
      </w:r>
      <w:r>
        <w:rPr>
          <w:rFonts w:hint="eastAsia" w:ascii="Times New Roman" w:hAnsi="Times New Roman" w:eastAsia="宋体" w:cs="Times New Roman"/>
          <w:color w:val="0C0C0C"/>
          <w:lang w:val="en-US" w:eastAsia="zh-CN"/>
        </w:rPr>
        <w:t>日均</w:t>
      </w:r>
      <w:r>
        <w:rPr>
          <w:rFonts w:hint="eastAsia" w:ascii="Times New Roman" w:hAnsi="Times New Roman" w:eastAsia="宋体" w:cs="Times New Roman"/>
          <w:color w:val="0C0C0C"/>
          <w:highlight w:val="none"/>
          <w:lang w:val="en-US" w:eastAsia="zh-CN"/>
        </w:rPr>
        <w:t>30人次、晚餐</w:t>
      </w:r>
      <w:r>
        <w:rPr>
          <w:rFonts w:hint="eastAsia" w:ascii="Times New Roman" w:hAnsi="Times New Roman" w:eastAsia="宋体" w:cs="Times New Roman"/>
          <w:color w:val="0C0C0C"/>
          <w:lang w:val="en-US" w:eastAsia="zh-CN"/>
        </w:rPr>
        <w:t>日均</w:t>
      </w:r>
      <w:r>
        <w:rPr>
          <w:rFonts w:hint="eastAsia" w:ascii="Times New Roman" w:hAnsi="Times New Roman" w:eastAsia="宋体" w:cs="Times New Roman"/>
          <w:color w:val="0C0C0C"/>
          <w:highlight w:val="none"/>
          <w:lang w:val="en-US" w:eastAsia="zh-CN"/>
        </w:rPr>
        <w:t>8人次</w:t>
      </w:r>
      <w:r>
        <w:rPr>
          <w:rFonts w:hint="eastAsia" w:ascii="Times New Roman" w:hAnsi="Times New Roman" w:eastAsia="宋体" w:cs="Times New Roman"/>
          <w:color w:val="0C0C0C"/>
          <w:lang w:val="en-US" w:eastAsia="zh-CN"/>
        </w:rPr>
        <w:t>，周末（含法定节假日）日均8</w:t>
      </w:r>
      <w:r>
        <w:rPr>
          <w:rFonts w:hint="eastAsia" w:ascii="Times New Roman" w:hAnsi="Times New Roman" w:eastAsia="宋体" w:cs="Times New Roman"/>
          <w:color w:val="0C0C0C"/>
          <w:highlight w:val="none"/>
          <w:lang w:val="en-US" w:eastAsia="zh-CN"/>
        </w:rPr>
        <w:t>人次。</w:t>
      </w:r>
    </w:p>
    <w:p w14:paraId="5C62960F">
      <w:pPr>
        <w:widowControl w:val="0"/>
        <w:numPr>
          <w:ilvl w:val="0"/>
          <w:numId w:val="0"/>
        </w:numPr>
        <w:spacing w:line="360" w:lineRule="auto"/>
        <w:ind w:firstLine="210" w:firstLineChars="100"/>
        <w:rPr>
          <w:rFonts w:hint="eastAsia" w:ascii="Times New Roman" w:hAnsi="Times New Roman" w:eastAsia="宋体" w:cs="Times New Roman"/>
          <w:color w:val="0C0C0C"/>
          <w:highlight w:val="none"/>
          <w:lang w:val="en-US" w:eastAsia="zh-CN"/>
        </w:rPr>
      </w:pPr>
      <w:r>
        <w:rPr>
          <w:rFonts w:hint="eastAsia" w:ascii="Times New Roman" w:hAnsi="Times New Roman" w:eastAsia="宋体" w:cs="Times New Roman"/>
          <w:color w:val="0C0C0C"/>
          <w:highlight w:val="none"/>
          <w:lang w:val="en-US" w:eastAsia="zh-CN"/>
        </w:rPr>
        <w:t>（7）指居点食堂：因指居点暂未启用，暂不需提供食堂劳务服务。指居点启用后，中标人须按采购人临时供餐通知启动供餐保障，无通知时段无需派驻人员、不产生对应服务费用（费用构成包括人员工资、福利、社保、服装费、管理费、税金等全部相关费用）。投标人报价时须自行综合研判就餐需求波动、阶段性空档的经营风险，相关费用全部纳入分项报价，采购人不单独补偿闲置损失。</w:t>
      </w:r>
    </w:p>
    <w:p w14:paraId="638C7E7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0D0D0D" w:themeColor="text1" w:themeTint="F2"/>
          <w:kern w:val="0"/>
          <w:szCs w:val="21"/>
          <w:highlight w:val="none"/>
          <w14:textFill>
            <w14:solidFill>
              <w14:schemeClr w14:val="tx1">
                <w14:lumMod w14:val="95000"/>
                <w14:lumOff w14:val="5000"/>
              </w14:schemeClr>
            </w14:solidFill>
          </w14:textFill>
        </w:rPr>
      </w:pPr>
      <w:r>
        <w:rPr>
          <w:rFonts w:hint="eastAsia" w:ascii="宋体" w:hAnsi="宋体"/>
          <w:b/>
          <w:bCs/>
          <w:color w:val="0C0C0C"/>
          <w:szCs w:val="21"/>
          <w:highlight w:val="none"/>
        </w:rPr>
        <w:t>二、</w:t>
      </w:r>
      <w:r>
        <w:rPr>
          <w:rFonts w:hint="eastAsia" w:ascii="宋体" w:hAnsi="宋体" w:cs="宋体"/>
          <w:b/>
          <w:bCs/>
          <w:color w:val="0C0C0C"/>
          <w:kern w:val="0"/>
          <w:szCs w:val="21"/>
          <w:highlight w:val="none"/>
        </w:rPr>
        <w:t>采购标的需执行的</w:t>
      </w:r>
      <w:r>
        <w:rPr>
          <w:rFonts w:hint="eastAsia" w:ascii="宋体" w:hAnsi="宋体" w:cs="宋体"/>
          <w:b/>
          <w:bCs/>
          <w:color w:val="0D0D0D" w:themeColor="text1" w:themeTint="F2"/>
          <w:kern w:val="0"/>
          <w:szCs w:val="21"/>
          <w:highlight w:val="none"/>
          <w14:textFill>
            <w14:solidFill>
              <w14:schemeClr w14:val="tx1">
                <w14:lumMod w14:val="95000"/>
                <w14:lumOff w14:val="5000"/>
              </w14:schemeClr>
            </w14:solidFill>
          </w14:textFill>
        </w:rPr>
        <w:t>国家相关标准、行业标准、地方标准或者其他标准、规范</w:t>
      </w:r>
    </w:p>
    <w:p w14:paraId="02D61AB1">
      <w:pPr>
        <w:widowControl w:val="0"/>
        <w:spacing w:line="360" w:lineRule="auto"/>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lang w:val="en-US" w:eastAsia="zh-CN"/>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t>2.1强制性法律法规、国家强制标准</w:t>
      </w:r>
    </w:p>
    <w:p w14:paraId="0B783EC8">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食品安全类：严格执行《中华人民共和国食品安全法》、《餐饮服务食品安全操作规范》，食堂食材储存、加工、烹饪、消杀、就餐环境卫生全流程满足法定餐饮卫生强制要求；</w:t>
      </w:r>
    </w:p>
    <w:p w14:paraId="19210919">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劳动用工类：全面遵循《中华人民共和国劳动法》、《中华人民共和国劳动合同法》、《中华人民共和国社会保险法》，规范员工薪酬发放、社保缴纳、加班薪酬核算、休息休假、劳动保护全流程用工管理；其中法定节假日加班薪酬，严格按照《中华人民共和国劳动法》规定的3倍工资标准执行。</w:t>
      </w:r>
    </w:p>
    <w:p w14:paraId="2ADAE680">
      <w:pPr>
        <w:widowControl w:val="0"/>
        <w:spacing w:line="360" w:lineRule="auto"/>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2.2行业执行标准</w:t>
      </w:r>
    </w:p>
    <w:p w14:paraId="2606D3CC">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从业人员工装配置、在岗着装执行餐饮食堂从业人员统一着装行业标准，全体人员在岗期间着装统一、干净整洁。</w:t>
      </w:r>
    </w:p>
    <w:p w14:paraId="549F8155">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textAlignment w:val="auto"/>
        <w:rPr>
          <w:rFonts w:hint="eastAsia" w:ascii="宋体" w:hAnsi="宋体" w:cs="宋体"/>
          <w:b/>
          <w:bCs/>
          <w:color w:val="0C0C0C"/>
          <w:kern w:val="0"/>
          <w:szCs w:val="21"/>
          <w:highlight w:val="none"/>
        </w:rPr>
      </w:pPr>
      <w:r>
        <w:rPr>
          <w:rFonts w:hint="eastAsia" w:ascii="宋体" w:hAnsi="宋体" w:cs="宋体"/>
          <w:b/>
          <w:bCs/>
          <w:color w:val="0C0C0C"/>
          <w:kern w:val="0"/>
          <w:szCs w:val="21"/>
          <w:highlight w:val="none"/>
        </w:rPr>
        <w:t>采购标的需满足的质量、安全、技术规格、物理特性等要求</w:t>
      </w:r>
    </w:p>
    <w:p w14:paraId="4F8C73D5">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3.1服务内容</w:t>
      </w:r>
    </w:p>
    <w:p w14:paraId="0D2F4598">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 xml:space="preserve">3.1.1服务对象：岳阳市公安局在职民警、辅警、单位工勤人员、离退休人员，以及单位公务来访、会议接待等公务就餐对象。 </w:t>
      </w:r>
    </w:p>
    <w:p w14:paraId="172D2E26">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 xml:space="preserve">3.1.2供餐模式：日常内部人员就餐采用分餐堂食模式；公务接待、加班误餐、会议就餐统一采用桌餐模式，采购人可根据实际工作需求调整供餐形式。 </w:t>
      </w:r>
    </w:p>
    <w:p w14:paraId="76AA5007">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3.1.3菜品配置标准</w:t>
      </w:r>
    </w:p>
    <w:p w14:paraId="6BA60AC8">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（1）日常堂餐标准</w:t>
      </w:r>
    </w:p>
    <w:p w14:paraId="2BB9AF7C">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 xml:space="preserve">①早餐品类：每餐须提供粥品、粉面、包点、蛋类、煎炸小吃等不少于10个品类，品类搭配均衡； </w:t>
      </w:r>
    </w:p>
    <w:p w14:paraId="43C75B6D">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②午、晚餐标配：1道大荤、1道小荤、2道素菜、1份汤品、1道凉菜、1种主食；</w:t>
      </w:r>
    </w:p>
    <w:p w14:paraId="7CDFBB0B">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 xml:space="preserve">③按需特色餐：根据采购人工作需求，配套提供减脂轻食、特色小炒等差异化餐食； </w:t>
      </w:r>
    </w:p>
    <w:p w14:paraId="7CB7CB70">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 xml:space="preserve">④食谱管理：每周菜品不得重复，中标人须于每周五将下一周完整食谱报送采购人审核，审核通过后提前在餐厅信息栏公示； </w:t>
      </w:r>
    </w:p>
    <w:p w14:paraId="3447591F">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 xml:space="preserve">⑤特色菜品：定期推出当季时令菜品、地方特色菜品，丰富就餐选择。 </w:t>
      </w:r>
    </w:p>
    <w:p w14:paraId="012D7C46">
      <w:pPr>
        <w:widowControl w:val="0"/>
        <w:numPr>
          <w:ilvl w:val="0"/>
          <w:numId w:val="0"/>
        </w:numPr>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 xml:space="preserve">（2）桌餐标准（标准 10 人 / 桌） </w:t>
      </w:r>
    </w:p>
    <w:p w14:paraId="085BB5CE">
      <w:pPr>
        <w:widowControl w:val="0"/>
        <w:numPr>
          <w:ilvl w:val="0"/>
          <w:numId w:val="0"/>
        </w:numPr>
        <w:spacing w:line="360" w:lineRule="auto"/>
        <w:ind w:firstLine="420" w:firstLineChars="200"/>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C0C0C"/>
          <w:lang w:val="en-US" w:eastAsia="zh-CN"/>
        </w:rPr>
        <w:t>每桌配置3道大荤、5道小荤、2道素菜、1份汤品、1份点心、2种主食；中标人须结</w:t>
      </w:r>
      <w:r>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t>合采购人要求灵活优化调整菜品搭配。</w:t>
      </w:r>
    </w:p>
    <w:p w14:paraId="06520ABC">
      <w:pPr>
        <w:widowControl w:val="0"/>
        <w:spacing w:line="360" w:lineRule="auto"/>
        <w:rPr>
          <w:rFonts w:hint="eastAsia" w:ascii="Times New Roman" w:hAnsi="Times New Roman" w:eastAsia="宋体" w:cs="Times New Roman"/>
          <w:color w:val="0C0C0C"/>
          <w:lang w:val="en-US" w:eastAsia="zh-CN"/>
        </w:rPr>
      </w:pPr>
      <w:r>
        <w:rPr>
          <w:rFonts w:hint="eastAsia" w:ascii="宋体" w:hAnsi="宋体" w:eastAsia="宋体" w:cs="宋体"/>
          <w:color w:val="0D0D0D" w:themeColor="text1" w:themeTint="F2"/>
          <w:lang w:val="en-US" w:eastAsia="zh-CN"/>
          <w14:textFill>
            <w14:solidFill>
              <w14:schemeClr w14:val="tx1">
                <w14:lumMod w14:val="95000"/>
                <w14:lumOff w14:val="5000"/>
              </w14:schemeClr>
            </w14:solidFill>
          </w14:textFill>
        </w:rPr>
        <w:t>★3.2</w:t>
      </w:r>
      <w:r>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t>用工</w:t>
      </w:r>
      <w:r>
        <w:rPr>
          <w:rFonts w:hint="eastAsia" w:ascii="Times New Roman" w:hAnsi="Times New Roman" w:eastAsia="宋体" w:cs="Times New Roman"/>
          <w:color w:val="0C0C0C"/>
          <w:lang w:val="en-US" w:eastAsia="zh-CN"/>
        </w:rPr>
        <w:t>质量要求</w:t>
      </w:r>
    </w:p>
    <w:p w14:paraId="11AAE811">
      <w:pPr>
        <w:widowControl w:val="0"/>
        <w:numPr>
          <w:ilvl w:val="0"/>
          <w:numId w:val="2"/>
        </w:numPr>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岗位人员安排</w:t>
      </w:r>
    </w:p>
    <w:tbl>
      <w:tblPr>
        <w:tblStyle w:val="14"/>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8"/>
        <w:gridCol w:w="904"/>
        <w:gridCol w:w="905"/>
        <w:gridCol w:w="905"/>
        <w:gridCol w:w="905"/>
        <w:gridCol w:w="905"/>
        <w:gridCol w:w="905"/>
        <w:gridCol w:w="905"/>
        <w:gridCol w:w="905"/>
      </w:tblGrid>
      <w:tr w14:paraId="441C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818" w:type="dxa"/>
            <w:noWrap w:val="0"/>
            <w:vAlign w:val="center"/>
          </w:tcPr>
          <w:p w14:paraId="3D52F762">
            <w:pPr>
              <w:jc w:val="center"/>
              <w:rPr>
                <w:rFonts w:hint="eastAsia"/>
                <w:b/>
                <w:bCs/>
                <w:lang w:val="en-US" w:eastAsia="zh-CN"/>
              </w:rPr>
            </w:pPr>
            <w:r>
              <w:rPr>
                <w:rFonts w:hint="eastAsia"/>
                <w:b/>
                <w:bCs/>
                <w:lang w:val="en-US" w:eastAsia="zh-CN"/>
              </w:rPr>
              <w:t>类别</w:t>
            </w:r>
          </w:p>
        </w:tc>
        <w:tc>
          <w:tcPr>
            <w:tcW w:w="904" w:type="dxa"/>
            <w:noWrap w:val="0"/>
            <w:vAlign w:val="center"/>
          </w:tcPr>
          <w:p w14:paraId="7AE1C1BC">
            <w:pPr>
              <w:jc w:val="center"/>
              <w:rPr>
                <w:rFonts w:hint="eastAsia"/>
                <w:b/>
                <w:bCs/>
                <w:lang w:val="en-US" w:eastAsia="zh-CN"/>
              </w:rPr>
            </w:pPr>
            <w:r>
              <w:rPr>
                <w:rFonts w:hint="eastAsia"/>
                <w:b/>
                <w:bCs/>
                <w:lang w:val="en-US" w:eastAsia="zh-CN"/>
              </w:rPr>
              <w:t>一</w:t>
            </w:r>
          </w:p>
          <w:p w14:paraId="007A439F">
            <w:pPr>
              <w:jc w:val="center"/>
              <w:rPr>
                <w:rFonts w:hint="eastAsia"/>
                <w:b/>
                <w:bCs/>
                <w:lang w:val="en-US" w:eastAsia="zh-CN"/>
              </w:rPr>
            </w:pPr>
            <w:r>
              <w:rPr>
                <w:rFonts w:hint="eastAsia"/>
                <w:b/>
                <w:bCs/>
                <w:lang w:val="en-US" w:eastAsia="zh-CN"/>
              </w:rPr>
              <w:t>食堂</w:t>
            </w:r>
          </w:p>
        </w:tc>
        <w:tc>
          <w:tcPr>
            <w:tcW w:w="905" w:type="dxa"/>
            <w:noWrap w:val="0"/>
            <w:vAlign w:val="center"/>
          </w:tcPr>
          <w:p w14:paraId="3FEBFF7F">
            <w:pPr>
              <w:jc w:val="center"/>
              <w:rPr>
                <w:rFonts w:hint="eastAsia"/>
                <w:b/>
                <w:bCs/>
                <w:lang w:val="en-US" w:eastAsia="zh-CN"/>
              </w:rPr>
            </w:pPr>
            <w:r>
              <w:rPr>
                <w:rFonts w:hint="eastAsia"/>
                <w:b/>
                <w:bCs/>
                <w:lang w:val="en-US" w:eastAsia="zh-CN"/>
              </w:rPr>
              <w:t>二</w:t>
            </w:r>
          </w:p>
          <w:p w14:paraId="5C292E9C">
            <w:pPr>
              <w:jc w:val="center"/>
              <w:rPr>
                <w:rFonts w:hint="eastAsia"/>
                <w:b/>
                <w:bCs/>
                <w:lang w:val="en-US" w:eastAsia="zh-CN"/>
              </w:rPr>
            </w:pPr>
            <w:r>
              <w:rPr>
                <w:rFonts w:hint="eastAsia"/>
                <w:b/>
                <w:bCs/>
                <w:lang w:val="en-US" w:eastAsia="zh-CN"/>
              </w:rPr>
              <w:t>食堂</w:t>
            </w:r>
          </w:p>
        </w:tc>
        <w:tc>
          <w:tcPr>
            <w:tcW w:w="905" w:type="dxa"/>
            <w:noWrap w:val="0"/>
            <w:vAlign w:val="center"/>
          </w:tcPr>
          <w:p w14:paraId="59FDA54F">
            <w:pPr>
              <w:jc w:val="center"/>
              <w:rPr>
                <w:rFonts w:hint="eastAsia"/>
                <w:b/>
                <w:bCs/>
                <w:lang w:val="en-US" w:eastAsia="zh-CN"/>
              </w:rPr>
            </w:pPr>
            <w:r>
              <w:rPr>
                <w:rFonts w:hint="eastAsia"/>
                <w:b/>
                <w:bCs/>
                <w:lang w:val="en-US" w:eastAsia="zh-CN"/>
              </w:rPr>
              <w:t>三</w:t>
            </w:r>
          </w:p>
          <w:p w14:paraId="34B45F38">
            <w:pPr>
              <w:jc w:val="center"/>
              <w:rPr>
                <w:rFonts w:hint="eastAsia"/>
                <w:b/>
                <w:bCs/>
                <w:lang w:val="en-US" w:eastAsia="zh-CN"/>
              </w:rPr>
            </w:pPr>
            <w:r>
              <w:rPr>
                <w:rFonts w:hint="eastAsia"/>
                <w:b/>
                <w:bCs/>
                <w:lang w:val="en-US" w:eastAsia="zh-CN"/>
              </w:rPr>
              <w:t>食堂</w:t>
            </w:r>
          </w:p>
        </w:tc>
        <w:tc>
          <w:tcPr>
            <w:tcW w:w="905" w:type="dxa"/>
            <w:noWrap w:val="0"/>
            <w:vAlign w:val="center"/>
          </w:tcPr>
          <w:p w14:paraId="7428531E">
            <w:pPr>
              <w:jc w:val="center"/>
              <w:rPr>
                <w:rFonts w:hint="eastAsia"/>
                <w:b/>
                <w:bCs/>
                <w:lang w:val="en-US" w:eastAsia="zh-CN"/>
              </w:rPr>
            </w:pPr>
            <w:r>
              <w:rPr>
                <w:rFonts w:hint="eastAsia"/>
                <w:b/>
                <w:bCs/>
                <w:lang w:val="en-US" w:eastAsia="zh-CN"/>
              </w:rPr>
              <w:t>四</w:t>
            </w:r>
          </w:p>
          <w:p w14:paraId="60CDC4B2">
            <w:pPr>
              <w:jc w:val="center"/>
              <w:rPr>
                <w:rFonts w:hint="eastAsia"/>
                <w:b/>
                <w:bCs/>
                <w:lang w:val="en-US" w:eastAsia="zh-CN"/>
              </w:rPr>
            </w:pPr>
            <w:r>
              <w:rPr>
                <w:rFonts w:hint="eastAsia"/>
                <w:b/>
                <w:bCs/>
                <w:lang w:val="en-US" w:eastAsia="zh-CN"/>
              </w:rPr>
              <w:t>食堂</w:t>
            </w:r>
          </w:p>
        </w:tc>
        <w:tc>
          <w:tcPr>
            <w:tcW w:w="905" w:type="dxa"/>
            <w:noWrap w:val="0"/>
            <w:vAlign w:val="center"/>
          </w:tcPr>
          <w:p w14:paraId="33476EB3">
            <w:pPr>
              <w:jc w:val="center"/>
              <w:rPr>
                <w:rFonts w:hint="eastAsia"/>
                <w:b/>
                <w:bCs/>
                <w:lang w:val="en-US" w:eastAsia="zh-CN"/>
              </w:rPr>
            </w:pPr>
            <w:r>
              <w:rPr>
                <w:rFonts w:hint="eastAsia"/>
                <w:b/>
                <w:bCs/>
                <w:lang w:val="en-US" w:eastAsia="zh-CN"/>
              </w:rPr>
              <w:t>警犬基地食堂</w:t>
            </w:r>
          </w:p>
        </w:tc>
        <w:tc>
          <w:tcPr>
            <w:tcW w:w="905" w:type="dxa"/>
            <w:noWrap w:val="0"/>
            <w:vAlign w:val="center"/>
          </w:tcPr>
          <w:p w14:paraId="4C892041">
            <w:pPr>
              <w:jc w:val="center"/>
              <w:rPr>
                <w:rFonts w:hint="eastAsia"/>
                <w:b/>
                <w:bCs/>
                <w:lang w:val="en-US" w:eastAsia="zh-CN"/>
              </w:rPr>
            </w:pPr>
            <w:r>
              <w:rPr>
                <w:rFonts w:hint="eastAsia"/>
                <w:b/>
                <w:bCs/>
                <w:lang w:val="en-US" w:eastAsia="zh-CN"/>
              </w:rPr>
              <w:t>公交大队食堂</w:t>
            </w:r>
          </w:p>
        </w:tc>
        <w:tc>
          <w:tcPr>
            <w:tcW w:w="905" w:type="dxa"/>
            <w:noWrap w:val="0"/>
            <w:vAlign w:val="center"/>
          </w:tcPr>
          <w:p w14:paraId="07769BBA">
            <w:pPr>
              <w:jc w:val="center"/>
              <w:rPr>
                <w:rFonts w:hint="eastAsia"/>
                <w:b/>
                <w:bCs/>
                <w:lang w:val="en-US" w:eastAsia="zh-CN"/>
              </w:rPr>
            </w:pPr>
            <w:r>
              <w:rPr>
                <w:rFonts w:hint="eastAsia"/>
                <w:b/>
                <w:bCs/>
                <w:lang w:val="en-US" w:eastAsia="zh-CN"/>
              </w:rPr>
              <w:t>机动</w:t>
            </w:r>
          </w:p>
        </w:tc>
        <w:tc>
          <w:tcPr>
            <w:tcW w:w="905" w:type="dxa"/>
            <w:noWrap w:val="0"/>
            <w:vAlign w:val="center"/>
          </w:tcPr>
          <w:p w14:paraId="129EF0AE">
            <w:pPr>
              <w:jc w:val="center"/>
              <w:rPr>
                <w:rFonts w:hint="eastAsia"/>
                <w:b/>
                <w:bCs/>
                <w:lang w:val="en-US" w:eastAsia="zh-CN"/>
              </w:rPr>
            </w:pPr>
            <w:r>
              <w:rPr>
                <w:rFonts w:hint="eastAsia"/>
                <w:b/>
                <w:bCs/>
                <w:lang w:val="en-US" w:eastAsia="zh-CN"/>
              </w:rPr>
              <w:t>合计</w:t>
            </w:r>
          </w:p>
        </w:tc>
      </w:tr>
      <w:tr w14:paraId="4C90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818" w:type="dxa"/>
            <w:noWrap w:val="0"/>
            <w:vAlign w:val="center"/>
          </w:tcPr>
          <w:p w14:paraId="1993B9D7">
            <w:pPr>
              <w:jc w:val="center"/>
              <w:rPr>
                <w:rFonts w:hint="eastAsia"/>
                <w:color w:val="0C0C0C"/>
                <w:lang w:val="en-US" w:eastAsia="zh-CN"/>
              </w:rPr>
            </w:pPr>
            <w:r>
              <w:rPr>
                <w:rFonts w:hint="eastAsia"/>
                <w:color w:val="0C0C0C"/>
                <w:lang w:val="en-US" w:eastAsia="zh-CN"/>
              </w:rPr>
              <w:t>驻场项目经理</w:t>
            </w:r>
          </w:p>
        </w:tc>
        <w:tc>
          <w:tcPr>
            <w:tcW w:w="904" w:type="dxa"/>
            <w:noWrap w:val="0"/>
            <w:vAlign w:val="center"/>
          </w:tcPr>
          <w:p w14:paraId="2B384829">
            <w:pPr>
              <w:jc w:val="center"/>
              <w:rPr>
                <w:rFonts w:hint="eastAsia"/>
                <w:color w:val="0C0C0C"/>
                <w:lang w:val="en-US" w:eastAsia="zh-CN"/>
              </w:rPr>
            </w:pPr>
          </w:p>
        </w:tc>
        <w:tc>
          <w:tcPr>
            <w:tcW w:w="905" w:type="dxa"/>
            <w:noWrap w:val="0"/>
            <w:vAlign w:val="center"/>
          </w:tcPr>
          <w:p w14:paraId="59124337">
            <w:pPr>
              <w:jc w:val="center"/>
              <w:rPr>
                <w:rFonts w:hint="eastAsia"/>
                <w:color w:val="0C0C0C"/>
                <w:lang w:val="en-US" w:eastAsia="zh-CN"/>
              </w:rPr>
            </w:pPr>
          </w:p>
        </w:tc>
        <w:tc>
          <w:tcPr>
            <w:tcW w:w="905" w:type="dxa"/>
            <w:noWrap w:val="0"/>
            <w:vAlign w:val="center"/>
          </w:tcPr>
          <w:p w14:paraId="636DECA6">
            <w:pPr>
              <w:jc w:val="center"/>
              <w:rPr>
                <w:rFonts w:hint="eastAsia"/>
                <w:lang w:val="en-US" w:eastAsia="zh-CN"/>
              </w:rPr>
            </w:pPr>
          </w:p>
        </w:tc>
        <w:tc>
          <w:tcPr>
            <w:tcW w:w="905" w:type="dxa"/>
            <w:noWrap w:val="0"/>
            <w:vAlign w:val="center"/>
          </w:tcPr>
          <w:p w14:paraId="34E3EBDB">
            <w:pPr>
              <w:jc w:val="center"/>
              <w:rPr>
                <w:rFonts w:hint="eastAsia"/>
                <w:lang w:val="en-US" w:eastAsia="zh-CN"/>
              </w:rPr>
            </w:pPr>
          </w:p>
        </w:tc>
        <w:tc>
          <w:tcPr>
            <w:tcW w:w="905" w:type="dxa"/>
            <w:noWrap w:val="0"/>
            <w:vAlign w:val="center"/>
          </w:tcPr>
          <w:p w14:paraId="21E579B8">
            <w:pPr>
              <w:jc w:val="center"/>
              <w:rPr>
                <w:rFonts w:hint="eastAsia"/>
                <w:lang w:val="en-US" w:eastAsia="zh-CN"/>
              </w:rPr>
            </w:pPr>
          </w:p>
        </w:tc>
        <w:tc>
          <w:tcPr>
            <w:tcW w:w="905" w:type="dxa"/>
            <w:noWrap w:val="0"/>
            <w:vAlign w:val="center"/>
          </w:tcPr>
          <w:p w14:paraId="2B99636A">
            <w:pPr>
              <w:jc w:val="center"/>
              <w:rPr>
                <w:rFonts w:hint="eastAsia"/>
                <w:lang w:val="en-US" w:eastAsia="zh-CN"/>
              </w:rPr>
            </w:pPr>
          </w:p>
        </w:tc>
        <w:tc>
          <w:tcPr>
            <w:tcW w:w="905" w:type="dxa"/>
            <w:noWrap w:val="0"/>
            <w:vAlign w:val="center"/>
          </w:tcPr>
          <w:p w14:paraId="1EB95301">
            <w:pPr>
              <w:jc w:val="center"/>
              <w:rPr>
                <w:rFonts w:hint="eastAsia"/>
                <w:lang w:val="en-US" w:eastAsia="zh-CN"/>
              </w:rPr>
            </w:pPr>
          </w:p>
        </w:tc>
        <w:tc>
          <w:tcPr>
            <w:tcW w:w="905" w:type="dxa"/>
            <w:noWrap w:val="0"/>
            <w:vAlign w:val="center"/>
          </w:tcPr>
          <w:p w14:paraId="434E7E73">
            <w:pPr>
              <w:jc w:val="center"/>
              <w:rPr>
                <w:rFonts w:hint="default"/>
                <w:lang w:val="en-US" w:eastAsia="zh-CN"/>
              </w:rPr>
            </w:pPr>
            <w:r>
              <w:rPr>
                <w:rFonts w:hint="eastAsia"/>
                <w:lang w:val="en-US" w:eastAsia="zh-CN"/>
              </w:rPr>
              <w:t>1人</w:t>
            </w:r>
          </w:p>
        </w:tc>
      </w:tr>
      <w:tr w14:paraId="4364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818" w:type="dxa"/>
            <w:noWrap w:val="0"/>
            <w:vAlign w:val="center"/>
          </w:tcPr>
          <w:p w14:paraId="3E9B60CE">
            <w:pPr>
              <w:jc w:val="center"/>
              <w:rPr>
                <w:rFonts w:hint="eastAsia"/>
                <w:lang w:val="en-US" w:eastAsia="zh-CN"/>
              </w:rPr>
            </w:pPr>
            <w:r>
              <w:rPr>
                <w:rFonts w:hint="eastAsia"/>
                <w:lang w:val="en-US" w:eastAsia="zh-CN"/>
              </w:rPr>
              <w:t>厨师长</w:t>
            </w:r>
          </w:p>
        </w:tc>
        <w:tc>
          <w:tcPr>
            <w:tcW w:w="904" w:type="dxa"/>
            <w:noWrap w:val="0"/>
            <w:vAlign w:val="center"/>
          </w:tcPr>
          <w:p w14:paraId="2BF0C821">
            <w:pPr>
              <w:jc w:val="center"/>
              <w:rPr>
                <w:rFonts w:hint="default"/>
                <w:lang w:val="en-US" w:eastAsia="zh-CN"/>
              </w:rPr>
            </w:pPr>
            <w:r>
              <w:rPr>
                <w:rFonts w:hint="eastAsia"/>
                <w:lang w:val="en-US" w:eastAsia="zh-CN"/>
              </w:rPr>
              <w:t>1人</w:t>
            </w:r>
          </w:p>
        </w:tc>
        <w:tc>
          <w:tcPr>
            <w:tcW w:w="905" w:type="dxa"/>
            <w:noWrap w:val="0"/>
            <w:vAlign w:val="center"/>
          </w:tcPr>
          <w:p w14:paraId="6A99B19C">
            <w:pPr>
              <w:jc w:val="center"/>
              <w:rPr>
                <w:rFonts w:hint="eastAsia"/>
                <w:lang w:val="en-US" w:eastAsia="zh-CN"/>
              </w:rPr>
            </w:pPr>
          </w:p>
        </w:tc>
        <w:tc>
          <w:tcPr>
            <w:tcW w:w="905" w:type="dxa"/>
            <w:noWrap w:val="0"/>
            <w:vAlign w:val="center"/>
          </w:tcPr>
          <w:p w14:paraId="5C429729">
            <w:pPr>
              <w:jc w:val="center"/>
              <w:rPr>
                <w:rFonts w:hint="eastAsia"/>
                <w:lang w:val="en-US" w:eastAsia="zh-CN"/>
              </w:rPr>
            </w:pPr>
          </w:p>
        </w:tc>
        <w:tc>
          <w:tcPr>
            <w:tcW w:w="905" w:type="dxa"/>
            <w:noWrap w:val="0"/>
            <w:vAlign w:val="center"/>
          </w:tcPr>
          <w:p w14:paraId="5EAA394A">
            <w:pPr>
              <w:jc w:val="center"/>
              <w:rPr>
                <w:rFonts w:hint="eastAsia"/>
                <w:lang w:val="en-US" w:eastAsia="zh-CN"/>
              </w:rPr>
            </w:pPr>
          </w:p>
        </w:tc>
        <w:tc>
          <w:tcPr>
            <w:tcW w:w="905" w:type="dxa"/>
            <w:noWrap w:val="0"/>
            <w:vAlign w:val="center"/>
          </w:tcPr>
          <w:p w14:paraId="35F9A9E6">
            <w:pPr>
              <w:jc w:val="center"/>
              <w:rPr>
                <w:rFonts w:hint="eastAsia"/>
                <w:lang w:val="en-US" w:eastAsia="zh-CN"/>
              </w:rPr>
            </w:pPr>
          </w:p>
        </w:tc>
        <w:tc>
          <w:tcPr>
            <w:tcW w:w="905" w:type="dxa"/>
            <w:noWrap w:val="0"/>
            <w:vAlign w:val="center"/>
          </w:tcPr>
          <w:p w14:paraId="5CD2B12B">
            <w:pPr>
              <w:jc w:val="center"/>
              <w:rPr>
                <w:rFonts w:hint="eastAsia"/>
                <w:lang w:val="en-US" w:eastAsia="zh-CN"/>
              </w:rPr>
            </w:pPr>
          </w:p>
        </w:tc>
        <w:tc>
          <w:tcPr>
            <w:tcW w:w="905" w:type="dxa"/>
            <w:noWrap w:val="0"/>
            <w:vAlign w:val="center"/>
          </w:tcPr>
          <w:p w14:paraId="1E8925B4">
            <w:pPr>
              <w:jc w:val="center"/>
              <w:rPr>
                <w:rFonts w:hint="eastAsia"/>
                <w:lang w:val="en-US" w:eastAsia="zh-CN"/>
              </w:rPr>
            </w:pPr>
          </w:p>
        </w:tc>
        <w:tc>
          <w:tcPr>
            <w:tcW w:w="905" w:type="dxa"/>
            <w:noWrap w:val="0"/>
            <w:vAlign w:val="center"/>
          </w:tcPr>
          <w:p w14:paraId="6AE2202B">
            <w:pPr>
              <w:jc w:val="center"/>
              <w:rPr>
                <w:rFonts w:hint="default"/>
                <w:lang w:val="en-US" w:eastAsia="zh-CN"/>
              </w:rPr>
            </w:pPr>
            <w:r>
              <w:rPr>
                <w:rFonts w:hint="eastAsia"/>
                <w:lang w:val="en-US" w:eastAsia="zh-CN"/>
              </w:rPr>
              <w:t>1人</w:t>
            </w:r>
          </w:p>
        </w:tc>
      </w:tr>
      <w:tr w14:paraId="6400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818" w:type="dxa"/>
            <w:noWrap w:val="0"/>
            <w:vAlign w:val="center"/>
          </w:tcPr>
          <w:p w14:paraId="67161CE4">
            <w:pPr>
              <w:jc w:val="center"/>
              <w:rPr>
                <w:rFonts w:hint="eastAsia"/>
                <w:lang w:val="en-US" w:eastAsia="zh-CN"/>
              </w:rPr>
            </w:pPr>
            <w:r>
              <w:rPr>
                <w:rFonts w:hint="eastAsia"/>
                <w:lang w:val="en-US" w:eastAsia="zh-CN"/>
              </w:rPr>
              <w:t>主厨</w:t>
            </w:r>
          </w:p>
        </w:tc>
        <w:tc>
          <w:tcPr>
            <w:tcW w:w="904" w:type="dxa"/>
            <w:noWrap w:val="0"/>
            <w:vAlign w:val="center"/>
          </w:tcPr>
          <w:p w14:paraId="16ABD0CA">
            <w:pPr>
              <w:jc w:val="center"/>
              <w:rPr>
                <w:rFonts w:hint="default"/>
                <w:lang w:val="en-US" w:eastAsia="zh-CN"/>
              </w:rPr>
            </w:pPr>
            <w:r>
              <w:rPr>
                <w:rFonts w:hint="eastAsia"/>
                <w:lang w:val="en-US" w:eastAsia="zh-CN"/>
              </w:rPr>
              <w:t>4人</w:t>
            </w:r>
          </w:p>
        </w:tc>
        <w:tc>
          <w:tcPr>
            <w:tcW w:w="905" w:type="dxa"/>
            <w:noWrap w:val="0"/>
            <w:vAlign w:val="center"/>
          </w:tcPr>
          <w:p w14:paraId="32A71447">
            <w:pPr>
              <w:jc w:val="center"/>
              <w:rPr>
                <w:rFonts w:hint="default"/>
                <w:lang w:val="en-US" w:eastAsia="zh-CN"/>
              </w:rPr>
            </w:pPr>
            <w:r>
              <w:rPr>
                <w:rFonts w:hint="eastAsia"/>
                <w:lang w:val="en-US" w:eastAsia="zh-CN"/>
              </w:rPr>
              <w:t>1人</w:t>
            </w:r>
          </w:p>
        </w:tc>
        <w:tc>
          <w:tcPr>
            <w:tcW w:w="905" w:type="dxa"/>
            <w:noWrap w:val="0"/>
            <w:vAlign w:val="center"/>
          </w:tcPr>
          <w:p w14:paraId="1594BBEF">
            <w:pPr>
              <w:jc w:val="center"/>
              <w:rPr>
                <w:rFonts w:hint="default"/>
                <w:lang w:val="en-US" w:eastAsia="zh-CN"/>
              </w:rPr>
            </w:pPr>
            <w:r>
              <w:rPr>
                <w:rFonts w:hint="eastAsia"/>
                <w:lang w:val="en-US" w:eastAsia="zh-CN"/>
              </w:rPr>
              <w:t>1人</w:t>
            </w:r>
          </w:p>
        </w:tc>
        <w:tc>
          <w:tcPr>
            <w:tcW w:w="905" w:type="dxa"/>
            <w:noWrap w:val="0"/>
            <w:vAlign w:val="center"/>
          </w:tcPr>
          <w:p w14:paraId="537B4A10">
            <w:pPr>
              <w:jc w:val="center"/>
              <w:rPr>
                <w:rFonts w:hint="default"/>
                <w:lang w:val="en-US" w:eastAsia="zh-CN"/>
              </w:rPr>
            </w:pPr>
            <w:r>
              <w:rPr>
                <w:rFonts w:hint="eastAsia"/>
                <w:lang w:val="en-US" w:eastAsia="zh-CN"/>
              </w:rPr>
              <w:t>1人</w:t>
            </w:r>
          </w:p>
        </w:tc>
        <w:tc>
          <w:tcPr>
            <w:tcW w:w="905" w:type="dxa"/>
            <w:noWrap w:val="0"/>
            <w:vAlign w:val="center"/>
          </w:tcPr>
          <w:p w14:paraId="0A7A646C">
            <w:pPr>
              <w:jc w:val="center"/>
              <w:rPr>
                <w:rFonts w:hint="eastAsia"/>
                <w:lang w:val="en-US" w:eastAsia="zh-CN"/>
              </w:rPr>
            </w:pPr>
          </w:p>
        </w:tc>
        <w:tc>
          <w:tcPr>
            <w:tcW w:w="905" w:type="dxa"/>
            <w:noWrap w:val="0"/>
            <w:vAlign w:val="center"/>
          </w:tcPr>
          <w:p w14:paraId="544089F4">
            <w:pPr>
              <w:jc w:val="center"/>
              <w:rPr>
                <w:rFonts w:hint="eastAsia"/>
                <w:lang w:val="en-US" w:eastAsia="zh-CN"/>
              </w:rPr>
            </w:pPr>
          </w:p>
        </w:tc>
        <w:tc>
          <w:tcPr>
            <w:tcW w:w="905" w:type="dxa"/>
            <w:noWrap w:val="0"/>
            <w:vAlign w:val="center"/>
          </w:tcPr>
          <w:p w14:paraId="22321D67">
            <w:pPr>
              <w:jc w:val="center"/>
              <w:rPr>
                <w:rFonts w:hint="eastAsia"/>
                <w:lang w:val="en-US" w:eastAsia="zh-CN"/>
              </w:rPr>
            </w:pPr>
          </w:p>
        </w:tc>
        <w:tc>
          <w:tcPr>
            <w:tcW w:w="905" w:type="dxa"/>
            <w:noWrap w:val="0"/>
            <w:vAlign w:val="center"/>
          </w:tcPr>
          <w:p w14:paraId="28E60E63">
            <w:pPr>
              <w:jc w:val="center"/>
              <w:rPr>
                <w:rFonts w:hint="default"/>
                <w:lang w:val="en-US" w:eastAsia="zh-CN"/>
              </w:rPr>
            </w:pPr>
            <w:r>
              <w:rPr>
                <w:rFonts w:hint="eastAsia"/>
                <w:lang w:val="en-US" w:eastAsia="zh-CN"/>
              </w:rPr>
              <w:t>7人</w:t>
            </w:r>
          </w:p>
        </w:tc>
      </w:tr>
      <w:tr w14:paraId="7E89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818" w:type="dxa"/>
            <w:noWrap w:val="0"/>
            <w:vAlign w:val="center"/>
          </w:tcPr>
          <w:p w14:paraId="4EBD89B0">
            <w:pPr>
              <w:jc w:val="center"/>
              <w:rPr>
                <w:rFonts w:hint="eastAsia"/>
                <w:lang w:val="en-US" w:eastAsia="zh-CN"/>
              </w:rPr>
            </w:pPr>
            <w:r>
              <w:rPr>
                <w:rFonts w:hint="eastAsia"/>
                <w:lang w:val="en-US" w:eastAsia="zh-CN"/>
              </w:rPr>
              <w:t>厨师</w:t>
            </w:r>
          </w:p>
        </w:tc>
        <w:tc>
          <w:tcPr>
            <w:tcW w:w="904" w:type="dxa"/>
            <w:noWrap w:val="0"/>
            <w:vAlign w:val="center"/>
          </w:tcPr>
          <w:p w14:paraId="434F5F5F">
            <w:pPr>
              <w:jc w:val="center"/>
              <w:rPr>
                <w:rFonts w:hint="default"/>
                <w:lang w:val="en-US" w:eastAsia="zh-CN"/>
              </w:rPr>
            </w:pPr>
            <w:r>
              <w:rPr>
                <w:rFonts w:hint="eastAsia"/>
                <w:lang w:val="en-US" w:eastAsia="zh-CN"/>
              </w:rPr>
              <w:t>5人</w:t>
            </w:r>
          </w:p>
        </w:tc>
        <w:tc>
          <w:tcPr>
            <w:tcW w:w="905" w:type="dxa"/>
            <w:noWrap w:val="0"/>
            <w:vAlign w:val="center"/>
          </w:tcPr>
          <w:p w14:paraId="0B5C84E8">
            <w:pPr>
              <w:jc w:val="center"/>
              <w:rPr>
                <w:rFonts w:hint="default"/>
                <w:lang w:val="en-US" w:eastAsia="zh-CN"/>
              </w:rPr>
            </w:pPr>
            <w:r>
              <w:rPr>
                <w:rFonts w:hint="eastAsia"/>
                <w:lang w:val="en-US" w:eastAsia="zh-CN"/>
              </w:rPr>
              <w:t>1人</w:t>
            </w:r>
          </w:p>
        </w:tc>
        <w:tc>
          <w:tcPr>
            <w:tcW w:w="905" w:type="dxa"/>
            <w:noWrap w:val="0"/>
            <w:vAlign w:val="center"/>
          </w:tcPr>
          <w:p w14:paraId="595827A1">
            <w:pPr>
              <w:jc w:val="center"/>
              <w:rPr>
                <w:rFonts w:hint="default"/>
                <w:lang w:val="en-US" w:eastAsia="zh-CN"/>
              </w:rPr>
            </w:pPr>
            <w:r>
              <w:rPr>
                <w:rFonts w:hint="eastAsia"/>
                <w:lang w:val="en-US" w:eastAsia="zh-CN"/>
              </w:rPr>
              <w:t>1人</w:t>
            </w:r>
          </w:p>
        </w:tc>
        <w:tc>
          <w:tcPr>
            <w:tcW w:w="905" w:type="dxa"/>
            <w:noWrap w:val="0"/>
            <w:vAlign w:val="center"/>
          </w:tcPr>
          <w:p w14:paraId="28EE85A7">
            <w:pPr>
              <w:jc w:val="center"/>
              <w:rPr>
                <w:rFonts w:hint="default"/>
                <w:lang w:val="en-US" w:eastAsia="zh-CN"/>
              </w:rPr>
            </w:pPr>
            <w:r>
              <w:rPr>
                <w:rFonts w:hint="eastAsia"/>
                <w:lang w:val="en-US" w:eastAsia="zh-CN"/>
              </w:rPr>
              <w:t>2人</w:t>
            </w:r>
          </w:p>
        </w:tc>
        <w:tc>
          <w:tcPr>
            <w:tcW w:w="905" w:type="dxa"/>
            <w:noWrap w:val="0"/>
            <w:vAlign w:val="center"/>
          </w:tcPr>
          <w:p w14:paraId="2C1FDE44">
            <w:pPr>
              <w:jc w:val="center"/>
              <w:rPr>
                <w:rFonts w:hint="default"/>
                <w:lang w:val="en-US" w:eastAsia="zh-CN"/>
              </w:rPr>
            </w:pPr>
            <w:r>
              <w:rPr>
                <w:rFonts w:hint="eastAsia"/>
                <w:lang w:val="en-US" w:eastAsia="zh-CN"/>
              </w:rPr>
              <w:t>1人</w:t>
            </w:r>
          </w:p>
        </w:tc>
        <w:tc>
          <w:tcPr>
            <w:tcW w:w="905" w:type="dxa"/>
            <w:noWrap w:val="0"/>
            <w:vAlign w:val="center"/>
          </w:tcPr>
          <w:p w14:paraId="5C275D3A">
            <w:pPr>
              <w:jc w:val="center"/>
              <w:rPr>
                <w:rFonts w:hint="default"/>
                <w:lang w:val="en-US" w:eastAsia="zh-CN"/>
              </w:rPr>
            </w:pPr>
            <w:r>
              <w:rPr>
                <w:rFonts w:hint="eastAsia"/>
                <w:lang w:val="en-US" w:eastAsia="zh-CN"/>
              </w:rPr>
              <w:t>1人</w:t>
            </w:r>
          </w:p>
        </w:tc>
        <w:tc>
          <w:tcPr>
            <w:tcW w:w="905" w:type="dxa"/>
            <w:noWrap w:val="0"/>
            <w:vAlign w:val="center"/>
          </w:tcPr>
          <w:p w14:paraId="137B6F77">
            <w:pPr>
              <w:jc w:val="center"/>
              <w:rPr>
                <w:rFonts w:hint="default"/>
                <w:lang w:val="en-US" w:eastAsia="zh-CN"/>
              </w:rPr>
            </w:pPr>
            <w:r>
              <w:rPr>
                <w:rFonts w:hint="eastAsia"/>
                <w:lang w:val="en-US" w:eastAsia="zh-CN"/>
              </w:rPr>
              <w:t>2人</w:t>
            </w:r>
          </w:p>
        </w:tc>
        <w:tc>
          <w:tcPr>
            <w:tcW w:w="905" w:type="dxa"/>
            <w:noWrap w:val="0"/>
            <w:vAlign w:val="center"/>
          </w:tcPr>
          <w:p w14:paraId="765443E5">
            <w:pPr>
              <w:jc w:val="center"/>
              <w:rPr>
                <w:rFonts w:hint="default"/>
                <w:lang w:val="en-US" w:eastAsia="zh-CN"/>
              </w:rPr>
            </w:pPr>
            <w:r>
              <w:rPr>
                <w:rFonts w:hint="eastAsia"/>
                <w:lang w:val="en-US" w:eastAsia="zh-CN"/>
              </w:rPr>
              <w:t>13人</w:t>
            </w:r>
          </w:p>
        </w:tc>
      </w:tr>
      <w:tr w14:paraId="074B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818" w:type="dxa"/>
            <w:noWrap w:val="0"/>
            <w:vAlign w:val="center"/>
          </w:tcPr>
          <w:p w14:paraId="787F505C">
            <w:pPr>
              <w:jc w:val="center"/>
              <w:rPr>
                <w:rFonts w:hint="eastAsia"/>
                <w:lang w:val="en-US" w:eastAsia="zh-CN"/>
              </w:rPr>
            </w:pPr>
            <w:r>
              <w:rPr>
                <w:rFonts w:hint="eastAsia"/>
                <w:lang w:val="en-US" w:eastAsia="zh-CN"/>
              </w:rPr>
              <w:t>帮厨员</w:t>
            </w:r>
          </w:p>
        </w:tc>
        <w:tc>
          <w:tcPr>
            <w:tcW w:w="904" w:type="dxa"/>
            <w:noWrap w:val="0"/>
            <w:vAlign w:val="center"/>
          </w:tcPr>
          <w:p w14:paraId="6938E383">
            <w:pPr>
              <w:jc w:val="center"/>
              <w:rPr>
                <w:rFonts w:hint="default"/>
                <w:lang w:val="en-US" w:eastAsia="zh-CN"/>
              </w:rPr>
            </w:pPr>
            <w:r>
              <w:rPr>
                <w:rFonts w:hint="eastAsia"/>
                <w:lang w:val="en-US" w:eastAsia="zh-CN"/>
              </w:rPr>
              <w:t>5人</w:t>
            </w:r>
          </w:p>
        </w:tc>
        <w:tc>
          <w:tcPr>
            <w:tcW w:w="905" w:type="dxa"/>
            <w:noWrap w:val="0"/>
            <w:vAlign w:val="center"/>
          </w:tcPr>
          <w:p w14:paraId="6E45A5FC">
            <w:pPr>
              <w:jc w:val="center"/>
              <w:rPr>
                <w:rFonts w:hint="eastAsia"/>
                <w:lang w:val="en-US" w:eastAsia="zh-CN"/>
              </w:rPr>
            </w:pPr>
          </w:p>
        </w:tc>
        <w:tc>
          <w:tcPr>
            <w:tcW w:w="905" w:type="dxa"/>
            <w:noWrap w:val="0"/>
            <w:vAlign w:val="center"/>
          </w:tcPr>
          <w:p w14:paraId="20BF3DD0">
            <w:pPr>
              <w:jc w:val="center"/>
              <w:rPr>
                <w:rFonts w:hint="eastAsia"/>
                <w:lang w:val="en-US" w:eastAsia="zh-CN"/>
              </w:rPr>
            </w:pPr>
          </w:p>
        </w:tc>
        <w:tc>
          <w:tcPr>
            <w:tcW w:w="905" w:type="dxa"/>
            <w:noWrap w:val="0"/>
            <w:vAlign w:val="center"/>
          </w:tcPr>
          <w:p w14:paraId="7A5DB962">
            <w:pPr>
              <w:jc w:val="center"/>
              <w:rPr>
                <w:rFonts w:hint="eastAsia"/>
                <w:lang w:val="en-US" w:eastAsia="zh-CN"/>
              </w:rPr>
            </w:pPr>
          </w:p>
        </w:tc>
        <w:tc>
          <w:tcPr>
            <w:tcW w:w="905" w:type="dxa"/>
            <w:noWrap w:val="0"/>
            <w:vAlign w:val="center"/>
          </w:tcPr>
          <w:p w14:paraId="35EC5133">
            <w:pPr>
              <w:jc w:val="center"/>
              <w:rPr>
                <w:rFonts w:hint="eastAsia"/>
                <w:lang w:val="en-US" w:eastAsia="zh-CN"/>
              </w:rPr>
            </w:pPr>
          </w:p>
        </w:tc>
        <w:tc>
          <w:tcPr>
            <w:tcW w:w="905" w:type="dxa"/>
            <w:noWrap w:val="0"/>
            <w:vAlign w:val="center"/>
          </w:tcPr>
          <w:p w14:paraId="0E0CD7C2">
            <w:pPr>
              <w:jc w:val="center"/>
              <w:rPr>
                <w:rFonts w:hint="default"/>
                <w:lang w:val="en-US" w:eastAsia="zh-CN"/>
              </w:rPr>
            </w:pPr>
          </w:p>
        </w:tc>
        <w:tc>
          <w:tcPr>
            <w:tcW w:w="905" w:type="dxa"/>
            <w:noWrap w:val="0"/>
            <w:vAlign w:val="center"/>
          </w:tcPr>
          <w:p w14:paraId="2326E1D8">
            <w:pPr>
              <w:jc w:val="center"/>
              <w:rPr>
                <w:rFonts w:hint="default"/>
                <w:lang w:val="en-US" w:eastAsia="zh-CN"/>
              </w:rPr>
            </w:pPr>
          </w:p>
        </w:tc>
        <w:tc>
          <w:tcPr>
            <w:tcW w:w="905" w:type="dxa"/>
            <w:noWrap w:val="0"/>
            <w:vAlign w:val="center"/>
          </w:tcPr>
          <w:p w14:paraId="76BC685A">
            <w:pPr>
              <w:jc w:val="center"/>
              <w:rPr>
                <w:rFonts w:hint="default"/>
                <w:lang w:val="en-US" w:eastAsia="zh-CN"/>
              </w:rPr>
            </w:pPr>
            <w:r>
              <w:rPr>
                <w:rFonts w:hint="eastAsia"/>
                <w:lang w:val="en-US" w:eastAsia="zh-CN"/>
              </w:rPr>
              <w:t>5人</w:t>
            </w:r>
          </w:p>
        </w:tc>
      </w:tr>
      <w:tr w14:paraId="548E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818" w:type="dxa"/>
            <w:noWrap w:val="0"/>
            <w:vAlign w:val="center"/>
          </w:tcPr>
          <w:p w14:paraId="1C671C46">
            <w:pPr>
              <w:jc w:val="center"/>
              <w:rPr>
                <w:rFonts w:hint="eastAsia"/>
                <w:lang w:val="en-US" w:eastAsia="zh-CN"/>
              </w:rPr>
            </w:pPr>
            <w:r>
              <w:rPr>
                <w:rFonts w:hint="eastAsia"/>
                <w:lang w:val="en-US" w:eastAsia="zh-CN"/>
              </w:rPr>
              <w:t>服务员主管</w:t>
            </w:r>
          </w:p>
        </w:tc>
        <w:tc>
          <w:tcPr>
            <w:tcW w:w="904" w:type="dxa"/>
            <w:noWrap w:val="0"/>
            <w:vAlign w:val="center"/>
          </w:tcPr>
          <w:p w14:paraId="7890C17C">
            <w:pPr>
              <w:jc w:val="center"/>
              <w:rPr>
                <w:rFonts w:hint="default"/>
                <w:lang w:val="en-US" w:eastAsia="zh-CN"/>
              </w:rPr>
            </w:pPr>
            <w:r>
              <w:rPr>
                <w:rFonts w:hint="eastAsia"/>
                <w:lang w:val="en-US" w:eastAsia="zh-CN"/>
              </w:rPr>
              <w:t>2人</w:t>
            </w:r>
          </w:p>
        </w:tc>
        <w:tc>
          <w:tcPr>
            <w:tcW w:w="905" w:type="dxa"/>
            <w:noWrap w:val="0"/>
            <w:vAlign w:val="center"/>
          </w:tcPr>
          <w:p w14:paraId="653BED2A">
            <w:pPr>
              <w:jc w:val="center"/>
              <w:rPr>
                <w:rFonts w:hint="default"/>
                <w:lang w:val="en-US" w:eastAsia="zh-CN"/>
              </w:rPr>
            </w:pPr>
            <w:r>
              <w:rPr>
                <w:rFonts w:hint="eastAsia"/>
                <w:lang w:val="en-US" w:eastAsia="zh-CN"/>
              </w:rPr>
              <w:t>1人</w:t>
            </w:r>
          </w:p>
        </w:tc>
        <w:tc>
          <w:tcPr>
            <w:tcW w:w="905" w:type="dxa"/>
            <w:noWrap w:val="0"/>
            <w:vAlign w:val="center"/>
          </w:tcPr>
          <w:p w14:paraId="02B432A2">
            <w:pPr>
              <w:jc w:val="center"/>
              <w:rPr>
                <w:rFonts w:hint="default"/>
                <w:lang w:val="en-US" w:eastAsia="zh-CN"/>
              </w:rPr>
            </w:pPr>
            <w:r>
              <w:rPr>
                <w:rFonts w:hint="eastAsia"/>
                <w:lang w:val="en-US" w:eastAsia="zh-CN"/>
              </w:rPr>
              <w:t>1人</w:t>
            </w:r>
          </w:p>
        </w:tc>
        <w:tc>
          <w:tcPr>
            <w:tcW w:w="905" w:type="dxa"/>
            <w:noWrap w:val="0"/>
            <w:vAlign w:val="center"/>
          </w:tcPr>
          <w:p w14:paraId="54E75D11">
            <w:pPr>
              <w:jc w:val="center"/>
              <w:rPr>
                <w:rFonts w:hint="default"/>
                <w:lang w:val="en-US" w:eastAsia="zh-CN"/>
              </w:rPr>
            </w:pPr>
            <w:r>
              <w:rPr>
                <w:rFonts w:hint="eastAsia"/>
                <w:lang w:val="en-US" w:eastAsia="zh-CN"/>
              </w:rPr>
              <w:t>1人</w:t>
            </w:r>
          </w:p>
        </w:tc>
        <w:tc>
          <w:tcPr>
            <w:tcW w:w="905" w:type="dxa"/>
            <w:noWrap w:val="0"/>
            <w:vAlign w:val="center"/>
          </w:tcPr>
          <w:p w14:paraId="5C31E284">
            <w:pPr>
              <w:jc w:val="center"/>
              <w:rPr>
                <w:rFonts w:hint="eastAsia"/>
                <w:lang w:val="en-US" w:eastAsia="zh-CN"/>
              </w:rPr>
            </w:pPr>
          </w:p>
        </w:tc>
        <w:tc>
          <w:tcPr>
            <w:tcW w:w="905" w:type="dxa"/>
            <w:noWrap w:val="0"/>
            <w:vAlign w:val="center"/>
          </w:tcPr>
          <w:p w14:paraId="479EE2B7">
            <w:pPr>
              <w:jc w:val="center"/>
              <w:rPr>
                <w:rFonts w:hint="eastAsia"/>
                <w:lang w:val="en-US" w:eastAsia="zh-CN"/>
              </w:rPr>
            </w:pPr>
          </w:p>
        </w:tc>
        <w:tc>
          <w:tcPr>
            <w:tcW w:w="905" w:type="dxa"/>
            <w:noWrap w:val="0"/>
            <w:vAlign w:val="center"/>
          </w:tcPr>
          <w:p w14:paraId="73F90233">
            <w:pPr>
              <w:jc w:val="center"/>
              <w:rPr>
                <w:rFonts w:hint="eastAsia"/>
                <w:lang w:val="en-US" w:eastAsia="zh-CN"/>
              </w:rPr>
            </w:pPr>
          </w:p>
        </w:tc>
        <w:tc>
          <w:tcPr>
            <w:tcW w:w="905" w:type="dxa"/>
            <w:noWrap w:val="0"/>
            <w:vAlign w:val="center"/>
          </w:tcPr>
          <w:p w14:paraId="0994C6E9">
            <w:pPr>
              <w:jc w:val="center"/>
              <w:rPr>
                <w:rFonts w:hint="default"/>
                <w:lang w:val="en-US" w:eastAsia="zh-CN"/>
              </w:rPr>
            </w:pPr>
            <w:r>
              <w:rPr>
                <w:rFonts w:hint="eastAsia"/>
                <w:lang w:val="en-US" w:eastAsia="zh-CN"/>
              </w:rPr>
              <w:t>5人</w:t>
            </w:r>
          </w:p>
        </w:tc>
      </w:tr>
      <w:tr w14:paraId="0DF15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818" w:type="dxa"/>
            <w:noWrap w:val="0"/>
            <w:vAlign w:val="center"/>
          </w:tcPr>
          <w:p w14:paraId="10CEAF6A">
            <w:pPr>
              <w:jc w:val="center"/>
              <w:rPr>
                <w:rFonts w:hint="eastAsia"/>
                <w:lang w:val="en-US" w:eastAsia="zh-CN"/>
              </w:rPr>
            </w:pPr>
            <w:r>
              <w:rPr>
                <w:rFonts w:hint="eastAsia"/>
                <w:lang w:val="en-US" w:eastAsia="zh-CN"/>
              </w:rPr>
              <w:t>服务员</w:t>
            </w:r>
          </w:p>
        </w:tc>
        <w:tc>
          <w:tcPr>
            <w:tcW w:w="904" w:type="dxa"/>
            <w:noWrap w:val="0"/>
            <w:vAlign w:val="center"/>
          </w:tcPr>
          <w:p w14:paraId="4479919D">
            <w:pPr>
              <w:jc w:val="center"/>
              <w:rPr>
                <w:rFonts w:hint="default"/>
                <w:lang w:val="en-US" w:eastAsia="zh-CN"/>
              </w:rPr>
            </w:pPr>
            <w:r>
              <w:rPr>
                <w:rFonts w:hint="eastAsia"/>
                <w:lang w:val="en-US" w:eastAsia="zh-CN"/>
              </w:rPr>
              <w:t>8人</w:t>
            </w:r>
          </w:p>
        </w:tc>
        <w:tc>
          <w:tcPr>
            <w:tcW w:w="905" w:type="dxa"/>
            <w:noWrap w:val="0"/>
            <w:vAlign w:val="center"/>
          </w:tcPr>
          <w:p w14:paraId="42208DBC">
            <w:pPr>
              <w:jc w:val="center"/>
              <w:rPr>
                <w:rFonts w:hint="default"/>
                <w:lang w:val="en-US" w:eastAsia="zh-CN"/>
              </w:rPr>
            </w:pPr>
            <w:r>
              <w:rPr>
                <w:rFonts w:hint="eastAsia"/>
                <w:lang w:val="en-US" w:eastAsia="zh-CN"/>
              </w:rPr>
              <w:t>1人</w:t>
            </w:r>
          </w:p>
        </w:tc>
        <w:tc>
          <w:tcPr>
            <w:tcW w:w="905" w:type="dxa"/>
            <w:noWrap w:val="0"/>
            <w:vAlign w:val="center"/>
          </w:tcPr>
          <w:p w14:paraId="1E37DF12">
            <w:pPr>
              <w:jc w:val="center"/>
              <w:rPr>
                <w:rFonts w:hint="default"/>
                <w:lang w:val="en-US" w:eastAsia="zh-CN"/>
              </w:rPr>
            </w:pPr>
            <w:r>
              <w:rPr>
                <w:rFonts w:hint="eastAsia"/>
                <w:lang w:val="en-US" w:eastAsia="zh-CN"/>
              </w:rPr>
              <w:t>1人</w:t>
            </w:r>
          </w:p>
        </w:tc>
        <w:tc>
          <w:tcPr>
            <w:tcW w:w="905" w:type="dxa"/>
            <w:noWrap w:val="0"/>
            <w:vAlign w:val="center"/>
          </w:tcPr>
          <w:p w14:paraId="04AE20DF">
            <w:pPr>
              <w:jc w:val="center"/>
              <w:rPr>
                <w:rFonts w:hint="default"/>
                <w:lang w:val="en-US" w:eastAsia="zh-CN"/>
              </w:rPr>
            </w:pPr>
            <w:r>
              <w:rPr>
                <w:rFonts w:hint="eastAsia"/>
                <w:lang w:val="en-US" w:eastAsia="zh-CN"/>
              </w:rPr>
              <w:t>1人</w:t>
            </w:r>
          </w:p>
        </w:tc>
        <w:tc>
          <w:tcPr>
            <w:tcW w:w="905" w:type="dxa"/>
            <w:noWrap w:val="0"/>
            <w:vAlign w:val="center"/>
          </w:tcPr>
          <w:p w14:paraId="13AC8A49">
            <w:pPr>
              <w:jc w:val="center"/>
              <w:rPr>
                <w:rFonts w:hint="eastAsia"/>
                <w:lang w:val="en-US" w:eastAsia="zh-CN"/>
              </w:rPr>
            </w:pPr>
          </w:p>
        </w:tc>
        <w:tc>
          <w:tcPr>
            <w:tcW w:w="905" w:type="dxa"/>
            <w:noWrap w:val="0"/>
            <w:vAlign w:val="center"/>
          </w:tcPr>
          <w:p w14:paraId="4FEC7D62">
            <w:pPr>
              <w:jc w:val="center"/>
              <w:rPr>
                <w:rFonts w:hint="default"/>
                <w:lang w:val="en-US" w:eastAsia="zh-CN"/>
              </w:rPr>
            </w:pPr>
            <w:r>
              <w:rPr>
                <w:rFonts w:hint="eastAsia"/>
                <w:lang w:val="en-US" w:eastAsia="zh-CN"/>
              </w:rPr>
              <w:t>1人</w:t>
            </w:r>
          </w:p>
        </w:tc>
        <w:tc>
          <w:tcPr>
            <w:tcW w:w="905" w:type="dxa"/>
            <w:noWrap w:val="0"/>
            <w:vAlign w:val="center"/>
          </w:tcPr>
          <w:p w14:paraId="30960CD9">
            <w:pPr>
              <w:jc w:val="center"/>
              <w:rPr>
                <w:rFonts w:hint="default"/>
                <w:lang w:val="en-US" w:eastAsia="zh-CN"/>
              </w:rPr>
            </w:pPr>
          </w:p>
        </w:tc>
        <w:tc>
          <w:tcPr>
            <w:tcW w:w="905" w:type="dxa"/>
            <w:noWrap w:val="0"/>
            <w:vAlign w:val="center"/>
          </w:tcPr>
          <w:p w14:paraId="3599B99F">
            <w:pPr>
              <w:jc w:val="center"/>
              <w:rPr>
                <w:rFonts w:hint="default"/>
                <w:lang w:val="en-US" w:eastAsia="zh-CN"/>
              </w:rPr>
            </w:pPr>
            <w:r>
              <w:rPr>
                <w:rFonts w:hint="eastAsia"/>
                <w:lang w:val="en-US" w:eastAsia="zh-CN"/>
              </w:rPr>
              <w:t>12人</w:t>
            </w:r>
          </w:p>
        </w:tc>
      </w:tr>
      <w:tr w14:paraId="79E16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818" w:type="dxa"/>
            <w:noWrap w:val="0"/>
            <w:vAlign w:val="center"/>
          </w:tcPr>
          <w:p w14:paraId="1E672EA9">
            <w:pPr>
              <w:jc w:val="center"/>
              <w:rPr>
                <w:rFonts w:hint="eastAsia"/>
                <w:lang w:val="en-US" w:eastAsia="zh-CN"/>
              </w:rPr>
            </w:pPr>
            <w:r>
              <w:rPr>
                <w:rFonts w:hint="eastAsia"/>
                <w:lang w:val="en-US" w:eastAsia="zh-CN"/>
              </w:rPr>
              <w:t>仓库管理员</w:t>
            </w:r>
          </w:p>
          <w:p w14:paraId="75AEB40D">
            <w:pPr>
              <w:jc w:val="center"/>
              <w:rPr>
                <w:rFonts w:hint="eastAsia"/>
                <w:lang w:val="en-US" w:eastAsia="zh-CN"/>
              </w:rPr>
            </w:pPr>
            <w:r>
              <w:rPr>
                <w:rFonts w:hint="eastAsia"/>
                <w:lang w:val="en-US" w:eastAsia="zh-CN"/>
              </w:rPr>
              <w:t>（兼服务员）</w:t>
            </w:r>
          </w:p>
        </w:tc>
        <w:tc>
          <w:tcPr>
            <w:tcW w:w="904" w:type="dxa"/>
            <w:noWrap w:val="0"/>
            <w:vAlign w:val="center"/>
          </w:tcPr>
          <w:p w14:paraId="72C9F882">
            <w:pPr>
              <w:jc w:val="center"/>
              <w:rPr>
                <w:rFonts w:hint="default"/>
                <w:lang w:val="en-US" w:eastAsia="zh-CN"/>
              </w:rPr>
            </w:pPr>
            <w:r>
              <w:rPr>
                <w:rFonts w:hint="eastAsia"/>
                <w:lang w:val="en-US" w:eastAsia="zh-CN"/>
              </w:rPr>
              <w:t>1人</w:t>
            </w:r>
          </w:p>
        </w:tc>
        <w:tc>
          <w:tcPr>
            <w:tcW w:w="905" w:type="dxa"/>
            <w:noWrap w:val="0"/>
            <w:vAlign w:val="center"/>
          </w:tcPr>
          <w:p w14:paraId="061422C5">
            <w:pPr>
              <w:jc w:val="center"/>
              <w:rPr>
                <w:rFonts w:hint="default"/>
                <w:lang w:val="en-US" w:eastAsia="zh-CN"/>
              </w:rPr>
            </w:pPr>
            <w:r>
              <w:rPr>
                <w:rFonts w:hint="eastAsia"/>
                <w:lang w:val="en-US" w:eastAsia="zh-CN"/>
              </w:rPr>
              <w:t>1人</w:t>
            </w:r>
          </w:p>
        </w:tc>
        <w:tc>
          <w:tcPr>
            <w:tcW w:w="905" w:type="dxa"/>
            <w:noWrap w:val="0"/>
            <w:vAlign w:val="center"/>
          </w:tcPr>
          <w:p w14:paraId="20C174CC">
            <w:pPr>
              <w:jc w:val="center"/>
              <w:rPr>
                <w:rFonts w:hint="default"/>
                <w:lang w:val="en-US" w:eastAsia="zh-CN"/>
              </w:rPr>
            </w:pPr>
            <w:r>
              <w:rPr>
                <w:rFonts w:hint="eastAsia"/>
                <w:lang w:val="en-US" w:eastAsia="zh-CN"/>
              </w:rPr>
              <w:t>1人</w:t>
            </w:r>
          </w:p>
        </w:tc>
        <w:tc>
          <w:tcPr>
            <w:tcW w:w="905" w:type="dxa"/>
            <w:noWrap w:val="0"/>
            <w:vAlign w:val="center"/>
          </w:tcPr>
          <w:p w14:paraId="33702202">
            <w:pPr>
              <w:jc w:val="center"/>
              <w:rPr>
                <w:rFonts w:hint="default"/>
                <w:lang w:val="en-US" w:eastAsia="zh-CN"/>
              </w:rPr>
            </w:pPr>
            <w:r>
              <w:rPr>
                <w:rFonts w:hint="eastAsia"/>
                <w:lang w:val="en-US" w:eastAsia="zh-CN"/>
              </w:rPr>
              <w:t>1人</w:t>
            </w:r>
          </w:p>
        </w:tc>
        <w:tc>
          <w:tcPr>
            <w:tcW w:w="905" w:type="dxa"/>
            <w:noWrap w:val="0"/>
            <w:vAlign w:val="center"/>
          </w:tcPr>
          <w:p w14:paraId="65302645">
            <w:pPr>
              <w:jc w:val="center"/>
              <w:rPr>
                <w:rFonts w:hint="eastAsia"/>
                <w:lang w:val="en-US" w:eastAsia="zh-CN"/>
              </w:rPr>
            </w:pPr>
          </w:p>
        </w:tc>
        <w:tc>
          <w:tcPr>
            <w:tcW w:w="905" w:type="dxa"/>
            <w:noWrap w:val="0"/>
            <w:vAlign w:val="center"/>
          </w:tcPr>
          <w:p w14:paraId="2E1EF433">
            <w:pPr>
              <w:jc w:val="center"/>
              <w:rPr>
                <w:rFonts w:hint="eastAsia"/>
                <w:lang w:val="en-US" w:eastAsia="zh-CN"/>
              </w:rPr>
            </w:pPr>
          </w:p>
        </w:tc>
        <w:tc>
          <w:tcPr>
            <w:tcW w:w="905" w:type="dxa"/>
            <w:noWrap w:val="0"/>
            <w:vAlign w:val="center"/>
          </w:tcPr>
          <w:p w14:paraId="6F3A7E86">
            <w:pPr>
              <w:jc w:val="center"/>
              <w:rPr>
                <w:rFonts w:hint="eastAsia"/>
                <w:lang w:val="en-US" w:eastAsia="zh-CN"/>
              </w:rPr>
            </w:pPr>
          </w:p>
        </w:tc>
        <w:tc>
          <w:tcPr>
            <w:tcW w:w="905" w:type="dxa"/>
            <w:noWrap w:val="0"/>
            <w:vAlign w:val="center"/>
          </w:tcPr>
          <w:p w14:paraId="1995FA72">
            <w:pPr>
              <w:jc w:val="center"/>
              <w:rPr>
                <w:rFonts w:hint="default"/>
                <w:lang w:val="en-US" w:eastAsia="zh-CN"/>
              </w:rPr>
            </w:pPr>
            <w:r>
              <w:rPr>
                <w:rFonts w:hint="eastAsia"/>
                <w:lang w:val="en-US" w:eastAsia="zh-CN"/>
              </w:rPr>
              <w:t>4人</w:t>
            </w:r>
          </w:p>
        </w:tc>
      </w:tr>
      <w:tr w14:paraId="0CFA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8152" w:type="dxa"/>
            <w:gridSpan w:val="8"/>
            <w:noWrap w:val="0"/>
            <w:vAlign w:val="center"/>
          </w:tcPr>
          <w:p w14:paraId="3C8F84EF">
            <w:pPr>
              <w:jc w:val="center"/>
              <w:rPr>
                <w:rFonts w:hint="default"/>
                <w:lang w:val="en-US" w:eastAsia="zh-CN"/>
              </w:rPr>
            </w:pPr>
            <w:r>
              <w:rPr>
                <w:rFonts w:hint="eastAsia"/>
                <w:lang w:val="en-US" w:eastAsia="zh-CN"/>
              </w:rPr>
              <w:t>合计</w:t>
            </w:r>
          </w:p>
        </w:tc>
        <w:tc>
          <w:tcPr>
            <w:tcW w:w="905" w:type="dxa"/>
            <w:noWrap w:val="0"/>
            <w:vAlign w:val="center"/>
          </w:tcPr>
          <w:p w14:paraId="34557674">
            <w:pPr>
              <w:jc w:val="center"/>
              <w:rPr>
                <w:rFonts w:hint="default"/>
                <w:lang w:val="en-US" w:eastAsia="zh-CN"/>
              </w:rPr>
            </w:pPr>
            <w:r>
              <w:rPr>
                <w:rFonts w:hint="eastAsia"/>
                <w:lang w:val="en-US" w:eastAsia="zh-CN"/>
              </w:rPr>
              <w:t>48人</w:t>
            </w:r>
          </w:p>
        </w:tc>
      </w:tr>
      <w:tr w14:paraId="602F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818" w:type="dxa"/>
            <w:noWrap w:val="0"/>
            <w:vAlign w:val="center"/>
          </w:tcPr>
          <w:p w14:paraId="27DCF6E8">
            <w:pPr>
              <w:jc w:val="center"/>
              <w:rPr>
                <w:rFonts w:hint="eastAsia"/>
                <w:lang w:val="en-US" w:eastAsia="zh-CN"/>
              </w:rPr>
            </w:pPr>
            <w:r>
              <w:rPr>
                <w:rFonts w:hint="eastAsia"/>
                <w:lang w:val="en-US" w:eastAsia="zh-CN"/>
              </w:rPr>
              <w:t>备注</w:t>
            </w:r>
          </w:p>
        </w:tc>
        <w:tc>
          <w:tcPr>
            <w:tcW w:w="7239" w:type="dxa"/>
            <w:gridSpan w:val="8"/>
            <w:noWrap w:val="0"/>
            <w:vAlign w:val="center"/>
          </w:tcPr>
          <w:p w14:paraId="72FAAF97">
            <w:pPr>
              <w:jc w:val="both"/>
              <w:rPr>
                <w:rFonts w:hint="eastAsia"/>
                <w:color w:val="0C0C0C"/>
                <w:lang w:val="en-US" w:eastAsia="zh-CN"/>
              </w:rPr>
            </w:pPr>
            <w:r>
              <w:rPr>
                <w:rFonts w:hint="eastAsia"/>
                <w:lang w:val="en-US" w:eastAsia="zh-CN"/>
              </w:rPr>
              <w:t>①各</w:t>
            </w:r>
            <w:r>
              <w:rPr>
                <w:rFonts w:hint="eastAsia"/>
                <w:color w:val="0C0C0C"/>
                <w:lang w:val="en-US" w:eastAsia="zh-CN"/>
              </w:rPr>
              <w:t>食堂之间岗位人数可根据实际工作量按采购人要求调节使用；</w:t>
            </w:r>
          </w:p>
          <w:p w14:paraId="544AA73E">
            <w:pPr>
              <w:jc w:val="both"/>
              <w:rPr>
                <w:rFonts w:hint="eastAsia"/>
                <w:lang w:val="en-US" w:eastAsia="zh-CN"/>
              </w:rPr>
            </w:pPr>
            <w:r>
              <w:rPr>
                <w:rFonts w:hint="eastAsia" w:ascii="Times New Roman" w:hAnsi="Times New Roman" w:eastAsia="宋体" w:cs="Times New Roman"/>
                <w:color w:val="0C0C0C"/>
                <w:lang w:val="en-US" w:eastAsia="zh-CN"/>
              </w:rPr>
              <w:t>②本</w:t>
            </w:r>
            <w:r>
              <w:rPr>
                <w:rFonts w:hint="eastAsia"/>
                <w:color w:val="0C0C0C"/>
                <w:lang w:val="en-US" w:eastAsia="zh-CN"/>
              </w:rPr>
              <w:t>表所列“机动”人员为指居点食堂及突发情况应急用餐预留厨师，突发情况应急主要用于就餐高峰保障和重大任务供餐保障。采购人根据实际调配通知和在岗台账核算实际服务时段，按中标人报价明细据实结算相关费用，费用构成包括人员工资、福利、社保、服装费、管理费、税金等全部相关费用。未接到上岗或调配通知、未实际提供服务的时段，对应人员费用不予支付。</w:t>
            </w:r>
          </w:p>
        </w:tc>
      </w:tr>
    </w:tbl>
    <w:p w14:paraId="1174BC06">
      <w:pPr>
        <w:pStyle w:val="11"/>
        <w:numPr>
          <w:ilvl w:val="0"/>
          <w:numId w:val="0"/>
        </w:numPr>
        <w:rPr>
          <w:rFonts w:hint="eastAsia"/>
          <w:lang w:val="en-US" w:eastAsia="zh-CN"/>
        </w:rPr>
      </w:pPr>
    </w:p>
    <w:p w14:paraId="1DAFE72B">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（2）岗位人员说明：本项</w:t>
      </w:r>
      <w:r>
        <w:rPr>
          <w:rFonts w:hint="eastAsia" w:ascii="Times New Roman" w:hAnsi="Times New Roman" w:eastAsia="宋体" w:cs="Times New Roman"/>
          <w:color w:val="0C0C0C"/>
          <w:highlight w:val="none"/>
          <w:lang w:val="en-US" w:eastAsia="zh-CN"/>
        </w:rPr>
        <w:t>目配置劳务人员合计48人，其中46人为6个食堂（指一食堂、二食堂、三食堂、四食堂、警犬基地食堂、公交大队食堂）在岗</w:t>
      </w:r>
      <w:r>
        <w:rPr>
          <w:rFonts w:hint="eastAsia" w:ascii="Times New Roman" w:hAnsi="Times New Roman" w:eastAsia="宋体" w:cs="Times New Roman"/>
          <w:color w:val="0C0C0C"/>
          <w:lang w:val="en-US" w:eastAsia="zh-CN"/>
        </w:rPr>
        <w:t>人员，另配置2名专职备用厨师，不属于任一食堂常驻在岗编制，主要用于指居点食堂、各驻点食堂就餐高峰、重大公务接待、抢险救灾、重大安保等突发用餐场景的紧急调配保障。 采购人下达上岗调配通知后，中标人须按要求时限将2名备用厨师调配至</w:t>
      </w:r>
      <w:r>
        <w:rPr>
          <w:rFonts w:hint="eastAsia"/>
          <w:color w:val="0C0C0C"/>
          <w:highlight w:val="none"/>
          <w:lang w:val="en-US" w:eastAsia="zh-CN"/>
        </w:rPr>
        <w:t>采购人临时指定地点</w:t>
      </w:r>
      <w:r>
        <w:rPr>
          <w:rFonts w:hint="eastAsia" w:ascii="Times New Roman" w:hAnsi="Times New Roman" w:eastAsia="宋体" w:cs="Times New Roman"/>
          <w:color w:val="0C0C0C"/>
          <w:lang w:val="en-US" w:eastAsia="zh-CN"/>
        </w:rPr>
        <w:t>开展工作。采购人依据每月双方（采购人与中标人）共同签字确认的人员在岗调配台账核定实际服务时段、相关费用（</w:t>
      </w:r>
      <w:r>
        <w:rPr>
          <w:rFonts w:hint="eastAsia"/>
          <w:color w:val="0C0C0C"/>
          <w:lang w:val="en-US" w:eastAsia="zh-CN"/>
        </w:rPr>
        <w:t>人员工资、福利、社保、服装费、管理费、税金等全部相关费用</w:t>
      </w:r>
      <w:r>
        <w:rPr>
          <w:rFonts w:hint="eastAsia" w:ascii="Times New Roman" w:hAnsi="Times New Roman" w:eastAsia="宋体" w:cs="Times New Roman"/>
          <w:color w:val="0C0C0C"/>
          <w:lang w:val="en-US" w:eastAsia="zh-CN"/>
        </w:rPr>
        <w:t>）；未收到采购人有关备用厨师上岗、调配通知，未实际提供烹饪劳务的时段，该人员对应的工资、福利费、单位缴纳社保、企业管理费、相关税费等全部费用不予支付。 本项目采用单人全费用固定单价按月据实结算，结算时采购人依据中标人分项报价明细，扣除备用厨师未上岗时段全部相关费用；若因中标人人员储备不足、备用厨师不达标（不符合投标文件中的承诺或合同约定的相关事项）、无法按时完成人员调配造成供餐缺口的，除扣除对应时段全部费用外，采购人有权按照合同约定追究中标人违约责任。</w:t>
      </w:r>
    </w:p>
    <w:p w14:paraId="593990D6">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（3）岗位人员要求</w:t>
      </w:r>
    </w:p>
    <w:p w14:paraId="550BCD38">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①食堂工作人员须遵守法律法规、保密规定和采购单位工作纪律，无犯罪记录，无不良嗜好，服从采购人监督管理。</w:t>
      </w:r>
    </w:p>
    <w:p w14:paraId="54C12F68">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②食堂工作人员全员持健康证上岗，无流行、传染性疾病，每年体检不少于1次，身体状况符合餐饮从业人员健康标准，健康档案须向采购人备案。工作期间患有流行、传染性疾病应立即报告，暂停接触食物，直到痊愈为止，如因身体原因不能正常工作，中标人应及时更换相应人员。</w:t>
      </w:r>
    </w:p>
    <w:p w14:paraId="08329573">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③驻场项目经理需身体健康、品行端正，能独立统筹人员、成本、质量、安全等全流程运营，具备团队组建、绩效管理和应急处理能力；</w:t>
      </w:r>
    </w:p>
    <w:p w14:paraId="7D4615A4">
      <w:pPr>
        <w:widowControl w:val="0"/>
        <w:spacing w:line="360" w:lineRule="auto"/>
        <w:ind w:firstLine="420" w:firstLineChars="200"/>
        <w:rPr>
          <w:rFonts w:hint="eastAsia" w:ascii="Times New Roman" w:hAnsi="Times New Roman" w:eastAsia="宋体" w:cs="Times New Roman"/>
          <w:color w:val="0D0D0D" w:themeColor="text1" w:themeTint="F2"/>
          <w:highlight w:val="yellow"/>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C0C0C"/>
          <w:lang w:val="en-US" w:eastAsia="zh-CN"/>
        </w:rPr>
        <w:t>④食堂工作人</w:t>
      </w:r>
      <w:r>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t>员应做好个人卫生，工作期间着统一制式工作衣帽，并保持干净整洁，不得留长胡须、长指甲、长头发（女员工须盘头）等。</w:t>
      </w:r>
    </w:p>
    <w:p w14:paraId="630116CF">
      <w:pPr>
        <w:widowControl w:val="0"/>
        <w:spacing w:line="360" w:lineRule="auto"/>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lang w:val="en-US" w:eastAsia="zh-CN"/>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t>3.3服务质量要求</w:t>
      </w:r>
    </w:p>
    <w:p w14:paraId="259094A7">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（1）保持餐厅、操作间卫生干净、整洁，餐具及时存放消毒柜杀菌消毒，餐厅清扫擦拭及时彻底，做好防蝇灭鼠等除四害工作。</w:t>
      </w:r>
    </w:p>
    <w:p w14:paraId="6AFFAD00">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（2）定期检查、维护燃气灶具和电气设施，严格遵守操作规程，严防安全事故发生。</w:t>
      </w:r>
    </w:p>
    <w:p w14:paraId="4D41F101">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（3）严格执行《中华人民共和国食品安全法》，落实食品留样（每样不少于125g，保留48小时），生、熟切菜工具分开。</w:t>
      </w:r>
    </w:p>
    <w:p w14:paraId="7CB0DE7D">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（4）加强仓库管理，食品分类摆放，及时使用，严防食品积压、霉烂变质、超期使用，严格验收和进出库实名登记，做到定期盘点、账物相符、台账齐全，严防盗窃和丢失。</w:t>
      </w:r>
    </w:p>
    <w:p w14:paraId="12DA1BAB">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（5）中标人须严格落实食材成本管控工作，结合采购人伙食标准科学搭配食材，厉行节约、减少浪费，食材综合损耗率全年平均控制在3% 以内。</w:t>
      </w:r>
    </w:p>
    <w:p w14:paraId="6E205353">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（6）采购人每月组织就餐人员对食堂满意度（服务态度、供餐时间、菜品标准、餐饮质量、卫生状况）进行测评，满意率不得低于80%。</w:t>
      </w:r>
    </w:p>
    <w:p w14:paraId="50D997E2">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（7）中标人须规范食堂运营管理，有效降低就餐人员投诉。若出现服务态度恶劣、饭菜未熟透、未按时开餐、餐食供应不足、餐品内混入头发 / 金属丝 / 玻璃 / 砂石 / 虫类异物、环境卫生脏乱差等问题，均纳入有效投诉。</w:t>
      </w:r>
    </w:p>
    <w:p w14:paraId="2F8E50D3">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3.4食品安全质量要求</w:t>
      </w:r>
    </w:p>
    <w:p w14:paraId="7D31A0E1">
      <w:pPr>
        <w:widowControl w:val="0"/>
        <w:spacing w:line="360" w:lineRule="auto"/>
        <w:ind w:firstLine="420" w:firstLineChars="200"/>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pPr>
      <w:r>
        <w:rPr>
          <w:rFonts w:hint="eastAsia" w:ascii="Times New Roman" w:hAnsi="Times New Roman" w:eastAsia="宋体" w:cs="Times New Roman"/>
          <w:color w:val="0C0C0C"/>
          <w:lang w:val="en-US" w:eastAsia="zh-CN"/>
        </w:rPr>
        <w:t>所有派驻人员需落实岗前健康体检制度；后厨操作严格匹配餐饮卫生操作技术规范，餐具消杀、食材储存、餐厨垃圾处置均达到餐饮合规质量标准；仓库兼职管理人员做好食材出入库</w:t>
      </w:r>
      <w:r>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t>台账、仓储温湿度管控，防范食材霉变、过期等质量隐患。</w:t>
      </w:r>
    </w:p>
    <w:p w14:paraId="59D26583">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宋体" w:hAnsi="宋体" w:eastAsia="宋体" w:cs="宋体"/>
          <w:color w:val="0D0D0D" w:themeColor="text1" w:themeTint="F2"/>
          <w:lang w:val="en-US" w:eastAsia="zh-CN"/>
          <w14:textFill>
            <w14:solidFill>
              <w14:schemeClr w14:val="tx1">
                <w14:lumMod w14:val="95000"/>
                <w14:lumOff w14:val="5000"/>
              </w14:schemeClr>
            </w14:solidFill>
          </w14:textFill>
        </w:rPr>
        <w:t>★</w:t>
      </w:r>
      <w:r>
        <w:rPr>
          <w:rFonts w:hint="eastAsia" w:ascii="Times New Roman" w:hAnsi="Times New Roman" w:eastAsia="宋体" w:cs="Times New Roman"/>
          <w:color w:val="0D0D0D" w:themeColor="text1" w:themeTint="F2"/>
          <w:lang w:val="en-US" w:eastAsia="zh-CN"/>
          <w14:textFill>
            <w14:solidFill>
              <w14:schemeClr w14:val="tx1">
                <w14:lumMod w14:val="95000"/>
                <w14:lumOff w14:val="5000"/>
              </w14:schemeClr>
            </w14:solidFill>
          </w14:textFill>
        </w:rPr>
        <w:t>3.5安全管</w:t>
      </w:r>
      <w:r>
        <w:rPr>
          <w:rFonts w:hint="eastAsia" w:ascii="Times New Roman" w:hAnsi="Times New Roman" w:eastAsia="宋体" w:cs="Times New Roman"/>
          <w:color w:val="0C0C0C"/>
          <w:lang w:val="en-US" w:eastAsia="zh-CN"/>
        </w:rPr>
        <w:t>控要求</w:t>
      </w:r>
    </w:p>
    <w:p w14:paraId="635D7E38">
      <w:pPr>
        <w:widowControl w:val="0"/>
        <w:numPr>
          <w:ilvl w:val="0"/>
          <w:numId w:val="0"/>
        </w:numPr>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3.5.1劳动用工与社保安全要求</w:t>
      </w:r>
    </w:p>
    <w:p w14:paraId="01E61369">
      <w:pPr>
        <w:widowControl w:val="0"/>
        <w:numPr>
          <w:ilvl w:val="0"/>
          <w:numId w:val="0"/>
        </w:numPr>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本项目履约期间，中标人须严格依照《中华人民共和国劳动法》、《中华人民共和国社会保险法》相关规定，为本项目派驻的全部在岗工作人员足额、按时缴纳五险，严禁欠缴、少缴、漏缴社保费用。履约全过程，若因社保缴纳不合规引发劳资纠纷、行政处罚、劳动仲裁赔偿等全部经济与法律责任，均由中标人自行承担。在岗人员出现工伤、疾病住院、人身意外伤害、用工身故产生的各类赔付、医治相关开支，全部由中标人自行承担，相关费用纳入项目包干总价范围。投标人填报的各岗位人员工资、社保缴费标准均不得低于国家、湖南省及岳阳市现行法定最低标准；用工相关分项报价低于法定标准的，按</w:t>
      </w:r>
      <w:r>
        <w:rPr>
          <w:rFonts w:hint="eastAsia" w:ascii="Times New Roman" w:hAnsi="Times New Roman" w:eastAsia="宋体" w:cs="Times New Roman"/>
          <w:b/>
          <w:bCs/>
          <w:color w:val="0C0C0C"/>
          <w:lang w:val="en-US" w:eastAsia="zh-CN"/>
        </w:rPr>
        <w:t>无效投标</w:t>
      </w:r>
      <w:r>
        <w:rPr>
          <w:rFonts w:hint="eastAsia" w:ascii="Times New Roman" w:hAnsi="Times New Roman" w:eastAsia="宋体" w:cs="Times New Roman"/>
          <w:color w:val="0C0C0C"/>
          <w:lang w:val="en-US" w:eastAsia="zh-CN"/>
        </w:rPr>
        <w:t>处理。</w:t>
      </w:r>
    </w:p>
    <w:p w14:paraId="424384DE">
      <w:pPr>
        <w:widowControl w:val="0"/>
        <w:numPr>
          <w:ilvl w:val="0"/>
          <w:numId w:val="0"/>
        </w:numPr>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3.5.2法定节假日加班合规管控要求</w:t>
      </w:r>
    </w:p>
    <w:p w14:paraId="3063C109">
      <w:pPr>
        <w:widowControl w:val="0"/>
        <w:numPr>
          <w:ilvl w:val="0"/>
          <w:numId w:val="0"/>
        </w:numPr>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本项目履约期间，中标人安排岗位人员法定节假日加班的，须严格执行《中华人民共和国劳动法》第四十四条、《人力资源社会保障部关于职工全年月平均工作时间和工资折算问题的通知》（人社部发〔2025〕2 号）第二条相关规定，法定节假日加班工资按照月基础工资 ÷21.75 天 ×300% 标准足额计发，不得以调休、补休抵扣法定节假日三倍薪酬。中标人须足额核算、按时发放全部加班薪酬；履约期内因加班费计发不达标产生的一切劳资纠纷、经济赔付、行政监管处罚相关责任，全部由中标人独立承担。</w:t>
      </w:r>
    </w:p>
    <w:p w14:paraId="76E7F082">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3.5.3场所安全：派驻员工遵守岳阳市公安局内部安保管理制度，落实进出登记、保密管理等安保要求。派驻上岗人员须接受采购人准入政审，中标人统一收集人员身份证、无犯罪记录证明等政审材料提交采购人审核，政审不合格人员不得派驻上岗；中标人须建立本项目派驻人员信息台账，将人员身份证、健康证、从业资格、社保缴纳凭证等材料复印件（加盖中标人公章）提交采购人留存备案，完整人事档案由中标人按国家档案管理规定自行妥善保管，采购人不接收、保管员工人事档案原件。中标人对提交的全部人员信息承担保密责任；项目派驻人员发生更换的，须提前提交新人员全套政审及备案材料，经采购人审核通过后方可上岗。</w:t>
      </w:r>
    </w:p>
    <w:p w14:paraId="7438673B">
      <w:pPr>
        <w:widowControl w:val="0"/>
        <w:spacing w:line="360" w:lineRule="auto"/>
        <w:ind w:firstLine="420" w:firstLineChars="200"/>
        <w:rPr>
          <w:rFonts w:hint="default"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3.6设备管理</w:t>
      </w:r>
    </w:p>
    <w:p w14:paraId="74237E19">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（1）中标人在合同签订后应及时接管采购人食堂设施设备，并在合同到期时向采购人移交，确保食堂正常运转；</w:t>
      </w:r>
    </w:p>
    <w:p w14:paraId="21AC8880">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（2）中标人负责食堂设施、设备定期维护、保养，对非正常损坏的设施、设备进行维修，因管理不善造成丢失的应照价赔偿。</w:t>
      </w:r>
    </w:p>
    <w:p w14:paraId="1730D3EE">
      <w:pPr>
        <w:widowControl w:val="0"/>
        <w:spacing w:line="360" w:lineRule="auto"/>
        <w:ind w:firstLine="420" w:firstLineChars="2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3.7服装技术规格要求</w:t>
      </w:r>
    </w:p>
    <w:p w14:paraId="55A89306">
      <w:pPr>
        <w:pStyle w:val="12"/>
        <w:ind w:left="0" w:leftChars="0" w:firstLine="420" w:firstLineChars="200"/>
        <w:rPr>
          <w:rFonts w:hint="eastAsia"/>
          <w:highlight w:val="none"/>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rPr>
        <w:t>本项目</w:t>
      </w:r>
      <w:r>
        <w:rPr>
          <w:rFonts w:hint="eastAsia"/>
          <w:highlight w:val="none"/>
          <w:lang w:eastAsia="zh-CN"/>
        </w:rPr>
        <w:t>各岗位人员的服装清单如下：</w:t>
      </w:r>
    </w:p>
    <w:tbl>
      <w:tblPr>
        <w:tblStyle w:val="13"/>
        <w:tblW w:w="46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202"/>
        <w:gridCol w:w="1623"/>
        <w:gridCol w:w="2507"/>
        <w:gridCol w:w="1700"/>
      </w:tblGrid>
      <w:tr w14:paraId="79C4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1370" w:type="pct"/>
            <w:noWrap w:val="0"/>
            <w:tcMar>
              <w:top w:w="120" w:type="dxa"/>
              <w:left w:w="120" w:type="dxa"/>
              <w:bottom w:w="120" w:type="dxa"/>
              <w:right w:w="120" w:type="dxa"/>
            </w:tcMar>
            <w:vAlign w:val="center"/>
          </w:tcPr>
          <w:p w14:paraId="6EB58695">
            <w:pPr>
              <w:jc w:val="center"/>
              <w:rPr>
                <w:rFonts w:hint="eastAsia"/>
                <w:b/>
                <w:bCs/>
                <w:lang w:eastAsia="zh-CN"/>
              </w:rPr>
            </w:pPr>
            <w:r>
              <w:rPr>
                <w:rFonts w:hint="eastAsia"/>
                <w:b/>
                <w:bCs/>
                <w:lang w:val="en-US" w:eastAsia="zh-CN"/>
              </w:rPr>
              <w:t>服装品类</w:t>
            </w:r>
          </w:p>
        </w:tc>
        <w:tc>
          <w:tcPr>
            <w:tcW w:w="1010" w:type="pct"/>
            <w:noWrap w:val="0"/>
            <w:tcMar>
              <w:top w:w="120" w:type="dxa"/>
              <w:left w:w="120" w:type="dxa"/>
              <w:bottom w:w="120" w:type="dxa"/>
              <w:right w:w="120" w:type="dxa"/>
            </w:tcMar>
            <w:vAlign w:val="center"/>
          </w:tcPr>
          <w:p w14:paraId="5731BB82">
            <w:pPr>
              <w:jc w:val="center"/>
              <w:rPr>
                <w:rFonts w:hint="eastAsia"/>
                <w:b/>
                <w:bCs/>
                <w:lang w:eastAsia="zh-CN"/>
              </w:rPr>
            </w:pPr>
            <w:r>
              <w:rPr>
                <w:rFonts w:hint="eastAsia"/>
                <w:b/>
                <w:bCs/>
                <w:lang w:val="en-US" w:eastAsia="zh-CN"/>
              </w:rPr>
              <w:t>适配在岗人数</w:t>
            </w:r>
          </w:p>
        </w:tc>
        <w:tc>
          <w:tcPr>
            <w:tcW w:w="1560" w:type="pct"/>
            <w:noWrap w:val="0"/>
            <w:tcMar>
              <w:top w:w="120" w:type="dxa"/>
              <w:left w:w="120" w:type="dxa"/>
              <w:bottom w:w="120" w:type="dxa"/>
              <w:right w:w="120" w:type="dxa"/>
            </w:tcMar>
            <w:vAlign w:val="center"/>
          </w:tcPr>
          <w:p w14:paraId="63865F9E">
            <w:pPr>
              <w:jc w:val="center"/>
              <w:rPr>
                <w:rFonts w:hint="eastAsia"/>
                <w:b/>
                <w:bCs/>
                <w:lang w:eastAsia="zh-CN"/>
              </w:rPr>
            </w:pPr>
            <w:r>
              <w:rPr>
                <w:rFonts w:hint="eastAsia"/>
                <w:b/>
                <w:bCs/>
                <w:lang w:val="en-US" w:eastAsia="zh-CN"/>
              </w:rPr>
              <w:t>统一配发标准</w:t>
            </w:r>
          </w:p>
        </w:tc>
        <w:tc>
          <w:tcPr>
            <w:tcW w:w="1058" w:type="pct"/>
            <w:noWrap w:val="0"/>
            <w:tcMar>
              <w:top w:w="120" w:type="dxa"/>
              <w:left w:w="120" w:type="dxa"/>
              <w:bottom w:w="120" w:type="dxa"/>
              <w:right w:w="120" w:type="dxa"/>
            </w:tcMar>
            <w:vAlign w:val="center"/>
          </w:tcPr>
          <w:p w14:paraId="45044CAB">
            <w:pPr>
              <w:jc w:val="center"/>
              <w:rPr>
                <w:rFonts w:hint="eastAsia"/>
                <w:b/>
                <w:bCs/>
                <w:lang w:eastAsia="zh-CN"/>
              </w:rPr>
            </w:pPr>
            <w:r>
              <w:rPr>
                <w:rFonts w:hint="eastAsia"/>
                <w:b/>
                <w:bCs/>
                <w:lang w:val="en-US" w:eastAsia="zh-CN"/>
              </w:rPr>
              <w:t>采购总数量</w:t>
            </w:r>
          </w:p>
        </w:tc>
      </w:tr>
      <w:tr w14:paraId="280A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70" w:type="pct"/>
            <w:noWrap w:val="0"/>
            <w:tcMar>
              <w:top w:w="120" w:type="dxa"/>
              <w:left w:w="120" w:type="dxa"/>
              <w:bottom w:w="120" w:type="dxa"/>
              <w:right w:w="120" w:type="dxa"/>
            </w:tcMar>
            <w:vAlign w:val="center"/>
          </w:tcPr>
          <w:p w14:paraId="52A27818">
            <w:pPr>
              <w:jc w:val="center"/>
              <w:rPr>
                <w:rFonts w:hint="eastAsia"/>
                <w:lang w:eastAsia="zh-CN"/>
              </w:rPr>
            </w:pPr>
            <w:r>
              <w:rPr>
                <w:rFonts w:hint="eastAsia"/>
                <w:lang w:val="en-US" w:eastAsia="zh-CN"/>
              </w:rPr>
              <w:t>春秋工装</w:t>
            </w:r>
          </w:p>
        </w:tc>
        <w:tc>
          <w:tcPr>
            <w:tcW w:w="1010" w:type="pct"/>
            <w:noWrap w:val="0"/>
            <w:tcMar>
              <w:top w:w="120" w:type="dxa"/>
              <w:left w:w="120" w:type="dxa"/>
              <w:bottom w:w="120" w:type="dxa"/>
              <w:right w:w="120" w:type="dxa"/>
            </w:tcMar>
            <w:vAlign w:val="center"/>
          </w:tcPr>
          <w:p w14:paraId="56476266">
            <w:pPr>
              <w:jc w:val="center"/>
              <w:rPr>
                <w:rFonts w:hint="eastAsia"/>
                <w:lang w:eastAsia="zh-CN"/>
              </w:rPr>
            </w:pPr>
            <w:r>
              <w:rPr>
                <w:rFonts w:hint="eastAsia"/>
                <w:lang w:val="en-US" w:eastAsia="zh-CN"/>
              </w:rPr>
              <w:t>48</w:t>
            </w:r>
          </w:p>
        </w:tc>
        <w:tc>
          <w:tcPr>
            <w:tcW w:w="1560" w:type="pct"/>
            <w:noWrap w:val="0"/>
            <w:tcMar>
              <w:top w:w="120" w:type="dxa"/>
              <w:left w:w="120" w:type="dxa"/>
              <w:bottom w:w="120" w:type="dxa"/>
              <w:right w:w="120" w:type="dxa"/>
            </w:tcMar>
            <w:vAlign w:val="center"/>
          </w:tcPr>
          <w:p w14:paraId="0DDA9627">
            <w:pPr>
              <w:jc w:val="center"/>
              <w:rPr>
                <w:rFonts w:hint="eastAsia"/>
                <w:lang w:eastAsia="zh-CN"/>
              </w:rPr>
            </w:pPr>
            <w:r>
              <w:rPr>
                <w:rFonts w:hint="eastAsia"/>
                <w:lang w:val="en-US" w:eastAsia="zh-CN"/>
              </w:rPr>
              <w:t>每人每年配发 2 套</w:t>
            </w:r>
          </w:p>
        </w:tc>
        <w:tc>
          <w:tcPr>
            <w:tcW w:w="1058" w:type="pct"/>
            <w:noWrap w:val="0"/>
            <w:tcMar>
              <w:top w:w="120" w:type="dxa"/>
              <w:left w:w="120" w:type="dxa"/>
              <w:bottom w:w="120" w:type="dxa"/>
              <w:right w:w="120" w:type="dxa"/>
            </w:tcMar>
            <w:vAlign w:val="center"/>
          </w:tcPr>
          <w:p w14:paraId="1F1F860B">
            <w:pPr>
              <w:jc w:val="center"/>
              <w:rPr>
                <w:rFonts w:hint="eastAsia"/>
                <w:lang w:eastAsia="zh-CN"/>
              </w:rPr>
            </w:pPr>
            <w:r>
              <w:rPr>
                <w:rFonts w:hint="eastAsia"/>
                <w:lang w:val="en-US" w:eastAsia="zh-CN"/>
              </w:rPr>
              <w:t>96 套</w:t>
            </w:r>
          </w:p>
        </w:tc>
      </w:tr>
      <w:tr w14:paraId="7C90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70" w:type="pct"/>
            <w:noWrap w:val="0"/>
            <w:tcMar>
              <w:top w:w="120" w:type="dxa"/>
              <w:left w:w="120" w:type="dxa"/>
              <w:bottom w:w="120" w:type="dxa"/>
              <w:right w:w="120" w:type="dxa"/>
            </w:tcMar>
            <w:vAlign w:val="center"/>
          </w:tcPr>
          <w:p w14:paraId="2C6E7675">
            <w:pPr>
              <w:jc w:val="center"/>
              <w:rPr>
                <w:rFonts w:hint="eastAsia"/>
                <w:lang w:eastAsia="zh-CN"/>
              </w:rPr>
            </w:pPr>
            <w:r>
              <w:rPr>
                <w:rFonts w:hint="eastAsia"/>
                <w:lang w:val="en-US" w:eastAsia="zh-CN"/>
              </w:rPr>
              <w:t>夏季工装</w:t>
            </w:r>
          </w:p>
        </w:tc>
        <w:tc>
          <w:tcPr>
            <w:tcW w:w="1010" w:type="pct"/>
            <w:noWrap w:val="0"/>
            <w:tcMar>
              <w:top w:w="120" w:type="dxa"/>
              <w:left w:w="120" w:type="dxa"/>
              <w:bottom w:w="120" w:type="dxa"/>
              <w:right w:w="120" w:type="dxa"/>
            </w:tcMar>
            <w:vAlign w:val="center"/>
          </w:tcPr>
          <w:p w14:paraId="35490586">
            <w:pPr>
              <w:jc w:val="center"/>
              <w:rPr>
                <w:rFonts w:hint="eastAsia"/>
                <w:lang w:eastAsia="zh-CN"/>
              </w:rPr>
            </w:pPr>
            <w:r>
              <w:rPr>
                <w:rFonts w:hint="eastAsia"/>
                <w:lang w:val="en-US" w:eastAsia="zh-CN"/>
              </w:rPr>
              <w:t>48</w:t>
            </w:r>
          </w:p>
        </w:tc>
        <w:tc>
          <w:tcPr>
            <w:tcW w:w="1560" w:type="pct"/>
            <w:noWrap w:val="0"/>
            <w:tcMar>
              <w:top w:w="120" w:type="dxa"/>
              <w:left w:w="120" w:type="dxa"/>
              <w:bottom w:w="120" w:type="dxa"/>
              <w:right w:w="120" w:type="dxa"/>
            </w:tcMar>
            <w:vAlign w:val="center"/>
          </w:tcPr>
          <w:p w14:paraId="5B7813F2">
            <w:pPr>
              <w:jc w:val="center"/>
              <w:rPr>
                <w:rFonts w:hint="eastAsia"/>
                <w:lang w:eastAsia="zh-CN"/>
              </w:rPr>
            </w:pPr>
            <w:r>
              <w:rPr>
                <w:rFonts w:hint="eastAsia"/>
                <w:lang w:val="en-US" w:eastAsia="zh-CN"/>
              </w:rPr>
              <w:t>每人每年配发 2 套</w:t>
            </w:r>
          </w:p>
        </w:tc>
        <w:tc>
          <w:tcPr>
            <w:tcW w:w="1058" w:type="pct"/>
            <w:noWrap w:val="0"/>
            <w:tcMar>
              <w:top w:w="120" w:type="dxa"/>
              <w:left w:w="120" w:type="dxa"/>
              <w:bottom w:w="120" w:type="dxa"/>
              <w:right w:w="120" w:type="dxa"/>
            </w:tcMar>
            <w:vAlign w:val="center"/>
          </w:tcPr>
          <w:p w14:paraId="4240B23D">
            <w:pPr>
              <w:jc w:val="center"/>
              <w:rPr>
                <w:rFonts w:hint="eastAsia"/>
                <w:lang w:eastAsia="zh-CN"/>
              </w:rPr>
            </w:pPr>
            <w:r>
              <w:rPr>
                <w:rFonts w:hint="eastAsia"/>
                <w:lang w:val="en-US" w:eastAsia="zh-CN"/>
              </w:rPr>
              <w:t>96 套</w:t>
            </w:r>
          </w:p>
        </w:tc>
      </w:tr>
      <w:tr w14:paraId="083F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70" w:type="pct"/>
            <w:noWrap w:val="0"/>
            <w:tcMar>
              <w:top w:w="120" w:type="dxa"/>
              <w:left w:w="120" w:type="dxa"/>
              <w:bottom w:w="120" w:type="dxa"/>
              <w:right w:w="120" w:type="dxa"/>
            </w:tcMar>
            <w:vAlign w:val="center"/>
          </w:tcPr>
          <w:p w14:paraId="7F1CA431">
            <w:pPr>
              <w:jc w:val="center"/>
              <w:rPr>
                <w:rFonts w:hint="eastAsia"/>
                <w:lang w:eastAsia="zh-CN"/>
              </w:rPr>
            </w:pPr>
            <w:r>
              <w:rPr>
                <w:rFonts w:hint="eastAsia"/>
                <w:lang w:val="en-US" w:eastAsia="zh-CN"/>
              </w:rPr>
              <w:t>冬季工装</w:t>
            </w:r>
          </w:p>
        </w:tc>
        <w:tc>
          <w:tcPr>
            <w:tcW w:w="1010" w:type="pct"/>
            <w:noWrap w:val="0"/>
            <w:tcMar>
              <w:top w:w="120" w:type="dxa"/>
              <w:left w:w="120" w:type="dxa"/>
              <w:bottom w:w="120" w:type="dxa"/>
              <w:right w:w="120" w:type="dxa"/>
            </w:tcMar>
            <w:vAlign w:val="center"/>
          </w:tcPr>
          <w:p w14:paraId="0213AD1C">
            <w:pPr>
              <w:jc w:val="center"/>
              <w:rPr>
                <w:rFonts w:hint="eastAsia"/>
                <w:lang w:eastAsia="zh-CN"/>
              </w:rPr>
            </w:pPr>
            <w:r>
              <w:rPr>
                <w:rFonts w:hint="eastAsia"/>
                <w:lang w:val="en-US" w:eastAsia="zh-CN"/>
              </w:rPr>
              <w:t>48</w:t>
            </w:r>
          </w:p>
        </w:tc>
        <w:tc>
          <w:tcPr>
            <w:tcW w:w="1560" w:type="pct"/>
            <w:noWrap w:val="0"/>
            <w:tcMar>
              <w:top w:w="120" w:type="dxa"/>
              <w:left w:w="120" w:type="dxa"/>
              <w:bottom w:w="120" w:type="dxa"/>
              <w:right w:w="120" w:type="dxa"/>
            </w:tcMar>
            <w:vAlign w:val="center"/>
          </w:tcPr>
          <w:p w14:paraId="26AFC7B5">
            <w:pPr>
              <w:jc w:val="center"/>
              <w:rPr>
                <w:rFonts w:hint="eastAsia"/>
                <w:lang w:eastAsia="zh-CN"/>
              </w:rPr>
            </w:pPr>
            <w:r>
              <w:rPr>
                <w:rFonts w:hint="eastAsia"/>
                <w:lang w:val="en-US" w:eastAsia="zh-CN"/>
              </w:rPr>
              <w:t>每人每年配发 2 套</w:t>
            </w:r>
          </w:p>
        </w:tc>
        <w:tc>
          <w:tcPr>
            <w:tcW w:w="1058" w:type="pct"/>
            <w:noWrap w:val="0"/>
            <w:tcMar>
              <w:top w:w="120" w:type="dxa"/>
              <w:left w:w="120" w:type="dxa"/>
              <w:bottom w:w="120" w:type="dxa"/>
              <w:right w:w="120" w:type="dxa"/>
            </w:tcMar>
            <w:vAlign w:val="center"/>
          </w:tcPr>
          <w:p w14:paraId="0915E758">
            <w:pPr>
              <w:jc w:val="center"/>
              <w:rPr>
                <w:rFonts w:hint="eastAsia"/>
                <w:lang w:eastAsia="zh-CN"/>
              </w:rPr>
            </w:pPr>
            <w:r>
              <w:rPr>
                <w:rFonts w:hint="eastAsia"/>
                <w:lang w:val="en-US" w:eastAsia="zh-CN"/>
              </w:rPr>
              <w:t>96 套</w:t>
            </w:r>
          </w:p>
        </w:tc>
      </w:tr>
      <w:tr w14:paraId="0276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70" w:type="pct"/>
            <w:noWrap w:val="0"/>
            <w:tcMar>
              <w:top w:w="120" w:type="dxa"/>
              <w:left w:w="120" w:type="dxa"/>
              <w:bottom w:w="120" w:type="dxa"/>
              <w:right w:w="120" w:type="dxa"/>
            </w:tcMar>
            <w:vAlign w:val="center"/>
          </w:tcPr>
          <w:p w14:paraId="22CA769B">
            <w:pPr>
              <w:jc w:val="center"/>
              <w:rPr>
                <w:rFonts w:hint="eastAsia"/>
                <w:lang w:eastAsia="zh-CN"/>
              </w:rPr>
            </w:pPr>
            <w:r>
              <w:rPr>
                <w:rFonts w:hint="eastAsia"/>
                <w:lang w:val="en-US" w:eastAsia="zh-CN"/>
              </w:rPr>
              <w:t>厨师围裙</w:t>
            </w:r>
          </w:p>
        </w:tc>
        <w:tc>
          <w:tcPr>
            <w:tcW w:w="1010" w:type="pct"/>
            <w:noWrap w:val="0"/>
            <w:tcMar>
              <w:top w:w="120" w:type="dxa"/>
              <w:left w:w="120" w:type="dxa"/>
              <w:bottom w:w="120" w:type="dxa"/>
              <w:right w:w="120" w:type="dxa"/>
            </w:tcMar>
            <w:vAlign w:val="center"/>
          </w:tcPr>
          <w:p w14:paraId="52A7BD97">
            <w:pPr>
              <w:jc w:val="center"/>
              <w:rPr>
                <w:rFonts w:hint="eastAsia"/>
                <w:lang w:eastAsia="zh-CN"/>
              </w:rPr>
            </w:pPr>
            <w:r>
              <w:rPr>
                <w:rFonts w:hint="eastAsia"/>
                <w:lang w:val="en-US" w:eastAsia="zh-CN"/>
              </w:rPr>
              <w:t>26</w:t>
            </w:r>
          </w:p>
        </w:tc>
        <w:tc>
          <w:tcPr>
            <w:tcW w:w="1560" w:type="pct"/>
            <w:noWrap w:val="0"/>
            <w:tcMar>
              <w:top w:w="120" w:type="dxa"/>
              <w:left w:w="120" w:type="dxa"/>
              <w:bottom w:w="120" w:type="dxa"/>
              <w:right w:w="120" w:type="dxa"/>
            </w:tcMar>
            <w:vAlign w:val="center"/>
          </w:tcPr>
          <w:p w14:paraId="3EA24268">
            <w:pPr>
              <w:jc w:val="center"/>
              <w:rPr>
                <w:rFonts w:hint="eastAsia"/>
                <w:lang w:eastAsia="zh-CN"/>
              </w:rPr>
            </w:pPr>
            <w:r>
              <w:rPr>
                <w:rFonts w:hint="eastAsia"/>
                <w:lang w:val="en-US" w:eastAsia="zh-CN"/>
              </w:rPr>
              <w:t>每人每年配发 2 件</w:t>
            </w:r>
          </w:p>
        </w:tc>
        <w:tc>
          <w:tcPr>
            <w:tcW w:w="1058" w:type="pct"/>
            <w:noWrap w:val="0"/>
            <w:tcMar>
              <w:top w:w="120" w:type="dxa"/>
              <w:left w:w="120" w:type="dxa"/>
              <w:bottom w:w="120" w:type="dxa"/>
              <w:right w:w="120" w:type="dxa"/>
            </w:tcMar>
            <w:vAlign w:val="center"/>
          </w:tcPr>
          <w:p w14:paraId="7007AD80">
            <w:pPr>
              <w:jc w:val="center"/>
              <w:rPr>
                <w:rFonts w:hint="eastAsia"/>
                <w:lang w:eastAsia="zh-CN"/>
              </w:rPr>
            </w:pPr>
            <w:r>
              <w:rPr>
                <w:rFonts w:hint="eastAsia"/>
                <w:lang w:val="en-US" w:eastAsia="zh-CN"/>
              </w:rPr>
              <w:t>52 件</w:t>
            </w:r>
          </w:p>
        </w:tc>
      </w:tr>
      <w:tr w14:paraId="60E2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70" w:type="pct"/>
            <w:noWrap w:val="0"/>
            <w:tcMar>
              <w:top w:w="120" w:type="dxa"/>
              <w:left w:w="120" w:type="dxa"/>
              <w:bottom w:w="120" w:type="dxa"/>
              <w:right w:w="120" w:type="dxa"/>
            </w:tcMar>
            <w:vAlign w:val="center"/>
          </w:tcPr>
          <w:p w14:paraId="1824946A">
            <w:pPr>
              <w:jc w:val="center"/>
              <w:rPr>
                <w:rFonts w:hint="eastAsia"/>
                <w:lang w:eastAsia="zh-CN"/>
              </w:rPr>
            </w:pPr>
            <w:r>
              <w:rPr>
                <w:rFonts w:hint="eastAsia"/>
                <w:lang w:val="en-US" w:eastAsia="zh-CN"/>
              </w:rPr>
              <w:t>服务员围裙</w:t>
            </w:r>
          </w:p>
        </w:tc>
        <w:tc>
          <w:tcPr>
            <w:tcW w:w="1010" w:type="pct"/>
            <w:noWrap w:val="0"/>
            <w:tcMar>
              <w:top w:w="120" w:type="dxa"/>
              <w:left w:w="120" w:type="dxa"/>
              <w:bottom w:w="120" w:type="dxa"/>
              <w:right w:w="120" w:type="dxa"/>
            </w:tcMar>
            <w:vAlign w:val="center"/>
          </w:tcPr>
          <w:p w14:paraId="45A2E363">
            <w:pPr>
              <w:jc w:val="center"/>
              <w:rPr>
                <w:rFonts w:hint="eastAsia"/>
                <w:lang w:eastAsia="zh-CN"/>
              </w:rPr>
            </w:pPr>
            <w:r>
              <w:rPr>
                <w:rFonts w:hint="eastAsia"/>
                <w:lang w:val="en-US" w:eastAsia="zh-CN"/>
              </w:rPr>
              <w:t>21</w:t>
            </w:r>
          </w:p>
        </w:tc>
        <w:tc>
          <w:tcPr>
            <w:tcW w:w="1560" w:type="pct"/>
            <w:noWrap w:val="0"/>
            <w:tcMar>
              <w:top w:w="120" w:type="dxa"/>
              <w:left w:w="120" w:type="dxa"/>
              <w:bottom w:w="120" w:type="dxa"/>
              <w:right w:w="120" w:type="dxa"/>
            </w:tcMar>
            <w:vAlign w:val="center"/>
          </w:tcPr>
          <w:p w14:paraId="5212FA1B">
            <w:pPr>
              <w:jc w:val="center"/>
              <w:rPr>
                <w:rFonts w:hint="eastAsia"/>
                <w:lang w:eastAsia="zh-CN"/>
              </w:rPr>
            </w:pPr>
            <w:r>
              <w:rPr>
                <w:rFonts w:hint="eastAsia"/>
                <w:lang w:val="en-US" w:eastAsia="zh-CN"/>
              </w:rPr>
              <w:t>每人每年配发 2 件</w:t>
            </w:r>
          </w:p>
        </w:tc>
        <w:tc>
          <w:tcPr>
            <w:tcW w:w="1058" w:type="pct"/>
            <w:noWrap w:val="0"/>
            <w:tcMar>
              <w:top w:w="120" w:type="dxa"/>
              <w:left w:w="120" w:type="dxa"/>
              <w:bottom w:w="120" w:type="dxa"/>
              <w:right w:w="120" w:type="dxa"/>
            </w:tcMar>
            <w:vAlign w:val="center"/>
          </w:tcPr>
          <w:p w14:paraId="2ACD50DC">
            <w:pPr>
              <w:jc w:val="center"/>
              <w:rPr>
                <w:rFonts w:hint="eastAsia"/>
                <w:lang w:eastAsia="zh-CN"/>
              </w:rPr>
            </w:pPr>
            <w:r>
              <w:rPr>
                <w:rFonts w:hint="eastAsia"/>
                <w:lang w:val="en-US" w:eastAsia="zh-CN"/>
              </w:rPr>
              <w:t>42 件</w:t>
            </w:r>
          </w:p>
        </w:tc>
      </w:tr>
      <w:tr w14:paraId="6B3F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70" w:type="pct"/>
            <w:noWrap w:val="0"/>
            <w:tcMar>
              <w:top w:w="120" w:type="dxa"/>
              <w:left w:w="120" w:type="dxa"/>
              <w:bottom w:w="120" w:type="dxa"/>
              <w:right w:w="120" w:type="dxa"/>
            </w:tcMar>
            <w:vAlign w:val="center"/>
          </w:tcPr>
          <w:p w14:paraId="1CD03BD4">
            <w:pPr>
              <w:jc w:val="center"/>
              <w:rPr>
                <w:rFonts w:hint="eastAsia"/>
                <w:lang w:eastAsia="zh-CN"/>
              </w:rPr>
            </w:pPr>
            <w:r>
              <w:rPr>
                <w:rFonts w:hint="eastAsia"/>
                <w:lang w:val="en-US" w:eastAsia="zh-CN"/>
              </w:rPr>
              <w:t>厨师帽</w:t>
            </w:r>
          </w:p>
        </w:tc>
        <w:tc>
          <w:tcPr>
            <w:tcW w:w="1010" w:type="pct"/>
            <w:noWrap w:val="0"/>
            <w:tcMar>
              <w:top w:w="120" w:type="dxa"/>
              <w:left w:w="120" w:type="dxa"/>
              <w:bottom w:w="120" w:type="dxa"/>
              <w:right w:w="120" w:type="dxa"/>
            </w:tcMar>
            <w:vAlign w:val="center"/>
          </w:tcPr>
          <w:p w14:paraId="7B36E04B">
            <w:pPr>
              <w:jc w:val="center"/>
              <w:rPr>
                <w:rFonts w:hint="default"/>
                <w:color w:val="0C0C0C"/>
                <w:lang w:val="en-US" w:eastAsia="zh-CN"/>
              </w:rPr>
            </w:pPr>
            <w:r>
              <w:rPr>
                <w:rFonts w:hint="eastAsia"/>
                <w:color w:val="0C0C0C"/>
                <w:lang w:val="en-US" w:eastAsia="zh-CN"/>
              </w:rPr>
              <w:t>26</w:t>
            </w:r>
          </w:p>
        </w:tc>
        <w:tc>
          <w:tcPr>
            <w:tcW w:w="1560" w:type="pct"/>
            <w:noWrap w:val="0"/>
            <w:tcMar>
              <w:top w:w="120" w:type="dxa"/>
              <w:left w:w="120" w:type="dxa"/>
              <w:bottom w:w="120" w:type="dxa"/>
              <w:right w:w="120" w:type="dxa"/>
            </w:tcMar>
            <w:vAlign w:val="center"/>
          </w:tcPr>
          <w:p w14:paraId="3994B5DA">
            <w:pPr>
              <w:jc w:val="center"/>
              <w:rPr>
                <w:rFonts w:hint="eastAsia"/>
                <w:color w:val="0C0C0C"/>
                <w:lang w:eastAsia="zh-CN"/>
              </w:rPr>
            </w:pPr>
            <w:r>
              <w:rPr>
                <w:rFonts w:hint="eastAsia"/>
                <w:color w:val="0C0C0C"/>
                <w:lang w:val="en-US" w:eastAsia="zh-CN"/>
              </w:rPr>
              <w:t>年度总采购9箱</w:t>
            </w:r>
          </w:p>
        </w:tc>
        <w:tc>
          <w:tcPr>
            <w:tcW w:w="1058" w:type="pct"/>
            <w:noWrap w:val="0"/>
            <w:tcMar>
              <w:top w:w="120" w:type="dxa"/>
              <w:left w:w="120" w:type="dxa"/>
              <w:bottom w:w="120" w:type="dxa"/>
              <w:right w:w="120" w:type="dxa"/>
            </w:tcMar>
            <w:vAlign w:val="center"/>
          </w:tcPr>
          <w:p w14:paraId="59629597">
            <w:pPr>
              <w:jc w:val="center"/>
              <w:rPr>
                <w:rFonts w:hint="eastAsia"/>
                <w:lang w:eastAsia="zh-CN"/>
              </w:rPr>
            </w:pPr>
            <w:r>
              <w:rPr>
                <w:rFonts w:hint="eastAsia"/>
                <w:color w:val="0C0C0C"/>
                <w:lang w:val="en-US" w:eastAsia="zh-CN"/>
              </w:rPr>
              <w:t>7053顶</w:t>
            </w:r>
          </w:p>
        </w:tc>
      </w:tr>
    </w:tbl>
    <w:p w14:paraId="0C083D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C0C0C"/>
          <w:highlight w:val="none"/>
          <w:lang w:eastAsia="zh-CN"/>
        </w:rPr>
      </w:pPr>
      <w:r>
        <w:rPr>
          <w:rFonts w:hint="eastAsia" w:ascii="宋体" w:hAnsi="宋体" w:eastAsia="宋体" w:cs="宋体"/>
          <w:color w:val="0C0C0C"/>
          <w:highlight w:val="none"/>
          <w:lang w:eastAsia="zh-CN"/>
        </w:rPr>
        <w:t>注：</w:t>
      </w:r>
    </w:p>
    <w:p w14:paraId="27EB01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C0C0C"/>
          <w:highlight w:val="none"/>
          <w:lang w:eastAsia="zh-CN"/>
        </w:rPr>
      </w:pPr>
      <w:r>
        <w:rPr>
          <w:rFonts w:hint="eastAsia" w:ascii="宋体" w:hAnsi="宋体" w:eastAsia="宋体" w:cs="宋体"/>
          <w:color w:val="0C0C0C"/>
          <w:highlight w:val="none"/>
          <w:lang w:eastAsia="zh-CN"/>
        </w:rPr>
        <w:t>①中标</w:t>
      </w:r>
      <w:r>
        <w:rPr>
          <w:rFonts w:hint="eastAsia" w:ascii="宋体" w:hAnsi="宋体" w:eastAsia="宋体" w:cs="宋体"/>
          <w:color w:val="0C0C0C"/>
          <w:highlight w:val="none"/>
          <w:lang w:val="en-US" w:eastAsia="zh-CN"/>
        </w:rPr>
        <w:t>人</w:t>
      </w:r>
      <w:r>
        <w:rPr>
          <w:rFonts w:hint="eastAsia" w:ascii="宋体" w:hAnsi="宋体" w:eastAsia="宋体" w:cs="宋体"/>
          <w:color w:val="0C0C0C"/>
          <w:highlight w:val="none"/>
          <w:lang w:eastAsia="zh-CN"/>
        </w:rPr>
        <w:t>须按照本表配发标准、数量统一为</w:t>
      </w:r>
      <w:r>
        <w:rPr>
          <w:rFonts w:hint="eastAsia" w:ascii="宋体" w:hAnsi="宋体" w:eastAsia="宋体" w:cs="宋体"/>
          <w:color w:val="0C0C0C"/>
          <w:highlight w:val="none"/>
          <w:lang w:val="en-US" w:eastAsia="zh-CN"/>
        </w:rPr>
        <w:t>46</w:t>
      </w:r>
      <w:r>
        <w:rPr>
          <w:rFonts w:hint="eastAsia" w:ascii="宋体" w:hAnsi="宋体" w:eastAsia="宋体" w:cs="宋体"/>
          <w:color w:val="0C0C0C"/>
          <w:highlight w:val="none"/>
          <w:lang w:eastAsia="zh-CN"/>
        </w:rPr>
        <w:t>名常态化在岗人员配齐制式工装；本项目编制内</w:t>
      </w:r>
      <w:r>
        <w:rPr>
          <w:rFonts w:hint="eastAsia" w:ascii="宋体" w:hAnsi="宋体" w:eastAsia="宋体" w:cs="宋体"/>
          <w:color w:val="0C0C0C"/>
          <w:highlight w:val="none"/>
          <w:lang w:val="en-US" w:eastAsia="zh-CN"/>
        </w:rPr>
        <w:t>2</w:t>
      </w:r>
      <w:r>
        <w:rPr>
          <w:rFonts w:hint="eastAsia" w:ascii="宋体" w:hAnsi="宋体" w:eastAsia="宋体" w:cs="宋体"/>
          <w:color w:val="0C0C0C"/>
          <w:highlight w:val="none"/>
          <w:lang w:eastAsia="zh-CN"/>
        </w:rPr>
        <w:t>名机动备用厨师不实行年度固定配发，仅在实际驻场上岗期间按需配发工装，人员长期闲置、离岗不再履职时，中标</w:t>
      </w:r>
      <w:r>
        <w:rPr>
          <w:rFonts w:hint="eastAsia" w:ascii="宋体" w:hAnsi="宋体" w:eastAsia="宋体" w:cs="宋体"/>
          <w:color w:val="0C0C0C"/>
          <w:highlight w:val="none"/>
          <w:lang w:val="en-US" w:eastAsia="zh-CN"/>
        </w:rPr>
        <w:t>人</w:t>
      </w:r>
      <w:r>
        <w:rPr>
          <w:rFonts w:hint="eastAsia" w:ascii="宋体" w:hAnsi="宋体" w:eastAsia="宋体" w:cs="宋体"/>
          <w:color w:val="0C0C0C"/>
          <w:highlight w:val="none"/>
          <w:lang w:eastAsia="zh-CN"/>
        </w:rPr>
        <w:t>须及时收回工装循环复用</w:t>
      </w:r>
      <w:r>
        <w:rPr>
          <w:rFonts w:hint="eastAsia" w:ascii="宋体" w:hAnsi="宋体" w:eastAsia="宋体" w:cs="宋体"/>
          <w:color w:val="0C0C0C"/>
          <w:highlight w:val="none"/>
          <w:lang w:val="en-US" w:eastAsia="zh-CN"/>
        </w:rPr>
        <w:t>。</w:t>
      </w:r>
      <w:r>
        <w:rPr>
          <w:rFonts w:hint="eastAsia" w:ascii="宋体" w:hAnsi="宋体" w:eastAsia="宋体" w:cs="宋体"/>
          <w:color w:val="0C0C0C"/>
          <w:highlight w:val="none"/>
          <w:lang w:eastAsia="zh-CN"/>
        </w:rPr>
        <w:t>在岗人员须全程规范穿戴，保持着装整洁统一；</w:t>
      </w:r>
    </w:p>
    <w:p w14:paraId="5E6A71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C0C0C"/>
          <w:highlight w:val="none"/>
          <w:lang w:eastAsia="zh-CN"/>
        </w:rPr>
      </w:pPr>
      <w:r>
        <w:rPr>
          <w:rFonts w:hint="eastAsia" w:ascii="宋体" w:hAnsi="宋体" w:eastAsia="宋体" w:cs="宋体"/>
          <w:color w:val="0C0C0C"/>
          <w:highlight w:val="none"/>
          <w:lang w:eastAsia="zh-CN"/>
        </w:rPr>
        <w:t>②服装款式、面料、工艺须符合食堂餐饮从业人员卫生着装行业执行标准，满足食品安全现场管理要求。</w:t>
      </w:r>
    </w:p>
    <w:p w14:paraId="3EBF56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C0C0C"/>
          <w:highlight w:val="none"/>
        </w:rPr>
      </w:pPr>
      <w:r>
        <w:rPr>
          <w:rFonts w:hint="eastAsia" w:ascii="宋体" w:hAnsi="宋体" w:eastAsia="宋体" w:cs="宋体"/>
          <w:color w:val="0C0C0C"/>
          <w:highlight w:val="none"/>
          <w:lang w:eastAsia="zh-CN"/>
        </w:rPr>
        <w:t>（</w:t>
      </w:r>
      <w:r>
        <w:rPr>
          <w:rFonts w:hint="eastAsia" w:ascii="宋体" w:hAnsi="宋体" w:eastAsia="宋体" w:cs="宋体"/>
          <w:color w:val="0C0C0C"/>
          <w:highlight w:val="none"/>
          <w:lang w:val="en-US" w:eastAsia="zh-CN"/>
        </w:rPr>
        <w:t>2</w:t>
      </w:r>
      <w:r>
        <w:rPr>
          <w:rFonts w:hint="eastAsia" w:ascii="宋体" w:hAnsi="宋体" w:eastAsia="宋体" w:cs="宋体"/>
          <w:color w:val="0C0C0C"/>
          <w:highlight w:val="none"/>
          <w:lang w:eastAsia="zh-CN"/>
        </w:rPr>
        <w:t>）</w:t>
      </w:r>
      <w:r>
        <w:rPr>
          <w:rFonts w:hint="eastAsia" w:ascii="宋体" w:hAnsi="宋体" w:eastAsia="宋体" w:cs="宋体"/>
          <w:color w:val="0C0C0C"/>
          <w:highlight w:val="none"/>
        </w:rPr>
        <w:t>服装面料需适配食堂高温、频繁清洗的工作场景，耐磨耐洗、符合餐饮行业着装物理特性，样式整洁统一。</w:t>
      </w:r>
    </w:p>
    <w:p w14:paraId="1D6299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C0C0C"/>
          <w:highlight w:val="none"/>
        </w:rPr>
      </w:pPr>
    </w:p>
    <w:p w14:paraId="357BF3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C0C0C"/>
          <w:highlight w:val="none"/>
        </w:rPr>
      </w:pPr>
    </w:p>
    <w:p w14:paraId="0D9E66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C0C0C"/>
          <w:highlight w:val="none"/>
        </w:rPr>
      </w:pPr>
    </w:p>
    <w:p w14:paraId="4FBC42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C0C0C"/>
          <w:highlight w:val="none"/>
        </w:rPr>
      </w:pPr>
    </w:p>
    <w:p w14:paraId="615F293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C0C0C"/>
          <w:highlight w:val="none"/>
        </w:rPr>
      </w:pPr>
    </w:p>
    <w:p w14:paraId="525190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C0C0C"/>
          <w:highlight w:val="none"/>
        </w:rPr>
      </w:pPr>
    </w:p>
    <w:p w14:paraId="1D4253A9">
      <w:pPr>
        <w:pStyle w:val="4"/>
        <w:numPr>
          <w:ilvl w:val="0"/>
          <w:numId w:val="3"/>
        </w:numPr>
        <w:adjustRightInd w:val="0"/>
        <w:snapToGrid w:val="0"/>
        <w:spacing w:before="156" w:beforeLines="50"/>
        <w:jc w:val="center"/>
        <w:rPr>
          <w:rFonts w:ascii="黑体" w:hAnsi="黑体" w:eastAsia="黑体"/>
          <w:color w:val="auto"/>
          <w:sz w:val="28"/>
          <w:szCs w:val="28"/>
          <w:highlight w:val="none"/>
        </w:rPr>
      </w:pPr>
      <w:bookmarkStart w:id="3" w:name="_Toc17069"/>
      <w:r>
        <w:rPr>
          <w:rFonts w:hint="eastAsia" w:ascii="黑体" w:hAnsi="黑体" w:eastAsia="黑体"/>
          <w:color w:val="auto"/>
          <w:sz w:val="28"/>
          <w:szCs w:val="28"/>
          <w:highlight w:val="none"/>
        </w:rPr>
        <w:t>商务</w:t>
      </w:r>
      <w:r>
        <w:rPr>
          <w:rFonts w:ascii="黑体" w:hAnsi="黑体" w:eastAsia="黑体"/>
          <w:color w:val="auto"/>
          <w:sz w:val="28"/>
          <w:szCs w:val="28"/>
          <w:highlight w:val="none"/>
        </w:rPr>
        <w:t>要求</w:t>
      </w:r>
      <w:bookmarkEnd w:id="3"/>
    </w:p>
    <w:p w14:paraId="3D49B5F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宋体" w:hAnsi="宋体" w:cs="宋体"/>
          <w:b/>
          <w:bCs/>
          <w:color w:val="000000"/>
          <w:kern w:val="0"/>
          <w:szCs w:val="21"/>
          <w:highlight w:val="none"/>
          <w:lang w:eastAsia="zh-CN"/>
        </w:rPr>
      </w:pPr>
    </w:p>
    <w:p w14:paraId="4D8808F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宋体" w:hAnsi="宋体" w:cs="宋体"/>
          <w:b/>
          <w:bCs/>
          <w:color w:val="000000"/>
          <w:kern w:val="0"/>
          <w:szCs w:val="21"/>
          <w:highlight w:val="none"/>
        </w:rPr>
      </w:pPr>
      <w:r>
        <w:rPr>
          <w:rFonts w:hint="eastAsia" w:ascii="宋体" w:hAnsi="宋体" w:cs="宋体"/>
          <w:b/>
          <w:bCs/>
          <w:color w:val="000000"/>
          <w:kern w:val="0"/>
          <w:szCs w:val="21"/>
          <w:highlight w:val="none"/>
          <w:lang w:eastAsia="zh-CN"/>
        </w:rPr>
        <w:t>一、</w:t>
      </w:r>
      <w:r>
        <w:rPr>
          <w:rFonts w:hint="eastAsia" w:ascii="宋体" w:hAnsi="宋体" w:cs="宋体"/>
          <w:b/>
          <w:bCs/>
          <w:color w:val="000000"/>
          <w:kern w:val="0"/>
          <w:szCs w:val="21"/>
          <w:highlight w:val="none"/>
        </w:rPr>
        <w:t>采购标的的数量</w:t>
      </w:r>
      <w:r>
        <w:rPr>
          <w:rFonts w:hint="eastAsia" w:ascii="宋体" w:hAnsi="宋体" w:cs="宋体"/>
          <w:b/>
          <w:bCs/>
          <w:color w:val="000000"/>
          <w:kern w:val="0"/>
          <w:szCs w:val="21"/>
          <w:highlight w:val="none"/>
          <w:lang w:eastAsia="zh-CN"/>
        </w:rPr>
        <w:t>、</w:t>
      </w:r>
      <w:r>
        <w:rPr>
          <w:rFonts w:hint="eastAsia" w:ascii="宋体" w:hAnsi="宋体" w:cs="宋体"/>
          <w:b/>
          <w:bCs/>
          <w:color w:val="000000"/>
          <w:kern w:val="0"/>
          <w:szCs w:val="21"/>
          <w:highlight w:val="none"/>
        </w:rPr>
        <w:t>采购项目交付或者实施的时间和地点</w:t>
      </w:r>
    </w:p>
    <w:p w14:paraId="1221A5B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210" w:firstLineChars="100"/>
        <w:textAlignment w:val="auto"/>
        <w:rPr>
          <w:rFonts w:hint="eastAsia"/>
          <w:color w:val="0C0C0C"/>
          <w:highlight w:val="none"/>
          <w:lang w:val="en-US" w:eastAsia="zh-CN"/>
        </w:rPr>
      </w:pPr>
      <w:r>
        <w:rPr>
          <w:rFonts w:hint="eastAsia"/>
          <w:color w:val="0C0C0C"/>
          <w:highlight w:val="none"/>
          <w:lang w:val="en-US" w:eastAsia="zh-CN"/>
        </w:rPr>
        <w:t>1.1 标的数量：采购1年期食堂劳务整体外包服务，项目标准派驻在岗工作人员合计配置 48 人（含2名机动备用厨师），服务配套包含制式工装、合规社保、法定节假日加班薪酬、节日员工福利、项目现场管理、税费缴纳等全部配套服务。</w:t>
      </w:r>
      <w:bookmarkStart w:id="4" w:name="_GoBack"/>
      <w:bookmarkEnd w:id="4"/>
    </w:p>
    <w:p w14:paraId="6EAA1B8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210" w:firstLineChars="100"/>
        <w:textAlignment w:val="auto"/>
        <w:rPr>
          <w:rFonts w:hint="eastAsia"/>
          <w:color w:val="0C0C0C"/>
          <w:highlight w:val="yellow"/>
          <w:lang w:val="en-US" w:eastAsia="zh-CN"/>
        </w:rPr>
      </w:pPr>
      <w:r>
        <w:rPr>
          <w:rFonts w:hint="eastAsia"/>
          <w:color w:val="0C0C0C"/>
          <w:highlight w:val="none"/>
          <w:lang w:val="en-US" w:eastAsia="zh-CN"/>
        </w:rPr>
        <w:t>1.2 实施时间：早餐7 时30分-8 时 30 分，午餐 11 时 30 分 - 12 时 30 分，晚餐17时30分 - 18 时 30 分。遇执勤加班、应急保障等特殊情形，中标人须按采购人指令提供延时、加餐等应急供餐服务。</w:t>
      </w:r>
    </w:p>
    <w:p w14:paraId="7F476AA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210" w:firstLineChars="100"/>
        <w:textAlignment w:val="auto"/>
        <w:rPr>
          <w:rFonts w:hint="eastAsia"/>
          <w:color w:val="0C0C0C"/>
          <w:highlight w:val="none"/>
          <w:lang w:val="en-US" w:eastAsia="zh-CN"/>
        </w:rPr>
      </w:pPr>
      <w:r>
        <w:rPr>
          <w:rFonts w:hint="eastAsia"/>
          <w:color w:val="0C0C0C"/>
          <w:highlight w:val="none"/>
          <w:lang w:val="en-US" w:eastAsia="zh-CN"/>
        </w:rPr>
        <w:t>1.3 实施地点：岳阳市公安局机关本部食堂（一食堂，</w:t>
      </w:r>
      <w:r>
        <w:rPr>
          <w:rFonts w:hint="eastAsia" w:ascii="Times New Roman" w:hAnsi="Times New Roman" w:eastAsia="宋体" w:cs="Times New Roman"/>
          <w:color w:val="0C0C0C"/>
          <w:lang w:val="en-US" w:eastAsia="zh-CN"/>
        </w:rPr>
        <w:t>岳阳市岳阳楼区学院路188号</w:t>
      </w:r>
      <w:r>
        <w:rPr>
          <w:rFonts w:hint="eastAsia"/>
          <w:color w:val="0C0C0C"/>
          <w:highlight w:val="none"/>
          <w:lang w:val="en-US" w:eastAsia="zh-CN"/>
        </w:rPr>
        <w:t>）、东风广场食堂（二食堂，</w:t>
      </w:r>
      <w:r>
        <w:rPr>
          <w:rFonts w:hint="eastAsia" w:ascii="Times New Roman" w:hAnsi="Times New Roman" w:eastAsia="宋体" w:cs="Times New Roman"/>
          <w:color w:val="auto"/>
          <w:lang w:val="en-US" w:eastAsia="zh-CN"/>
        </w:rPr>
        <w:t>岳</w:t>
      </w:r>
      <w:r>
        <w:rPr>
          <w:rFonts w:hint="eastAsia" w:ascii="Times New Roman" w:hAnsi="Times New Roman" w:eastAsia="宋体" w:cs="Times New Roman"/>
          <w:color w:val="auto"/>
          <w:highlight w:val="none"/>
          <w:lang w:val="en-US" w:eastAsia="zh-CN"/>
        </w:rPr>
        <w:t>阳</w:t>
      </w:r>
      <w:r>
        <w:rPr>
          <w:rFonts w:hint="eastAsia" w:ascii="Times New Roman" w:hAnsi="Times New Roman" w:eastAsia="宋体" w:cs="Times New Roman"/>
          <w:color w:val="0C0C0C"/>
          <w:highlight w:val="none"/>
          <w:lang w:val="en-US" w:eastAsia="zh-CN"/>
        </w:rPr>
        <w:t>市岳阳楼区云梦路356号</w:t>
      </w:r>
      <w:r>
        <w:rPr>
          <w:rFonts w:hint="eastAsia"/>
          <w:color w:val="0C0C0C"/>
          <w:highlight w:val="none"/>
          <w:lang w:val="en-US" w:eastAsia="zh-CN"/>
        </w:rPr>
        <w:t>）、森警院落食堂（三食堂，岳阳市岳阳楼区琵琶王路233号）、监管中心食堂（四食堂，岳阳市岳阳楼区金凤桥管理处硚石社区与金凤桥社区交汇处）、警犬基地食堂（岳阳市岳阳楼区庆丰路与芷兰路交叉口东北500米）、公交大队食堂（岳阳市岳阳楼区青年东路1130号）、指居点食堂（岳阳市岳阳楼区庆丰路与芷兰路交叉口东北岳阳市公安局原警官培训中心院内），以及采购人应急保障场景下另行指定的服务点位。</w:t>
      </w:r>
    </w:p>
    <w:p w14:paraId="69C6A7C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cs="宋体"/>
          <w:b/>
          <w:bCs/>
          <w:color w:val="0C0C0C"/>
          <w:kern w:val="0"/>
          <w:szCs w:val="21"/>
          <w:highlight w:val="none"/>
        </w:rPr>
      </w:pPr>
      <w:r>
        <w:rPr>
          <w:rFonts w:hint="eastAsia" w:ascii="宋体" w:hAnsi="宋体" w:cs="宋体"/>
          <w:b/>
          <w:bCs/>
          <w:color w:val="000000"/>
          <w:kern w:val="0"/>
          <w:szCs w:val="21"/>
          <w:highlight w:val="none"/>
          <w:lang w:eastAsia="zh-CN"/>
        </w:rPr>
        <w:t>二、</w:t>
      </w:r>
      <w:r>
        <w:rPr>
          <w:rFonts w:hint="eastAsia" w:ascii="宋体" w:hAnsi="宋体" w:cs="宋体"/>
          <w:b/>
          <w:bCs/>
          <w:color w:val="000000"/>
          <w:kern w:val="0"/>
          <w:szCs w:val="21"/>
          <w:highlight w:val="none"/>
        </w:rPr>
        <w:t>采购标</w:t>
      </w:r>
      <w:r>
        <w:rPr>
          <w:rFonts w:hint="eastAsia" w:ascii="宋体" w:hAnsi="宋体" w:cs="宋体"/>
          <w:b/>
          <w:bCs/>
          <w:color w:val="0C0C0C"/>
          <w:kern w:val="0"/>
          <w:szCs w:val="21"/>
          <w:highlight w:val="none"/>
        </w:rPr>
        <w:t>的的验收标准</w:t>
      </w:r>
    </w:p>
    <w:p w14:paraId="4C7D8AF3">
      <w:pPr>
        <w:pStyle w:val="17"/>
        <w:autoSpaceDE w:val="0"/>
        <w:spacing w:line="360" w:lineRule="auto"/>
        <w:ind w:firstLine="210" w:firstLineChars="100"/>
        <w:rPr>
          <w:rFonts w:hint="eastAsia" w:ascii="宋体" w:hAnsi="宋体"/>
          <w:color w:val="0C0C0C"/>
          <w:szCs w:val="21"/>
          <w:highlight w:val="none"/>
        </w:rPr>
      </w:pPr>
      <w:r>
        <w:rPr>
          <w:rFonts w:hint="eastAsia" w:ascii="宋体" w:hAnsi="宋体"/>
          <w:color w:val="0C0C0C"/>
          <w:szCs w:val="21"/>
          <w:highlight w:val="none"/>
          <w:lang w:val="en-US" w:eastAsia="zh-CN"/>
        </w:rPr>
        <w:t>2.1本项目履约验收遵照现行有效国家标准、行业规范、食品安全管理相关规定执行；无统一强制标准的，以本招标文件、中标人投标文件承诺、政府采购合同约定为唯一核验依据。本项目实行月度百分制量化考核验收模式，月度考核得分90分（含）为当月服务结算达标线，月度考核未达标存在扣分的，采购人严格按照本文件既定考核扣款规则、对应比例扣减当月劳务服务合同价款。</w:t>
      </w:r>
    </w:p>
    <w:p w14:paraId="244F72D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0C0C0C"/>
          <w:kern w:val="0"/>
          <w:szCs w:val="21"/>
          <w:highlight w:val="none"/>
        </w:rPr>
      </w:pPr>
      <w:r>
        <w:rPr>
          <w:rFonts w:hint="eastAsia" w:ascii="宋体" w:hAnsi="宋体"/>
          <w:b/>
          <w:bCs/>
          <w:color w:val="0C0C0C"/>
          <w:szCs w:val="21"/>
          <w:highlight w:val="none"/>
          <w:lang w:eastAsia="zh-CN"/>
        </w:rPr>
        <w:t>三</w:t>
      </w:r>
      <w:r>
        <w:rPr>
          <w:rFonts w:hint="eastAsia" w:ascii="宋体" w:hAnsi="宋体"/>
          <w:b/>
          <w:bCs/>
          <w:color w:val="0C0C0C"/>
          <w:szCs w:val="21"/>
          <w:highlight w:val="none"/>
        </w:rPr>
        <w:t>、</w:t>
      </w:r>
      <w:r>
        <w:rPr>
          <w:rFonts w:hint="eastAsia" w:ascii="宋体" w:hAnsi="宋体" w:cs="宋体"/>
          <w:b/>
          <w:bCs/>
          <w:color w:val="0C0C0C"/>
          <w:kern w:val="0"/>
          <w:szCs w:val="21"/>
          <w:highlight w:val="none"/>
        </w:rPr>
        <w:t>采购标的需满足的服务标准、期限、效率等要求</w:t>
      </w:r>
    </w:p>
    <w:p w14:paraId="16A3B1DE">
      <w:pPr>
        <w:pStyle w:val="17"/>
        <w:autoSpaceDE w:val="0"/>
        <w:spacing w:line="360" w:lineRule="auto"/>
        <w:ind w:firstLine="210" w:firstLineChars="100"/>
        <w:rPr>
          <w:rFonts w:hint="default" w:ascii="宋体" w:hAnsi="宋体" w:eastAsia="宋体" w:cs="Times New Roman"/>
          <w:color w:val="0C0C0C"/>
          <w:szCs w:val="21"/>
          <w:highlight w:val="yellow"/>
          <w:lang w:val="en-US" w:eastAsia="zh-CN"/>
        </w:rPr>
      </w:pPr>
      <w:r>
        <w:rPr>
          <w:rFonts w:hint="eastAsia" w:ascii="宋体" w:hAnsi="宋体" w:eastAsia="宋体" w:cs="Times New Roman"/>
          <w:color w:val="0C0C0C"/>
          <w:szCs w:val="21"/>
          <w:highlight w:val="none"/>
          <w:lang w:val="en-US" w:eastAsia="zh-CN"/>
        </w:rPr>
        <w:t>3.1</w:t>
      </w:r>
      <w:r>
        <w:rPr>
          <w:rFonts w:hint="eastAsia" w:ascii="宋体" w:hAnsi="宋体" w:eastAsia="宋体" w:cs="Times New Roman"/>
          <w:color w:val="0C0C0C"/>
          <w:szCs w:val="21"/>
          <w:highlight w:val="none"/>
          <w:lang w:eastAsia="zh-CN"/>
        </w:rPr>
        <w:t>服务期限：</w:t>
      </w:r>
      <w:r>
        <w:rPr>
          <w:rFonts w:hint="eastAsia" w:ascii="宋体" w:hAnsi="宋体" w:eastAsia="宋体" w:cs="Times New Roman"/>
          <w:color w:val="0C0C0C"/>
          <w:szCs w:val="21"/>
          <w:highlight w:val="none"/>
          <w:lang w:val="en-US" w:eastAsia="zh-CN"/>
        </w:rPr>
        <w:t>首期1年，具体起算、截止日期以双方签订的政府采购合同约定为准。根据《政府购买服务管理办法》（财政部令第 102 号）相关规定，本项目食堂劳务服务需求固定、连续性强、价格变化幅度小，在年度预算能保障的前提下，首期服务结束时，中标人各项服务经采购人考核合格，可以续签次年度合同，服务总周期不超过3年。</w:t>
      </w:r>
    </w:p>
    <w:p w14:paraId="4122BB93">
      <w:pPr>
        <w:pStyle w:val="17"/>
        <w:autoSpaceDE w:val="0"/>
        <w:spacing w:line="360" w:lineRule="auto"/>
        <w:ind w:firstLine="210" w:firstLineChars="100"/>
        <w:rPr>
          <w:rFonts w:hint="eastAsia" w:ascii="宋体" w:hAnsi="宋体" w:eastAsia="宋体" w:cs="Times New Roman"/>
          <w:color w:val="0C0C0C"/>
          <w:szCs w:val="21"/>
          <w:highlight w:val="none"/>
          <w:lang w:eastAsia="zh-CN"/>
        </w:rPr>
      </w:pPr>
      <w:r>
        <w:rPr>
          <w:rFonts w:hint="eastAsia" w:ascii="宋体" w:hAnsi="宋体" w:eastAsia="宋体" w:cs="Times New Roman"/>
          <w:color w:val="0C0C0C"/>
          <w:szCs w:val="21"/>
          <w:highlight w:val="none"/>
          <w:lang w:val="en-US" w:eastAsia="zh-CN"/>
        </w:rPr>
        <w:t>3.2</w:t>
      </w:r>
      <w:r>
        <w:rPr>
          <w:rFonts w:hint="eastAsia" w:ascii="宋体" w:hAnsi="宋体" w:eastAsia="宋体" w:cs="Times New Roman"/>
          <w:color w:val="0C0C0C"/>
          <w:szCs w:val="21"/>
          <w:highlight w:val="none"/>
          <w:lang w:eastAsia="zh-CN"/>
        </w:rPr>
        <w:t>日常服务效率：按照岳阳市公安局日常作息匹配食堂早、中、晚三餐供餐时段，保障就餐准点开餐；遇突发就餐人数临时增减波动情形，中标</w:t>
      </w:r>
      <w:r>
        <w:rPr>
          <w:rFonts w:hint="eastAsia" w:ascii="宋体" w:hAnsi="宋体" w:eastAsia="宋体" w:cs="Times New Roman"/>
          <w:color w:val="0C0C0C"/>
          <w:szCs w:val="21"/>
          <w:highlight w:val="none"/>
          <w:lang w:val="en-US" w:eastAsia="zh-CN"/>
        </w:rPr>
        <w:t>人</w:t>
      </w:r>
      <w:r>
        <w:rPr>
          <w:rFonts w:hint="eastAsia" w:ascii="宋体" w:hAnsi="宋体" w:eastAsia="宋体" w:cs="Times New Roman"/>
          <w:color w:val="0C0C0C"/>
          <w:szCs w:val="21"/>
          <w:highlight w:val="none"/>
          <w:lang w:eastAsia="zh-CN"/>
        </w:rPr>
        <w:t>须自主统筹开展内部人员调配，足额保障现场供餐效率与供餐时效；仓储管理岗位须严格执行食材出入库当日台账登记制度，做到出入库记录日清日结、台账完整可追溯。</w:t>
      </w:r>
    </w:p>
    <w:p w14:paraId="240167FB">
      <w:pPr>
        <w:pStyle w:val="17"/>
        <w:autoSpaceDE w:val="0"/>
        <w:spacing w:line="360" w:lineRule="auto"/>
        <w:ind w:firstLine="210" w:firstLineChars="100"/>
        <w:rPr>
          <w:rFonts w:hint="eastAsia" w:ascii="宋体" w:hAnsi="宋体" w:eastAsia="宋体" w:cs="Times New Roman"/>
          <w:color w:val="0C0C0C"/>
          <w:szCs w:val="21"/>
          <w:highlight w:val="none"/>
          <w:lang w:eastAsia="zh-CN"/>
        </w:rPr>
      </w:pPr>
      <w:r>
        <w:rPr>
          <w:rFonts w:hint="eastAsia" w:ascii="宋体" w:hAnsi="宋体" w:eastAsia="宋体" w:cs="Times New Roman"/>
          <w:color w:val="0C0C0C"/>
          <w:szCs w:val="21"/>
          <w:highlight w:val="none"/>
          <w:lang w:val="en-US" w:eastAsia="zh-CN"/>
        </w:rPr>
        <w:t>3.3</w:t>
      </w:r>
      <w:r>
        <w:rPr>
          <w:rFonts w:hint="eastAsia" w:ascii="宋体" w:hAnsi="宋体" w:eastAsia="宋体" w:cs="Times New Roman"/>
          <w:color w:val="0C0C0C"/>
          <w:szCs w:val="21"/>
          <w:highlight w:val="none"/>
          <w:lang w:eastAsia="zh-CN"/>
        </w:rPr>
        <w:t>应急服务标准：项目在岗人员发生临时病假、事假等人员空缺情形时，中标人须在</w:t>
      </w:r>
      <w:r>
        <w:rPr>
          <w:rFonts w:hint="eastAsia" w:ascii="宋体" w:hAnsi="宋体" w:eastAsia="宋体" w:cs="Times New Roman"/>
          <w:color w:val="0C0C0C"/>
          <w:szCs w:val="21"/>
          <w:highlight w:val="none"/>
          <w:lang w:val="en-US" w:eastAsia="zh-CN"/>
        </w:rPr>
        <w:t>24</w:t>
      </w:r>
      <w:r>
        <w:rPr>
          <w:rFonts w:hint="eastAsia" w:ascii="宋体" w:hAnsi="宋体" w:eastAsia="宋体" w:cs="Times New Roman"/>
          <w:color w:val="0C0C0C"/>
          <w:szCs w:val="21"/>
          <w:highlight w:val="none"/>
          <w:lang w:eastAsia="zh-CN"/>
        </w:rPr>
        <w:t>小时内完成合规人员替补顶岗，保障食堂在岗人力足额、不间断稳定供餐；遇节假日集中加班就餐场景，须提前制定完整排班方案并报送采购人备案。</w:t>
      </w:r>
    </w:p>
    <w:p w14:paraId="68AEC520">
      <w:pPr>
        <w:pStyle w:val="17"/>
        <w:autoSpaceDE w:val="0"/>
        <w:spacing w:line="360" w:lineRule="auto"/>
        <w:ind w:firstLine="210" w:firstLineChars="100"/>
        <w:rPr>
          <w:rFonts w:hint="eastAsia" w:ascii="宋体" w:hAnsi="宋体" w:eastAsia="宋体" w:cs="Times New Roman"/>
          <w:color w:val="0C0C0C"/>
          <w:szCs w:val="21"/>
          <w:highlight w:val="none"/>
          <w:lang w:eastAsia="zh-CN"/>
        </w:rPr>
      </w:pPr>
      <w:r>
        <w:rPr>
          <w:rFonts w:hint="eastAsia" w:ascii="宋体" w:hAnsi="宋体" w:eastAsia="宋体" w:cs="Times New Roman"/>
          <w:color w:val="0C0C0C"/>
          <w:szCs w:val="21"/>
          <w:highlight w:val="none"/>
          <w:lang w:val="en-US" w:eastAsia="zh-CN"/>
        </w:rPr>
        <w:t>3.4</w:t>
      </w:r>
      <w:r>
        <w:rPr>
          <w:rFonts w:hint="eastAsia" w:ascii="宋体" w:hAnsi="宋体" w:eastAsia="宋体" w:cs="Times New Roman"/>
          <w:color w:val="0C0C0C"/>
          <w:szCs w:val="21"/>
          <w:highlight w:val="none"/>
          <w:lang w:eastAsia="zh-CN"/>
        </w:rPr>
        <w:t>日常管理标准：</w:t>
      </w:r>
      <w:r>
        <w:rPr>
          <w:rFonts w:hint="eastAsia" w:ascii="宋体" w:hAnsi="宋体" w:eastAsia="宋体" w:cs="Times New Roman"/>
          <w:color w:val="0C0C0C"/>
          <w:szCs w:val="21"/>
          <w:highlight w:val="none"/>
          <w:lang w:val="en-US" w:eastAsia="zh-CN"/>
        </w:rPr>
        <w:t>中标人须安排驻场项目经理全程在岗统筹项目日常运营管理；每月定期向采购人完整报送下列纸质或电子台账资料，台账内容须真实、完整、可追溯：</w:t>
      </w:r>
    </w:p>
    <w:p w14:paraId="6DEFC23A">
      <w:pPr>
        <w:pStyle w:val="17"/>
        <w:autoSpaceDE w:val="0"/>
        <w:spacing w:line="360" w:lineRule="auto"/>
        <w:ind w:firstLine="420" w:firstLineChars="200"/>
        <w:rPr>
          <w:rFonts w:hint="eastAsia" w:ascii="宋体" w:hAnsi="宋体" w:eastAsia="宋体" w:cs="Times New Roman"/>
          <w:color w:val="0C0C0C"/>
          <w:szCs w:val="21"/>
          <w:highlight w:val="none"/>
          <w:lang w:eastAsia="zh-CN"/>
        </w:rPr>
      </w:pPr>
      <w:r>
        <w:rPr>
          <w:rFonts w:hint="eastAsia" w:ascii="宋体" w:hAnsi="宋体" w:eastAsia="宋体" w:cs="Times New Roman"/>
          <w:color w:val="0C0C0C"/>
          <w:szCs w:val="21"/>
          <w:highlight w:val="none"/>
          <w:lang w:eastAsia="zh-CN"/>
        </w:rPr>
        <w:t>（</w:t>
      </w:r>
      <w:r>
        <w:rPr>
          <w:rFonts w:hint="eastAsia" w:ascii="宋体" w:hAnsi="宋体" w:eastAsia="宋体" w:cs="Times New Roman"/>
          <w:color w:val="0C0C0C"/>
          <w:szCs w:val="21"/>
          <w:highlight w:val="none"/>
          <w:lang w:val="en-US" w:eastAsia="zh-CN"/>
        </w:rPr>
        <w:t>1</w:t>
      </w:r>
      <w:r>
        <w:rPr>
          <w:rFonts w:hint="eastAsia" w:ascii="宋体" w:hAnsi="宋体" w:eastAsia="宋体" w:cs="Times New Roman"/>
          <w:color w:val="0C0C0C"/>
          <w:szCs w:val="21"/>
          <w:highlight w:val="none"/>
          <w:lang w:eastAsia="zh-CN"/>
        </w:rPr>
        <w:t>）项目用工人员台账；</w:t>
      </w:r>
    </w:p>
    <w:p w14:paraId="7D5538BA">
      <w:pPr>
        <w:pStyle w:val="17"/>
        <w:autoSpaceDE w:val="0"/>
        <w:spacing w:line="360" w:lineRule="auto"/>
        <w:ind w:firstLine="420" w:firstLineChars="200"/>
        <w:rPr>
          <w:rFonts w:hint="eastAsia" w:ascii="宋体" w:hAnsi="宋体" w:eastAsia="宋体" w:cs="Times New Roman"/>
          <w:color w:val="0C0C0C"/>
          <w:szCs w:val="21"/>
          <w:highlight w:val="none"/>
          <w:lang w:eastAsia="zh-CN"/>
        </w:rPr>
      </w:pPr>
      <w:r>
        <w:rPr>
          <w:rFonts w:hint="eastAsia" w:ascii="宋体" w:hAnsi="宋体" w:eastAsia="宋体" w:cs="Times New Roman"/>
          <w:color w:val="0C0C0C"/>
          <w:szCs w:val="21"/>
          <w:highlight w:val="none"/>
          <w:lang w:eastAsia="zh-CN"/>
        </w:rPr>
        <w:t>（</w:t>
      </w:r>
      <w:r>
        <w:rPr>
          <w:rFonts w:hint="eastAsia" w:ascii="宋体" w:hAnsi="宋体" w:eastAsia="宋体" w:cs="Times New Roman"/>
          <w:color w:val="0C0C0C"/>
          <w:szCs w:val="21"/>
          <w:highlight w:val="none"/>
          <w:lang w:val="en-US" w:eastAsia="zh-CN"/>
        </w:rPr>
        <w:t>2</w:t>
      </w:r>
      <w:r>
        <w:rPr>
          <w:rFonts w:hint="eastAsia" w:ascii="宋体" w:hAnsi="宋体" w:eastAsia="宋体" w:cs="Times New Roman"/>
          <w:color w:val="0C0C0C"/>
          <w:szCs w:val="21"/>
          <w:highlight w:val="none"/>
          <w:lang w:eastAsia="zh-CN"/>
        </w:rPr>
        <w:t>）工装服装申领发放台账；</w:t>
      </w:r>
    </w:p>
    <w:p w14:paraId="5270CB8A">
      <w:pPr>
        <w:pStyle w:val="17"/>
        <w:autoSpaceDE w:val="0"/>
        <w:spacing w:line="360" w:lineRule="auto"/>
        <w:ind w:firstLine="420" w:firstLineChars="200"/>
        <w:rPr>
          <w:rFonts w:hint="eastAsia" w:ascii="宋体" w:hAnsi="宋体" w:eastAsia="宋体" w:cs="Times New Roman"/>
          <w:color w:val="0C0C0C"/>
          <w:szCs w:val="21"/>
          <w:highlight w:val="none"/>
          <w:lang w:eastAsia="zh-CN"/>
        </w:rPr>
      </w:pPr>
      <w:r>
        <w:rPr>
          <w:rFonts w:hint="eastAsia" w:ascii="宋体" w:hAnsi="宋体" w:eastAsia="宋体" w:cs="Times New Roman"/>
          <w:color w:val="0C0C0C"/>
          <w:szCs w:val="21"/>
          <w:highlight w:val="none"/>
          <w:lang w:eastAsia="zh-CN"/>
        </w:rPr>
        <w:t>（</w:t>
      </w:r>
      <w:r>
        <w:rPr>
          <w:rFonts w:hint="eastAsia" w:ascii="宋体" w:hAnsi="宋体" w:eastAsia="宋体" w:cs="Times New Roman"/>
          <w:color w:val="0C0C0C"/>
          <w:szCs w:val="21"/>
          <w:highlight w:val="none"/>
          <w:lang w:val="en-US" w:eastAsia="zh-CN"/>
        </w:rPr>
        <w:t>3</w:t>
      </w:r>
      <w:r>
        <w:rPr>
          <w:rFonts w:hint="eastAsia" w:ascii="宋体" w:hAnsi="宋体" w:eastAsia="宋体" w:cs="Times New Roman"/>
          <w:color w:val="0C0C0C"/>
          <w:szCs w:val="21"/>
          <w:highlight w:val="none"/>
          <w:lang w:eastAsia="zh-CN"/>
        </w:rPr>
        <w:t>）社保缴费有效凭证单据；</w:t>
      </w:r>
    </w:p>
    <w:p w14:paraId="17C2D939">
      <w:pPr>
        <w:pStyle w:val="17"/>
        <w:autoSpaceDE w:val="0"/>
        <w:spacing w:line="360" w:lineRule="auto"/>
        <w:ind w:firstLine="420" w:firstLineChars="200"/>
        <w:rPr>
          <w:rFonts w:hint="eastAsia" w:ascii="宋体" w:hAnsi="宋体" w:eastAsia="宋体" w:cs="Times New Roman"/>
          <w:color w:val="0C0C0C"/>
          <w:szCs w:val="21"/>
          <w:highlight w:val="none"/>
          <w:lang w:eastAsia="zh-CN"/>
        </w:rPr>
      </w:pPr>
      <w:r>
        <w:rPr>
          <w:rFonts w:hint="eastAsia" w:ascii="宋体" w:hAnsi="宋体" w:eastAsia="宋体" w:cs="Times New Roman"/>
          <w:color w:val="0C0C0C"/>
          <w:szCs w:val="21"/>
          <w:highlight w:val="none"/>
          <w:lang w:eastAsia="zh-CN"/>
        </w:rPr>
        <w:t>（</w:t>
      </w:r>
      <w:r>
        <w:rPr>
          <w:rFonts w:hint="eastAsia" w:ascii="宋体" w:hAnsi="宋体" w:eastAsia="宋体" w:cs="Times New Roman"/>
          <w:color w:val="0C0C0C"/>
          <w:szCs w:val="21"/>
          <w:highlight w:val="none"/>
          <w:lang w:val="en-US" w:eastAsia="zh-CN"/>
        </w:rPr>
        <w:t>4</w:t>
      </w:r>
      <w:r>
        <w:rPr>
          <w:rFonts w:hint="eastAsia" w:ascii="宋体" w:hAnsi="宋体" w:eastAsia="宋体" w:cs="Times New Roman"/>
          <w:color w:val="0C0C0C"/>
          <w:szCs w:val="21"/>
          <w:highlight w:val="none"/>
          <w:lang w:eastAsia="zh-CN"/>
        </w:rPr>
        <w:t>）员工加班排班及薪酬发放台账；</w:t>
      </w:r>
    </w:p>
    <w:p w14:paraId="3CE8B5DA">
      <w:pPr>
        <w:pStyle w:val="17"/>
        <w:autoSpaceDE w:val="0"/>
        <w:spacing w:line="360" w:lineRule="auto"/>
        <w:ind w:firstLine="420" w:firstLineChars="200"/>
        <w:rPr>
          <w:rFonts w:hint="eastAsia" w:ascii="宋体" w:hAnsi="宋体" w:eastAsia="宋体" w:cs="Times New Roman"/>
          <w:color w:val="0C0C0C"/>
          <w:szCs w:val="21"/>
          <w:highlight w:val="none"/>
          <w:lang w:eastAsia="zh-CN"/>
        </w:rPr>
      </w:pPr>
      <w:r>
        <w:rPr>
          <w:rFonts w:hint="eastAsia" w:ascii="宋体" w:hAnsi="宋体" w:eastAsia="宋体" w:cs="Times New Roman"/>
          <w:color w:val="0C0C0C"/>
          <w:szCs w:val="21"/>
          <w:highlight w:val="none"/>
          <w:lang w:eastAsia="zh-CN"/>
        </w:rPr>
        <w:t>（</w:t>
      </w:r>
      <w:r>
        <w:rPr>
          <w:rFonts w:hint="eastAsia" w:ascii="宋体" w:hAnsi="宋体" w:eastAsia="宋体" w:cs="Times New Roman"/>
          <w:color w:val="0C0C0C"/>
          <w:szCs w:val="21"/>
          <w:highlight w:val="none"/>
          <w:lang w:val="en-US" w:eastAsia="zh-CN"/>
        </w:rPr>
        <w:t>5</w:t>
      </w:r>
      <w:r>
        <w:rPr>
          <w:rFonts w:hint="eastAsia" w:ascii="宋体" w:hAnsi="宋体" w:eastAsia="宋体" w:cs="Times New Roman"/>
          <w:color w:val="0C0C0C"/>
          <w:szCs w:val="21"/>
          <w:highlight w:val="none"/>
          <w:lang w:eastAsia="zh-CN"/>
        </w:rPr>
        <w:t>）节日福利发放登记台账。</w:t>
      </w:r>
    </w:p>
    <w:p w14:paraId="75DBA05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olor w:val="0C0C0C"/>
          <w:szCs w:val="21"/>
          <w:highlight w:val="none"/>
          <w:lang w:eastAsia="zh-CN"/>
        </w:rPr>
      </w:pPr>
      <w:r>
        <w:rPr>
          <w:rFonts w:hint="eastAsia" w:ascii="宋体" w:hAnsi="宋体"/>
          <w:b/>
          <w:bCs/>
          <w:color w:val="0C0C0C"/>
          <w:szCs w:val="21"/>
          <w:highlight w:val="none"/>
          <w:lang w:eastAsia="zh-CN"/>
        </w:rPr>
        <w:t>四</w:t>
      </w:r>
      <w:r>
        <w:rPr>
          <w:rFonts w:hint="eastAsia" w:ascii="宋体" w:hAnsi="宋体"/>
          <w:b/>
          <w:bCs/>
          <w:color w:val="0C0C0C"/>
          <w:szCs w:val="21"/>
          <w:highlight w:val="none"/>
        </w:rPr>
        <w:t>、</w:t>
      </w:r>
      <w:r>
        <w:rPr>
          <w:rFonts w:hint="eastAsia" w:ascii="宋体" w:hAnsi="宋体" w:cs="宋体"/>
          <w:b/>
          <w:bCs/>
          <w:color w:val="0C0C0C"/>
          <w:kern w:val="0"/>
          <w:szCs w:val="21"/>
          <w:highlight w:val="none"/>
        </w:rPr>
        <w:t>采购标的的其他技术、服务等要求</w:t>
      </w:r>
    </w:p>
    <w:p w14:paraId="7388A330">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0C0C0C"/>
          <w:szCs w:val="21"/>
          <w:highlight w:val="none"/>
          <w:lang w:val="en-US" w:eastAsia="zh-CN"/>
        </w:rPr>
      </w:pPr>
      <w:r>
        <w:rPr>
          <w:rFonts w:hint="eastAsia" w:ascii="宋体" w:hAnsi="宋体" w:eastAsia="宋体" w:cs="宋体"/>
          <w:color w:val="0C0C0C"/>
          <w:szCs w:val="21"/>
          <w:highlight w:val="none"/>
          <w:lang w:val="en-US" w:eastAsia="zh-CN"/>
        </w:rPr>
        <w:t>4.1保密商务约束：所有派驻工作人员需严格遵守岳阳市公安局内部保密、门禁管理制度，不得外泄办公区、食堂相关内部信息；</w:t>
      </w:r>
    </w:p>
    <w:p w14:paraId="24904E35">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Times New Roman" w:hAnsi="Times New Roman" w:eastAsia="宋体" w:cs="Times New Roman"/>
          <w:color w:val="0C0C0C"/>
          <w:lang w:val="en-US" w:eastAsia="zh-CN"/>
        </w:rPr>
      </w:pPr>
      <w:r>
        <w:rPr>
          <w:rFonts w:hint="eastAsia" w:ascii="宋体" w:hAnsi="宋体" w:eastAsia="宋体" w:cs="宋体"/>
          <w:color w:val="0C0C0C"/>
          <w:szCs w:val="21"/>
          <w:highlight w:val="none"/>
          <w:lang w:val="en-US" w:eastAsia="zh-CN"/>
        </w:rPr>
        <w:t>4.2</w:t>
      </w:r>
      <w:r>
        <w:rPr>
          <w:rFonts w:hint="eastAsia" w:ascii="Times New Roman" w:hAnsi="Times New Roman" w:eastAsia="宋体" w:cs="Times New Roman"/>
          <w:color w:val="0C0C0C"/>
          <w:lang w:val="en-US" w:eastAsia="zh-CN"/>
        </w:rPr>
        <w:t>考核管理</w:t>
      </w:r>
    </w:p>
    <w:p w14:paraId="3DF4D409">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4.2.1考核工作由采购人管理部门邀请本单位食委会成员组成考核小组按考核标准实施。</w:t>
      </w:r>
    </w:p>
    <w:p w14:paraId="7713070F">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4.2.2考核采取每月不定期随机抽查的形式。考核时，通知中标人派人参加。考核小组对考核现场根据考核标准进行考核评分。考核结果登记在考核登记表，考核登记表一式二份，双方（采购人与中标人）签字后各持一份备查。</w:t>
      </w:r>
    </w:p>
    <w:p w14:paraId="1F38CA49">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4.2.3每月考核一次，考核时间跨度为每月1日至当月月底。</w:t>
      </w:r>
    </w:p>
    <w:p w14:paraId="110CD87D">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4.2.4中标人要建立完善的内部日常考核制度及台账。</w:t>
      </w:r>
    </w:p>
    <w:p w14:paraId="207A6178">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4.2.5考核情况每月以适当形式公布。</w:t>
      </w:r>
    </w:p>
    <w:p w14:paraId="5969F5BF">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4.2.6实行退出机制，本项目服务首期期限内中标人（或中标供应商）出现下列情形之一的，采购人将有权单方面终止合同，由此产生的经济损失，由中标人自行承担：</w:t>
      </w:r>
    </w:p>
    <w:p w14:paraId="10369E0A">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（1）中标人（或中标供应商）拒绝或不能履行合同义务的；</w:t>
      </w:r>
    </w:p>
    <w:p w14:paraId="2192AAAD">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（2）将中标项目转让给第三方或违规分包给第三方的；</w:t>
      </w:r>
    </w:p>
    <w:p w14:paraId="30394601">
      <w:pPr>
        <w:widowControl w:val="0"/>
        <w:spacing w:line="360" w:lineRule="auto"/>
        <w:ind w:firstLine="210" w:firstLineChars="100"/>
        <w:rPr>
          <w:rFonts w:hint="eastAsia" w:ascii="Times New Roman" w:hAnsi="Times New Roman" w:eastAsia="宋体" w:cs="Times New Roman"/>
          <w:color w:val="0C0C0C"/>
          <w:highlight w:val="none"/>
          <w:lang w:val="en-US" w:eastAsia="zh-CN"/>
        </w:rPr>
      </w:pPr>
      <w:r>
        <w:rPr>
          <w:rFonts w:hint="eastAsia" w:ascii="Times New Roman" w:hAnsi="Times New Roman" w:eastAsia="宋体" w:cs="Times New Roman"/>
          <w:color w:val="0C0C0C"/>
          <w:lang w:val="en-US" w:eastAsia="zh-CN"/>
        </w:rPr>
        <w:t>（3）一年内3次（不含）以</w:t>
      </w:r>
      <w:r>
        <w:rPr>
          <w:rFonts w:hint="eastAsia" w:ascii="Times New Roman" w:hAnsi="Times New Roman" w:eastAsia="宋体" w:cs="Times New Roman"/>
          <w:color w:val="0C0C0C"/>
          <w:highlight w:val="none"/>
          <w:lang w:val="en-US" w:eastAsia="zh-CN"/>
        </w:rPr>
        <w:t>上考核分低于90分（不含）的；</w:t>
      </w:r>
    </w:p>
    <w:p w14:paraId="53BDF805">
      <w:pPr>
        <w:widowControl w:val="0"/>
        <w:spacing w:line="360" w:lineRule="auto"/>
        <w:ind w:firstLine="210" w:firstLineChars="100"/>
        <w:rPr>
          <w:rFonts w:hint="eastAsia" w:ascii="Times New Roman" w:hAnsi="Times New Roman" w:eastAsia="宋体" w:cs="Times New Roman"/>
          <w:color w:val="0C0C0C"/>
          <w:highlight w:val="none"/>
          <w:lang w:val="en-US" w:eastAsia="zh-CN"/>
        </w:rPr>
      </w:pPr>
      <w:r>
        <w:rPr>
          <w:rFonts w:hint="eastAsia" w:ascii="Times New Roman" w:hAnsi="Times New Roman" w:eastAsia="宋体" w:cs="Times New Roman"/>
          <w:color w:val="0C0C0C"/>
          <w:highlight w:val="none"/>
          <w:lang w:val="en-US" w:eastAsia="zh-CN"/>
        </w:rPr>
        <w:t>（4）满意度调查一年内出现3次满意率低于80%的；</w:t>
      </w:r>
    </w:p>
    <w:p w14:paraId="17CE9C37">
      <w:pPr>
        <w:widowControl w:val="0"/>
        <w:spacing w:line="360" w:lineRule="auto"/>
        <w:ind w:firstLine="210" w:firstLineChars="100"/>
        <w:rPr>
          <w:rFonts w:hint="eastAsia" w:ascii="Times New Roman" w:hAnsi="Times New Roman" w:eastAsia="宋体" w:cs="Times New Roman"/>
          <w:color w:val="0C0C0C"/>
          <w:highlight w:val="none"/>
          <w:lang w:val="en-US" w:eastAsia="zh-CN"/>
        </w:rPr>
      </w:pPr>
      <w:r>
        <w:rPr>
          <w:rFonts w:hint="eastAsia" w:ascii="Times New Roman" w:hAnsi="Times New Roman" w:eastAsia="宋体" w:cs="Times New Roman"/>
          <w:color w:val="0C0C0C"/>
          <w:highlight w:val="none"/>
          <w:lang w:val="en-US" w:eastAsia="zh-CN"/>
        </w:rPr>
        <w:t>（5）一个月内连续3次就餐人员对食堂问题（如服务态度恶劣，饭菜不熟、开饭不准时、供应不足，饭菜中有头发、铁丝、玻璃、石子、小虫现象和环境卫生状况差等）投诉的；</w:t>
      </w:r>
    </w:p>
    <w:p w14:paraId="317D3CC6">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（6）一个月内出现1次食品安全事故（群体性腹泻、食物中毒）和工作安全事故的；</w:t>
      </w:r>
    </w:p>
    <w:p w14:paraId="3B415B9F">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（7）中标人无正当理由中途终止合同的。</w:t>
      </w:r>
    </w:p>
    <w:p w14:paraId="139C374E">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4.2.7采购人考核评分细则如下：</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
        <w:gridCol w:w="3770"/>
        <w:gridCol w:w="530"/>
        <w:gridCol w:w="4277"/>
      </w:tblGrid>
      <w:tr w14:paraId="2FE8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dxa"/>
            <w:noWrap w:val="0"/>
            <w:vAlign w:val="center"/>
          </w:tcPr>
          <w:p w14:paraId="37FA20AF">
            <w:pPr>
              <w:jc w:val="center"/>
              <w:rPr>
                <w:rFonts w:hint="eastAsia"/>
                <w:lang w:val="en-US" w:eastAsia="zh-CN"/>
              </w:rPr>
            </w:pPr>
            <w:r>
              <w:rPr>
                <w:rFonts w:hint="eastAsia"/>
                <w:lang w:val="en-US" w:eastAsia="zh-CN"/>
              </w:rPr>
              <w:t>序号</w:t>
            </w:r>
          </w:p>
        </w:tc>
        <w:tc>
          <w:tcPr>
            <w:tcW w:w="3770" w:type="dxa"/>
            <w:noWrap w:val="0"/>
            <w:vAlign w:val="center"/>
          </w:tcPr>
          <w:p w14:paraId="4DF64193">
            <w:pPr>
              <w:jc w:val="center"/>
              <w:rPr>
                <w:rFonts w:hint="eastAsia"/>
                <w:lang w:val="en-US" w:eastAsia="zh-CN"/>
              </w:rPr>
            </w:pPr>
            <w:r>
              <w:rPr>
                <w:rFonts w:hint="eastAsia"/>
                <w:lang w:val="en-US" w:eastAsia="zh-CN"/>
              </w:rPr>
              <w:t>考核内容</w:t>
            </w:r>
          </w:p>
        </w:tc>
        <w:tc>
          <w:tcPr>
            <w:tcW w:w="530" w:type="dxa"/>
            <w:noWrap w:val="0"/>
            <w:vAlign w:val="center"/>
          </w:tcPr>
          <w:p w14:paraId="2857F3DE">
            <w:pPr>
              <w:jc w:val="center"/>
              <w:rPr>
                <w:rFonts w:hint="eastAsia"/>
                <w:lang w:val="en-US" w:eastAsia="zh-CN"/>
              </w:rPr>
            </w:pPr>
            <w:r>
              <w:rPr>
                <w:rFonts w:hint="eastAsia"/>
                <w:lang w:val="en-US" w:eastAsia="zh-CN"/>
              </w:rPr>
              <w:t>分值</w:t>
            </w:r>
          </w:p>
        </w:tc>
        <w:tc>
          <w:tcPr>
            <w:tcW w:w="4277" w:type="dxa"/>
            <w:noWrap w:val="0"/>
            <w:vAlign w:val="center"/>
          </w:tcPr>
          <w:p w14:paraId="46B61A98">
            <w:pPr>
              <w:jc w:val="center"/>
              <w:rPr>
                <w:rFonts w:hint="eastAsia"/>
                <w:lang w:val="en-US" w:eastAsia="zh-CN"/>
              </w:rPr>
            </w:pPr>
            <w:r>
              <w:rPr>
                <w:rFonts w:hint="eastAsia"/>
                <w:lang w:val="en-US" w:eastAsia="zh-CN"/>
              </w:rPr>
              <w:t>考核细则</w:t>
            </w:r>
          </w:p>
        </w:tc>
      </w:tr>
      <w:tr w14:paraId="1AB8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484" w:type="dxa"/>
            <w:noWrap w:val="0"/>
            <w:vAlign w:val="center"/>
          </w:tcPr>
          <w:p w14:paraId="21331D67">
            <w:pPr>
              <w:jc w:val="center"/>
              <w:rPr>
                <w:rFonts w:hint="eastAsia"/>
                <w:lang w:val="en-US" w:eastAsia="zh-CN"/>
              </w:rPr>
            </w:pPr>
            <w:r>
              <w:rPr>
                <w:rFonts w:hint="eastAsia"/>
                <w:lang w:val="en-US" w:eastAsia="zh-CN"/>
              </w:rPr>
              <w:t>1</w:t>
            </w:r>
          </w:p>
        </w:tc>
        <w:tc>
          <w:tcPr>
            <w:tcW w:w="3770" w:type="dxa"/>
            <w:noWrap w:val="0"/>
            <w:vAlign w:val="center"/>
          </w:tcPr>
          <w:p w14:paraId="589C88E8">
            <w:pPr>
              <w:rPr>
                <w:rFonts w:hint="eastAsia"/>
                <w:lang w:val="en-US" w:eastAsia="zh-CN"/>
              </w:rPr>
            </w:pPr>
            <w:r>
              <w:rPr>
                <w:rFonts w:hint="eastAsia"/>
                <w:lang w:val="en-US" w:eastAsia="zh-CN"/>
              </w:rPr>
              <w:t>（1）操作间卫生干净、整洁，餐具及时存放消毒柜杀菌消毒，餐厅清扫擦拭及时彻底，做好防蝇灭鼠等除四害工作</w:t>
            </w:r>
          </w:p>
          <w:p w14:paraId="2E901304">
            <w:pPr>
              <w:rPr>
                <w:rFonts w:hint="eastAsia"/>
                <w:lang w:val="en-US" w:eastAsia="zh-CN"/>
              </w:rPr>
            </w:pPr>
            <w:r>
              <w:rPr>
                <w:rFonts w:hint="eastAsia"/>
                <w:lang w:val="en-US" w:eastAsia="zh-CN"/>
              </w:rPr>
              <w:t>（2）定期检查维护燃气灶具和电气设施，严格遵守操作规程，严防安全事故发生</w:t>
            </w:r>
          </w:p>
        </w:tc>
        <w:tc>
          <w:tcPr>
            <w:tcW w:w="530" w:type="dxa"/>
            <w:noWrap w:val="0"/>
            <w:vAlign w:val="center"/>
          </w:tcPr>
          <w:p w14:paraId="12B1FA26">
            <w:pPr>
              <w:jc w:val="center"/>
              <w:rPr>
                <w:rFonts w:hint="default"/>
                <w:lang w:val="en-US" w:eastAsia="zh-CN"/>
              </w:rPr>
            </w:pPr>
            <w:r>
              <w:rPr>
                <w:rFonts w:hint="eastAsia"/>
                <w:lang w:val="en-US" w:eastAsia="zh-CN"/>
              </w:rPr>
              <w:t>10</w:t>
            </w:r>
          </w:p>
        </w:tc>
        <w:tc>
          <w:tcPr>
            <w:tcW w:w="4277" w:type="dxa"/>
            <w:noWrap w:val="0"/>
            <w:vAlign w:val="center"/>
          </w:tcPr>
          <w:p w14:paraId="7001B308">
            <w:pPr>
              <w:rPr>
                <w:rFonts w:hint="eastAsia"/>
                <w:lang w:val="en-US" w:eastAsia="zh-CN"/>
              </w:rPr>
            </w:pPr>
            <w:r>
              <w:rPr>
                <w:rFonts w:hint="eastAsia"/>
                <w:lang w:val="en-US" w:eastAsia="zh-CN"/>
              </w:rPr>
              <w:t>（1）操作间卫生1处不干净、整洁扣0.5分；餐具未及时存放消毒柜杀菌消毒1次扣0.5分；餐厅清扫擦拭不及时彻底1次扣0.5分；未做防蝇灭鼠等除四害工作扣0.5分</w:t>
            </w:r>
          </w:p>
          <w:p w14:paraId="47C33408">
            <w:pPr>
              <w:rPr>
                <w:rFonts w:hint="eastAsia"/>
                <w:lang w:val="en-US" w:eastAsia="zh-CN"/>
              </w:rPr>
            </w:pPr>
            <w:r>
              <w:rPr>
                <w:rFonts w:hint="eastAsia"/>
                <w:lang w:val="en-US" w:eastAsia="zh-CN"/>
              </w:rPr>
              <w:t>（2）燃气灶具和电气设施存在安全隐患1处扣0.5分</w:t>
            </w:r>
          </w:p>
        </w:tc>
      </w:tr>
      <w:tr w14:paraId="7F2C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dxa"/>
            <w:noWrap w:val="0"/>
            <w:vAlign w:val="center"/>
          </w:tcPr>
          <w:p w14:paraId="72D00554">
            <w:pPr>
              <w:jc w:val="center"/>
              <w:rPr>
                <w:rFonts w:hint="default"/>
                <w:lang w:val="en-US" w:eastAsia="zh-CN"/>
              </w:rPr>
            </w:pPr>
            <w:r>
              <w:rPr>
                <w:rFonts w:hint="eastAsia"/>
                <w:lang w:val="en-US" w:eastAsia="zh-CN"/>
              </w:rPr>
              <w:t>2</w:t>
            </w:r>
          </w:p>
        </w:tc>
        <w:tc>
          <w:tcPr>
            <w:tcW w:w="3770" w:type="dxa"/>
            <w:noWrap w:val="0"/>
            <w:vAlign w:val="center"/>
          </w:tcPr>
          <w:p w14:paraId="706B9B3E">
            <w:pPr>
              <w:rPr>
                <w:rFonts w:hint="eastAsia"/>
                <w:lang w:val="en-US" w:eastAsia="zh-CN"/>
              </w:rPr>
            </w:pPr>
            <w:r>
              <w:rPr>
                <w:rFonts w:hint="eastAsia"/>
                <w:lang w:val="en-US" w:eastAsia="zh-CN"/>
              </w:rPr>
              <w:t>严格执行《食品安全法》，落实食品留样（每样不少于125g，保留48小时），生、熟切菜工具分开</w:t>
            </w:r>
          </w:p>
        </w:tc>
        <w:tc>
          <w:tcPr>
            <w:tcW w:w="530" w:type="dxa"/>
            <w:noWrap w:val="0"/>
            <w:vAlign w:val="center"/>
          </w:tcPr>
          <w:p w14:paraId="6DDB920F">
            <w:pPr>
              <w:jc w:val="center"/>
              <w:rPr>
                <w:rFonts w:hint="default"/>
                <w:lang w:val="en-US" w:eastAsia="zh-CN"/>
              </w:rPr>
            </w:pPr>
            <w:r>
              <w:rPr>
                <w:rFonts w:hint="eastAsia"/>
                <w:lang w:val="en-US" w:eastAsia="zh-CN"/>
              </w:rPr>
              <w:t>10</w:t>
            </w:r>
          </w:p>
        </w:tc>
        <w:tc>
          <w:tcPr>
            <w:tcW w:w="4277" w:type="dxa"/>
            <w:noWrap w:val="0"/>
            <w:vAlign w:val="center"/>
          </w:tcPr>
          <w:p w14:paraId="2BDB1483">
            <w:pPr>
              <w:rPr>
                <w:rFonts w:hint="eastAsia"/>
                <w:lang w:val="en-US" w:eastAsia="zh-CN"/>
              </w:rPr>
            </w:pPr>
            <w:r>
              <w:rPr>
                <w:rFonts w:hint="eastAsia"/>
                <w:lang w:val="en-US" w:eastAsia="zh-CN"/>
              </w:rPr>
              <w:t>未按规定食品留样（每样不少于125g，保留48小时）每次扣0.5分；生、熟切菜工具未分开每次扣0.5分</w:t>
            </w:r>
          </w:p>
        </w:tc>
      </w:tr>
      <w:tr w14:paraId="1CAB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dxa"/>
            <w:noWrap w:val="0"/>
            <w:vAlign w:val="center"/>
          </w:tcPr>
          <w:p w14:paraId="21D14896">
            <w:pPr>
              <w:jc w:val="center"/>
              <w:rPr>
                <w:rFonts w:hint="default"/>
                <w:lang w:val="en-US" w:eastAsia="zh-CN"/>
              </w:rPr>
            </w:pPr>
            <w:r>
              <w:rPr>
                <w:rFonts w:hint="eastAsia"/>
                <w:lang w:val="en-US" w:eastAsia="zh-CN"/>
              </w:rPr>
              <w:t>3</w:t>
            </w:r>
          </w:p>
        </w:tc>
        <w:tc>
          <w:tcPr>
            <w:tcW w:w="3770" w:type="dxa"/>
            <w:noWrap w:val="0"/>
            <w:vAlign w:val="center"/>
          </w:tcPr>
          <w:p w14:paraId="07127418">
            <w:pPr>
              <w:rPr>
                <w:rFonts w:hint="eastAsia"/>
                <w:lang w:val="en-US" w:eastAsia="zh-CN"/>
              </w:rPr>
            </w:pPr>
            <w:r>
              <w:rPr>
                <w:rFonts w:hint="eastAsia"/>
                <w:lang w:val="en-US" w:eastAsia="zh-CN"/>
              </w:rPr>
              <w:t>加强仓库管理，食品分类摆放，及时使用，严防食品积压、霉烂变质、超期使用，严格验收和进出库实名登记，做到定期盘点、账物相符、台帐齐全，严防盗窃和丢失</w:t>
            </w:r>
          </w:p>
        </w:tc>
        <w:tc>
          <w:tcPr>
            <w:tcW w:w="530" w:type="dxa"/>
            <w:noWrap w:val="0"/>
            <w:vAlign w:val="center"/>
          </w:tcPr>
          <w:p w14:paraId="3FA96FB8">
            <w:pPr>
              <w:jc w:val="center"/>
              <w:rPr>
                <w:rFonts w:hint="default"/>
                <w:lang w:val="en-US" w:eastAsia="zh-CN"/>
              </w:rPr>
            </w:pPr>
            <w:r>
              <w:rPr>
                <w:rFonts w:hint="eastAsia"/>
                <w:lang w:val="en-US" w:eastAsia="zh-CN"/>
              </w:rPr>
              <w:t>10</w:t>
            </w:r>
          </w:p>
        </w:tc>
        <w:tc>
          <w:tcPr>
            <w:tcW w:w="4277" w:type="dxa"/>
            <w:noWrap w:val="0"/>
            <w:vAlign w:val="center"/>
          </w:tcPr>
          <w:p w14:paraId="2137B203">
            <w:pPr>
              <w:rPr>
                <w:rFonts w:hint="eastAsia"/>
                <w:lang w:val="en-US" w:eastAsia="zh-CN"/>
              </w:rPr>
            </w:pPr>
            <w:r>
              <w:rPr>
                <w:rFonts w:hint="eastAsia"/>
                <w:lang w:val="en-US" w:eastAsia="zh-CN"/>
              </w:rPr>
              <w:t>仓库食品未分类摆放扣0.5分；食品积压严重扣0.5分；食品霉烂变质每样扣0.2分；食品超期使用每样扣0.2分；食品验收和进出库未实名登记每次扣0.5分；食品账物不相符扣0.5分；无进出库台账扣0.5分；食品被盗和丢失1件扣0.5分。</w:t>
            </w:r>
          </w:p>
        </w:tc>
      </w:tr>
      <w:tr w14:paraId="6D93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dxa"/>
            <w:noWrap w:val="0"/>
            <w:vAlign w:val="center"/>
          </w:tcPr>
          <w:p w14:paraId="58D6ECDA">
            <w:pPr>
              <w:jc w:val="center"/>
              <w:rPr>
                <w:rFonts w:hint="default"/>
                <w:lang w:val="en-US" w:eastAsia="zh-CN"/>
              </w:rPr>
            </w:pPr>
            <w:r>
              <w:rPr>
                <w:rFonts w:hint="eastAsia"/>
                <w:lang w:val="en-US" w:eastAsia="zh-CN"/>
              </w:rPr>
              <w:t>4</w:t>
            </w:r>
          </w:p>
        </w:tc>
        <w:tc>
          <w:tcPr>
            <w:tcW w:w="3770" w:type="dxa"/>
            <w:noWrap w:val="0"/>
            <w:vAlign w:val="center"/>
          </w:tcPr>
          <w:p w14:paraId="37E19F9D">
            <w:pPr>
              <w:rPr>
                <w:rFonts w:hint="eastAsia"/>
                <w:lang w:val="en-US" w:eastAsia="zh-CN"/>
              </w:rPr>
            </w:pPr>
            <w:r>
              <w:rPr>
                <w:rFonts w:hint="eastAsia"/>
                <w:lang w:val="en-US" w:eastAsia="zh-CN"/>
              </w:rPr>
              <w:t>严格成本控制，根据甲方伙食标准，合理配比，食材损耗率控制在3%以内</w:t>
            </w:r>
          </w:p>
        </w:tc>
        <w:tc>
          <w:tcPr>
            <w:tcW w:w="530" w:type="dxa"/>
            <w:noWrap w:val="0"/>
            <w:vAlign w:val="center"/>
          </w:tcPr>
          <w:p w14:paraId="5A8F9085">
            <w:pPr>
              <w:jc w:val="center"/>
              <w:rPr>
                <w:rFonts w:hint="default"/>
                <w:lang w:val="en-US" w:eastAsia="zh-CN"/>
              </w:rPr>
            </w:pPr>
            <w:r>
              <w:rPr>
                <w:rFonts w:hint="eastAsia"/>
                <w:lang w:val="en-US" w:eastAsia="zh-CN"/>
              </w:rPr>
              <w:t>10</w:t>
            </w:r>
          </w:p>
        </w:tc>
        <w:tc>
          <w:tcPr>
            <w:tcW w:w="4277" w:type="dxa"/>
            <w:noWrap w:val="0"/>
            <w:vAlign w:val="center"/>
          </w:tcPr>
          <w:p w14:paraId="5EAF2F14">
            <w:pPr>
              <w:rPr>
                <w:rFonts w:hint="eastAsia"/>
                <w:lang w:val="en-US" w:eastAsia="zh-CN"/>
              </w:rPr>
            </w:pPr>
            <w:r>
              <w:rPr>
                <w:rFonts w:hint="eastAsia"/>
                <w:lang w:val="en-US" w:eastAsia="zh-CN"/>
              </w:rPr>
              <w:t>食材损耗率超过3%扣0.5分。</w:t>
            </w:r>
          </w:p>
        </w:tc>
      </w:tr>
      <w:tr w14:paraId="06ED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dxa"/>
            <w:noWrap w:val="0"/>
            <w:vAlign w:val="center"/>
          </w:tcPr>
          <w:p w14:paraId="4FECE703">
            <w:pPr>
              <w:jc w:val="center"/>
              <w:rPr>
                <w:rFonts w:hint="default"/>
                <w:lang w:val="en-US" w:eastAsia="zh-CN"/>
              </w:rPr>
            </w:pPr>
            <w:r>
              <w:rPr>
                <w:rFonts w:hint="eastAsia"/>
                <w:lang w:val="en-US" w:eastAsia="zh-CN"/>
              </w:rPr>
              <w:t>5</w:t>
            </w:r>
          </w:p>
        </w:tc>
        <w:tc>
          <w:tcPr>
            <w:tcW w:w="3770" w:type="dxa"/>
            <w:noWrap w:val="0"/>
            <w:vAlign w:val="center"/>
          </w:tcPr>
          <w:p w14:paraId="23E9A49F">
            <w:pPr>
              <w:rPr>
                <w:rFonts w:hint="eastAsia"/>
                <w:lang w:val="en-US" w:eastAsia="zh-CN"/>
              </w:rPr>
            </w:pPr>
            <w:r>
              <w:rPr>
                <w:rFonts w:hint="eastAsia"/>
                <w:lang w:val="en-US" w:eastAsia="zh-CN"/>
              </w:rPr>
              <w:t>每月组织就餐人员对食堂满意度（服务态度、供餐时间、菜品标准、餐饮质量、卫生状况）进行测评，满意率不得低于80%</w:t>
            </w:r>
          </w:p>
        </w:tc>
        <w:tc>
          <w:tcPr>
            <w:tcW w:w="530" w:type="dxa"/>
            <w:noWrap w:val="0"/>
            <w:vAlign w:val="center"/>
          </w:tcPr>
          <w:p w14:paraId="45F08709">
            <w:pPr>
              <w:jc w:val="center"/>
              <w:rPr>
                <w:rFonts w:hint="default"/>
                <w:lang w:val="en-US" w:eastAsia="zh-CN"/>
              </w:rPr>
            </w:pPr>
            <w:r>
              <w:rPr>
                <w:rFonts w:hint="eastAsia"/>
                <w:lang w:val="en-US" w:eastAsia="zh-CN"/>
              </w:rPr>
              <w:t>10</w:t>
            </w:r>
          </w:p>
        </w:tc>
        <w:tc>
          <w:tcPr>
            <w:tcW w:w="4277" w:type="dxa"/>
            <w:noWrap w:val="0"/>
            <w:vAlign w:val="center"/>
          </w:tcPr>
          <w:p w14:paraId="142A3F6F">
            <w:pPr>
              <w:rPr>
                <w:rFonts w:hint="eastAsia"/>
                <w:lang w:val="en-US" w:eastAsia="zh-CN"/>
              </w:rPr>
            </w:pPr>
            <w:r>
              <w:rPr>
                <w:rFonts w:hint="eastAsia"/>
                <w:lang w:val="en-US" w:eastAsia="zh-CN"/>
              </w:rPr>
              <w:t>满意率低于80%扣1分。</w:t>
            </w:r>
          </w:p>
        </w:tc>
      </w:tr>
      <w:tr w14:paraId="285F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dxa"/>
            <w:noWrap w:val="0"/>
            <w:vAlign w:val="center"/>
          </w:tcPr>
          <w:p w14:paraId="2340FBA6">
            <w:pPr>
              <w:jc w:val="center"/>
              <w:rPr>
                <w:rFonts w:hint="default"/>
                <w:lang w:val="en-US" w:eastAsia="zh-CN"/>
              </w:rPr>
            </w:pPr>
            <w:r>
              <w:rPr>
                <w:rFonts w:hint="eastAsia"/>
                <w:lang w:val="en-US" w:eastAsia="zh-CN"/>
              </w:rPr>
              <w:t>6</w:t>
            </w:r>
          </w:p>
        </w:tc>
        <w:tc>
          <w:tcPr>
            <w:tcW w:w="3770" w:type="dxa"/>
            <w:noWrap w:val="0"/>
            <w:vAlign w:val="center"/>
          </w:tcPr>
          <w:p w14:paraId="0D16C5FE">
            <w:pPr>
              <w:rPr>
                <w:rFonts w:hint="eastAsia"/>
                <w:highlight w:val="none"/>
                <w:lang w:val="en-US" w:eastAsia="zh-CN"/>
              </w:rPr>
            </w:pPr>
            <w:r>
              <w:rPr>
                <w:rFonts w:hint="eastAsia"/>
                <w:highlight w:val="none"/>
                <w:lang w:val="en-US" w:eastAsia="zh-CN"/>
              </w:rPr>
              <w:t>就餐人员对食堂问题投诉，如服务态度恶劣，饭菜不熟、开饭不准时、供应不足，饭菜中有头发、铁丝、玻璃、石子、小虫现象和环境卫生状况差等问题</w:t>
            </w:r>
          </w:p>
        </w:tc>
        <w:tc>
          <w:tcPr>
            <w:tcW w:w="530" w:type="dxa"/>
            <w:noWrap w:val="0"/>
            <w:vAlign w:val="center"/>
          </w:tcPr>
          <w:p w14:paraId="151FDA94">
            <w:pPr>
              <w:jc w:val="center"/>
              <w:rPr>
                <w:rFonts w:hint="default"/>
                <w:highlight w:val="none"/>
                <w:lang w:val="en-US" w:eastAsia="zh-CN"/>
              </w:rPr>
            </w:pPr>
            <w:r>
              <w:rPr>
                <w:rFonts w:hint="eastAsia"/>
                <w:highlight w:val="none"/>
                <w:lang w:val="en-US" w:eastAsia="zh-CN"/>
              </w:rPr>
              <w:t>10</w:t>
            </w:r>
          </w:p>
        </w:tc>
        <w:tc>
          <w:tcPr>
            <w:tcW w:w="4277" w:type="dxa"/>
            <w:noWrap w:val="0"/>
            <w:vAlign w:val="center"/>
          </w:tcPr>
          <w:p w14:paraId="37C82C21">
            <w:pPr>
              <w:rPr>
                <w:rFonts w:hint="eastAsia"/>
                <w:highlight w:val="none"/>
                <w:lang w:val="en-US" w:eastAsia="zh-CN"/>
              </w:rPr>
            </w:pPr>
            <w:r>
              <w:rPr>
                <w:rFonts w:hint="eastAsia"/>
                <w:highlight w:val="none"/>
                <w:lang w:val="en-US" w:eastAsia="zh-CN"/>
              </w:rPr>
              <w:t>就餐人员对食堂问题投诉1起扣4分。</w:t>
            </w:r>
          </w:p>
        </w:tc>
      </w:tr>
      <w:tr w14:paraId="39E6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dxa"/>
            <w:noWrap w:val="0"/>
            <w:vAlign w:val="center"/>
          </w:tcPr>
          <w:p w14:paraId="2B0625F8">
            <w:pPr>
              <w:jc w:val="center"/>
              <w:rPr>
                <w:rFonts w:hint="default"/>
                <w:lang w:val="en-US" w:eastAsia="zh-CN"/>
              </w:rPr>
            </w:pPr>
            <w:r>
              <w:rPr>
                <w:rFonts w:hint="eastAsia"/>
                <w:lang w:val="en-US" w:eastAsia="zh-CN"/>
              </w:rPr>
              <w:t>7</w:t>
            </w:r>
          </w:p>
        </w:tc>
        <w:tc>
          <w:tcPr>
            <w:tcW w:w="3770" w:type="dxa"/>
            <w:noWrap w:val="0"/>
            <w:vAlign w:val="center"/>
          </w:tcPr>
          <w:p w14:paraId="2E1A9BEE">
            <w:pPr>
              <w:rPr>
                <w:rFonts w:hint="eastAsia"/>
                <w:lang w:val="en-US" w:eastAsia="zh-CN"/>
              </w:rPr>
            </w:pPr>
            <w:r>
              <w:rPr>
                <w:rFonts w:hint="eastAsia"/>
                <w:lang w:val="en-US" w:eastAsia="zh-CN"/>
              </w:rPr>
              <w:t>加强对食堂设施、设备的管理，定期维护、保养和维修</w:t>
            </w:r>
          </w:p>
        </w:tc>
        <w:tc>
          <w:tcPr>
            <w:tcW w:w="530" w:type="dxa"/>
            <w:noWrap w:val="0"/>
            <w:vAlign w:val="center"/>
          </w:tcPr>
          <w:p w14:paraId="520770D6">
            <w:pPr>
              <w:jc w:val="center"/>
              <w:rPr>
                <w:rFonts w:hint="default"/>
                <w:lang w:val="en-US" w:eastAsia="zh-CN"/>
              </w:rPr>
            </w:pPr>
            <w:r>
              <w:rPr>
                <w:rFonts w:hint="eastAsia"/>
                <w:lang w:val="en-US" w:eastAsia="zh-CN"/>
              </w:rPr>
              <w:t>10</w:t>
            </w:r>
          </w:p>
        </w:tc>
        <w:tc>
          <w:tcPr>
            <w:tcW w:w="4277" w:type="dxa"/>
            <w:noWrap w:val="0"/>
            <w:vAlign w:val="center"/>
          </w:tcPr>
          <w:p w14:paraId="01321445">
            <w:pPr>
              <w:rPr>
                <w:rFonts w:hint="eastAsia"/>
                <w:lang w:val="en-US" w:eastAsia="zh-CN"/>
              </w:rPr>
            </w:pPr>
            <w:r>
              <w:rPr>
                <w:rFonts w:hint="eastAsia"/>
                <w:lang w:val="en-US" w:eastAsia="zh-CN"/>
              </w:rPr>
              <w:t>因管理不善造成食堂设施、设备丢失或被盗的每件扣1分。</w:t>
            </w:r>
          </w:p>
        </w:tc>
      </w:tr>
      <w:tr w14:paraId="495F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484" w:type="dxa"/>
            <w:noWrap w:val="0"/>
            <w:vAlign w:val="center"/>
          </w:tcPr>
          <w:p w14:paraId="631238A6">
            <w:pPr>
              <w:jc w:val="center"/>
              <w:rPr>
                <w:rFonts w:hint="default"/>
                <w:lang w:val="en-US" w:eastAsia="zh-CN"/>
              </w:rPr>
            </w:pPr>
            <w:r>
              <w:rPr>
                <w:rFonts w:hint="eastAsia"/>
                <w:lang w:val="en-US" w:eastAsia="zh-CN"/>
              </w:rPr>
              <w:t>8</w:t>
            </w:r>
          </w:p>
        </w:tc>
        <w:tc>
          <w:tcPr>
            <w:tcW w:w="3770" w:type="dxa"/>
            <w:noWrap w:val="0"/>
            <w:vAlign w:val="center"/>
          </w:tcPr>
          <w:p w14:paraId="54ACBA01">
            <w:pPr>
              <w:rPr>
                <w:rFonts w:hint="eastAsia"/>
                <w:lang w:val="en-US" w:eastAsia="zh-CN"/>
              </w:rPr>
            </w:pPr>
            <w:r>
              <w:rPr>
                <w:rFonts w:hint="eastAsia"/>
                <w:color w:val="0C0C0C"/>
                <w:lang w:val="en-US" w:eastAsia="zh-CN"/>
              </w:rPr>
              <w:t>严格按招标文件要求配置上岗人员，常态化在岗各岗位人数不得低于招标文件划定的岗位配置</w:t>
            </w:r>
            <w:r>
              <w:rPr>
                <w:rFonts w:hint="eastAsia"/>
                <w:color w:val="0C0C0C"/>
                <w:highlight w:val="none"/>
                <w:lang w:val="en-US" w:eastAsia="zh-CN"/>
              </w:rPr>
              <w:t>人数。2名机动备用厨师按采购人要求至指居点食堂供餐或赶赴采购人指定点位进行应急供餐。</w:t>
            </w:r>
            <w:r>
              <w:rPr>
                <w:rFonts w:hint="eastAsia"/>
                <w:color w:val="0C0C0C"/>
                <w:lang w:val="en-US" w:eastAsia="zh-CN"/>
              </w:rPr>
              <w:t>在岗人员总量或对应岗位人员不得超出招标文件要求的人员规模。</w:t>
            </w:r>
          </w:p>
        </w:tc>
        <w:tc>
          <w:tcPr>
            <w:tcW w:w="530" w:type="dxa"/>
            <w:noWrap w:val="0"/>
            <w:vAlign w:val="center"/>
          </w:tcPr>
          <w:p w14:paraId="65C367E2">
            <w:pPr>
              <w:jc w:val="center"/>
              <w:rPr>
                <w:rFonts w:hint="eastAsia"/>
                <w:lang w:val="en-US" w:eastAsia="zh-CN"/>
              </w:rPr>
            </w:pPr>
            <w:r>
              <w:rPr>
                <w:rFonts w:hint="eastAsia"/>
                <w:lang w:val="en-US" w:eastAsia="zh-CN"/>
              </w:rPr>
              <w:t>10</w:t>
            </w:r>
          </w:p>
        </w:tc>
        <w:tc>
          <w:tcPr>
            <w:tcW w:w="4277" w:type="dxa"/>
            <w:noWrap w:val="0"/>
            <w:vAlign w:val="center"/>
          </w:tcPr>
          <w:p w14:paraId="1469D323">
            <w:pPr>
              <w:rPr>
                <w:rFonts w:hint="eastAsia"/>
                <w:lang w:val="en-US" w:eastAsia="zh-CN"/>
              </w:rPr>
            </w:pPr>
            <w:r>
              <w:rPr>
                <w:rFonts w:hint="eastAsia"/>
                <w:color w:val="0C0C0C"/>
                <w:lang w:val="en-US" w:eastAsia="zh-CN"/>
              </w:rPr>
              <w:t>在岗人员每缺1人扣2分；擅自超额增设1人扣2分。</w:t>
            </w:r>
          </w:p>
        </w:tc>
      </w:tr>
      <w:tr w14:paraId="71CF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dxa"/>
            <w:noWrap w:val="0"/>
            <w:vAlign w:val="center"/>
          </w:tcPr>
          <w:p w14:paraId="1AB0A1B2">
            <w:pPr>
              <w:jc w:val="center"/>
              <w:rPr>
                <w:rFonts w:hint="default"/>
                <w:lang w:val="en-US" w:eastAsia="zh-CN"/>
              </w:rPr>
            </w:pPr>
            <w:r>
              <w:rPr>
                <w:rFonts w:hint="eastAsia"/>
                <w:lang w:val="en-US" w:eastAsia="zh-CN"/>
              </w:rPr>
              <w:t>9</w:t>
            </w:r>
          </w:p>
        </w:tc>
        <w:tc>
          <w:tcPr>
            <w:tcW w:w="3770" w:type="dxa"/>
            <w:noWrap w:val="0"/>
            <w:vAlign w:val="center"/>
          </w:tcPr>
          <w:p w14:paraId="6B5210DC">
            <w:pPr>
              <w:rPr>
                <w:rFonts w:hint="eastAsia"/>
                <w:color w:val="0C0C0C"/>
                <w:highlight w:val="none"/>
                <w:lang w:val="en-US" w:eastAsia="zh-CN"/>
              </w:rPr>
            </w:pPr>
            <w:r>
              <w:rPr>
                <w:rFonts w:hint="eastAsia"/>
                <w:color w:val="0C0C0C"/>
                <w:highlight w:val="none"/>
                <w:lang w:val="en-US" w:eastAsia="zh-CN"/>
              </w:rPr>
              <w:t>食堂工作人员全员持健康证上岗，无传染性疾病，每年体检不少于1次，身体状况符合餐饮从业人员健康标准，无流行、传染性疾病</w:t>
            </w:r>
          </w:p>
        </w:tc>
        <w:tc>
          <w:tcPr>
            <w:tcW w:w="530" w:type="dxa"/>
            <w:noWrap w:val="0"/>
            <w:vAlign w:val="center"/>
          </w:tcPr>
          <w:p w14:paraId="34BE1C94">
            <w:pPr>
              <w:jc w:val="center"/>
              <w:rPr>
                <w:rFonts w:hint="default"/>
                <w:color w:val="0C0C0C"/>
                <w:highlight w:val="none"/>
                <w:lang w:val="en-US" w:eastAsia="zh-CN"/>
              </w:rPr>
            </w:pPr>
            <w:r>
              <w:rPr>
                <w:rFonts w:hint="eastAsia"/>
                <w:color w:val="0C0C0C"/>
                <w:highlight w:val="none"/>
                <w:lang w:val="en-US" w:eastAsia="zh-CN"/>
              </w:rPr>
              <w:t>10</w:t>
            </w:r>
          </w:p>
        </w:tc>
        <w:tc>
          <w:tcPr>
            <w:tcW w:w="4277" w:type="dxa"/>
            <w:noWrap w:val="0"/>
            <w:vAlign w:val="center"/>
          </w:tcPr>
          <w:p w14:paraId="3219B97E">
            <w:pPr>
              <w:rPr>
                <w:rFonts w:hint="eastAsia"/>
                <w:color w:val="0C0C0C"/>
                <w:highlight w:val="none"/>
                <w:lang w:val="en-US" w:eastAsia="zh-CN"/>
              </w:rPr>
            </w:pPr>
            <w:r>
              <w:rPr>
                <w:rFonts w:hint="eastAsia"/>
                <w:color w:val="0C0C0C"/>
                <w:highlight w:val="none"/>
                <w:lang w:val="en-US" w:eastAsia="zh-CN"/>
              </w:rPr>
              <w:t>食堂工作人员无健康证每人扣1分；没有每年体检1次1人扣0.5分；有流行、传染性疾病每人扣0.5分。</w:t>
            </w:r>
          </w:p>
        </w:tc>
      </w:tr>
      <w:tr w14:paraId="7AC0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dxa"/>
            <w:noWrap w:val="0"/>
            <w:vAlign w:val="center"/>
          </w:tcPr>
          <w:p w14:paraId="04391E94">
            <w:pPr>
              <w:jc w:val="center"/>
              <w:rPr>
                <w:rFonts w:hint="default"/>
                <w:color w:val="0C0C0C"/>
                <w:lang w:val="en-US" w:eastAsia="zh-CN"/>
              </w:rPr>
            </w:pPr>
            <w:r>
              <w:rPr>
                <w:rFonts w:hint="eastAsia"/>
                <w:color w:val="0C0C0C"/>
                <w:lang w:val="en-US" w:eastAsia="zh-CN"/>
              </w:rPr>
              <w:t>10</w:t>
            </w:r>
          </w:p>
        </w:tc>
        <w:tc>
          <w:tcPr>
            <w:tcW w:w="3770" w:type="dxa"/>
            <w:noWrap w:val="0"/>
            <w:vAlign w:val="center"/>
          </w:tcPr>
          <w:p w14:paraId="46658383">
            <w:pPr>
              <w:rPr>
                <w:rFonts w:hint="eastAsia"/>
                <w:color w:val="0C0C0C"/>
                <w:highlight w:val="none"/>
                <w:lang w:val="en-US" w:eastAsia="zh-CN"/>
              </w:rPr>
            </w:pPr>
            <w:r>
              <w:rPr>
                <w:rFonts w:hint="eastAsia"/>
                <w:color w:val="0C0C0C"/>
                <w:highlight w:val="none"/>
                <w:lang w:val="en-US" w:eastAsia="zh-CN"/>
              </w:rPr>
              <w:t>食堂工作人员应做好个人卫生，工作期间着统一制式工作衣帽，并保持干净整洁，不得留长胡须、长指甲、长头发（女员工须盘头）等</w:t>
            </w:r>
          </w:p>
        </w:tc>
        <w:tc>
          <w:tcPr>
            <w:tcW w:w="530" w:type="dxa"/>
            <w:noWrap w:val="0"/>
            <w:vAlign w:val="center"/>
          </w:tcPr>
          <w:p w14:paraId="124A9B64">
            <w:pPr>
              <w:jc w:val="center"/>
              <w:rPr>
                <w:rFonts w:hint="default"/>
                <w:highlight w:val="none"/>
                <w:lang w:val="en-US" w:eastAsia="zh-CN"/>
              </w:rPr>
            </w:pPr>
            <w:r>
              <w:rPr>
                <w:rFonts w:hint="eastAsia"/>
                <w:highlight w:val="none"/>
                <w:lang w:val="en-US" w:eastAsia="zh-CN"/>
              </w:rPr>
              <w:t>10</w:t>
            </w:r>
          </w:p>
        </w:tc>
        <w:tc>
          <w:tcPr>
            <w:tcW w:w="4277" w:type="dxa"/>
            <w:noWrap w:val="0"/>
            <w:vAlign w:val="center"/>
          </w:tcPr>
          <w:p w14:paraId="1CEDB783">
            <w:pPr>
              <w:rPr>
                <w:rFonts w:hint="eastAsia"/>
                <w:highlight w:val="none"/>
                <w:lang w:val="en-US" w:eastAsia="zh-CN"/>
              </w:rPr>
            </w:pPr>
            <w:r>
              <w:rPr>
                <w:rFonts w:hint="eastAsia"/>
                <w:color w:val="0C0C0C"/>
                <w:highlight w:val="none"/>
                <w:lang w:val="en-US" w:eastAsia="zh-CN"/>
              </w:rPr>
              <w:t>食堂工作人员工作期间未着统一制式工作衣帽，每人扣0.5分，留长胡须或长指甲或长头发或女员工未盘头每人每项扣0.2分。</w:t>
            </w:r>
          </w:p>
        </w:tc>
      </w:tr>
      <w:tr w14:paraId="4FCF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dxa"/>
            <w:noWrap w:val="0"/>
            <w:vAlign w:val="center"/>
          </w:tcPr>
          <w:p w14:paraId="2FEAB4B5">
            <w:pPr>
              <w:jc w:val="center"/>
              <w:rPr>
                <w:rFonts w:hint="eastAsia"/>
                <w:lang w:val="en-US" w:eastAsia="zh-CN"/>
              </w:rPr>
            </w:pPr>
            <w:r>
              <w:rPr>
                <w:rFonts w:hint="eastAsia"/>
                <w:lang w:val="en-US" w:eastAsia="zh-CN"/>
              </w:rPr>
              <w:t>备注</w:t>
            </w:r>
          </w:p>
        </w:tc>
        <w:tc>
          <w:tcPr>
            <w:tcW w:w="8577" w:type="dxa"/>
            <w:gridSpan w:val="3"/>
            <w:noWrap w:val="0"/>
            <w:vAlign w:val="center"/>
          </w:tcPr>
          <w:p w14:paraId="4420A381">
            <w:pPr>
              <w:rPr>
                <w:rFonts w:hint="eastAsia"/>
                <w:lang w:val="en-US" w:eastAsia="zh-CN"/>
              </w:rPr>
            </w:pPr>
            <w:r>
              <w:rPr>
                <w:rFonts w:hint="eastAsia"/>
                <w:lang w:val="en-US" w:eastAsia="zh-CN"/>
              </w:rPr>
              <w:t>①考核实行 100 分制，每月考核1次；</w:t>
            </w:r>
          </w:p>
          <w:p w14:paraId="7C299A86">
            <w:pPr>
              <w:rPr>
                <w:rFonts w:hint="eastAsia"/>
                <w:color w:val="0C0C0C"/>
                <w:lang w:val="en-US" w:eastAsia="zh-CN"/>
              </w:rPr>
            </w:pPr>
            <w:r>
              <w:rPr>
                <w:rFonts w:hint="eastAsia"/>
                <w:lang w:val="en-US" w:eastAsia="zh-CN"/>
              </w:rPr>
              <w:t>②考核得</w:t>
            </w:r>
            <w:r>
              <w:rPr>
                <w:rFonts w:hint="eastAsia"/>
                <w:color w:val="0C0C0C"/>
                <w:lang w:val="en-US" w:eastAsia="zh-CN"/>
              </w:rPr>
              <w:t>分90分（含）为达标，低于90分（不含） 的，每少1分扣减当月1%的劳务服务费用，以此类推。</w:t>
            </w:r>
          </w:p>
          <w:p w14:paraId="61C065FE">
            <w:pPr>
              <w:rPr>
                <w:rFonts w:hint="eastAsia"/>
                <w:color w:val="FF0000"/>
                <w:lang w:val="en-US" w:eastAsia="zh-CN"/>
              </w:rPr>
            </w:pPr>
            <w:r>
              <w:rPr>
                <w:rFonts w:hint="eastAsia"/>
                <w:color w:val="0C0C0C"/>
                <w:lang w:val="en-US" w:eastAsia="zh-CN"/>
              </w:rPr>
              <w:t>③本表列明的月度履约考核指标为项目履约考核基础刚性标准，作为履约审核、服务评分、价款扣减的执行依据；双方签订政府采购合同时，可在不降低本文件既定考核要求、不放宽扣分约束的前提下，补充细化考核实施流程、现场核查表单等配套操作细则，补充内容不得与招标文件、投标承诺相冲突。</w:t>
            </w:r>
          </w:p>
        </w:tc>
      </w:tr>
    </w:tbl>
    <w:p w14:paraId="369921AE">
      <w:pPr>
        <w:widowControl w:val="0"/>
        <w:spacing w:line="360" w:lineRule="auto"/>
        <w:ind w:firstLine="210" w:firstLineChars="100"/>
        <w:rPr>
          <w:rFonts w:hint="eastAsia" w:ascii="Times New Roman" w:hAnsi="Times New Roman" w:eastAsia="宋体" w:cs="Times New Roman"/>
          <w:color w:val="0C0C0C"/>
          <w:lang w:val="en-US" w:eastAsia="zh-CN"/>
        </w:rPr>
      </w:pPr>
      <w:r>
        <w:rPr>
          <w:rFonts w:hint="eastAsia" w:ascii="Times New Roman" w:hAnsi="Times New Roman" w:eastAsia="宋体" w:cs="Times New Roman"/>
          <w:color w:val="0C0C0C"/>
          <w:lang w:val="en-US" w:eastAsia="zh-CN"/>
        </w:rPr>
        <w:t>4.3拟派本项目的驻场项目经理、厨师长在合同服务期内应保持高度稳定，原则上不得发生变动；确因特殊情况需进行调整的，须提前15天向采购人报备，经审批同意后方可变动。</w:t>
      </w:r>
    </w:p>
    <w:p w14:paraId="33DAE15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A9B670"/>
    <w:multiLevelType w:val="singleLevel"/>
    <w:tmpl w:val="15A9B670"/>
    <w:lvl w:ilvl="0" w:tentative="0">
      <w:start w:val="1"/>
      <w:numFmt w:val="decimal"/>
      <w:suff w:val="nothing"/>
      <w:lvlText w:val="（%1）"/>
      <w:lvlJc w:val="left"/>
    </w:lvl>
  </w:abstractNum>
  <w:abstractNum w:abstractNumId="1">
    <w:nsid w:val="361B0275"/>
    <w:multiLevelType w:val="singleLevel"/>
    <w:tmpl w:val="361B0275"/>
    <w:lvl w:ilvl="0" w:tentative="0">
      <w:start w:val="3"/>
      <w:numFmt w:val="chineseCounting"/>
      <w:suff w:val="nothing"/>
      <w:lvlText w:val="%1、"/>
      <w:lvlJc w:val="left"/>
      <w:rPr>
        <w:rFonts w:hint="eastAsia"/>
      </w:rPr>
    </w:lvl>
  </w:abstractNum>
  <w:abstractNum w:abstractNumId="2">
    <w:nsid w:val="7FC91EEA"/>
    <w:multiLevelType w:val="singleLevel"/>
    <w:tmpl w:val="7FC91EEA"/>
    <w:lvl w:ilvl="0" w:tentative="0">
      <w:start w:val="3"/>
      <w:numFmt w:val="chineseCounting"/>
      <w:suff w:val="space"/>
      <w:lvlText w:val="第%1节"/>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26C08"/>
    <w:rsid w:val="51AC39D7"/>
    <w:rsid w:val="72657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b/>
      <w:bCs/>
      <w:sz w:val="24"/>
      <w:szCs w:val="20"/>
    </w:rPr>
  </w:style>
  <w:style w:type="paragraph" w:styleId="4">
    <w:name w:val="heading 2"/>
    <w:basedOn w:val="1"/>
    <w:next w:val="1"/>
    <w:qFormat/>
    <w:uiPriority w:val="0"/>
    <w:pPr>
      <w:keepNext/>
      <w:keepLines/>
      <w:spacing w:line="360" w:lineRule="auto"/>
      <w:outlineLvl w:val="1"/>
    </w:pPr>
    <w:rPr>
      <w:rFonts w:ascii="Arial" w:hAnsi="Arial"/>
      <w:b/>
      <w:bCs/>
      <w:sz w:val="24"/>
      <w:szCs w:val="32"/>
    </w:rPr>
  </w:style>
  <w:style w:type="character" w:default="1" w:styleId="15">
    <w:name w:val="Default Paragraph Font"/>
    <w:semiHidden/>
    <w:qFormat/>
    <w:uiPriority w:val="0"/>
  </w:style>
  <w:style w:type="table" w:default="1" w:styleId="13">
    <w:name w:val="Normal Table"/>
    <w:semiHidden/>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cs="Courier New"/>
      <w:szCs w:val="21"/>
    </w:rPr>
  </w:style>
  <w:style w:type="paragraph" w:styleId="5">
    <w:name w:val="Normal Indent"/>
    <w:basedOn w:val="1"/>
    <w:qFormat/>
    <w:uiPriority w:val="0"/>
    <w:pPr>
      <w:widowControl/>
      <w:ind w:firstLine="420"/>
      <w:jc w:val="left"/>
    </w:pPr>
    <w:rPr>
      <w:kern w:val="0"/>
      <w:sz w:val="20"/>
      <w:szCs w:val="20"/>
    </w:rPr>
  </w:style>
  <w:style w:type="paragraph" w:styleId="6">
    <w:name w:val="annotation text"/>
    <w:basedOn w:val="1"/>
    <w:semiHidden/>
    <w:qFormat/>
    <w:uiPriority w:val="0"/>
    <w:pPr>
      <w:jc w:val="left"/>
    </w:pPr>
  </w:style>
  <w:style w:type="paragraph" w:styleId="7">
    <w:name w:val="Body Text"/>
    <w:basedOn w:val="1"/>
    <w:next w:val="8"/>
    <w:qFormat/>
    <w:uiPriority w:val="1"/>
    <w:rPr>
      <w:sz w:val="21"/>
      <w:szCs w:val="21"/>
    </w:rPr>
  </w:style>
  <w:style w:type="paragraph" w:styleId="8">
    <w:name w:val="toc 2"/>
    <w:basedOn w:val="1"/>
    <w:next w:val="1"/>
    <w:unhideWhenUsed/>
    <w:qFormat/>
    <w:uiPriority w:val="39"/>
    <w:pPr>
      <w:spacing w:line="360" w:lineRule="auto"/>
      <w:ind w:left="200" w:leftChars="200"/>
    </w:pPr>
    <w:rPr>
      <w:rFonts w:eastAsia="宋体"/>
      <w:b/>
    </w:rPr>
  </w:style>
  <w:style w:type="paragraph" w:styleId="9">
    <w:name w:val="Body Text Indent"/>
    <w:basedOn w:val="1"/>
    <w:next w:val="10"/>
    <w:qFormat/>
    <w:uiPriority w:val="0"/>
    <w:pPr>
      <w:spacing w:after="120"/>
      <w:ind w:left="420" w:leftChars="200"/>
    </w:pPr>
  </w:style>
  <w:style w:type="paragraph" w:styleId="10">
    <w:name w:val="annotation subject"/>
    <w:basedOn w:val="6"/>
    <w:next w:val="1"/>
    <w:qFormat/>
    <w:uiPriority w:val="0"/>
    <w:rPr>
      <w:b/>
      <w:bCs/>
    </w:rPr>
  </w:style>
  <w:style w:type="paragraph" w:styleId="11">
    <w:name w:val="Body Text First Indent"/>
    <w:basedOn w:val="7"/>
    <w:qFormat/>
    <w:uiPriority w:val="0"/>
    <w:pPr>
      <w:ind w:firstLine="420" w:firstLineChars="100"/>
    </w:pPr>
  </w:style>
  <w:style w:type="paragraph" w:styleId="12">
    <w:name w:val="Body Text First Indent 2"/>
    <w:basedOn w:val="9"/>
    <w:next w:val="5"/>
    <w:qFormat/>
    <w:uiPriority w:val="0"/>
    <w:pPr>
      <w:ind w:firstLine="420" w:firstLineChars="200"/>
    </w:pPr>
  </w:style>
  <w:style w:type="table" w:styleId="14">
    <w:name w:val="Table Grid"/>
    <w:basedOn w:val="13"/>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列出段落1"/>
    <w:basedOn w:val="1"/>
    <w:qFormat/>
    <w:uiPriority w:val="0"/>
    <w:pPr>
      <w:ind w:firstLine="420" w:firstLineChars="200"/>
    </w:pPr>
    <w:rPr>
      <w:szCs w:val="21"/>
    </w:rPr>
  </w:style>
  <w:style w:type="paragraph" w:customStyle="1" w:styleId="17">
    <w:name w:val="正文_134"/>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2026-09-22T04:35:04Z</dcterms:created>
  <dc:creator>Administrator</dc:creator>
  <cp:lastModifiedBy>倩</cp:lastModifiedBy>
  <dcterms:modified xsi:type="dcterms:W3CDTF">2026-09-22T04:37:15Z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eyJoZGlkIjoiODM1MjhkMjBjOGE4ZTAwODE4MTc5NTNjN2FiZTFiZTUiLCJ1c2VySWQiOiIxMTc5NDY5MTA1In0=</vt:lpwstr>
  </property>
  <property fmtid="{D5CDD505-2E9C-101B-9397-08002B2CF9AE}" pid="4" name="ICV">
    <vt:lpwstr>D276B02B57A0467F940FFF6C9EEF8098_12</vt:lpwstr>
  </property>
</Properties>
</file>