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ED65C">
      <w:pPr>
        <w:pStyle w:val="35"/>
        <w:pageBreakBefore w:val="0"/>
        <w:kinsoku/>
        <w:wordWrap/>
        <w:overflowPunct/>
        <w:bidi w:val="0"/>
        <w:spacing w:line="240" w:lineRule="auto"/>
        <w:jc w:val="center"/>
        <w:textAlignment w:val="auto"/>
        <w:rPr>
          <w:rFonts w:hint="eastAsia" w:ascii="宋体" w:hAnsi="宋体" w:eastAsia="宋体" w:cs="宋体"/>
          <w:b/>
          <w:sz w:val="21"/>
          <w:szCs w:val="21"/>
          <w:lang w:eastAsia="zh-CN"/>
        </w:rPr>
      </w:pPr>
    </w:p>
    <w:p w14:paraId="7CBA24D6">
      <w:pPr>
        <w:pStyle w:val="35"/>
        <w:pageBreakBefore w:val="0"/>
        <w:kinsoku/>
        <w:wordWrap/>
        <w:overflowPunct/>
        <w:bidi w:val="0"/>
        <w:spacing w:line="240" w:lineRule="auto"/>
        <w:jc w:val="center"/>
        <w:textAlignment w:val="auto"/>
        <w:rPr>
          <w:rFonts w:hint="eastAsia" w:ascii="宋体" w:hAnsi="宋体" w:eastAsia="宋体" w:cs="宋体"/>
          <w:b/>
          <w:sz w:val="21"/>
          <w:szCs w:val="21"/>
        </w:rPr>
      </w:pPr>
    </w:p>
    <w:p w14:paraId="7A0CD446">
      <w:pPr>
        <w:pStyle w:val="35"/>
        <w:pageBreakBefore w:val="0"/>
        <w:kinsoku/>
        <w:wordWrap/>
        <w:overflowPunct/>
        <w:bidi w:val="0"/>
        <w:spacing w:line="240" w:lineRule="auto"/>
        <w:jc w:val="center"/>
        <w:textAlignment w:val="auto"/>
        <w:rPr>
          <w:rFonts w:hint="eastAsia" w:ascii="宋体" w:hAnsi="宋体" w:eastAsia="宋体" w:cs="宋体"/>
          <w:b/>
          <w:sz w:val="21"/>
          <w:szCs w:val="21"/>
        </w:rPr>
      </w:pPr>
    </w:p>
    <w:p w14:paraId="47192AAF">
      <w:pPr>
        <w:pStyle w:val="35"/>
        <w:pageBreakBefore w:val="0"/>
        <w:kinsoku/>
        <w:wordWrap/>
        <w:overflowPunct/>
        <w:bidi w:val="0"/>
        <w:spacing w:line="24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 </w:t>
      </w:r>
    </w:p>
    <w:p w14:paraId="3624BEE7">
      <w:pPr>
        <w:keepNext w:val="0"/>
        <w:keepLines w:val="0"/>
        <w:pageBreakBefore w:val="0"/>
        <w:widowControl w:val="0"/>
        <w:kinsoku/>
        <w:wordWrap/>
        <w:overflowPunct/>
        <w:topLinePunct w:val="0"/>
        <w:autoSpaceDE/>
        <w:autoSpaceDN/>
        <w:bidi w:val="0"/>
        <w:spacing w:beforeAutospacing="0" w:afterAutospacing="0" w:line="1000" w:lineRule="exact"/>
        <w:jc w:val="center"/>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bCs w:val="0"/>
          <w:kern w:val="2"/>
          <w:sz w:val="72"/>
          <w:szCs w:val="72"/>
          <w:lang w:val="en-US" w:eastAsia="zh-CN" w:bidi="ar-SA"/>
        </w:rPr>
        <w:t>政府采购</w:t>
      </w:r>
    </w:p>
    <w:p w14:paraId="7F487E75">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val="0"/>
          <w:kern w:val="2"/>
          <w:sz w:val="72"/>
          <w:szCs w:val="72"/>
          <w:lang w:val="en-US" w:eastAsia="zh-CN" w:bidi="ar-SA"/>
        </w:rPr>
      </w:pPr>
      <w:bookmarkStart w:id="0" w:name="_Toc12974"/>
      <w:bookmarkStart w:id="1" w:name="_Toc20481"/>
      <w:r>
        <w:rPr>
          <w:rFonts w:hint="eastAsia" w:ascii="宋体" w:hAnsi="宋体" w:eastAsia="宋体" w:cs="宋体"/>
          <w:b/>
          <w:bCs w:val="0"/>
          <w:kern w:val="2"/>
          <w:sz w:val="72"/>
          <w:szCs w:val="72"/>
          <w:lang w:val="en-US" w:eastAsia="zh-CN" w:bidi="ar-SA"/>
        </w:rPr>
        <w:t>竞争性磋商文件</w:t>
      </w:r>
      <w:bookmarkEnd w:id="0"/>
      <w:bookmarkEnd w:id="1"/>
    </w:p>
    <w:p w14:paraId="0554FDAD">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1827" w:firstLineChars="350"/>
        <w:jc w:val="both"/>
        <w:textAlignment w:val="auto"/>
        <w:rPr>
          <w:rFonts w:hint="eastAsia" w:ascii="宋体" w:hAnsi="宋体" w:eastAsia="宋体" w:cs="宋体"/>
          <w:b/>
          <w:bCs/>
          <w:kern w:val="2"/>
          <w:sz w:val="52"/>
          <w:szCs w:val="52"/>
          <w:lang w:val="en-US" w:eastAsia="zh-CN" w:bidi="ar-SA"/>
        </w:rPr>
      </w:pPr>
    </w:p>
    <w:p w14:paraId="52B250AD">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p>
    <w:p w14:paraId="57FA7720">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ind w:firstLine="602" w:firstLineChars="200"/>
        <w:jc w:val="both"/>
        <w:textAlignment w:val="auto"/>
        <w:rPr>
          <w:rFonts w:hint="eastAsia" w:ascii="宋体" w:hAnsi="宋体" w:eastAsia="宋体" w:cs="宋体"/>
          <w:b/>
          <w:bCs/>
          <w:kern w:val="2"/>
          <w:sz w:val="30"/>
          <w:szCs w:val="30"/>
          <w:lang w:val="en-US" w:eastAsia="zh-CN" w:bidi="ar-SA"/>
        </w:rPr>
      </w:pPr>
      <w:bookmarkStart w:id="2" w:name="_Toc6076"/>
      <w:bookmarkStart w:id="3" w:name="_Toc29944"/>
      <w:r>
        <w:rPr>
          <w:rFonts w:hint="eastAsia" w:ascii="宋体" w:hAnsi="宋体" w:eastAsia="宋体" w:cs="宋体"/>
          <w:b/>
          <w:bCs/>
          <w:kern w:val="2"/>
          <w:sz w:val="30"/>
          <w:szCs w:val="30"/>
          <w:lang w:val="en-US" w:eastAsia="zh-CN" w:bidi="ar-SA"/>
        </w:rPr>
        <w:t>采购项目名称：华容高新区纺织新材料与印染高标准厂房</w:t>
      </w:r>
    </w:p>
    <w:p w14:paraId="752D472F">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ind w:firstLine="2711" w:firstLineChars="9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建设项目工程建设监理服务项目</w:t>
      </w:r>
    </w:p>
    <w:p w14:paraId="11F381B5">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采购项目编号：CGXM2026430623000029</w:t>
      </w:r>
    </w:p>
    <w:p w14:paraId="4829C850">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政府采购计划编号：(2026)430623000025-1</w:t>
      </w:r>
    </w:p>
    <w:p w14:paraId="13E28579">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委托代理编号：HNZJ(FW)-2026013</w:t>
      </w:r>
    </w:p>
    <w:p w14:paraId="35450BB2">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采购人：</w:t>
      </w:r>
      <w:bookmarkEnd w:id="2"/>
      <w:bookmarkEnd w:id="3"/>
      <w:r>
        <w:rPr>
          <w:rFonts w:hint="eastAsia" w:ascii="宋体" w:hAnsi="宋体" w:eastAsia="宋体" w:cs="宋体"/>
          <w:b/>
          <w:bCs/>
          <w:kern w:val="2"/>
          <w:sz w:val="30"/>
          <w:szCs w:val="30"/>
          <w:lang w:val="en-US" w:eastAsia="zh-CN" w:bidi="ar-SA"/>
        </w:rPr>
        <w:t>华容高新技术产业开发区管理委员会</w:t>
      </w:r>
    </w:p>
    <w:p w14:paraId="2E5E6A9B">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602" w:firstLineChars="200"/>
        <w:jc w:val="both"/>
        <w:textAlignment w:val="auto"/>
        <w:rPr>
          <w:rFonts w:hint="eastAsia" w:ascii="宋体" w:hAnsi="宋体" w:eastAsia="宋体" w:cs="宋体"/>
          <w:b/>
          <w:kern w:val="2"/>
          <w:sz w:val="24"/>
          <w:szCs w:val="24"/>
          <w:u w:val="single"/>
          <w:lang w:val="en-US" w:eastAsia="zh-CN" w:bidi="ar-SA"/>
        </w:rPr>
      </w:pPr>
      <w:r>
        <w:rPr>
          <w:rFonts w:hint="eastAsia" w:ascii="宋体" w:hAnsi="宋体" w:eastAsia="宋体" w:cs="宋体"/>
          <w:b/>
          <w:bCs/>
          <w:kern w:val="2"/>
          <w:sz w:val="30"/>
          <w:szCs w:val="30"/>
          <w:lang w:val="en-US" w:eastAsia="zh-CN" w:bidi="ar-SA"/>
        </w:rPr>
        <w:t>采购代理机构：湖南省中君项目管理咨询有限公司</w:t>
      </w:r>
    </w:p>
    <w:p w14:paraId="5BC64E19">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both"/>
        <w:textAlignment w:val="auto"/>
        <w:rPr>
          <w:rFonts w:hint="eastAsia" w:ascii="宋体" w:hAnsi="宋体" w:eastAsia="宋体" w:cs="宋体"/>
          <w:b/>
          <w:kern w:val="2"/>
          <w:sz w:val="52"/>
          <w:szCs w:val="52"/>
          <w:u w:val="single"/>
          <w:lang w:val="en-US" w:eastAsia="zh-CN" w:bidi="ar-SA"/>
        </w:rPr>
      </w:pPr>
    </w:p>
    <w:p w14:paraId="6979D0D3">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none"/>
          <w:lang w:val="en-US" w:eastAsia="zh-CN" w:bidi="ar-SA"/>
        </w:rPr>
      </w:pPr>
    </w:p>
    <w:p w14:paraId="553DFEB4">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lang w:val="en-US" w:eastAsia="zh-CN" w:bidi="ar-SA"/>
        </w:rPr>
      </w:pPr>
      <w:r>
        <w:rPr>
          <w:rFonts w:hint="eastAsia" w:ascii="宋体" w:hAnsi="宋体" w:eastAsia="宋体" w:cs="宋体"/>
          <w:b/>
          <w:kern w:val="2"/>
          <w:sz w:val="52"/>
          <w:szCs w:val="52"/>
          <w:u w:val="none"/>
          <w:lang w:val="en-US" w:eastAsia="zh-CN" w:bidi="ar-SA"/>
        </w:rPr>
        <w:t>2026</w:t>
      </w:r>
      <w:r>
        <w:rPr>
          <w:rFonts w:hint="eastAsia" w:ascii="宋体" w:hAnsi="宋体" w:eastAsia="宋体" w:cs="宋体"/>
          <w:b/>
          <w:kern w:val="2"/>
          <w:sz w:val="52"/>
          <w:szCs w:val="52"/>
          <w:lang w:val="en-US" w:eastAsia="zh-CN" w:bidi="ar-SA"/>
        </w:rPr>
        <w:t>年7月</w:t>
      </w:r>
    </w:p>
    <w:p w14:paraId="61B0941A">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201F8E34">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632D4F97">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546C6752">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single"/>
          <w:lang w:val="en-US" w:eastAsia="zh-CN" w:bidi="ar-SA"/>
        </w:rPr>
      </w:pPr>
    </w:p>
    <w:p w14:paraId="5ECC74C2">
      <w:pPr>
        <w:pageBreakBefore w:val="0"/>
        <w:kinsoku/>
        <w:wordWrap/>
        <w:overflowPunct/>
        <w:bidi w:val="0"/>
        <w:spacing w:line="360" w:lineRule="auto"/>
        <w:textAlignment w:val="auto"/>
        <w:rPr>
          <w:rFonts w:hint="eastAsia" w:ascii="宋体" w:hAnsi="宋体" w:eastAsia="宋体" w:cs="宋体"/>
          <w:b/>
          <w:sz w:val="21"/>
          <w:szCs w:val="21"/>
        </w:rPr>
        <w:sectPr>
          <w:headerReference r:id="rId3" w:type="default"/>
          <w:footerReference r:id="rId4" w:type="default"/>
          <w:pgSz w:w="11906" w:h="16838"/>
          <w:pgMar w:top="1134" w:right="1417" w:bottom="1134" w:left="1417" w:header="851" w:footer="992" w:gutter="0"/>
          <w:pgNumType w:fmt="decimal" w:start="1"/>
          <w:cols w:space="425" w:num="1"/>
          <w:rtlGutter w:val="0"/>
          <w:docGrid w:type="lines" w:linePitch="312" w:charSpace="0"/>
        </w:sectPr>
      </w:pPr>
    </w:p>
    <w:p w14:paraId="5ED92739">
      <w:pPr>
        <w:pStyle w:val="35"/>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p>
    <w:p w14:paraId="1B06BE3F">
      <w:pPr>
        <w:pStyle w:val="35"/>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r>
        <w:rPr>
          <w:rFonts w:hint="eastAsia" w:ascii="宋体" w:hAnsi="宋体" w:eastAsia="宋体" w:cs="宋体"/>
          <w:b/>
          <w:bCs/>
          <w:spacing w:val="160"/>
          <w:sz w:val="52"/>
          <w:szCs w:val="52"/>
        </w:rPr>
        <w:t xml:space="preserve">目录  </w:t>
      </w:r>
    </w:p>
    <w:p w14:paraId="472A2A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p>
    <w:p w14:paraId="619A8478">
      <w:pPr>
        <w:pStyle w:val="35"/>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highlight w:val="none"/>
        </w:rPr>
      </w:pPr>
      <w:r>
        <w:rPr>
          <w:rFonts w:hint="eastAsia" w:ascii="宋体" w:hAnsi="宋体" w:eastAsia="宋体" w:cs="宋体"/>
          <w:b/>
          <w:kern w:val="0"/>
          <w:sz w:val="21"/>
          <w:szCs w:val="21"/>
        </w:rPr>
        <w:fldChar w:fldCharType="begin"/>
      </w:r>
      <w:r>
        <w:rPr>
          <w:rFonts w:hint="eastAsia" w:ascii="宋体" w:hAnsi="宋体" w:eastAsia="宋体" w:cs="宋体"/>
          <w:b/>
          <w:kern w:val="0"/>
          <w:sz w:val="21"/>
          <w:szCs w:val="21"/>
        </w:rPr>
        <w:instrText xml:space="preserve">TOC \o "1-1" \h \u </w:instrText>
      </w:r>
      <w:r>
        <w:rPr>
          <w:rFonts w:hint="eastAsia" w:ascii="宋体" w:hAnsi="宋体" w:eastAsia="宋体" w:cs="宋体"/>
          <w:b/>
          <w:kern w:val="0"/>
          <w:sz w:val="21"/>
          <w:szCs w:val="21"/>
        </w:rPr>
        <w:fldChar w:fldCharType="separate"/>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"file:///D:\\RCH\\公司项目\\2022年下半年\\六门闸排涝工程剩余工程监理服务项目\\文件+公告\\磋商文件.docx" \l "_Toc15310" </w:instrText>
      </w:r>
      <w:r>
        <w:rPr>
          <w:rFonts w:hint="eastAsia" w:ascii="宋体" w:hAnsi="宋体" w:eastAsia="宋体" w:cs="宋体"/>
          <w:sz w:val="24"/>
          <w:szCs w:val="24"/>
          <w:highlight w:val="none"/>
        </w:rPr>
        <w:fldChar w:fldCharType="separate"/>
      </w:r>
      <w:r>
        <w:rPr>
          <w:rStyle w:val="49"/>
          <w:rFonts w:hint="eastAsia" w:ascii="宋体" w:hAnsi="宋体" w:eastAsia="宋体" w:cs="宋体"/>
          <w:color w:val="auto"/>
          <w:sz w:val="24"/>
          <w:szCs w:val="24"/>
          <w:highlight w:val="none"/>
          <w:u w:val="none"/>
        </w:rPr>
        <w:t>第一章  磋商邀请</w:t>
      </w:r>
      <w:r>
        <w:rPr>
          <w:rStyle w:val="49"/>
          <w:rFonts w:hint="eastAsia" w:ascii="宋体" w:hAnsi="宋体" w:eastAsia="宋体" w:cs="宋体"/>
          <w:color w:val="auto"/>
          <w:sz w:val="24"/>
          <w:szCs w:val="24"/>
          <w:highlight w:val="none"/>
          <w:u w:val="none"/>
        </w:rPr>
        <w:tab/>
      </w:r>
      <w:r>
        <w:rPr>
          <w:rStyle w:val="49"/>
          <w:rFonts w:hint="eastAsia" w:ascii="宋体" w:hAnsi="宋体" w:eastAsia="宋体" w:cs="宋体"/>
          <w:color w:val="auto"/>
          <w:sz w:val="24"/>
          <w:szCs w:val="24"/>
          <w:highlight w:val="none"/>
          <w:u w:val="none"/>
          <w:lang w:val="en-US" w:eastAsia="zh-CN"/>
        </w:rPr>
        <w:t>1</w:t>
      </w:r>
      <w:r>
        <w:rPr>
          <w:rStyle w:val="49"/>
          <w:rFonts w:hint="eastAsia" w:ascii="宋体" w:hAnsi="宋体" w:eastAsia="宋体" w:cs="宋体"/>
          <w:color w:val="auto"/>
          <w:sz w:val="24"/>
          <w:szCs w:val="24"/>
          <w:highlight w:val="none"/>
          <w:u w:val="none"/>
        </w:rPr>
        <w:fldChar w:fldCharType="end"/>
      </w:r>
    </w:p>
    <w:p w14:paraId="015EA285">
      <w:pPr>
        <w:pStyle w:val="35"/>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"_Toc6780" </w:instrText>
      </w:r>
      <w:r>
        <w:rPr>
          <w:rFonts w:hint="eastAsia" w:ascii="宋体" w:hAnsi="宋体" w:eastAsia="宋体" w:cs="宋体"/>
          <w:sz w:val="24"/>
          <w:szCs w:val="24"/>
        </w:rPr>
        <w:fldChar w:fldCharType="separate"/>
      </w:r>
      <w:r>
        <w:rPr>
          <w:rStyle w:val="49"/>
          <w:rFonts w:hint="eastAsia" w:ascii="宋体" w:hAnsi="宋体" w:eastAsia="宋体" w:cs="宋体"/>
          <w:color w:val="auto"/>
          <w:sz w:val="24"/>
          <w:szCs w:val="24"/>
          <w:u w:val="none"/>
        </w:rPr>
        <w:t>第二章  磋商须知</w:t>
      </w:r>
      <w:r>
        <w:rPr>
          <w:rStyle w:val="49"/>
          <w:rFonts w:hint="eastAsia" w:ascii="宋体" w:hAnsi="宋体" w:eastAsia="宋体" w:cs="宋体"/>
          <w:color w:val="auto"/>
          <w:sz w:val="24"/>
          <w:szCs w:val="24"/>
          <w:u w:val="none"/>
        </w:rPr>
        <w:tab/>
      </w:r>
      <w:r>
        <w:rPr>
          <w:rStyle w:val="49"/>
          <w:rFonts w:hint="eastAsia" w:ascii="宋体" w:hAnsi="宋体" w:eastAsia="宋体" w:cs="宋体"/>
          <w:color w:val="auto"/>
          <w:sz w:val="24"/>
          <w:szCs w:val="24"/>
          <w:u w:val="none"/>
          <w:lang w:val="en-US" w:eastAsia="zh-CN"/>
        </w:rPr>
        <w:t>5</w:t>
      </w:r>
      <w:r>
        <w:rPr>
          <w:rStyle w:val="49"/>
          <w:rFonts w:hint="eastAsia" w:ascii="宋体" w:hAnsi="宋体" w:eastAsia="宋体" w:cs="宋体"/>
          <w:color w:val="auto"/>
          <w:sz w:val="24"/>
          <w:szCs w:val="24"/>
          <w:u w:val="none"/>
        </w:rPr>
        <w:fldChar w:fldCharType="end"/>
      </w:r>
    </w:p>
    <w:p w14:paraId="044C9F9D">
      <w:pPr>
        <w:pStyle w:val="35"/>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"_Toc2678" </w:instrText>
      </w:r>
      <w:r>
        <w:rPr>
          <w:rFonts w:hint="eastAsia" w:ascii="宋体" w:hAnsi="宋体" w:eastAsia="宋体" w:cs="宋体"/>
          <w:sz w:val="24"/>
          <w:szCs w:val="24"/>
        </w:rPr>
        <w:fldChar w:fldCharType="separate"/>
      </w:r>
      <w:r>
        <w:rPr>
          <w:rStyle w:val="49"/>
          <w:rFonts w:hint="eastAsia" w:ascii="宋体" w:hAnsi="宋体" w:eastAsia="宋体" w:cs="宋体"/>
          <w:color w:val="auto"/>
          <w:sz w:val="24"/>
          <w:szCs w:val="24"/>
          <w:u w:val="none"/>
        </w:rPr>
        <w:t>第三章  评审办法及标准</w:t>
      </w:r>
      <w:r>
        <w:rPr>
          <w:rStyle w:val="49"/>
          <w:rFonts w:hint="eastAsia" w:ascii="宋体" w:hAnsi="宋体" w:eastAsia="宋体" w:cs="宋体"/>
          <w:color w:val="auto"/>
          <w:sz w:val="24"/>
          <w:szCs w:val="24"/>
          <w:u w:val="none"/>
        </w:rPr>
        <w:tab/>
      </w:r>
      <w:r>
        <w:rPr>
          <w:rStyle w:val="49"/>
          <w:rFonts w:hint="eastAsia" w:ascii="宋体" w:hAnsi="宋体" w:eastAsia="宋体" w:cs="宋体"/>
          <w:color w:val="auto"/>
          <w:sz w:val="24"/>
          <w:szCs w:val="24"/>
          <w:u w:val="none"/>
          <w:lang w:val="en-US" w:eastAsia="zh-CN"/>
        </w:rPr>
        <w:t>2</w:t>
      </w:r>
      <w:r>
        <w:rPr>
          <w:rStyle w:val="49"/>
          <w:rFonts w:hint="eastAsia" w:ascii="宋体" w:hAnsi="宋体" w:eastAsia="宋体" w:cs="宋体"/>
          <w:color w:val="auto"/>
          <w:sz w:val="24"/>
          <w:szCs w:val="24"/>
          <w:u w:val="none"/>
        </w:rPr>
        <w:fldChar w:fldCharType="end"/>
      </w:r>
      <w:r>
        <w:rPr>
          <w:rStyle w:val="49"/>
          <w:rFonts w:hint="eastAsia" w:ascii="宋体" w:hAnsi="宋体" w:eastAsia="宋体" w:cs="宋体"/>
          <w:color w:val="auto"/>
          <w:sz w:val="24"/>
          <w:szCs w:val="24"/>
          <w:u w:val="none"/>
          <w:lang w:val="en-US" w:eastAsia="zh-CN"/>
        </w:rPr>
        <w:t>9</w:t>
      </w:r>
    </w:p>
    <w:p w14:paraId="7FE3353E">
      <w:pPr>
        <w:pStyle w:val="35"/>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"_Toc11880" </w:instrText>
      </w:r>
      <w:r>
        <w:rPr>
          <w:rFonts w:hint="eastAsia" w:ascii="宋体" w:hAnsi="宋体" w:eastAsia="宋体" w:cs="宋体"/>
          <w:sz w:val="24"/>
          <w:szCs w:val="24"/>
        </w:rPr>
        <w:fldChar w:fldCharType="separate"/>
      </w:r>
      <w:r>
        <w:rPr>
          <w:rStyle w:val="49"/>
          <w:rFonts w:hint="eastAsia" w:ascii="宋体" w:hAnsi="宋体" w:eastAsia="宋体" w:cs="宋体"/>
          <w:color w:val="auto"/>
          <w:sz w:val="24"/>
          <w:szCs w:val="24"/>
          <w:u w:val="none"/>
        </w:rPr>
        <w:t>第四章  政府采购合同格式</w:t>
      </w:r>
      <w:r>
        <w:rPr>
          <w:rStyle w:val="49"/>
          <w:rFonts w:hint="eastAsia" w:ascii="宋体" w:hAnsi="宋体" w:eastAsia="宋体" w:cs="宋体"/>
          <w:color w:val="auto"/>
          <w:sz w:val="24"/>
          <w:szCs w:val="24"/>
          <w:u w:val="none"/>
        </w:rPr>
        <w:tab/>
      </w:r>
      <w:r>
        <w:rPr>
          <w:rStyle w:val="49"/>
          <w:rFonts w:hint="eastAsia" w:ascii="宋体" w:hAnsi="宋体" w:eastAsia="宋体" w:cs="宋体"/>
          <w:color w:val="auto"/>
          <w:sz w:val="24"/>
          <w:szCs w:val="24"/>
          <w:u w:val="none"/>
          <w:lang w:val="en-US" w:eastAsia="zh-CN"/>
        </w:rPr>
        <w:t>3</w:t>
      </w:r>
      <w:r>
        <w:rPr>
          <w:rStyle w:val="49"/>
          <w:rFonts w:hint="eastAsia" w:ascii="宋体" w:hAnsi="宋体" w:eastAsia="宋体" w:cs="宋体"/>
          <w:color w:val="auto"/>
          <w:sz w:val="24"/>
          <w:szCs w:val="24"/>
          <w:u w:val="none"/>
        </w:rPr>
        <w:fldChar w:fldCharType="end"/>
      </w:r>
      <w:r>
        <w:rPr>
          <w:rStyle w:val="49"/>
          <w:rFonts w:hint="eastAsia" w:ascii="宋体" w:hAnsi="宋体" w:eastAsia="宋体" w:cs="宋体"/>
          <w:color w:val="auto"/>
          <w:sz w:val="24"/>
          <w:szCs w:val="24"/>
          <w:u w:val="none"/>
          <w:lang w:val="en-US" w:eastAsia="zh-CN"/>
        </w:rPr>
        <w:t>8</w:t>
      </w:r>
    </w:p>
    <w:p w14:paraId="27846FE4">
      <w:pPr>
        <w:pStyle w:val="35"/>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"_Toc20154" </w:instrText>
      </w:r>
      <w:r>
        <w:rPr>
          <w:rFonts w:hint="eastAsia" w:ascii="宋体" w:hAnsi="宋体" w:eastAsia="宋体" w:cs="宋体"/>
          <w:sz w:val="24"/>
          <w:szCs w:val="24"/>
        </w:rPr>
        <w:fldChar w:fldCharType="separate"/>
      </w:r>
      <w:r>
        <w:rPr>
          <w:rStyle w:val="49"/>
          <w:rFonts w:hint="eastAsia" w:ascii="宋体" w:hAnsi="宋体" w:eastAsia="宋体" w:cs="宋体"/>
          <w:color w:val="auto"/>
          <w:sz w:val="24"/>
          <w:szCs w:val="24"/>
          <w:u w:val="none"/>
        </w:rPr>
        <w:t>第五章  采购需求</w:t>
      </w:r>
      <w:r>
        <w:rPr>
          <w:rStyle w:val="49"/>
          <w:rFonts w:hint="eastAsia" w:ascii="宋体" w:hAnsi="宋体" w:eastAsia="宋体" w:cs="宋体"/>
          <w:color w:val="auto"/>
          <w:sz w:val="24"/>
          <w:szCs w:val="24"/>
          <w:u w:val="none"/>
        </w:rPr>
        <w:tab/>
      </w:r>
      <w:r>
        <w:rPr>
          <w:rStyle w:val="49"/>
          <w:rFonts w:hint="eastAsia" w:ascii="宋体" w:hAnsi="宋体" w:eastAsia="宋体" w:cs="宋体"/>
          <w:color w:val="auto"/>
          <w:sz w:val="24"/>
          <w:szCs w:val="24"/>
          <w:u w:val="none"/>
        </w:rPr>
        <w:t>4</w:t>
      </w:r>
      <w:r>
        <w:rPr>
          <w:rStyle w:val="49"/>
          <w:rFonts w:hint="eastAsia" w:ascii="宋体" w:hAnsi="宋体" w:eastAsia="宋体" w:cs="宋体"/>
          <w:color w:val="auto"/>
          <w:sz w:val="24"/>
          <w:szCs w:val="24"/>
          <w:u w:val="none"/>
          <w:lang w:val="en-US" w:eastAsia="zh-CN"/>
        </w:rPr>
        <w:t>8</w:t>
      </w:r>
      <w:r>
        <w:rPr>
          <w:rStyle w:val="49"/>
          <w:rFonts w:hint="eastAsia" w:ascii="宋体" w:hAnsi="宋体" w:eastAsia="宋体" w:cs="宋体"/>
          <w:color w:val="auto"/>
          <w:sz w:val="24"/>
          <w:szCs w:val="24"/>
          <w:u w:val="none"/>
        </w:rPr>
        <w:fldChar w:fldCharType="end"/>
      </w:r>
    </w:p>
    <w:p w14:paraId="770A0D46">
      <w:pPr>
        <w:pStyle w:val="35"/>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"_Toc31036" </w:instrText>
      </w:r>
      <w:r>
        <w:rPr>
          <w:rFonts w:hint="eastAsia" w:ascii="宋体" w:hAnsi="宋体" w:eastAsia="宋体" w:cs="宋体"/>
          <w:sz w:val="24"/>
          <w:szCs w:val="24"/>
        </w:rPr>
        <w:fldChar w:fldCharType="separate"/>
      </w:r>
      <w:r>
        <w:rPr>
          <w:rStyle w:val="49"/>
          <w:rFonts w:hint="eastAsia" w:ascii="宋体" w:hAnsi="宋体" w:eastAsia="宋体" w:cs="宋体"/>
          <w:color w:val="auto"/>
          <w:sz w:val="24"/>
          <w:szCs w:val="24"/>
          <w:u w:val="none"/>
        </w:rPr>
        <w:t>第六章  响应文件组成</w:t>
      </w:r>
      <w:r>
        <w:rPr>
          <w:rStyle w:val="49"/>
          <w:rFonts w:hint="eastAsia" w:ascii="宋体" w:hAnsi="宋体" w:eastAsia="宋体" w:cs="宋体"/>
          <w:color w:val="auto"/>
          <w:sz w:val="24"/>
          <w:szCs w:val="24"/>
          <w:u w:val="none"/>
        </w:rPr>
        <w:tab/>
      </w:r>
      <w:r>
        <w:rPr>
          <w:rStyle w:val="49"/>
          <w:rFonts w:hint="eastAsia" w:ascii="宋体" w:hAnsi="宋体" w:eastAsia="宋体" w:cs="宋体"/>
          <w:color w:val="auto"/>
          <w:sz w:val="24"/>
          <w:szCs w:val="24"/>
          <w:u w:val="none"/>
          <w:lang w:val="en-US" w:eastAsia="zh-CN"/>
        </w:rPr>
        <w:t>5</w:t>
      </w:r>
      <w:r>
        <w:rPr>
          <w:rStyle w:val="49"/>
          <w:rFonts w:hint="eastAsia" w:ascii="宋体" w:hAnsi="宋体" w:eastAsia="宋体" w:cs="宋体"/>
          <w:color w:val="auto"/>
          <w:sz w:val="24"/>
          <w:szCs w:val="24"/>
          <w:u w:val="none"/>
        </w:rPr>
        <w:fldChar w:fldCharType="end"/>
      </w:r>
      <w:r>
        <w:rPr>
          <w:rStyle w:val="49"/>
          <w:rFonts w:hint="eastAsia" w:ascii="宋体" w:hAnsi="宋体" w:eastAsia="宋体" w:cs="宋体"/>
          <w:color w:val="auto"/>
          <w:sz w:val="24"/>
          <w:szCs w:val="24"/>
          <w:u w:val="none"/>
          <w:lang w:val="en-US" w:eastAsia="zh-CN"/>
        </w:rPr>
        <w:t>0</w:t>
      </w:r>
    </w:p>
    <w:p w14:paraId="7C271861">
      <w:pPr>
        <w:pStyle w:val="35"/>
        <w:keepNext w:val="0"/>
        <w:keepLines w:val="0"/>
        <w:pageBreakBefore w:val="0"/>
        <w:widowControl/>
        <w:tabs>
          <w:tab w:val="right" w:leader="dot" w:pos="8902"/>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p>
    <w:p w14:paraId="1909834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fldChar w:fldCharType="end"/>
      </w:r>
    </w:p>
    <w:p w14:paraId="0E7209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1"/>
          <w:szCs w:val="21"/>
        </w:rPr>
        <w:sectPr>
          <w:footerReference r:id="rId5" w:type="default"/>
          <w:pgSz w:w="11906" w:h="16838"/>
          <w:pgMar w:top="1134" w:right="1417" w:bottom="1134" w:left="1417" w:header="567" w:footer="992" w:gutter="0"/>
          <w:pgNumType w:fmt="decimal" w:start="1"/>
          <w:cols w:space="425" w:num="1"/>
          <w:rtlGutter w:val="0"/>
          <w:docGrid w:type="lines" w:linePitch="312" w:charSpace="0"/>
        </w:sectPr>
      </w:pPr>
    </w:p>
    <w:p w14:paraId="2BBFD3E9">
      <w:pPr>
        <w:keepNext w:val="0"/>
        <w:keepLines w:val="0"/>
        <w:pageBreakBefore w:val="0"/>
        <w:widowControl w:val="0"/>
        <w:numPr>
          <w:ilvl w:val="0"/>
          <w:numId w:val="1"/>
        </w:numPr>
        <w:kinsoku/>
        <w:wordWrap/>
        <w:overflowPunct/>
        <w:topLinePunct w:val="0"/>
        <w:autoSpaceDE/>
        <w:autoSpaceDN/>
        <w:bidi w:val="0"/>
        <w:adjustRightInd/>
        <w:snapToGrid/>
        <w:spacing w:after="157" w:afterLines="50" w:line="360" w:lineRule="auto"/>
        <w:jc w:val="center"/>
        <w:textAlignment w:val="auto"/>
        <w:outlineLvl w:val="0"/>
        <w:rPr>
          <w:rFonts w:hint="eastAsia" w:ascii="宋体" w:hAnsi="宋体" w:eastAsia="宋体" w:cs="宋体"/>
          <w:b/>
          <w:sz w:val="30"/>
          <w:szCs w:val="30"/>
        </w:rPr>
      </w:pPr>
      <w:bookmarkStart w:id="4" w:name="_Toc15310"/>
      <w:r>
        <w:rPr>
          <w:rFonts w:hint="eastAsia" w:ascii="宋体" w:hAnsi="宋体" w:eastAsia="宋体" w:cs="宋体"/>
          <w:b/>
          <w:sz w:val="30"/>
          <w:szCs w:val="30"/>
        </w:rPr>
        <w:t>磋商邀请</w:t>
      </w:r>
      <w:bookmarkEnd w:id="4"/>
    </w:p>
    <w:p w14:paraId="58B2B6AB">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华容高新技术产业开发区管理委员会的华容高新区纺织新材料与印染高标准厂房建设项目工程建设监理服务项目进行竞争性磋商采购，现采用发布公告方式，邀请符合资格条件的供应商提交证明材料参与资格审查活动。</w:t>
      </w:r>
    </w:p>
    <w:p w14:paraId="2C74B397">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项目概况</w:t>
      </w:r>
    </w:p>
    <w:p w14:paraId="202D93B5">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华容高新区纺织新材料与印染高标准厂房建设项目工程建设监理服务项目的潜在供应商应在</w:t>
      </w:r>
      <w:r>
        <w:rPr>
          <w:rFonts w:hint="eastAsia" w:ascii="宋体" w:hAnsi="宋体" w:eastAsia="宋体" w:cs="宋体"/>
          <w:i w:val="0"/>
          <w:iCs w:val="0"/>
          <w:caps w:val="0"/>
          <w:color w:val="000000"/>
          <w:spacing w:val="0"/>
          <w:sz w:val="21"/>
          <w:szCs w:val="21"/>
          <w:lang w:val="en-US" w:eastAsia="zh-CN"/>
        </w:rPr>
        <w:t>[湖南省中君项目管理咨询有限公司</w:t>
      </w:r>
      <w:r>
        <w:rPr>
          <w:rFonts w:hint="eastAsia" w:ascii="宋体" w:hAnsi="宋体" w:eastAsia="宋体" w:cs="宋体"/>
          <w:i w:val="0"/>
          <w:iCs w:val="0"/>
          <w:caps w:val="0"/>
          <w:color w:val="000000"/>
          <w:spacing w:val="0"/>
          <w:sz w:val="21"/>
          <w:szCs w:val="21"/>
        </w:rPr>
        <w:t>（湖南省岳阳市岳阳楼区五里牌街道高山坡社区花板桥路君临嘉龙公馆1栋5楼506室</w:t>
      </w:r>
      <w:r>
        <w:rPr>
          <w:rFonts w:hint="eastAsia" w:ascii="宋体" w:hAnsi="宋体" w:eastAsia="宋体" w:cs="宋体"/>
          <w:i w:val="0"/>
          <w:iCs w:val="0"/>
          <w:caps w:val="0"/>
          <w:color w:val="000000"/>
          <w:spacing w:val="0"/>
          <w:sz w:val="21"/>
          <w:szCs w:val="21"/>
          <w:lang w:val="en-US" w:eastAsia="zh-CN"/>
        </w:rPr>
        <w:t>)]凭供应商营业执照副本复印件、个人身份证原件、法定代表人身份证明原件（法定代表人报名）或者授权委托书并附法定代表人身份证明原件（授权委托人报名），以上资料均加盖公章</w:t>
      </w:r>
      <w:r>
        <w:rPr>
          <w:rFonts w:hint="eastAsia" w:ascii="宋体" w:hAnsi="宋体" w:eastAsia="宋体" w:cs="宋体"/>
          <w:i w:val="0"/>
          <w:iCs w:val="0"/>
          <w:caps w:val="0"/>
          <w:color w:val="000000"/>
          <w:spacing w:val="0"/>
          <w:sz w:val="21"/>
          <w:szCs w:val="21"/>
        </w:rPr>
        <w:t>获取采购文件，并于2026年</w:t>
      </w:r>
      <w:r>
        <w:rPr>
          <w:rFonts w:hint="eastAsia" w:ascii="宋体" w:hAnsi="宋体" w:eastAsia="宋体" w:cs="宋体"/>
          <w:i w:val="0"/>
          <w:iCs w:val="0"/>
          <w:caps w:val="0"/>
          <w:color w:val="000000"/>
          <w:spacing w:val="0"/>
          <w:sz w:val="21"/>
          <w:szCs w:val="21"/>
          <w:lang w:val="en-US" w:eastAsia="zh-CN"/>
        </w:rPr>
        <w:t xml:space="preserve"> 9 </w:t>
      </w:r>
      <w:r>
        <w:rPr>
          <w:rFonts w:hint="eastAsia" w:ascii="宋体" w:hAnsi="宋体" w:eastAsia="宋体" w:cs="宋体"/>
          <w:i w:val="0"/>
          <w:iCs w:val="0"/>
          <w:caps w:val="0"/>
          <w:color w:val="000000"/>
          <w:spacing w:val="0"/>
          <w:sz w:val="21"/>
          <w:szCs w:val="21"/>
        </w:rPr>
        <w:t>月</w:t>
      </w:r>
      <w:r>
        <w:rPr>
          <w:rFonts w:hint="eastAsia" w:ascii="宋体" w:hAnsi="宋体" w:eastAsia="宋体" w:cs="宋体"/>
          <w:i w:val="0"/>
          <w:iCs w:val="0"/>
          <w:caps w:val="0"/>
          <w:color w:val="000000"/>
          <w:spacing w:val="0"/>
          <w:sz w:val="21"/>
          <w:szCs w:val="21"/>
          <w:lang w:val="en-US" w:eastAsia="zh-CN"/>
        </w:rPr>
        <w:t xml:space="preserve"> 7 </w:t>
      </w:r>
      <w:r>
        <w:rPr>
          <w:rFonts w:hint="eastAsia" w:ascii="宋体" w:hAnsi="宋体" w:eastAsia="宋体" w:cs="宋体"/>
          <w:i w:val="0"/>
          <w:iCs w:val="0"/>
          <w:caps w:val="0"/>
          <w:color w:val="000000"/>
          <w:spacing w:val="0"/>
          <w:sz w:val="21"/>
          <w:szCs w:val="21"/>
        </w:rPr>
        <w:t xml:space="preserve">日 </w:t>
      </w:r>
      <w:r>
        <w:rPr>
          <w:rFonts w:hint="eastAsia" w:ascii="宋体" w:hAnsi="宋体" w:eastAsia="宋体" w:cs="宋体"/>
          <w:i w:val="0"/>
          <w:iCs w:val="0"/>
          <w:caps w:val="0"/>
          <w:color w:val="000000"/>
          <w:spacing w:val="0"/>
          <w:sz w:val="21"/>
          <w:szCs w:val="21"/>
          <w:lang w:val="en-US" w:eastAsia="zh-CN"/>
        </w:rPr>
        <w:t>15</w:t>
      </w:r>
      <w:r>
        <w:rPr>
          <w:rFonts w:hint="eastAsia" w:ascii="宋体" w:hAnsi="宋体" w:eastAsia="宋体" w:cs="宋体"/>
          <w:i w:val="0"/>
          <w:iCs w:val="0"/>
          <w:caps w:val="0"/>
          <w:color w:val="000000"/>
          <w:spacing w:val="0"/>
          <w:sz w:val="21"/>
          <w:szCs w:val="21"/>
        </w:rPr>
        <w:t>点</w:t>
      </w:r>
      <w:r>
        <w:rPr>
          <w:rFonts w:hint="eastAsia" w:ascii="宋体" w:hAnsi="宋体" w:eastAsia="宋体" w:cs="宋体"/>
          <w:i w:val="0"/>
          <w:iCs w:val="0"/>
          <w:caps w:val="0"/>
          <w:color w:val="000000"/>
          <w:spacing w:val="0"/>
          <w:sz w:val="21"/>
          <w:szCs w:val="21"/>
          <w:lang w:val="en-US" w:eastAsia="zh-CN"/>
        </w:rPr>
        <w:t>00</w:t>
      </w:r>
      <w:r>
        <w:rPr>
          <w:rFonts w:hint="eastAsia" w:ascii="宋体" w:hAnsi="宋体" w:eastAsia="宋体" w:cs="宋体"/>
          <w:i w:val="0"/>
          <w:iCs w:val="0"/>
          <w:caps w:val="0"/>
          <w:color w:val="000000"/>
          <w:spacing w:val="0"/>
          <w:sz w:val="21"/>
          <w:szCs w:val="21"/>
        </w:rPr>
        <w:t>分 （北京时间）前提交响应文件。</w:t>
      </w:r>
    </w:p>
    <w:p w14:paraId="6F6897B6">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一、采购项目基本信息</w:t>
      </w:r>
    </w:p>
    <w:p w14:paraId="5F9C7B23">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1、采购项目编号：CGXM2026430623000029</w:t>
      </w:r>
    </w:p>
    <w:p w14:paraId="3BE5E58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2、采购项目名称：华容高新区纺织新材料与印染高标准厂房建设项目工程建设监理服务项目</w:t>
      </w:r>
    </w:p>
    <w:p w14:paraId="3FEE485E">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3、政府采购计划编号：(2026)430623000025-1</w:t>
      </w:r>
    </w:p>
    <w:p w14:paraId="3CFF70A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lang w:val="en-US" w:eastAsia="zh-CN" w:bidi="ar"/>
        </w:rPr>
        <w:t>4、合同履行期限：</w:t>
      </w:r>
      <w:r>
        <w:rPr>
          <w:rFonts w:hint="eastAsia" w:ascii="宋体" w:hAnsi="宋体" w:eastAsia="宋体" w:cs="宋体"/>
          <w:i w:val="0"/>
          <w:iCs w:val="0"/>
          <w:caps w:val="0"/>
          <w:color w:val="000000"/>
          <w:spacing w:val="0"/>
          <w:kern w:val="0"/>
          <w:sz w:val="21"/>
          <w:szCs w:val="21"/>
          <w:highlight w:val="none"/>
          <w:lang w:val="en-US" w:eastAsia="zh-CN" w:bidi="ar"/>
        </w:rPr>
        <w:t>本工程监理期限自合同签订之日起至监理服务范围内所有工程通过竣工验收、竣工资料完成备案、竣工结算完成且保修期结束之日止。</w:t>
      </w:r>
    </w:p>
    <w:p w14:paraId="7CC06E2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w:t>
      </w:r>
      <w:r>
        <w:rPr>
          <w:rFonts w:hint="eastAsia" w:ascii="宋体" w:hAnsi="宋体" w:eastAsia="宋体" w:cs="宋体"/>
          <w:i w:val="0"/>
          <w:iCs w:val="0"/>
          <w:caps w:val="0"/>
          <w:color w:val="000000"/>
          <w:spacing w:val="0"/>
          <w:kern w:val="0"/>
          <w:sz w:val="21"/>
          <w:szCs w:val="21"/>
          <w:u w:val="single"/>
          <w:lang w:val="en-US" w:eastAsia="zh-CN" w:bidi="ar"/>
        </w:rPr>
        <w:t> 否 </w:t>
      </w:r>
      <w:r>
        <w:rPr>
          <w:rFonts w:hint="eastAsia" w:ascii="宋体" w:hAnsi="宋体" w:eastAsia="宋体" w:cs="宋体"/>
          <w:i w:val="0"/>
          <w:iCs w:val="0"/>
          <w:caps w:val="0"/>
          <w:color w:val="000000"/>
          <w:spacing w:val="0"/>
          <w:kern w:val="0"/>
          <w:sz w:val="21"/>
          <w:szCs w:val="21"/>
          <w:lang w:val="en-US" w:eastAsia="zh-CN" w:bidi="ar"/>
        </w:rPr>
        <w:t>接受联合体投标。</w:t>
      </w:r>
    </w:p>
    <w:p w14:paraId="2F847DF2">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二、采购需求</w:t>
      </w:r>
    </w:p>
    <w:tbl>
      <w:tblPr>
        <w:tblStyle w:val="40"/>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702"/>
        <w:gridCol w:w="1328"/>
        <w:gridCol w:w="2520"/>
        <w:gridCol w:w="1437"/>
        <w:gridCol w:w="432"/>
        <w:gridCol w:w="1258"/>
      </w:tblGrid>
      <w:tr w14:paraId="3510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8" w:hRule="atLeast"/>
          <w:tblHeader/>
        </w:trPr>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35B14C">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包名称</w:t>
            </w:r>
          </w:p>
        </w:tc>
        <w:tc>
          <w:tcPr>
            <w:tcW w:w="132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2DE3B04">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最高限价（元）</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7DB2293">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标的名称</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8490AFD">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简要技术需求或服务要求</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38F52BE">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数量</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AF5BF12">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预算金额（元）</w:t>
            </w:r>
          </w:p>
        </w:tc>
      </w:tr>
      <w:tr w14:paraId="7D22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9B92005">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eastAsia="zh-CN"/>
              </w:rPr>
            </w:pPr>
            <w:r>
              <w:rPr>
                <w:rFonts w:hint="eastAsia" w:ascii="宋体" w:hAnsi="宋体" w:eastAsia="宋体" w:cs="宋体"/>
                <w:caps w:val="0"/>
                <w:spacing w:val="0"/>
                <w:sz w:val="21"/>
                <w:szCs w:val="21"/>
                <w:lang w:eastAsia="zh-CN"/>
              </w:rPr>
              <w:t>华容高新区纺织新材料与印染高标准厂房建设项目工程建设监理服务项目</w:t>
            </w:r>
          </w:p>
        </w:tc>
        <w:tc>
          <w:tcPr>
            <w:tcW w:w="132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8CE07DA">
            <w:pPr>
              <w:keepNext w:val="0"/>
              <w:keepLines w:val="0"/>
              <w:pageBreakBefore w:val="0"/>
              <w:widowControl/>
              <w:suppressLineNumbers w:val="0"/>
              <w:kinsoku/>
              <w:overflowPunct/>
              <w:topLinePunct w:val="0"/>
              <w:autoSpaceDE/>
              <w:autoSpaceDN/>
              <w:bidi w:val="0"/>
              <w:spacing w:beforeAutospacing="0" w:line="396"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885408.00</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BBF0ECD">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eastAsia="zh-CN"/>
              </w:rPr>
            </w:pPr>
            <w:r>
              <w:rPr>
                <w:rFonts w:hint="eastAsia" w:ascii="宋体" w:hAnsi="宋体" w:eastAsia="宋体" w:cs="宋体"/>
                <w:caps w:val="0"/>
                <w:spacing w:val="0"/>
                <w:sz w:val="21"/>
                <w:szCs w:val="21"/>
                <w:lang w:eastAsia="zh-CN"/>
              </w:rPr>
              <w:t>华容高新区纺织新材料与印染高标准厂房建设项目工程建设监理服务项目</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0D49EE21">
            <w:pPr>
              <w:keepNext w:val="0"/>
              <w:keepLines w:val="0"/>
              <w:pageBreakBefore w:val="0"/>
              <w:widowControl/>
              <w:suppressLineNumbers w:val="0"/>
              <w:kinsoku/>
              <w:overflowPunct/>
              <w:topLinePunct w:val="0"/>
              <w:autoSpaceDE/>
              <w:autoSpaceDN/>
              <w:bidi w:val="0"/>
              <w:spacing w:beforeAutospacing="0" w:line="396"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详见磋商文件</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823DE7A">
            <w:pPr>
              <w:keepNext w:val="0"/>
              <w:keepLines w:val="0"/>
              <w:pageBreakBefore w:val="0"/>
              <w:widowControl/>
              <w:suppressLineNumbers w:val="0"/>
              <w:kinsoku/>
              <w:overflowPunct/>
              <w:topLinePunct w:val="0"/>
              <w:autoSpaceDE/>
              <w:autoSpaceDN/>
              <w:bidi w:val="0"/>
              <w:spacing w:beforeAutospacing="0" w:line="396"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1</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4EBF38">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885408.00</w:t>
            </w:r>
          </w:p>
        </w:tc>
      </w:tr>
    </w:tbl>
    <w:p w14:paraId="0E754478">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三、供应商的资格要求</w:t>
      </w:r>
    </w:p>
    <w:p w14:paraId="36139C61">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1、供应商的基本资格条件：</w:t>
      </w:r>
    </w:p>
    <w:p w14:paraId="702A65BD">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（1）供应商必须是在中华人民共和国境内注册登记的法人、其他组织或者自然人，且应当符合《政府采购法》第二十二条第一款的规定。</w:t>
      </w:r>
    </w:p>
    <w:p w14:paraId="5A112FD9">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（2）单位负责人为同一人或者存在直接控股、管理关系的不同供应商，不得参加同一合同项下的政府采购活动。</w:t>
      </w:r>
    </w:p>
    <w:p w14:paraId="495614AB">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 为本采购项目提供整体设计、规范编制或者项目管理、监理、检测等服务的，不得再参加此项目的其他采购活动。</w:t>
      </w:r>
    </w:p>
    <w:p w14:paraId="53A31432">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（4）列入失信被执行人、重大税收违法失信主体名单、政府采购严重违法失信行为记录名单的，拒绝其参与政府采购活动。</w:t>
      </w:r>
    </w:p>
    <w:p w14:paraId="0BA44924">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152C552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eastAsia="宋体" w:cs="宋体"/>
          <w:i w:val="0"/>
          <w:iCs w:val="0"/>
          <w:caps w:val="0"/>
          <w:color w:val="000000"/>
          <w:spacing w:val="0"/>
          <w:kern w:val="0"/>
          <w:sz w:val="21"/>
          <w:szCs w:val="21"/>
          <w:u w:val="single"/>
          <w:lang w:val="en-US" w:eastAsia="zh-CN" w:bidi="ar"/>
        </w:rPr>
        <w:t>华容高新区纺织新材料与印染高标准厂房建设项目工程建设监理服务项目</w:t>
      </w:r>
    </w:p>
    <w:p w14:paraId="0583B731">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☑专门面向中小企业（含监狱及福利性单位）</w:t>
      </w:r>
    </w:p>
    <w:p w14:paraId="5B51A785">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3、供应商特定资格条件：</w:t>
      </w:r>
    </w:p>
    <w:p w14:paraId="74508F6F">
      <w:pPr>
        <w:keepNext w:val="0"/>
        <w:keepLines w:val="0"/>
        <w:pageBreakBefore w:val="0"/>
        <w:widowControl w:val="0"/>
        <w:numPr>
          <w:ilvl w:val="0"/>
          <w:numId w:val="0"/>
        </w:numPr>
        <w:kinsoku/>
        <w:wordWrap/>
        <w:overflowPunct/>
        <w:topLinePunct w:val="0"/>
        <w:autoSpaceDE/>
        <w:autoSpaceDN/>
        <w:bidi w:val="0"/>
        <w:adjustRightInd/>
        <w:snapToGrid/>
        <w:spacing w:beforeAutospacing="0" w:line="396" w:lineRule="exact"/>
        <w:jc w:val="both"/>
        <w:textAlignment w:val="auto"/>
        <w:outlineLvl w:val="0"/>
        <w:rPr>
          <w:rFonts w:hint="eastAsia" w:ascii="宋体" w:hAnsi="宋体" w:eastAsia="宋体" w:cs="宋体"/>
          <w:i w:val="0"/>
          <w:iCs w:val="0"/>
          <w:caps w:val="0"/>
          <w:color w:val="000000"/>
          <w:spacing w:val="0"/>
          <w:sz w:val="21"/>
          <w:szCs w:val="21"/>
          <w:u w:val="single"/>
        </w:rPr>
      </w:pPr>
      <w:r>
        <w:rPr>
          <w:rFonts w:hint="eastAsia" w:ascii="宋体" w:hAnsi="宋体" w:eastAsia="宋体" w:cs="宋体"/>
          <w:i w:val="0"/>
          <w:iCs w:val="0"/>
          <w:caps w:val="0"/>
          <w:color w:val="000000"/>
          <w:spacing w:val="0"/>
          <w:sz w:val="21"/>
          <w:szCs w:val="21"/>
        </w:rPr>
        <w:t>包名称</w:t>
      </w:r>
      <w:r>
        <w:rPr>
          <w:rFonts w:hint="eastAsia" w:ascii="宋体" w:hAnsi="宋体" w:eastAsia="宋体" w:cs="宋体"/>
          <w:i w:val="0"/>
          <w:iCs w:val="0"/>
          <w:caps w:val="0"/>
          <w:color w:val="000000"/>
          <w:spacing w:val="0"/>
          <w:sz w:val="21"/>
          <w:szCs w:val="21"/>
          <w:u w:val="single"/>
        </w:rPr>
        <w:t>：华容高新区纺织新材料与印染高标准厂房建设项目工程建设监理服务项目</w:t>
      </w:r>
    </w:p>
    <w:p w14:paraId="4058B9DE">
      <w:pPr>
        <w:keepNext w:val="0"/>
        <w:keepLines w:val="0"/>
        <w:pageBreakBefore w:val="0"/>
        <w:widowControl w:val="0"/>
        <w:numPr>
          <w:ilvl w:val="0"/>
          <w:numId w:val="0"/>
        </w:numPr>
        <w:kinsoku/>
        <w:wordWrap/>
        <w:overflowPunct/>
        <w:topLinePunct w:val="0"/>
        <w:autoSpaceDE/>
        <w:autoSpaceDN/>
        <w:bidi w:val="0"/>
        <w:adjustRightInd/>
        <w:snapToGrid/>
        <w:spacing w:beforeAutospacing="0" w:line="396" w:lineRule="exact"/>
        <w:jc w:val="both"/>
        <w:textAlignment w:val="auto"/>
        <w:outlineLvl w:val="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特定资格条件：</w:t>
      </w:r>
    </w:p>
    <w:p w14:paraId="7D8AF82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（1）中小企业参加投标必须提供《中小企业声明函》，否则视为无效投标。格式见财政部工业和信息化部关于《政府采购促进中小企业发展管理办法》的通知财库【2020】46号文。</w:t>
      </w:r>
    </w:p>
    <w:p w14:paraId="4BF6FDA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（2）具有建设行政主管部门颁发的工程监理综合资质或房屋建筑工程专业乙级及以上监理资质，资质证书处于有效期内(提供资质证书复印件)。</w:t>
      </w:r>
    </w:p>
    <w:p w14:paraId="4D87025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（3）总监理工程师的资格要求：拟投入本项目的总监理工程师须具有房屋建筑工程专业国家注册监理工程师证书（在有效期内）。</w:t>
      </w:r>
    </w:p>
    <w:p w14:paraId="5724361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说明：</w:t>
      </w:r>
    </w:p>
    <w:p w14:paraId="4ECC823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p>
    <w:p w14:paraId="56F401F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（2）根据 《湖南省财政厅湖南省工业和信息化厅关于运用政府采购促进中小企业发展有关事项的通知》（湘财购【2021】16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20841C52">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四、获取磋商文件的时间、期限、地点及方式</w:t>
      </w:r>
    </w:p>
    <w:p w14:paraId="5C52B0DE">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1、时间：2026年8 月 27 日至2026年 9月3 日，每天上午9:00至12:00，下午14:00至17:00（北京时间，法定节假日除外）</w:t>
      </w:r>
    </w:p>
    <w:p w14:paraId="5D371523">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省中君项目管理咨询有限公司（湖南省岳阳市岳阳楼区五里牌街道高山坡社区花板桥路君临嘉龙公馆1栋5楼506室)凭供应商营业执照副本复印件、个人身份证原件、法定代表人身份证明原件（法定代表人报名）或者授权委托书并附法定代表人身份证明原件（授权委托人报名），以上资料均加盖公章。</w:t>
      </w:r>
    </w:p>
    <w:p w14:paraId="13E182CC">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3、方式：线下获取</w:t>
      </w:r>
    </w:p>
    <w:p w14:paraId="576F3A3F">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4、售价：0元</w:t>
      </w:r>
    </w:p>
    <w:p w14:paraId="23097397">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五、响应文件提交截止时间、地点</w:t>
      </w:r>
    </w:p>
    <w:p w14:paraId="58E90E14">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1、截止时间：2026年9 月 7 日 15点00分（北京时间）</w:t>
      </w:r>
    </w:p>
    <w:p w14:paraId="78DD2147">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2、地点：湖南省岳阳市华容县章华镇田家湖生态新区杏花村西路024号101室。</w:t>
      </w:r>
    </w:p>
    <w:p w14:paraId="050A55C1">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六、响应文件开启</w:t>
      </w:r>
    </w:p>
    <w:p w14:paraId="7753AF63">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1、开启时间：2026年 9 月 7 日 15点00分（北京时间）</w:t>
      </w:r>
    </w:p>
    <w:p w14:paraId="15F4001D">
      <w:pPr>
        <w:keepNext w:val="0"/>
        <w:keepLines w:val="0"/>
        <w:pageBreakBefore w:val="0"/>
        <w:kinsoku/>
        <w:wordWrap/>
        <w:overflowPunct/>
        <w:topLinePunct w:val="0"/>
        <w:autoSpaceDE/>
        <w:autoSpaceDN/>
        <w:bidi w:val="0"/>
        <w:spacing w:beforeAutospacing="0" w:line="396" w:lineRule="exact"/>
        <w:textAlignment w:val="auto"/>
        <w:rPr>
          <w:rFonts w:hint="eastAsia" w:ascii="宋体" w:hAnsi="宋体" w:eastAsia="宋体" w:cs="宋体"/>
          <w:i w:val="0"/>
          <w:iCs w:val="0"/>
          <w:caps w:val="0"/>
          <w:color w:val="000000"/>
          <w:spacing w:val="0"/>
          <w:sz w:val="21"/>
          <w:szCs w:val="21"/>
          <w:highlight w:val="yellow"/>
          <w:lang w:eastAsia="zh-CN"/>
        </w:rPr>
      </w:pPr>
      <w:r>
        <w:rPr>
          <w:rFonts w:hint="eastAsia" w:ascii="宋体" w:hAnsi="宋体" w:eastAsia="宋体" w:cs="宋体"/>
          <w:i w:val="0"/>
          <w:iCs w:val="0"/>
          <w:caps w:val="0"/>
          <w:color w:val="000000"/>
          <w:spacing w:val="0"/>
          <w:sz w:val="21"/>
          <w:szCs w:val="21"/>
        </w:rPr>
        <w:t>2、地点：湖南省岳阳市华容县章华镇田家湖生态新区杏花村西路024号101室</w:t>
      </w:r>
      <w:r>
        <w:rPr>
          <w:rFonts w:hint="eastAsia" w:ascii="宋体" w:hAnsi="宋体" w:eastAsia="宋体" w:cs="宋体"/>
          <w:i w:val="0"/>
          <w:iCs w:val="0"/>
          <w:caps w:val="0"/>
          <w:color w:val="000000"/>
          <w:spacing w:val="0"/>
          <w:sz w:val="21"/>
          <w:szCs w:val="21"/>
          <w:lang w:eastAsia="zh-CN"/>
        </w:rPr>
        <w:t>。</w:t>
      </w:r>
    </w:p>
    <w:p w14:paraId="78BD0D61">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七、公告期限</w:t>
      </w:r>
    </w:p>
    <w:p w14:paraId="5641ECAB">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1、本公告在中国湖南政府采购网（</w:t>
      </w:r>
      <w:r>
        <w:rPr>
          <w:rFonts w:hint="eastAsia" w:ascii="宋体" w:hAnsi="宋体" w:eastAsia="宋体" w:cs="宋体"/>
          <w:i w:val="0"/>
          <w:iCs w:val="0"/>
          <w:caps w:val="0"/>
          <w:spacing w:val="0"/>
          <w:kern w:val="0"/>
          <w:sz w:val="21"/>
          <w:szCs w:val="21"/>
          <w:lang w:val="en-US" w:eastAsia="zh-CN" w:bidi="ar"/>
        </w:rPr>
        <w:fldChar w:fldCharType="begin"/>
      </w:r>
      <w:r>
        <w:rPr>
          <w:rFonts w:hint="eastAsia" w:ascii="宋体" w:hAnsi="宋体" w:eastAsia="宋体" w:cs="宋体"/>
          <w:i w:val="0"/>
          <w:iCs w:val="0"/>
          <w:caps w:val="0"/>
          <w:spacing w:val="0"/>
          <w:kern w:val="0"/>
          <w:sz w:val="21"/>
          <w:szCs w:val="21"/>
          <w:lang w:val="en-US" w:eastAsia="zh-CN" w:bidi="ar"/>
        </w:rPr>
        <w:instrText xml:space="preserve"> HYPERLINK "http://www.ccgp-hunan.gov.cn/" \t "http://www.ccgp-hunan.gov.cn/luban/front/_blank" </w:instrText>
      </w:r>
      <w:r>
        <w:rPr>
          <w:rFonts w:hint="eastAsia" w:ascii="宋体" w:hAnsi="宋体" w:eastAsia="宋体" w:cs="宋体"/>
          <w:i w:val="0"/>
          <w:iCs w:val="0"/>
          <w:caps w:val="0"/>
          <w:spacing w:val="0"/>
          <w:kern w:val="0"/>
          <w:sz w:val="21"/>
          <w:szCs w:val="21"/>
          <w:lang w:val="en-US" w:eastAsia="zh-CN" w:bidi="ar"/>
        </w:rPr>
        <w:fldChar w:fldCharType="separate"/>
      </w:r>
      <w:r>
        <w:rPr>
          <w:rFonts w:hint="eastAsia" w:ascii="宋体" w:hAnsi="宋体" w:eastAsia="宋体" w:cs="宋体"/>
          <w:i w:val="0"/>
          <w:iCs w:val="0"/>
          <w:caps w:val="0"/>
          <w:color w:val="0000FF"/>
          <w:spacing w:val="0"/>
          <w:kern w:val="2"/>
          <w:sz w:val="21"/>
          <w:szCs w:val="21"/>
          <w:u w:val="single"/>
          <w:lang w:val="en-US" w:eastAsia="zh-CN" w:bidi="ar-SA"/>
        </w:rPr>
        <w:t>www.ccgp-hunan.gov.cn</w:t>
      </w:r>
      <w:r>
        <w:rPr>
          <w:rFonts w:hint="eastAsia" w:ascii="宋体" w:hAnsi="宋体" w:eastAsia="宋体" w:cs="宋体"/>
          <w:i w:val="0"/>
          <w:iCs w:val="0"/>
          <w:caps w:val="0"/>
          <w:spacing w:val="0"/>
          <w:kern w:val="0"/>
          <w:sz w:val="21"/>
          <w:szCs w:val="21"/>
          <w:lang w:val="en-US" w:eastAsia="zh-CN" w:bidi="ar"/>
        </w:rPr>
        <w:fldChar w:fldCharType="end"/>
      </w:r>
      <w:r>
        <w:rPr>
          <w:rFonts w:hint="eastAsia" w:ascii="宋体" w:hAnsi="宋体" w:eastAsia="宋体" w:cs="宋体"/>
          <w:i w:val="0"/>
          <w:iCs w:val="0"/>
          <w:caps w:val="0"/>
          <w:color w:val="000000"/>
          <w:spacing w:val="0"/>
          <w:kern w:val="0"/>
          <w:sz w:val="21"/>
          <w:szCs w:val="21"/>
          <w:lang w:val="en-US" w:eastAsia="zh-CN" w:bidi="ar"/>
        </w:rPr>
        <w:t>）发布。公告期限从本公告发布之日起5个工作日。</w:t>
      </w:r>
    </w:p>
    <w:p w14:paraId="172AAE71">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2、在其他媒体发布的邀请公告，公告内容以本招标公告指定媒体发布的公告为准。</w:t>
      </w:r>
    </w:p>
    <w:p w14:paraId="18C75A7B">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八、询问及质疑</w:t>
      </w:r>
    </w:p>
    <w:p w14:paraId="72081AF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7B009D9D">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2、供应商对电子交易平台办理CA证书、操作等如有疑问，请咨询电子交易平台服务机构。</w:t>
      </w:r>
    </w:p>
    <w:p w14:paraId="0650CEC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FAE0DFF">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九、磋商说明</w:t>
      </w:r>
    </w:p>
    <w:p w14:paraId="615DB55F">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1、本公告选项：☑ 表示选择，☐ 表示未选择。</w:t>
      </w:r>
    </w:p>
    <w:p w14:paraId="56A42F1A">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4CC7BDBC">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十、其他补充事宜:</w:t>
      </w:r>
      <w:r>
        <w:rPr>
          <w:rFonts w:hint="eastAsia" w:ascii="宋体" w:hAnsi="宋体" w:eastAsia="宋体" w:cs="宋体"/>
          <w:i w:val="0"/>
          <w:iCs w:val="0"/>
          <w:caps w:val="0"/>
          <w:color w:val="000000"/>
          <w:spacing w:val="0"/>
          <w:sz w:val="21"/>
          <w:szCs w:val="21"/>
        </w:rPr>
        <w:t>无</w:t>
      </w:r>
    </w:p>
    <w:p w14:paraId="198FC445">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十一、对本次采购提出询问，请按以下方式联系</w:t>
      </w:r>
    </w:p>
    <w:p w14:paraId="749CDACE">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ind w:left="211" w:hanging="211" w:hangingChars="100"/>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i w:val="0"/>
          <w:iCs w:val="0"/>
          <w:caps w:val="0"/>
          <w:color w:val="000000"/>
          <w:spacing w:val="0"/>
          <w:sz w:val="21"/>
          <w:szCs w:val="21"/>
          <w:lang w:val="en-US" w:eastAsia="zh-CN"/>
        </w:rPr>
        <w:t>1.</w:t>
      </w:r>
      <w:r>
        <w:rPr>
          <w:rFonts w:hint="eastAsia" w:ascii="宋体" w:hAnsi="宋体" w:eastAsia="宋体" w:cs="宋体"/>
          <w:b/>
          <w:i w:val="0"/>
          <w:iCs w:val="0"/>
          <w:caps w:val="0"/>
          <w:color w:val="000000"/>
          <w:spacing w:val="0"/>
          <w:sz w:val="21"/>
          <w:szCs w:val="21"/>
        </w:rPr>
        <w:t>采购人信息</w:t>
      </w:r>
    </w:p>
    <w:p w14:paraId="5918BE70">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lang w:val="en-US" w:eastAsia="zh-CN"/>
        </w:rPr>
        <w:t>名称：</w:t>
      </w:r>
      <w:r>
        <w:rPr>
          <w:rFonts w:hint="eastAsia" w:ascii="宋体" w:hAnsi="宋体" w:eastAsia="宋体" w:cs="宋体"/>
          <w:i w:val="0"/>
          <w:iCs w:val="0"/>
          <w:caps w:val="0"/>
          <w:color w:val="000000"/>
          <w:spacing w:val="0"/>
          <w:sz w:val="21"/>
          <w:szCs w:val="21"/>
        </w:rPr>
        <w:t>华容高新技术产业开发区管理委员会</w:t>
      </w:r>
    </w:p>
    <w:p w14:paraId="51927EAD">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地址：华容县工业园三封工业小区</w:t>
      </w:r>
    </w:p>
    <w:p w14:paraId="2E89E67A">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郝鑫</w:t>
      </w:r>
    </w:p>
    <w:p w14:paraId="0AF2ED5A">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13316149666</w:t>
      </w:r>
    </w:p>
    <w:p w14:paraId="5139772C">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b/>
          <w:bCs w:val="0"/>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2.采购代理机构信息</w:t>
      </w:r>
    </w:p>
    <w:p w14:paraId="77B2F9D7">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spacing w:val="0"/>
          <w:position w:val="0"/>
          <w:sz w:val="21"/>
          <w:szCs w:val="21"/>
          <w:lang w:eastAsia="zh-CN"/>
        </w:rPr>
      </w:pPr>
      <w:r>
        <w:rPr>
          <w:rFonts w:hint="eastAsia" w:ascii="宋体" w:hAnsi="宋体" w:eastAsia="宋体" w:cs="宋体"/>
          <w:b w:val="0"/>
          <w:bCs/>
          <w:i w:val="0"/>
          <w:iCs w:val="0"/>
          <w:caps w:val="0"/>
          <w:color w:val="000000"/>
          <w:spacing w:val="0"/>
          <w:sz w:val="21"/>
          <w:szCs w:val="21"/>
        </w:rPr>
        <w:t>名称：</w:t>
      </w:r>
      <w:r>
        <w:rPr>
          <w:rFonts w:hint="eastAsia" w:ascii="宋体" w:hAnsi="宋体" w:eastAsia="宋体" w:cs="宋体"/>
          <w:spacing w:val="0"/>
          <w:position w:val="0"/>
          <w:sz w:val="21"/>
          <w:szCs w:val="21"/>
          <w:lang w:eastAsia="zh-CN"/>
        </w:rPr>
        <w:t>湖南省中君项目管理咨询有限公司</w:t>
      </w:r>
    </w:p>
    <w:p w14:paraId="518D6826">
      <w:pPr>
        <w:keepNext w:val="0"/>
        <w:keepLines w:val="0"/>
        <w:pageBreakBefore w:val="0"/>
        <w:widowControl w:val="0"/>
        <w:kinsoku/>
        <w:wordWrap/>
        <w:overflowPunct/>
        <w:topLinePunct w:val="0"/>
        <w:autoSpaceDE/>
        <w:autoSpaceDN/>
        <w:bidi w:val="0"/>
        <w:adjustRightInd w:val="0"/>
        <w:snapToGrid w:val="0"/>
        <w:spacing w:line="396" w:lineRule="exact"/>
        <w:jc w:val="left"/>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i w:val="0"/>
          <w:iCs w:val="0"/>
          <w:caps w:val="0"/>
          <w:color w:val="000000"/>
          <w:spacing w:val="0"/>
          <w:sz w:val="21"/>
          <w:szCs w:val="21"/>
        </w:rPr>
        <w:t>地址：</w:t>
      </w:r>
      <w:r>
        <w:rPr>
          <w:rFonts w:hint="eastAsia" w:ascii="宋体" w:hAnsi="宋体" w:eastAsia="宋体" w:cs="宋体"/>
          <w:color w:val="000000"/>
          <w:kern w:val="2"/>
          <w:sz w:val="21"/>
          <w:szCs w:val="21"/>
          <w:lang w:val="en-US" w:eastAsia="zh-CN" w:bidi="ar-SA"/>
        </w:rPr>
        <w:t>湖南省岳阳市岳阳楼区五里牌街道高山坡社区花板桥路君临嘉龙公馆1栋5楼506室</w:t>
      </w:r>
    </w:p>
    <w:p w14:paraId="4905078F">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联系人：李女士</w:t>
      </w:r>
    </w:p>
    <w:p w14:paraId="66C3B18E">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联系电话：0730-8864801</w:t>
      </w:r>
    </w:p>
    <w:p w14:paraId="70A399E2">
      <w:pPr>
        <w:keepNext w:val="0"/>
        <w:keepLines w:val="0"/>
        <w:pageBreakBefore w:val="0"/>
        <w:widowControl/>
        <w:numPr>
          <w:ilvl w:val="0"/>
          <w:numId w:val="2"/>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项目联系方式</w:t>
      </w:r>
      <w:r>
        <w:rPr>
          <w:rFonts w:hint="eastAsia" w:ascii="宋体" w:hAnsi="宋体" w:eastAsia="宋体" w:cs="宋体"/>
          <w:b/>
          <w:bCs w:val="0"/>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联系人：郝鑫</w:t>
      </w:r>
    </w:p>
    <w:p w14:paraId="6D012FC8">
      <w:pPr>
        <w:keepNext w:val="0"/>
        <w:keepLines w:val="0"/>
        <w:pageBreakBefore w:val="0"/>
        <w:kinsoku/>
        <w:overflowPunct/>
        <w:topLinePunct w:val="0"/>
        <w:autoSpaceDE/>
        <w:autoSpaceDN/>
        <w:bidi w:val="0"/>
        <w:spacing w:beforeAutospacing="0" w:line="396" w:lineRule="exac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联系电话：13316149666</w:t>
      </w:r>
    </w:p>
    <w:p w14:paraId="5E556A9E">
      <w:pPr>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color w:val="000000"/>
          <w:kern w:val="2"/>
          <w:sz w:val="21"/>
          <w:szCs w:val="21"/>
          <w:lang w:val="en-US" w:eastAsia="zh-CN" w:bidi="ar-SA"/>
        </w:rPr>
      </w:pPr>
    </w:p>
    <w:p w14:paraId="1AD9D324">
      <w:pPr>
        <w:pageBreakBefore w:val="0"/>
        <w:widowControl w:val="0"/>
        <w:kinsoku/>
        <w:wordWrap/>
        <w:overflowPunct/>
        <w:topLinePunct w:val="0"/>
        <w:autoSpaceDE/>
        <w:autoSpaceDN/>
        <w:bidi w:val="0"/>
        <w:spacing w:beforeAutospacing="0" w:afterAutospacing="0" w:line="560" w:lineRule="exact"/>
        <w:jc w:val="center"/>
        <w:textAlignment w:val="auto"/>
        <w:outlineLvl w:val="0"/>
        <w:rPr>
          <w:rFonts w:hint="eastAsia" w:ascii="宋体" w:hAnsi="宋体" w:eastAsia="宋体" w:cs="宋体"/>
          <w:b/>
          <w:kern w:val="2"/>
          <w:sz w:val="32"/>
          <w:szCs w:val="32"/>
          <w:lang w:val="en-US" w:eastAsia="zh-CN" w:bidi="ar-SA"/>
        </w:rPr>
      </w:pPr>
    </w:p>
    <w:p w14:paraId="14CF8AAF">
      <w:pPr>
        <w:pStyle w:val="5"/>
        <w:rPr>
          <w:rFonts w:hint="eastAsia" w:ascii="宋体" w:hAnsi="宋体" w:eastAsia="宋体" w:cs="宋体"/>
          <w:kern w:val="0"/>
          <w:sz w:val="21"/>
          <w:szCs w:val="21"/>
          <w:lang w:val="en-US" w:eastAsia="zh-CN" w:bidi="ar-SA"/>
        </w:rPr>
      </w:pPr>
    </w:p>
    <w:p w14:paraId="62BA932C">
      <w:pPr>
        <w:rPr>
          <w:rFonts w:hint="eastAsia"/>
          <w:lang w:val="en-US" w:eastAsia="zh-CN"/>
        </w:rPr>
      </w:pPr>
    </w:p>
    <w:p w14:paraId="24F8E8A2">
      <w:pPr>
        <w:pStyle w:val="35"/>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第二章 磋商须知</w:t>
      </w:r>
    </w:p>
    <w:p w14:paraId="71D1A48C">
      <w:pPr>
        <w:pStyle w:val="35"/>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磋商须知前附表</w:t>
      </w:r>
    </w:p>
    <w:p w14:paraId="641555E9">
      <w:pPr>
        <w:pStyle w:val="35"/>
        <w:pageBreakBefore w:val="0"/>
        <w:kinsoku/>
        <w:wordWrap/>
        <w:overflowPunct/>
        <w:bidi w:val="0"/>
        <w:spacing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注：如采购文件中出现前后不一致情形的，以前附表规定的为准,公告后有变更的，以变更的为准。</w:t>
      </w:r>
    </w:p>
    <w:tbl>
      <w:tblPr>
        <w:tblStyle w:val="40"/>
        <w:tblW w:w="101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0"/>
        <w:gridCol w:w="1920"/>
        <w:gridCol w:w="7091"/>
      </w:tblGrid>
      <w:tr w14:paraId="4D8B1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A79E0">
            <w:pPr>
              <w:pageBreakBefore w:val="0"/>
              <w:kinsoku/>
              <w:wordWrap/>
              <w:overflowPunct/>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C2D22EA">
            <w:pPr>
              <w:pageBreakBefore w:val="0"/>
              <w:kinsoku/>
              <w:wordWrap/>
              <w:overflowPunct/>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D59B494">
            <w:pPr>
              <w:pageBreakBefore w:val="0"/>
              <w:kinsoku/>
              <w:wordWrap/>
              <w:overflowPunct/>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编辑内容规定</w:t>
            </w:r>
          </w:p>
        </w:tc>
      </w:tr>
      <w:tr w14:paraId="7ED4F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3DD20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一、说明</w:t>
            </w:r>
          </w:p>
        </w:tc>
      </w:tr>
      <w:tr w14:paraId="4FD2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1CC14B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773B88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3AD15E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1D1C992">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华容高新区纺织新材料与印染高标准厂房建设项目工程建设监理服务项目</w:t>
            </w:r>
          </w:p>
        </w:tc>
      </w:tr>
      <w:tr w14:paraId="35B9A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01"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D7AEBB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AC6919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F25D9C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FFE8EFF">
            <w:pPr>
              <w:pStyle w:val="24"/>
              <w:pageBreakBefore w:val="0"/>
              <w:widowControl w:val="0"/>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采购人：华容高新技术产业开发区管理委员会</w:t>
            </w:r>
          </w:p>
          <w:p w14:paraId="31415D6B">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地址：华容县工业园三封工业小区</w:t>
            </w:r>
          </w:p>
          <w:p w14:paraId="089DCE20">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联系人：郝鑫</w:t>
            </w:r>
          </w:p>
          <w:p w14:paraId="6C7194F2">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联系电话：13316149666</w:t>
            </w:r>
          </w:p>
        </w:tc>
      </w:tr>
      <w:tr w14:paraId="7E172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9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C14CD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05A0AE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E68910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采购代理机构</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C1B00DC">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招标代理机构：湖南省中君项目管理咨询有限公司</w:t>
            </w:r>
          </w:p>
          <w:p w14:paraId="71BDBB2A">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地址：湖南省岳阳市岳阳楼区五里牌街道高山坡社区花板桥路君临嘉龙公馆1栋5楼506室</w:t>
            </w:r>
          </w:p>
          <w:p w14:paraId="04EC037A">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联系人：李女士</w:t>
            </w:r>
          </w:p>
          <w:p w14:paraId="42A876AC">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联系电话：0730-8864801</w:t>
            </w:r>
          </w:p>
        </w:tc>
      </w:tr>
      <w:tr w14:paraId="4670D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426F1B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F1AFBB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31F3BF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供应商的邀请方式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30BBB0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发布公告</w:t>
            </w:r>
          </w:p>
          <w:p w14:paraId="6F9D249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□从省级以上财政部门建立的供应商库中随机抽取</w:t>
            </w:r>
          </w:p>
          <w:p w14:paraId="6160DC4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□采购人和评审专家分别书面推荐的方式</w:t>
            </w:r>
          </w:p>
        </w:tc>
      </w:tr>
      <w:tr w14:paraId="52A0E0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3B7C3CB">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第二章</w:t>
            </w:r>
          </w:p>
          <w:p w14:paraId="3A2EB4D6">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rPr>
              <w:t>第3</w:t>
            </w:r>
            <w:r>
              <w:rPr>
                <w:rFonts w:hint="eastAsia" w:ascii="宋体" w:hAnsi="宋体" w:eastAsia="宋体" w:cs="宋体"/>
                <w:sz w:val="21"/>
                <w:szCs w:val="21"/>
                <w:lang w:val="en-US" w:eastAsia="zh-CN"/>
              </w:rPr>
              <w:t>.1</w:t>
            </w:r>
            <w:r>
              <w:rPr>
                <w:rFonts w:hint="eastAsia" w:ascii="宋体" w:hAnsi="宋体" w:eastAsia="宋体" w:cs="宋体"/>
                <w:sz w:val="21"/>
                <w:szCs w:val="21"/>
              </w:rPr>
              <w:t>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7BD1D9E">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供应商资格条件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63995CF">
            <w:pPr>
              <w:pageBreakBefore w:val="0"/>
              <w:widowControl w:val="0"/>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详见第一章“磋商邀请”</w:t>
            </w:r>
          </w:p>
        </w:tc>
      </w:tr>
      <w:tr w14:paraId="49D05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20ACE8A">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AFF763F">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05159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联合体形式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9CAA2D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☑不接受</w:t>
            </w:r>
          </w:p>
          <w:p w14:paraId="2833620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□接受</w:t>
            </w:r>
          </w:p>
        </w:tc>
      </w:tr>
      <w:tr w14:paraId="46D31D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61"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40E98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B3BF8A3">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79DC60C">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对联合体</w:t>
            </w:r>
          </w:p>
          <w:p w14:paraId="571F2DB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各方的要求</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92A470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无</w:t>
            </w:r>
          </w:p>
        </w:tc>
      </w:tr>
      <w:tr w14:paraId="78A6C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8FC5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679547D">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第7.1款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C49136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现场勘察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5A29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☑采购人不组织</w:t>
            </w:r>
          </w:p>
          <w:p w14:paraId="7A89A43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□采购人组织，时间：地点：联系人：</w:t>
            </w:r>
          </w:p>
        </w:tc>
      </w:tr>
      <w:tr w14:paraId="10611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C40BC5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ECAFFE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9C4622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采购进口产品</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A65C5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☑本项目拒绝采购进口产品</w:t>
            </w:r>
          </w:p>
          <w:p w14:paraId="1853789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□本项目已经财政部门审核同意购买进口产品</w:t>
            </w:r>
          </w:p>
        </w:tc>
      </w:tr>
      <w:tr w14:paraId="2072A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6329E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66E02A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C9D371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政府采购强制采购：</w:t>
            </w:r>
          </w:p>
          <w:p w14:paraId="0E27E16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1、强制采购的节能产品；</w:t>
            </w:r>
          </w:p>
          <w:p w14:paraId="0BF1717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DEDB6C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否</w:t>
            </w:r>
          </w:p>
          <w:p w14:paraId="0955FFF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□是，采购《节能产品政府采购清单》(第期) 内标记★符号的节能产品。</w:t>
            </w:r>
          </w:p>
        </w:tc>
      </w:tr>
      <w:tr w14:paraId="0A37C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9"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4CEF60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51FC51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419D15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政府采购优先采购：</w:t>
            </w:r>
          </w:p>
          <w:p w14:paraId="22CA6391">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1、非强制采购的节能产品；</w:t>
            </w:r>
          </w:p>
          <w:p w14:paraId="2E5E30E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B20924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06B19B9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4、支持中小企业发展；</w:t>
            </w:r>
          </w:p>
          <w:p w14:paraId="3697DE3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5、其他。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0552A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本项目非专门面向中小企业采购</w:t>
            </w:r>
          </w:p>
          <w:p w14:paraId="7F1DDF2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本项目专门面向中小企业采购</w:t>
            </w:r>
          </w:p>
          <w:p w14:paraId="57DA686D">
            <w:pPr>
              <w:pStyle w:val="2"/>
              <w:ind w:left="0" w:leftChars="0" w:firstLine="0" w:firstLineChars="0"/>
              <w:rPr>
                <w:rFonts w:hint="eastAsia"/>
              </w:rPr>
            </w:pPr>
            <w:r>
              <w:rPr>
                <w:rFonts w:hint="eastAsia"/>
              </w:rPr>
              <w:t>本项目采购标的对应的中小企业划分标准所属行业为：其他未列明行业</w:t>
            </w:r>
          </w:p>
          <w:p w14:paraId="282E8D5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1、采购产品为《节能产品政府采购清单》(最新一期)内非标记★符号的，分别给予技术和价格项标准总分值5%-10%的加分。本项目具体加分比例分别为：技术5%、价格5%。</w:t>
            </w:r>
          </w:p>
          <w:p w14:paraId="6CEB441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2、采购产品为《环境标志产品政府采购清单》(最新一期)内的，分别给予技术和价格项标准总分值5%-10%的加分。本项目具体加分比例分别为：技术5%、价格5%。</w:t>
            </w:r>
          </w:p>
          <w:p w14:paraId="1F0E7DA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残疾人福利性单位的，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2E5BAE0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、监狱企业的，在政府采购活动中，监狱企业视同小型、微型企业，享受预留份额、评审中价格扣除等政府采购促进中小企业发展的政府采购政策。向监狱企业采购的金额，计入面向中小企业采购的统计数据。</w:t>
            </w:r>
          </w:p>
          <w:p w14:paraId="7C8E7963">
            <w:pPr>
              <w:pStyle w:val="2"/>
              <w:ind w:left="0" w:leftChars="0" w:firstLine="0" w:firstLineChars="0"/>
              <w:rPr>
                <w:rFonts w:hint="eastAsia"/>
              </w:rPr>
            </w:pPr>
            <w:r>
              <w:rPr>
                <w:rFonts w:hint="eastAsia"/>
                <w:b/>
                <w:bCs/>
              </w:rPr>
              <w:t>本项目专门面向中小企业采购，不再执行价格评审优惠的扶持政策。</w:t>
            </w:r>
          </w:p>
        </w:tc>
      </w:tr>
      <w:tr w14:paraId="22C88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4192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B77C61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第9.6款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4A87E1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中小企业融资、信用担保</w:t>
            </w:r>
          </w:p>
        </w:tc>
        <w:tc>
          <w:tcPr>
            <w:tcW w:w="7091" w:type="dxa"/>
            <w:tcBorders>
              <w:top w:val="single" w:color="auto" w:sz="4" w:space="0"/>
              <w:left w:val="single" w:color="auto" w:sz="4" w:space="0"/>
              <w:bottom w:val="single" w:color="auto" w:sz="4" w:space="0"/>
              <w:right w:val="single" w:color="auto" w:sz="4" w:space="0"/>
            </w:tcBorders>
            <w:shd w:val="clear" w:color="auto" w:fill="auto"/>
          </w:tcPr>
          <w:p w14:paraId="4C426BD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有融资、信用担保需求的，可登陆中国湖南政府采购网查询。</w:t>
            </w:r>
          </w:p>
        </w:tc>
      </w:tr>
      <w:tr w14:paraId="1AFD4C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10D3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二、磋商文件</w:t>
            </w:r>
          </w:p>
        </w:tc>
      </w:tr>
      <w:tr w14:paraId="4C6CB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C55373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A6A993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第10.2款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4C20F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磋商文件的可能实质性变动内容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A1176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技术、服务要求以及合同草案条款可能作实质性变动</w:t>
            </w:r>
          </w:p>
        </w:tc>
      </w:tr>
      <w:tr w14:paraId="65A5F0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4"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ECE82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4C80AE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158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提供磋商文件期限</w:t>
            </w:r>
          </w:p>
        </w:tc>
        <w:tc>
          <w:tcPr>
            <w:tcW w:w="7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363CC7">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详见第一章“磋商邀请”</w:t>
            </w:r>
          </w:p>
        </w:tc>
      </w:tr>
      <w:tr w14:paraId="16849D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81"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94510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D1783A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4EDD9F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领取或购买磋商文件时应提供的资料</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C641D2">
            <w:pPr>
              <w:pageBreakBefore w:val="0"/>
              <w:kinsoku/>
              <w:wordWrap/>
              <w:overflowPunct/>
              <w:bidi w:val="0"/>
              <w:spacing w:line="360" w:lineRule="auto"/>
              <w:textAlignment w:val="auto"/>
              <w:rPr>
                <w:rFonts w:hint="eastAsia" w:ascii="宋体" w:hAnsi="宋体" w:eastAsia="宋体" w:cs="宋体"/>
                <w:sz w:val="21"/>
                <w:szCs w:val="21"/>
              </w:rPr>
            </w:pPr>
          </w:p>
        </w:tc>
      </w:tr>
      <w:tr w14:paraId="5F43CD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DCF423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9E2DA5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3A5038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提交首次响应文件的截止时间</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BCC2B0">
            <w:pPr>
              <w:pageBreakBefore w:val="0"/>
              <w:kinsoku/>
              <w:wordWrap/>
              <w:overflowPunct/>
              <w:bidi w:val="0"/>
              <w:spacing w:line="360" w:lineRule="auto"/>
              <w:textAlignment w:val="auto"/>
              <w:rPr>
                <w:rFonts w:hint="eastAsia" w:ascii="宋体" w:hAnsi="宋体" w:eastAsia="宋体" w:cs="宋体"/>
                <w:sz w:val="21"/>
                <w:szCs w:val="21"/>
              </w:rPr>
            </w:pPr>
          </w:p>
        </w:tc>
      </w:tr>
      <w:tr w14:paraId="0260C6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C2DDF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三、响应文件的编写</w:t>
            </w:r>
          </w:p>
        </w:tc>
      </w:tr>
      <w:tr w14:paraId="5C40A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B59A6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81AB66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第16.4款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20327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采购项目预算</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77CF8F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val="0"/>
                <w:bCs w:val="0"/>
                <w:sz w:val="21"/>
                <w:szCs w:val="21"/>
                <w:highlight w:val="none"/>
              </w:rPr>
              <w:t>人民币885408.00</w:t>
            </w:r>
            <w:r>
              <w:rPr>
                <w:rFonts w:hint="eastAsia" w:ascii="宋体" w:hAnsi="宋体" w:eastAsia="宋体" w:cs="宋体"/>
                <w:b w:val="0"/>
                <w:bCs w:val="0"/>
                <w:sz w:val="21"/>
                <w:szCs w:val="21"/>
                <w:highlight w:val="none"/>
                <w:lang w:val="en-US" w:eastAsia="zh-CN"/>
              </w:rPr>
              <w:t>元</w:t>
            </w:r>
          </w:p>
        </w:tc>
      </w:tr>
      <w:tr w14:paraId="3D45B0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026567F">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0EF74824">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第17.3款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35E08F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非制造商</w:t>
            </w:r>
          </w:p>
          <w:p w14:paraId="3A70C61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的证明文件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4A9C27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4BFCA7F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□要求提供：（证明文件复印件须加盖供应商单位公章，否则视为无效响应。）</w:t>
            </w:r>
          </w:p>
          <w:p w14:paraId="1CBAE498">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经销、或代理投标货物、或为投标货物提供售后服务的证明文件。</w:t>
            </w:r>
          </w:p>
        </w:tc>
      </w:tr>
      <w:tr w14:paraId="7BA6A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0E66D8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42E8FC5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1E56C6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样品提供及样品提交的时间、地点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BA6BFF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2D2C0219">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□要求提供，提交的样品： ,提交的时间：、地点：。</w:t>
            </w:r>
          </w:p>
        </w:tc>
      </w:tr>
      <w:tr w14:paraId="007747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29FCAF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8512E8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5FC34E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磋商保证金</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D2A954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7F5A4B7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w:t>
            </w:r>
          </w:p>
        </w:tc>
      </w:tr>
      <w:tr w14:paraId="07B21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7377DC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08E002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第20.1款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0B6E27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响应文件有效期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5F96C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90 日（日历日）</w:t>
            </w:r>
          </w:p>
        </w:tc>
      </w:tr>
      <w:tr w14:paraId="46449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8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F5D22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95B9A6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0046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响应文件副本份数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80C35A">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响应文件</w:t>
            </w:r>
            <w:r>
              <w:rPr>
                <w:rFonts w:hint="eastAsia" w:ascii="宋体" w:hAnsi="宋体" w:eastAsia="宋体" w:cs="宋体"/>
                <w:sz w:val="21"/>
                <w:szCs w:val="21"/>
              </w:rPr>
              <w:t>正本壹份，副本贰份，电子</w:t>
            </w:r>
            <w:r>
              <w:rPr>
                <w:rFonts w:hint="eastAsia" w:ascii="宋体" w:hAnsi="宋体" w:eastAsia="宋体" w:cs="宋体"/>
                <w:sz w:val="21"/>
                <w:szCs w:val="21"/>
                <w:lang w:val="en-US" w:eastAsia="zh-CN"/>
              </w:rPr>
              <w:t>响应</w:t>
            </w:r>
            <w:r>
              <w:rPr>
                <w:rFonts w:hint="eastAsia" w:ascii="宋体" w:hAnsi="宋体" w:eastAsia="宋体" w:cs="宋体"/>
                <w:sz w:val="21"/>
                <w:szCs w:val="21"/>
              </w:rPr>
              <w:t>文</w:t>
            </w:r>
            <w:r>
              <w:rPr>
                <w:rFonts w:hint="eastAsia" w:ascii="宋体" w:hAnsi="宋体" w:eastAsia="宋体" w:cs="宋体"/>
                <w:sz w:val="21"/>
                <w:szCs w:val="21"/>
                <w:lang w:val="en-US" w:eastAsia="zh-CN"/>
              </w:rPr>
              <w:t>件</w:t>
            </w:r>
            <w:r>
              <w:rPr>
                <w:rFonts w:hint="eastAsia" w:ascii="宋体" w:hAnsi="宋体" w:eastAsia="宋体" w:cs="宋体"/>
                <w:sz w:val="21"/>
                <w:szCs w:val="21"/>
              </w:rPr>
              <w:t>壹份（U盘密封包装，须注明电子文件和单位名称，与</w:t>
            </w:r>
            <w:r>
              <w:rPr>
                <w:rFonts w:hint="eastAsia" w:ascii="宋体" w:hAnsi="宋体" w:eastAsia="宋体" w:cs="宋体"/>
                <w:sz w:val="21"/>
                <w:szCs w:val="21"/>
                <w:lang w:val="en-US" w:eastAsia="zh-CN"/>
              </w:rPr>
              <w:t>响应</w:t>
            </w:r>
            <w:r>
              <w:rPr>
                <w:rFonts w:hint="eastAsia" w:ascii="宋体" w:hAnsi="宋体" w:eastAsia="宋体" w:cs="宋体"/>
                <w:sz w:val="21"/>
                <w:szCs w:val="21"/>
              </w:rPr>
              <w:t>文件一起封存）</w:t>
            </w:r>
            <w:r>
              <w:rPr>
                <w:rFonts w:hint="eastAsia" w:ascii="宋体" w:hAnsi="宋体" w:eastAsia="宋体" w:cs="宋体"/>
                <w:sz w:val="21"/>
                <w:szCs w:val="21"/>
                <w:lang w:eastAsia="zh-CN"/>
              </w:rPr>
              <w:t>。</w:t>
            </w:r>
          </w:p>
          <w:p w14:paraId="5105D7BB">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响应文件封面上明确写明“正本”或“副本”，正本和副本内容如不一致，以正本为准</w:t>
            </w:r>
            <w:r>
              <w:rPr>
                <w:rFonts w:hint="eastAsia" w:ascii="宋体" w:hAnsi="宋体" w:eastAsia="宋体" w:cs="宋体"/>
                <w:sz w:val="21"/>
                <w:szCs w:val="21"/>
                <w:lang w:eastAsia="zh-CN"/>
              </w:rPr>
              <w:t>。</w:t>
            </w:r>
          </w:p>
          <w:p w14:paraId="0389B041">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装订要求：采用胶装方式装订，目录及内容均编制页码。</w:t>
            </w:r>
          </w:p>
        </w:tc>
      </w:tr>
      <w:tr w14:paraId="56C6A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579C4E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四、响应文件的递交</w:t>
            </w:r>
          </w:p>
        </w:tc>
      </w:tr>
      <w:tr w14:paraId="3AB72C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20C471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229CD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09B7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封套上应</w:t>
            </w:r>
          </w:p>
          <w:p w14:paraId="664E29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载明的信息</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5B4C6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u w:val="single"/>
              </w:rPr>
              <w:t>(项目名称)</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响应文件  </w:t>
            </w:r>
          </w:p>
          <w:p w14:paraId="10E43E03">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采购项目编号：</w:t>
            </w:r>
          </w:p>
          <w:p w14:paraId="7405977F">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政府采购计划编号：</w:t>
            </w:r>
          </w:p>
          <w:p w14:paraId="628DA9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委托</w:t>
            </w:r>
            <w:r>
              <w:rPr>
                <w:rFonts w:hint="eastAsia" w:ascii="宋体" w:hAnsi="宋体" w:eastAsia="宋体" w:cs="宋体"/>
                <w:sz w:val="21"/>
                <w:szCs w:val="21"/>
              </w:rPr>
              <w:t>代理编号：</w:t>
            </w:r>
          </w:p>
          <w:p w14:paraId="51C6C79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包</w:t>
            </w:r>
            <w:r>
              <w:rPr>
                <w:rFonts w:hint="eastAsia" w:ascii="宋体" w:hAnsi="宋体" w:eastAsia="宋体" w:cs="宋体"/>
                <w:sz w:val="21"/>
                <w:szCs w:val="21"/>
                <w:lang w:val="en-US" w:eastAsia="zh-CN"/>
              </w:rPr>
              <w:t>号</w:t>
            </w:r>
            <w:r>
              <w:rPr>
                <w:rFonts w:hint="eastAsia" w:ascii="宋体" w:hAnsi="宋体" w:eastAsia="宋体" w:cs="宋体"/>
                <w:sz w:val="21"/>
                <w:szCs w:val="21"/>
              </w:rPr>
              <w:t>或品目名：</w:t>
            </w:r>
          </w:p>
          <w:p w14:paraId="02036C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名称：</w:t>
            </w:r>
          </w:p>
          <w:p w14:paraId="2AB4AD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地址：</w:t>
            </w:r>
          </w:p>
          <w:p w14:paraId="14E39B2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highlight w:val="none"/>
              </w:rPr>
              <w:t>在</w:t>
            </w:r>
            <w:r>
              <w:rPr>
                <w:rFonts w:hint="eastAsia" w:ascii="宋体" w:hAnsi="宋体" w:eastAsia="宋体" w:cs="宋体"/>
                <w:sz w:val="21"/>
                <w:szCs w:val="21"/>
                <w:highlight w:val="none"/>
                <w:lang w:val="en-US" w:eastAsia="zh-CN"/>
              </w:rPr>
              <w:t>2026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9 </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 xml:space="preserve"> 7 </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val="en-US" w:eastAsia="zh-CN"/>
              </w:rPr>
              <w:t xml:space="preserve"> 15</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val="en-US" w:eastAsia="zh-CN"/>
              </w:rPr>
              <w:t xml:space="preserve"> 00 </w:t>
            </w:r>
            <w:r>
              <w:rPr>
                <w:rFonts w:hint="eastAsia" w:ascii="宋体" w:hAnsi="宋体" w:eastAsia="宋体" w:cs="宋体"/>
                <w:sz w:val="21"/>
                <w:szCs w:val="21"/>
                <w:highlight w:val="none"/>
              </w:rPr>
              <w:t>分之前不得启封</w:t>
            </w:r>
          </w:p>
        </w:tc>
      </w:tr>
      <w:tr w14:paraId="256F3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9D4D3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705138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第24.1款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1D0BF3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w:t>
            </w:r>
          </w:p>
          <w:p w14:paraId="1356EF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的递交地点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4113FCA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湖南省岳阳市华容县章华镇田家湖生态新区杏花村西路024号101室。</w:t>
            </w:r>
          </w:p>
        </w:tc>
      </w:tr>
      <w:tr w14:paraId="3389BF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0FCCC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五、响应文件的磋商与评审</w:t>
            </w:r>
          </w:p>
        </w:tc>
      </w:tr>
      <w:tr w14:paraId="6A340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D9667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6AC62CF1">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第31.2款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EC1AB50">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评审因素和标准</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18B67C8">
            <w:pPr>
              <w:pageBreakBefore w:val="0"/>
              <w:kinsoku/>
              <w:wordWrap/>
              <w:overflowPunct/>
              <w:bidi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见第三章评审因素及评分标准附表</w:t>
            </w:r>
          </w:p>
        </w:tc>
      </w:tr>
      <w:tr w14:paraId="5D215A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3FD3940">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AF5650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47637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最后报价调整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84CD05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政府采购支持中小企业发展（货物类供应商和产品制造商应同时满足中小微企业的条件）：小型或微型企业，最后报价扣除比例为/％；联合体参与磋商的，最后报价扣除比例为/%。评审时，用扣除后的最后报价计算价格分。</w:t>
            </w:r>
          </w:p>
        </w:tc>
      </w:tr>
      <w:tr w14:paraId="145C2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BA0E2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8D162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第31.5款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6FBBB5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技术、商务、价格得分或总得分调整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9A25E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符合第二章第9.1款规定，按第二章第31.6款规定及本款分值调整：</w:t>
            </w:r>
          </w:p>
          <w:p w14:paraId="4ADE72C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节能产品：</w:t>
            </w:r>
          </w:p>
          <w:p w14:paraId="29C516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技术加分＝技术分值×加分比例（比例见前附表第38.1项,下同）×（节能产品最后报价÷最后总报价）；</w:t>
            </w:r>
          </w:p>
          <w:p w14:paraId="635E44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价格加分＝价格分值×加分比例×（节能产品最后报价÷最后总报价）。</w:t>
            </w:r>
          </w:p>
          <w:p w14:paraId="0E7D487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6AF4B6D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技术加分＝技术分值×加分比例×（环境标志产品最后报价÷最后总报价）；</w:t>
            </w:r>
          </w:p>
          <w:p w14:paraId="615CD0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价格加分＝价格分值×加分比例×（环境标志产品最后报价÷最后总报价）。</w:t>
            </w:r>
          </w:p>
          <w:p w14:paraId="482CF7D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38879F4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商务加分＝商务分值×加分比例×（两型产品最后报价÷最后总报价）；</w:t>
            </w:r>
          </w:p>
          <w:p w14:paraId="6329F55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技术加分＝技术分值×加分比例×（两型产品最后报价÷最后总报价）；</w:t>
            </w:r>
          </w:p>
          <w:p w14:paraId="488D9FA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价格加分＝价格分值×加分比例×（两型产品最后报价÷最后总报价）。</w:t>
            </w:r>
          </w:p>
        </w:tc>
      </w:tr>
      <w:tr w14:paraId="30A47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CDCCA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5D52DA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915808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多处或部分获得政府采购政策优惠的计算方法</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E91E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1、符合政府采购优先采购政策的，产品只能享受节能产品、环境标志产品、两型产品等产品优惠中的一项(由供应商在响应文件中选择并填报政策功能编码，评审时进行加分) 。</w:t>
            </w:r>
          </w:p>
          <w:p w14:paraId="6DF4A4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2、供应商享受支持中小企业发展政策优惠的，可以与同时享受节能产品、环境标志产品、两型产品等产品优惠中的一项累加。</w:t>
            </w:r>
          </w:p>
          <w:p w14:paraId="438829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3、同一项目中部分产品属于优先采购政策的，评审时只对该部分产品的报价实行价格扣除或加分（按该部分产品的报价占总报价的百分比调整）。</w:t>
            </w:r>
          </w:p>
        </w:tc>
      </w:tr>
      <w:tr w14:paraId="1ADA4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97603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六、成交结果信息公布与授予合同</w:t>
            </w:r>
          </w:p>
        </w:tc>
      </w:tr>
      <w:tr w14:paraId="38FF54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87273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B2BEF8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w:t>
            </w:r>
            <w:r>
              <w:rPr>
                <w:rFonts w:hint="eastAsia" w:ascii="宋体" w:hAnsi="宋体" w:eastAsia="宋体" w:cs="宋体"/>
                <w:sz w:val="21"/>
                <w:szCs w:val="21"/>
                <w:lang w:val="en-US" w:eastAsia="zh-CN"/>
              </w:rPr>
              <w:t>8</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A36B897">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公告发布媒体</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94CF8F5">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中国湖南政府采购网（www.ccgp-hunan.gov.cn）</w:t>
            </w:r>
          </w:p>
        </w:tc>
      </w:tr>
      <w:tr w14:paraId="0C0A9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4E4C70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7309B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val="en-US" w:eastAsia="zh-CN"/>
              </w:rPr>
              <w:t>40</w:t>
            </w:r>
            <w:r>
              <w:rPr>
                <w:rFonts w:hint="eastAsia" w:ascii="宋体" w:hAnsi="宋体" w:eastAsia="宋体" w:cs="宋体"/>
                <w:sz w:val="21"/>
                <w:szCs w:val="21"/>
              </w:rPr>
              <w:t>.3款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B5078C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履约担保</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DDC4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570F13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□要求提供，履约担保的金额为：</w:t>
            </w:r>
          </w:p>
        </w:tc>
      </w:tr>
      <w:tr w14:paraId="4D9DA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EE52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七、其他规定</w:t>
            </w:r>
          </w:p>
        </w:tc>
      </w:tr>
      <w:tr w14:paraId="3E512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A9AF58C">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D959295">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1BACEF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p w14:paraId="25EDA47E">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及其他费用</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77A251B">
            <w:pPr>
              <w:pageBreakBefore w:val="0"/>
              <w:numPr>
                <w:ilvl w:val="0"/>
                <w:numId w:val="0"/>
              </w:numPr>
              <w:kinsoku/>
              <w:wordWrap/>
              <w:overflowPunct/>
              <w:bidi w:val="0"/>
              <w:spacing w:line="360" w:lineRule="auto"/>
              <w:textAlignment w:val="auto"/>
              <w:rPr>
                <w:rFonts w:hint="default" w:eastAsiaTheme="minorEastAsia"/>
                <w:color w:val="auto"/>
                <w:highlight w:val="none"/>
                <w:lang w:val="en-US" w:eastAsia="zh-CN"/>
              </w:rPr>
            </w:pPr>
            <w:r>
              <w:rPr>
                <w:rFonts w:hint="default" w:eastAsiaTheme="minorEastAsia"/>
                <w:color w:val="auto"/>
                <w:highlight w:val="none"/>
                <w:lang w:val="en-US" w:eastAsia="zh-CN"/>
              </w:rPr>
              <w:t>按政府采购代理协议规定执行。</w:t>
            </w:r>
          </w:p>
        </w:tc>
      </w:tr>
      <w:tr w14:paraId="477134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FAE902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391F1D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第4</w:t>
            </w:r>
            <w:r>
              <w:rPr>
                <w:rFonts w:hint="eastAsia" w:ascii="宋体" w:hAnsi="宋体" w:eastAsia="宋体" w:cs="宋体"/>
                <w:sz w:val="21"/>
                <w:szCs w:val="21"/>
                <w:lang w:val="en-US" w:eastAsia="zh-CN"/>
              </w:rPr>
              <w:t>3</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C256912">
            <w:pPr>
              <w:pStyle w:val="35"/>
              <w:keepNext w:val="0"/>
              <w:keepLines w:val="0"/>
              <w:pageBreakBefore w:val="0"/>
              <w:widowControl w:val="0"/>
              <w:kinsoku/>
              <w:wordWrap/>
              <w:overflowPunct/>
              <w:topLinePunct w:val="0"/>
              <w:autoSpaceDE/>
              <w:autoSpaceDN/>
              <w:bidi w:val="0"/>
              <w:adjustRightInd w:val="0"/>
              <w:snapToGrid w:val="0"/>
              <w:spacing w:line="420" w:lineRule="exact"/>
              <w:ind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其他规定</w:t>
            </w:r>
          </w:p>
          <w:p w14:paraId="1E94D468">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29CB2D1">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BFAD7B">
            <w:pPr>
              <w:keepNext w:val="0"/>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信用信息查询的渠道：投标人在“信用中国”网站（www.creditchina.gov.cn）未列入失信被执行人和重大税收违法案件当事人名单和“中国政府采购网”（www.ccgp.gov.cn）网站未列入政府采购严重违法失信行为记录名单等被禁止投标记录</w:t>
            </w:r>
          </w:p>
          <w:p w14:paraId="08DDA8BF">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（2）信用信息查询的截止时间：本项目投标截止时间止。</w:t>
            </w:r>
          </w:p>
          <w:p w14:paraId="64677B9D">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（3）信用信息记录查询的具体方式：采购人或采购代理机构在开标后在规定的查询渠道进行查询。</w:t>
            </w:r>
          </w:p>
          <w:p w14:paraId="2EF3569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信用信息记录查询证据留存的具体方式：查询记录的网上打印件。</w:t>
            </w:r>
          </w:p>
          <w:p w14:paraId="2655C27E">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(4)信用信息的使用规则：查询后交由评标委员会评定。</w:t>
            </w:r>
          </w:p>
        </w:tc>
      </w:tr>
    </w:tbl>
    <w:p w14:paraId="300529F1">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780CF45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6C734D9">
      <w:pPr>
        <w:rPr>
          <w:rFonts w:hint="eastAsia"/>
        </w:rPr>
      </w:pPr>
    </w:p>
    <w:p w14:paraId="2A3D6839">
      <w:pPr>
        <w:pageBreakBefore w:val="0"/>
        <w:kinsoku/>
        <w:wordWrap/>
        <w:overflowPunct/>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sz w:val="21"/>
          <w:szCs w:val="21"/>
        </w:rPr>
        <w:t>附页1</w:t>
      </w:r>
    </w:p>
    <w:p w14:paraId="4BC042E2">
      <w:pPr>
        <w:pageBreakBefore w:val="0"/>
        <w:kinsoku/>
        <w:wordWrap/>
        <w:overflowPunct/>
        <w:bidi w:val="0"/>
        <w:spacing w:line="360" w:lineRule="auto"/>
        <w:jc w:val="center"/>
        <w:textAlignment w:val="auto"/>
        <w:rPr>
          <w:rFonts w:hint="eastAsia" w:ascii="宋体" w:hAnsi="宋体" w:eastAsia="宋体" w:cs="宋体"/>
          <w:b/>
          <w:bCs/>
          <w:sz w:val="24"/>
          <w:szCs w:val="24"/>
        </w:rPr>
      </w:pPr>
      <w:bookmarkStart w:id="5" w:name="_Toc4048"/>
      <w:bookmarkStart w:id="6" w:name="_Toc12228"/>
      <w:r>
        <w:rPr>
          <w:rFonts w:hint="eastAsia" w:ascii="宋体" w:hAnsi="宋体" w:eastAsia="宋体" w:cs="宋体"/>
          <w:b/>
          <w:bCs/>
          <w:sz w:val="24"/>
          <w:szCs w:val="24"/>
        </w:rPr>
        <w:t>政府采购“中标贷”推广介绍</w:t>
      </w:r>
      <w:bookmarkEnd w:id="5"/>
      <w:bookmarkEnd w:id="6"/>
    </w:p>
    <w:p w14:paraId="3123D1BC">
      <w:pPr>
        <w:pStyle w:val="35"/>
        <w:pageBreakBefore w:val="0"/>
        <w:widowControl/>
        <w:kinsoku/>
        <w:wordWrap/>
        <w:overflowPunct/>
        <w:autoSpaceDE w:val="0"/>
        <w:autoSpaceDN w:val="0"/>
        <w:bidi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为进一步优化营商环境，帮助企业解决融资难、融资贵的问题，所有在岳阳市成交的政府采购类项目，中标企业都可以通过中标贷平台在线向银行提出贷款申请。</w:t>
      </w:r>
    </w:p>
    <w:p w14:paraId="4D7AAC0B">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中标贷是银行、担保公司等金融机构以工程建设、政府采购合同为载体，以财政支付为保障，以企业参与公共资源交易形成的信用为融资依据，向中标企业发放的信用贷款。</w:t>
      </w:r>
    </w:p>
    <w:p w14:paraId="04CBD480">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一、中标贷的特点</w:t>
      </w:r>
    </w:p>
    <w:p w14:paraId="2C19AB59">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在线申请，快捷方便：中标企业用CA证书即可登录中标贷平台，进行在线申请。银行贷前、贷中调查需要的企业相关资料，都可以在线提交。</w:t>
      </w:r>
    </w:p>
    <w:p w14:paraId="724C8029">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信用贷款，无需抵押：凭中标通知书，中标合同即可申请，无需抵押。</w:t>
      </w:r>
    </w:p>
    <w:p w14:paraId="153A16F4">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平台渠道，利率优惠：相比其他渠道的同类贷款，银行针对中标贷给出的利率优惠力度更大。</w:t>
      </w:r>
    </w:p>
    <w:p w14:paraId="641A3DA2">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专用产品，放款快速：银行提供专用产品匹配中标贷，中标企业提交中标合同、约定还款账号等关键资料后，符合条件的，不超过15天即可放款。</w:t>
      </w:r>
    </w:p>
    <w:p w14:paraId="06D4B7BC">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二、中标贷的操作</w:t>
      </w:r>
    </w:p>
    <w:p w14:paraId="5D432FC7">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登录入口：</w:t>
      </w:r>
    </w:p>
    <w:p w14:paraId="1305C155">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岳阳市公共资源交易中心官网-中标贷平台，</w:t>
      </w:r>
    </w:p>
    <w:p w14:paraId="0F5BC5DF">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或https://hnyy.biddingloan.com</w:t>
      </w:r>
    </w:p>
    <w:p w14:paraId="55881E31">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登录工具：企业CA（湖南CA办理电话：0730-8181828）</w:t>
      </w:r>
    </w:p>
    <w:p w14:paraId="12C91645">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贷款申请：详见“中标贷操作手册”。</w:t>
      </w:r>
    </w:p>
    <w:p w14:paraId="7BB38B5C">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岳阳市公共资源交易中心官网-办事服务-政府采购-【中标贷手册V1.2.4】，或下载</w:t>
      </w:r>
    </w:p>
    <w:p w14:paraId="7F2BCA3F">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http://ggzy.yueyang.gov.cn/uploadfiles/202009/20200917151230447.pdf</w:t>
      </w:r>
    </w:p>
    <w:p w14:paraId="1D55F1A0">
      <w:pPr>
        <w:pStyle w:val="35"/>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三、业务咨询电话</w:t>
      </w:r>
    </w:p>
    <w:p w14:paraId="20723CFF">
      <w:pPr>
        <w:pStyle w:val="35"/>
        <w:pageBreakBefore w:val="0"/>
        <w:widowControl/>
        <w:kinsoku/>
        <w:wordWrap/>
        <w:overflowPunct/>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 xml:space="preserve">0730-2966626，张女士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16673063296，陈工</w:t>
      </w:r>
    </w:p>
    <w:p w14:paraId="3CF49B93">
      <w:pPr>
        <w:pageBreakBefore w:val="0"/>
        <w:kinsoku/>
        <w:wordWrap/>
        <w:overflowPunct/>
        <w:bidi w:val="0"/>
        <w:spacing w:line="360" w:lineRule="auto"/>
        <w:textAlignment w:val="auto"/>
        <w:rPr>
          <w:rFonts w:hint="eastAsia" w:ascii="宋体" w:hAnsi="宋体" w:eastAsia="宋体" w:cs="宋体"/>
          <w:sz w:val="21"/>
          <w:szCs w:val="21"/>
        </w:rPr>
        <w:sectPr>
          <w:footerReference r:id="rId6" w:type="default"/>
          <w:pgSz w:w="11910" w:h="16840"/>
          <w:pgMar w:top="1134" w:right="1417" w:bottom="1134" w:left="1417" w:header="283" w:footer="1135" w:gutter="0"/>
          <w:pgNumType w:fmt="decimal" w:start="1"/>
          <w:cols w:space="425" w:num="1"/>
          <w:rtlGutter w:val="0"/>
          <w:docGrid w:type="lines" w:linePitch="312" w:charSpace="0"/>
        </w:sectPr>
      </w:pPr>
    </w:p>
    <w:p w14:paraId="7457BAC0">
      <w:pPr>
        <w:pageBreakBefore w:val="0"/>
        <w:kinsoku/>
        <w:wordWrap/>
        <w:overflowPunct/>
        <w:bidi w:val="0"/>
        <w:adjustRightInd w:val="0"/>
        <w:snapToGrid w:val="0"/>
        <w:spacing w:line="360" w:lineRule="auto"/>
        <w:textAlignment w:val="auto"/>
        <w:rPr>
          <w:rFonts w:hint="eastAsia" w:ascii="宋体" w:hAnsi="宋体" w:eastAsia="宋体" w:cs="宋体"/>
          <w:b/>
          <w:bCs/>
          <w:kern w:val="0"/>
          <w:sz w:val="28"/>
          <w:szCs w:val="28"/>
        </w:rPr>
      </w:pPr>
      <w:r>
        <w:rPr>
          <w:rFonts w:hint="eastAsia" w:ascii="宋体" w:hAnsi="宋体" w:eastAsia="宋体" w:cs="宋体"/>
          <w:sz w:val="21"/>
          <w:szCs w:val="21"/>
        </w:rPr>
        <w:t>附页2</w:t>
      </w:r>
      <w:r>
        <w:rPr>
          <w:rFonts w:hint="eastAsia" w:ascii="宋体" w:hAnsi="宋体" w:eastAsia="宋体" w:cs="宋体"/>
          <w:sz w:val="21"/>
          <w:szCs w:val="21"/>
          <w:lang w:val="en-US" w:eastAsia="zh-CN"/>
        </w:rPr>
        <w:t xml:space="preserve">          </w:t>
      </w:r>
      <w:r>
        <w:rPr>
          <w:rFonts w:hint="eastAsia" w:ascii="宋体" w:hAnsi="宋体" w:eastAsia="宋体" w:cs="宋体"/>
          <w:b/>
          <w:bCs/>
          <w:kern w:val="0"/>
          <w:sz w:val="28"/>
          <w:szCs w:val="28"/>
        </w:rPr>
        <w:t>岳阳市政府采购合同融资合作银行及联系人名单</w:t>
      </w:r>
    </w:p>
    <w:tbl>
      <w:tblPr>
        <w:tblStyle w:val="40"/>
        <w:tblW w:w="510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367"/>
        <w:gridCol w:w="815"/>
        <w:gridCol w:w="2809"/>
        <w:gridCol w:w="2265"/>
      </w:tblGrid>
      <w:tr w14:paraId="68CA2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818" w:type="pct"/>
            <w:noWrap/>
            <w:vAlign w:val="center"/>
          </w:tcPr>
          <w:p w14:paraId="500402E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银行名称</w:t>
            </w:r>
          </w:p>
        </w:tc>
        <w:tc>
          <w:tcPr>
            <w:tcW w:w="440" w:type="pct"/>
            <w:noWrap/>
            <w:vAlign w:val="center"/>
          </w:tcPr>
          <w:p w14:paraId="445B10F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联系人</w:t>
            </w:r>
          </w:p>
        </w:tc>
        <w:tc>
          <w:tcPr>
            <w:tcW w:w="1517" w:type="pct"/>
            <w:noWrap/>
            <w:vAlign w:val="center"/>
          </w:tcPr>
          <w:p w14:paraId="19A4AB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职  务</w:t>
            </w:r>
          </w:p>
        </w:tc>
        <w:tc>
          <w:tcPr>
            <w:tcW w:w="1223" w:type="pct"/>
            <w:noWrap/>
            <w:vAlign w:val="center"/>
          </w:tcPr>
          <w:p w14:paraId="40D1F9E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联系电话</w:t>
            </w:r>
          </w:p>
        </w:tc>
      </w:tr>
      <w:tr w14:paraId="607EE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26EB41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0" w:type="pct"/>
            <w:noWrap/>
            <w:vAlign w:val="center"/>
          </w:tcPr>
          <w:p w14:paraId="77DE5E1A">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653D8D6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3" w:type="pct"/>
            <w:noWrap/>
            <w:vAlign w:val="center"/>
          </w:tcPr>
          <w:p w14:paraId="41FAC9C5">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120AC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28192">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0" w:type="pct"/>
            <w:noWrap/>
            <w:vAlign w:val="center"/>
          </w:tcPr>
          <w:p w14:paraId="1DC68F79">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434547E">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3" w:type="pct"/>
            <w:noWrap/>
            <w:vAlign w:val="center"/>
          </w:tcPr>
          <w:p w14:paraId="5C15DC1D">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2D816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59D59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0" w:type="pct"/>
            <w:noWrap/>
            <w:vAlign w:val="center"/>
          </w:tcPr>
          <w:p w14:paraId="28C5E6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23356BF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总行副行长</w:t>
            </w:r>
          </w:p>
        </w:tc>
        <w:tc>
          <w:tcPr>
            <w:tcW w:w="1223" w:type="pct"/>
            <w:noWrap/>
            <w:vAlign w:val="center"/>
          </w:tcPr>
          <w:p w14:paraId="50A8E1A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4E64A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8ED632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湖南岳阳农村商业银行股份有限公司</w:t>
            </w:r>
          </w:p>
        </w:tc>
        <w:tc>
          <w:tcPr>
            <w:tcW w:w="440" w:type="pct"/>
            <w:noWrap/>
            <w:vAlign w:val="center"/>
          </w:tcPr>
          <w:p w14:paraId="2206F14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彭靖夫</w:t>
            </w:r>
          </w:p>
        </w:tc>
        <w:tc>
          <w:tcPr>
            <w:tcW w:w="1517" w:type="pct"/>
            <w:noWrap/>
            <w:vAlign w:val="center"/>
          </w:tcPr>
          <w:p w14:paraId="1A36B78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总行营业部副主任</w:t>
            </w:r>
          </w:p>
        </w:tc>
        <w:tc>
          <w:tcPr>
            <w:tcW w:w="1223" w:type="pct"/>
            <w:noWrap/>
            <w:vAlign w:val="center"/>
          </w:tcPr>
          <w:p w14:paraId="32FCB76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18273053888</w:t>
            </w:r>
          </w:p>
        </w:tc>
      </w:tr>
      <w:tr w14:paraId="5A1541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846C98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农业</w:t>
            </w:r>
            <w:r>
              <w:rPr>
                <w:rFonts w:hint="eastAsia" w:ascii="宋体" w:hAnsi="宋体" w:eastAsia="宋体" w:cs="宋体"/>
                <w:sz w:val="18"/>
                <w:szCs w:val="18"/>
                <w:highlight w:val="none"/>
              </w:rPr>
              <w:t>银行岳阳分行</w:t>
            </w:r>
          </w:p>
        </w:tc>
        <w:tc>
          <w:tcPr>
            <w:tcW w:w="440" w:type="pct"/>
            <w:noWrap/>
            <w:vAlign w:val="center"/>
          </w:tcPr>
          <w:p w14:paraId="3B8A7DE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137C3AD9">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普惠</w:t>
            </w:r>
            <w:r>
              <w:rPr>
                <w:rFonts w:hint="eastAsia" w:ascii="宋体" w:hAnsi="宋体" w:eastAsia="宋体" w:cs="宋体"/>
                <w:sz w:val="18"/>
                <w:szCs w:val="18"/>
                <w:highlight w:val="none"/>
                <w:lang w:val="en-US" w:eastAsia="zh-CN"/>
              </w:rPr>
              <w:t>部</w:t>
            </w:r>
            <w:r>
              <w:rPr>
                <w:rFonts w:hint="eastAsia" w:ascii="宋体" w:hAnsi="宋体" w:eastAsia="宋体" w:cs="宋体"/>
                <w:sz w:val="18"/>
                <w:szCs w:val="18"/>
                <w:highlight w:val="none"/>
              </w:rPr>
              <w:t>负责人</w:t>
            </w:r>
          </w:p>
        </w:tc>
        <w:tc>
          <w:tcPr>
            <w:tcW w:w="1223" w:type="pct"/>
            <w:noWrap/>
            <w:vAlign w:val="center"/>
          </w:tcPr>
          <w:p w14:paraId="73C370C6">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w:t>
            </w:r>
            <w:r>
              <w:rPr>
                <w:rFonts w:hint="default" w:ascii="宋体" w:hAnsi="宋体" w:eastAsia="宋体" w:cs="宋体"/>
                <w:sz w:val="18"/>
                <w:szCs w:val="18"/>
                <w:highlight w:val="none"/>
                <w:lang w:val="en-US" w:eastAsia="zh-CN"/>
              </w:rPr>
              <w:t>8973061212</w:t>
            </w:r>
          </w:p>
        </w:tc>
      </w:tr>
      <w:tr w14:paraId="21BE3C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BDF080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0" w:type="pct"/>
            <w:noWrap/>
            <w:vAlign w:val="center"/>
          </w:tcPr>
          <w:p w14:paraId="6B13A4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周</w:t>
            </w:r>
            <w:r>
              <w:rPr>
                <w:rFonts w:hint="eastAsia" w:ascii="宋体" w:hAnsi="宋体" w:eastAsia="宋体" w:cs="宋体"/>
                <w:sz w:val="18"/>
                <w:szCs w:val="18"/>
                <w:highlight w:val="none"/>
                <w:lang w:val="en-US" w:eastAsia="zh-CN"/>
              </w:rPr>
              <w:t xml:space="preserve">  </w:t>
            </w:r>
            <w:r>
              <w:rPr>
                <w:rFonts w:hint="default" w:ascii="宋体" w:hAnsi="宋体" w:eastAsia="宋体" w:cs="宋体"/>
                <w:sz w:val="18"/>
                <w:szCs w:val="18"/>
                <w:highlight w:val="none"/>
                <w:lang w:val="en-US"/>
              </w:rPr>
              <w:t>芊</w:t>
            </w:r>
          </w:p>
        </w:tc>
        <w:tc>
          <w:tcPr>
            <w:tcW w:w="1517" w:type="pct"/>
            <w:noWrap/>
            <w:vAlign w:val="center"/>
          </w:tcPr>
          <w:p w14:paraId="3B418E0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3" w:type="pct"/>
            <w:noWrap/>
            <w:vAlign w:val="center"/>
          </w:tcPr>
          <w:p w14:paraId="016E14DF">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13975036393</w:t>
            </w:r>
          </w:p>
        </w:tc>
      </w:tr>
      <w:tr w14:paraId="0C65F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DC1EEC8">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w:t>
            </w:r>
          </w:p>
        </w:tc>
        <w:tc>
          <w:tcPr>
            <w:tcW w:w="440" w:type="pct"/>
            <w:noWrap/>
            <w:vAlign w:val="center"/>
          </w:tcPr>
          <w:p w14:paraId="2175CFBE">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何昌林</w:t>
            </w:r>
          </w:p>
        </w:tc>
        <w:tc>
          <w:tcPr>
            <w:tcW w:w="1517" w:type="pct"/>
            <w:noWrap/>
            <w:vAlign w:val="center"/>
          </w:tcPr>
          <w:p w14:paraId="1D85C61A">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分行副行长</w:t>
            </w:r>
          </w:p>
        </w:tc>
        <w:tc>
          <w:tcPr>
            <w:tcW w:w="1223" w:type="pct"/>
            <w:noWrap/>
            <w:vAlign w:val="center"/>
          </w:tcPr>
          <w:p w14:paraId="72AE4596">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15707306666</w:t>
            </w:r>
          </w:p>
        </w:tc>
      </w:tr>
      <w:tr w14:paraId="13293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02F864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湖南银行岳阳分行财源支行</w:t>
            </w:r>
          </w:p>
        </w:tc>
        <w:tc>
          <w:tcPr>
            <w:tcW w:w="440" w:type="pct"/>
            <w:noWrap/>
            <w:vAlign w:val="center"/>
          </w:tcPr>
          <w:p w14:paraId="6598ACF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张  璐</w:t>
            </w:r>
          </w:p>
        </w:tc>
        <w:tc>
          <w:tcPr>
            <w:tcW w:w="1517" w:type="pct"/>
            <w:noWrap/>
            <w:vAlign w:val="center"/>
          </w:tcPr>
          <w:p w14:paraId="078E4E34">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客户经理</w:t>
            </w:r>
          </w:p>
        </w:tc>
        <w:tc>
          <w:tcPr>
            <w:tcW w:w="1223" w:type="pct"/>
            <w:noWrap/>
            <w:vAlign w:val="center"/>
          </w:tcPr>
          <w:p w14:paraId="3A56F7E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13707308320</w:t>
            </w:r>
          </w:p>
        </w:tc>
      </w:tr>
      <w:tr w14:paraId="6127D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62EA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巴陵农村商业银行</w:t>
            </w:r>
          </w:p>
        </w:tc>
        <w:tc>
          <w:tcPr>
            <w:tcW w:w="440" w:type="pct"/>
            <w:noWrap/>
            <w:vAlign w:val="center"/>
          </w:tcPr>
          <w:p w14:paraId="634364D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柳  斌</w:t>
            </w:r>
          </w:p>
        </w:tc>
        <w:tc>
          <w:tcPr>
            <w:tcW w:w="1517" w:type="pct"/>
            <w:noWrap/>
            <w:vAlign w:val="center"/>
          </w:tcPr>
          <w:p w14:paraId="1EB75D2C">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总行党委-副行长</w:t>
            </w:r>
          </w:p>
        </w:tc>
        <w:tc>
          <w:tcPr>
            <w:tcW w:w="1223" w:type="pct"/>
            <w:noWrap/>
            <w:vAlign w:val="center"/>
          </w:tcPr>
          <w:p w14:paraId="73201E9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13789029698</w:t>
            </w:r>
          </w:p>
        </w:tc>
      </w:tr>
      <w:tr w14:paraId="3E5CA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7EDB63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巴陵农商行德胜路分理处</w:t>
            </w:r>
          </w:p>
        </w:tc>
        <w:tc>
          <w:tcPr>
            <w:tcW w:w="440" w:type="pct"/>
            <w:noWrap/>
            <w:vAlign w:val="center"/>
          </w:tcPr>
          <w:p w14:paraId="633A556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付素洁</w:t>
            </w:r>
          </w:p>
        </w:tc>
        <w:tc>
          <w:tcPr>
            <w:tcW w:w="1517" w:type="pct"/>
            <w:noWrap/>
            <w:vAlign w:val="center"/>
          </w:tcPr>
          <w:p w14:paraId="52B6CF3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支行副行长</w:t>
            </w:r>
          </w:p>
        </w:tc>
        <w:tc>
          <w:tcPr>
            <w:tcW w:w="1223" w:type="pct"/>
            <w:noWrap/>
            <w:vAlign w:val="center"/>
          </w:tcPr>
          <w:p w14:paraId="35C1879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13907309327</w:t>
            </w:r>
          </w:p>
        </w:tc>
      </w:tr>
      <w:tr w14:paraId="36648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3C5134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732BB4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邹鸿志</w:t>
            </w:r>
          </w:p>
        </w:tc>
        <w:tc>
          <w:tcPr>
            <w:tcW w:w="1517" w:type="pct"/>
            <w:noWrap/>
            <w:vAlign w:val="center"/>
          </w:tcPr>
          <w:p w14:paraId="6682D2A7">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分行营业部副行长</w:t>
            </w:r>
          </w:p>
        </w:tc>
        <w:tc>
          <w:tcPr>
            <w:tcW w:w="1223" w:type="pct"/>
            <w:noWrap/>
            <w:vAlign w:val="center"/>
          </w:tcPr>
          <w:p w14:paraId="0582B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18711236688</w:t>
            </w:r>
          </w:p>
        </w:tc>
      </w:tr>
      <w:tr w14:paraId="0786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3F7205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中国建设银行岳阳市分行营业部</w:t>
            </w:r>
          </w:p>
        </w:tc>
        <w:tc>
          <w:tcPr>
            <w:tcW w:w="440" w:type="pct"/>
            <w:noWrap/>
            <w:vAlign w:val="center"/>
          </w:tcPr>
          <w:p w14:paraId="5C82CA0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刘紫薇</w:t>
            </w:r>
          </w:p>
        </w:tc>
        <w:tc>
          <w:tcPr>
            <w:tcW w:w="1517" w:type="pct"/>
            <w:noWrap/>
            <w:vAlign w:val="center"/>
          </w:tcPr>
          <w:p w14:paraId="2C55BBE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分行普惠部客户经理</w:t>
            </w:r>
          </w:p>
        </w:tc>
        <w:tc>
          <w:tcPr>
            <w:tcW w:w="1223" w:type="pct"/>
            <w:noWrap/>
            <w:vAlign w:val="center"/>
          </w:tcPr>
          <w:p w14:paraId="5498CBC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19967060009</w:t>
            </w:r>
          </w:p>
        </w:tc>
      </w:tr>
      <w:tr w14:paraId="6EC8AA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B6C018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28004CE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李润泽</w:t>
            </w:r>
          </w:p>
        </w:tc>
        <w:tc>
          <w:tcPr>
            <w:tcW w:w="1517" w:type="pct"/>
            <w:noWrap/>
            <w:vAlign w:val="center"/>
          </w:tcPr>
          <w:p w14:paraId="7CDAED10">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分行营业部客户经理</w:t>
            </w:r>
          </w:p>
        </w:tc>
        <w:tc>
          <w:tcPr>
            <w:tcW w:w="1223" w:type="pct"/>
            <w:noWrap/>
            <w:vAlign w:val="center"/>
          </w:tcPr>
          <w:p w14:paraId="57B2054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13337309009</w:t>
            </w:r>
          </w:p>
        </w:tc>
      </w:tr>
      <w:tr w14:paraId="33F4C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6237EE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5650160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谭  丽</w:t>
            </w:r>
          </w:p>
        </w:tc>
        <w:tc>
          <w:tcPr>
            <w:tcW w:w="1517" w:type="pct"/>
            <w:noWrap/>
            <w:vAlign w:val="center"/>
          </w:tcPr>
          <w:p w14:paraId="75BAD02D">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总经理</w:t>
            </w:r>
          </w:p>
        </w:tc>
        <w:tc>
          <w:tcPr>
            <w:tcW w:w="1223" w:type="pct"/>
            <w:noWrap/>
            <w:vAlign w:val="center"/>
          </w:tcPr>
          <w:p w14:paraId="6E2888E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18773081188</w:t>
            </w:r>
          </w:p>
        </w:tc>
      </w:tr>
      <w:tr w14:paraId="6F91B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2997250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07B91CD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李江天</w:t>
            </w:r>
          </w:p>
        </w:tc>
        <w:tc>
          <w:tcPr>
            <w:tcW w:w="1517" w:type="pct"/>
            <w:noWrap/>
            <w:vAlign w:val="center"/>
          </w:tcPr>
          <w:p w14:paraId="498C770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客户经理</w:t>
            </w:r>
          </w:p>
        </w:tc>
        <w:tc>
          <w:tcPr>
            <w:tcW w:w="1223" w:type="pct"/>
            <w:noWrap/>
            <w:vAlign w:val="center"/>
          </w:tcPr>
          <w:p w14:paraId="36BAF5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19573070611</w:t>
            </w:r>
          </w:p>
        </w:tc>
      </w:tr>
      <w:tr w14:paraId="293B0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C983DE4">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中信</w:t>
            </w:r>
            <w:r>
              <w:rPr>
                <w:rFonts w:hint="eastAsia" w:ascii="宋体" w:hAnsi="宋体" w:eastAsia="宋体" w:cs="宋体"/>
                <w:sz w:val="18"/>
                <w:szCs w:val="18"/>
              </w:rPr>
              <w:t>银行岳阳分行</w:t>
            </w:r>
          </w:p>
        </w:tc>
        <w:tc>
          <w:tcPr>
            <w:tcW w:w="440" w:type="pct"/>
            <w:noWrap/>
            <w:vAlign w:val="center"/>
          </w:tcPr>
          <w:p w14:paraId="59357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1020951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lang w:val="en-US"/>
              </w:rPr>
              <w:t>公司部客户经理</w:t>
            </w:r>
          </w:p>
        </w:tc>
        <w:tc>
          <w:tcPr>
            <w:tcW w:w="1223" w:type="pct"/>
            <w:noWrap/>
            <w:vAlign w:val="center"/>
          </w:tcPr>
          <w:p w14:paraId="4A95DAD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13</w:t>
            </w:r>
            <w:r>
              <w:rPr>
                <w:rFonts w:hint="default" w:ascii="宋体" w:hAnsi="宋体" w:eastAsia="宋体" w:cs="宋体"/>
                <w:sz w:val="18"/>
                <w:szCs w:val="18"/>
                <w:lang w:val="en-US" w:eastAsia="zh-CN"/>
              </w:rPr>
              <w:t>117516881</w:t>
            </w:r>
          </w:p>
        </w:tc>
      </w:tr>
      <w:tr w14:paraId="1433BC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D37BF4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2CBAAD2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杨文韬</w:t>
            </w:r>
          </w:p>
        </w:tc>
        <w:tc>
          <w:tcPr>
            <w:tcW w:w="1517" w:type="pct"/>
            <w:noWrap/>
            <w:vAlign w:val="center"/>
          </w:tcPr>
          <w:p w14:paraId="3F7359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普惠部负责人</w:t>
            </w:r>
          </w:p>
        </w:tc>
        <w:tc>
          <w:tcPr>
            <w:tcW w:w="1223" w:type="pct"/>
            <w:noWrap/>
            <w:vAlign w:val="center"/>
          </w:tcPr>
          <w:p w14:paraId="495B981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13789018303</w:t>
            </w:r>
          </w:p>
        </w:tc>
      </w:tr>
      <w:tr w14:paraId="102C1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1818" w:type="pct"/>
            <w:noWrap/>
            <w:vAlign w:val="center"/>
          </w:tcPr>
          <w:p w14:paraId="45CB89F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63D842F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陈</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盈</w:t>
            </w:r>
          </w:p>
        </w:tc>
        <w:tc>
          <w:tcPr>
            <w:tcW w:w="1517" w:type="pct"/>
            <w:noWrap/>
            <w:vAlign w:val="center"/>
          </w:tcPr>
          <w:p w14:paraId="3652933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普惠部经办人</w:t>
            </w:r>
          </w:p>
        </w:tc>
        <w:tc>
          <w:tcPr>
            <w:tcW w:w="1223" w:type="pct"/>
            <w:noWrap/>
            <w:vAlign w:val="center"/>
          </w:tcPr>
          <w:p w14:paraId="7135AF7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17872007507</w:t>
            </w:r>
          </w:p>
        </w:tc>
      </w:tr>
    </w:tbl>
    <w:p w14:paraId="520181C2">
      <w:pPr>
        <w:adjustRightInd w:val="0"/>
        <w:snapToGrid w:val="0"/>
        <w:spacing w:line="360" w:lineRule="auto"/>
        <w:jc w:val="both"/>
        <w:outlineLvl w:val="0"/>
        <w:rPr>
          <w:rFonts w:hint="eastAsia" w:ascii="宋体" w:hAnsi="宋体" w:eastAsia="宋体" w:cs="宋体"/>
          <w:b/>
          <w:bCs/>
          <w:color w:val="auto"/>
          <w:kern w:val="0"/>
          <w:sz w:val="28"/>
          <w:szCs w:val="28"/>
        </w:rPr>
      </w:pPr>
      <w:bookmarkStart w:id="7" w:name="_Toc32043"/>
    </w:p>
    <w:p w14:paraId="30F89EB8">
      <w:pPr>
        <w:adjustRightInd w:val="0"/>
        <w:snapToGrid w:val="0"/>
        <w:spacing w:line="360" w:lineRule="auto"/>
        <w:jc w:val="center"/>
        <w:outlineLvl w:val="0"/>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岳阳市政府采购信用担保试点工作的信用担保机构名</w:t>
      </w:r>
      <w:r>
        <w:rPr>
          <w:rFonts w:hint="eastAsia" w:ascii="宋体" w:hAnsi="宋体" w:eastAsia="宋体" w:cs="宋体"/>
          <w:b/>
          <w:color w:val="auto"/>
          <w:sz w:val="28"/>
          <w:szCs w:val="28"/>
        </w:rPr>
        <w:t>单</w:t>
      </w:r>
      <w:bookmarkEnd w:id="7"/>
    </w:p>
    <w:tbl>
      <w:tblPr>
        <w:tblStyle w:val="40"/>
        <w:tblW w:w="92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484"/>
        <w:gridCol w:w="1249"/>
        <w:gridCol w:w="3565"/>
      </w:tblGrid>
      <w:tr w14:paraId="014F3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4484" w:type="dxa"/>
            <w:noWrap w:val="0"/>
            <w:vAlign w:val="center"/>
          </w:tcPr>
          <w:p w14:paraId="05CE8F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信用担保机构</w:t>
            </w:r>
          </w:p>
        </w:tc>
        <w:tc>
          <w:tcPr>
            <w:tcW w:w="1249" w:type="dxa"/>
            <w:noWrap w:val="0"/>
            <w:vAlign w:val="center"/>
          </w:tcPr>
          <w:p w14:paraId="0234B0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联系人</w:t>
            </w:r>
          </w:p>
        </w:tc>
        <w:tc>
          <w:tcPr>
            <w:tcW w:w="3565" w:type="dxa"/>
            <w:noWrap w:val="0"/>
            <w:vAlign w:val="center"/>
          </w:tcPr>
          <w:p w14:paraId="49AFF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联系电话</w:t>
            </w:r>
          </w:p>
        </w:tc>
      </w:tr>
      <w:tr w14:paraId="6D1CE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25540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1D92BE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陈会亮</w:t>
            </w:r>
          </w:p>
        </w:tc>
        <w:tc>
          <w:tcPr>
            <w:tcW w:w="3565" w:type="dxa"/>
            <w:noWrap w:val="0"/>
            <w:vAlign w:val="center"/>
          </w:tcPr>
          <w:p w14:paraId="556AC8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0730-8717032/18907300076</w:t>
            </w:r>
          </w:p>
        </w:tc>
      </w:tr>
      <w:tr w14:paraId="2EE79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3C7214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57476C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黎子龙</w:t>
            </w:r>
          </w:p>
        </w:tc>
        <w:tc>
          <w:tcPr>
            <w:tcW w:w="3565" w:type="dxa"/>
            <w:noWrap w:val="0"/>
            <w:vAlign w:val="center"/>
          </w:tcPr>
          <w:p w14:paraId="30D2A2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0730-8717032/17773021899</w:t>
            </w:r>
          </w:p>
        </w:tc>
      </w:tr>
      <w:tr w14:paraId="538041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4484" w:type="dxa"/>
            <w:noWrap w:val="0"/>
            <w:vAlign w:val="center"/>
          </w:tcPr>
          <w:p w14:paraId="59F861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湖南省农业信用担保有限公司岳阳市分公司</w:t>
            </w:r>
          </w:p>
        </w:tc>
        <w:tc>
          <w:tcPr>
            <w:tcW w:w="1249" w:type="dxa"/>
            <w:noWrap w:val="0"/>
            <w:vAlign w:val="center"/>
          </w:tcPr>
          <w:p w14:paraId="504ED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张</w:t>
            </w:r>
            <w:r>
              <w:rPr>
                <w:rFonts w:hint="eastAsia" w:ascii="宋体" w:hAnsi="宋体" w:eastAsia="宋体" w:cs="宋体"/>
                <w:color w:val="auto"/>
                <w:sz w:val="18"/>
                <w:szCs w:val="18"/>
                <w:lang w:val="en-US" w:eastAsia="zh-CN"/>
              </w:rPr>
              <w:t xml:space="preserve">  </w:t>
            </w:r>
            <w:r>
              <w:rPr>
                <w:rFonts w:hint="eastAsia" w:ascii="宋体" w:hAnsi="宋体" w:eastAsia="宋体" w:cs="宋体"/>
                <w:color w:val="auto"/>
                <w:sz w:val="18"/>
                <w:szCs w:val="18"/>
              </w:rPr>
              <w:t>武</w:t>
            </w:r>
          </w:p>
        </w:tc>
        <w:tc>
          <w:tcPr>
            <w:tcW w:w="3565" w:type="dxa"/>
            <w:noWrap w:val="0"/>
            <w:vAlign w:val="center"/>
          </w:tcPr>
          <w:p w14:paraId="107475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0730-5220262/18973170258</w:t>
            </w:r>
          </w:p>
        </w:tc>
      </w:tr>
    </w:tbl>
    <w:p w14:paraId="03F816DE">
      <w:pPr>
        <w:adjustRightInd w:val="0"/>
        <w:snapToGrid w:val="0"/>
        <w:spacing w:line="360" w:lineRule="auto"/>
        <w:rPr>
          <w:rFonts w:hint="eastAsia" w:ascii="宋体" w:hAnsi="宋体" w:cs="宋体"/>
          <w:b/>
          <w:color w:val="auto"/>
          <w:szCs w:val="21"/>
        </w:rPr>
        <w:sectPr>
          <w:headerReference r:id="rId8" w:type="first"/>
          <w:footerReference r:id="rId10" w:type="first"/>
          <w:headerReference r:id="rId7" w:type="default"/>
          <w:footerReference r:id="rId9" w:type="default"/>
          <w:pgSz w:w="11906" w:h="16838"/>
          <w:pgMar w:top="1388" w:right="1531" w:bottom="1440" w:left="1531" w:header="871" w:footer="737" w:gutter="0"/>
          <w:pgNumType w:fmt="decimal" w:start="1"/>
          <w:cols w:space="720" w:num="1"/>
          <w:titlePg/>
          <w:docGrid w:type="lines" w:linePitch="312" w:charSpace="0"/>
        </w:sectPr>
      </w:pPr>
    </w:p>
    <w:p w14:paraId="0AF44FF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附页3</w:t>
      </w:r>
    </w:p>
    <w:p w14:paraId="6881DF7D">
      <w:pPr>
        <w:pageBreakBefore w:val="0"/>
        <w:kinsoku/>
        <w:wordWrap/>
        <w:overflowPunct/>
        <w:bidi w:val="0"/>
        <w:adjustRightInd w:val="0"/>
        <w:snapToGrid w:val="0"/>
        <w:spacing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政府采购履约担保函</w:t>
      </w:r>
    </w:p>
    <w:p w14:paraId="53CB1091">
      <w:pPr>
        <w:pageBreakBefore w:val="0"/>
        <w:kinsoku/>
        <w:wordWrap/>
        <w:overflowPunct/>
        <w:bidi w:val="0"/>
        <w:adjustRightInd w:val="0"/>
        <w:snapToGrid w:val="0"/>
        <w:spacing w:line="360" w:lineRule="auto"/>
        <w:ind w:firstLine="6510" w:firstLineChars="31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编号：</w:t>
      </w:r>
    </w:p>
    <w:p w14:paraId="4038C070">
      <w:pPr>
        <w:pageBreakBefore w:val="0"/>
        <w:kinsoku/>
        <w:wordWrap/>
        <w:overflowPunct/>
        <w:bidi w:val="0"/>
        <w:adjustRightInd w:val="0"/>
        <w:snapToGri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（采购人）： </w:t>
      </w:r>
    </w:p>
    <w:p w14:paraId="685A9F6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鉴于你方与（以下简称供应商）于年月日签定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5FA49F23">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一、保证责任的情形及保证金额</w:t>
      </w:r>
    </w:p>
    <w:p w14:paraId="0E13C2E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（一）在供应商出现下列情形之一时，我方承担保证责任：</w:t>
      </w:r>
    </w:p>
    <w:p w14:paraId="2BF75A1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1．将中标项目转让给他人，或者在投标文件中未说明，且未经采购人同意，将中标项目分包给他人的；</w:t>
      </w:r>
    </w:p>
    <w:p w14:paraId="25706C8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2．主合同约定的应当缴纳履约保证金的情形: </w:t>
      </w:r>
    </w:p>
    <w:p w14:paraId="4318478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 xml:space="preserve">（1）未按主合同约定的质量、数量和期限供应货物/提供服务/完成工程的； </w:t>
      </w:r>
    </w:p>
    <w:p w14:paraId="2E31D0E5">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（2）。</w:t>
      </w:r>
    </w:p>
    <w:p w14:paraId="3F0517D1">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（二）我方的保证范围是主合同约定的合同价款总额的%数额为元（大写），币种为。（即主合同履约保证金金额）</w:t>
      </w:r>
    </w:p>
    <w:p w14:paraId="1B4A59D2">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二、保证的方式及保证期间 </w:t>
      </w:r>
    </w:p>
    <w:p w14:paraId="4C78890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我方保证的方式为：连带责任保证。 </w:t>
      </w:r>
    </w:p>
    <w:p w14:paraId="1384854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我方保证的期间为：自本合同生效之日起至供应商按照主合同约定的供货/完工期限届满后日内。</w:t>
      </w:r>
    </w:p>
    <w:p w14:paraId="4C8F779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如果供应商未按主合同约定向贵方供应货物/提供服务/完成工程的，由我方在保证金额内向你方支付上述款项。 </w:t>
      </w:r>
    </w:p>
    <w:p w14:paraId="3BE08324">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三、承担保证责任的程序</w:t>
      </w:r>
    </w:p>
    <w:p w14:paraId="2DC6478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25B7CF6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B33514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2．我方收到你方的书面索赔通知及相应证明材料，在工作日内进行核定后按照本保函的承诺承担保证责任。</w:t>
      </w:r>
    </w:p>
    <w:p w14:paraId="4F047D3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四、保证责任的终止</w:t>
      </w:r>
    </w:p>
    <w:p w14:paraId="0277827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D237C3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2．我方按照本保函向你方履行了保证责任后，自我方向你方支付款项（支付款项从我方账户划出）之日起，保证责任即终止。</w:t>
      </w:r>
    </w:p>
    <w:p w14:paraId="54058F5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3．按照法律法规的规定或出现应终止我方保证责任的其它情形的，我方在本保函项下的保证责任亦终止。</w:t>
      </w:r>
    </w:p>
    <w:p w14:paraId="3BDF789E">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F6594E1">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五、免责条款</w:t>
      </w:r>
    </w:p>
    <w:p w14:paraId="5ABA79F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1．因你方违反主合同约定致使供应商不能履行义务的，我方不承担保证责任。</w:t>
      </w:r>
    </w:p>
    <w:p w14:paraId="776B9C1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2．依照法律法规的规定或你方与供应商的另行约定，全部或者部分免除供应商应缴纳的保证金义务的，我方亦免除相应的保证责任。</w:t>
      </w:r>
    </w:p>
    <w:p w14:paraId="2C749DA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3．因不可抗力造成供应商不能履行供货义务的，我方不承担保证责任。</w:t>
      </w:r>
    </w:p>
    <w:p w14:paraId="46716E7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六、争议的解决</w:t>
      </w:r>
    </w:p>
    <w:p w14:paraId="7A30C44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因本保函发生的纠纷，由你我双方协商解决，协商不成的，通过诉讼程序解决，诉讼管辖地法院为法院。</w:t>
      </w:r>
    </w:p>
    <w:p w14:paraId="08FB8D96">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七、保函的生效 </w:t>
      </w:r>
    </w:p>
    <w:p w14:paraId="371FADF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本保函自我方加盖公章之日起生效。 </w:t>
      </w:r>
    </w:p>
    <w:p w14:paraId="26491A8D">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 xml:space="preserve">  </w:t>
      </w:r>
    </w:p>
    <w:p w14:paraId="04D4A68F">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 保证人：（公章） </w:t>
      </w:r>
    </w:p>
    <w:p w14:paraId="13AD39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w:t>
      </w:r>
    </w:p>
    <w:p w14:paraId="3421EAEF">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p>
    <w:p w14:paraId="22E0FB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u w:val="single"/>
          <w:lang w:val="en-US" w:eastAsia="zh-CN"/>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 xml:space="preserve">   日</w:t>
      </w:r>
    </w:p>
    <w:p w14:paraId="2B0D50B5">
      <w:pPr>
        <w:pageBreakBefore w:val="0"/>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p>
    <w:p w14:paraId="02942450">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13B8BD47">
      <w:pPr>
        <w:keepNext w:val="0"/>
        <w:keepLines w:val="0"/>
        <w:pageBreakBefore w:val="0"/>
        <w:kinsoku/>
        <w:wordWrap/>
        <w:overflowPunct/>
        <w:topLinePunct w:val="0"/>
        <w:autoSpaceDE/>
        <w:autoSpaceDN/>
        <w:bidi w:val="0"/>
        <w:adjustRightInd w:val="0"/>
        <w:snapToGrid w:val="0"/>
        <w:spacing w:beforeAutospacing="0" w:afterAutospacing="0" w:line="520" w:lineRule="exact"/>
        <w:jc w:val="center"/>
        <w:textAlignment w:val="auto"/>
        <w:outlineLvl w:val="1"/>
        <w:rPr>
          <w:rFonts w:hint="eastAsia" w:ascii="宋体" w:hAnsi="宋体" w:eastAsia="宋体" w:cs="宋体"/>
          <w:b/>
          <w:sz w:val="32"/>
          <w:szCs w:val="32"/>
        </w:rPr>
      </w:pPr>
      <w:bookmarkStart w:id="8" w:name="_Toc2678"/>
      <w:r>
        <w:rPr>
          <w:rFonts w:hint="eastAsia" w:ascii="宋体" w:hAnsi="宋体" w:eastAsia="宋体" w:cs="宋体"/>
          <w:b/>
          <w:sz w:val="32"/>
          <w:szCs w:val="32"/>
        </w:rPr>
        <w:t>磋商须知正文</w:t>
      </w:r>
    </w:p>
    <w:p w14:paraId="2363196E">
      <w:pPr>
        <w:keepNext w:val="0"/>
        <w:keepLines w:val="0"/>
        <w:pageBreakBefore w:val="0"/>
        <w:kinsoku/>
        <w:wordWrap/>
        <w:overflowPunct/>
        <w:topLinePunct w:val="0"/>
        <w:autoSpaceDE/>
        <w:autoSpaceDN/>
        <w:bidi w:val="0"/>
        <w:adjustRightInd w:val="0"/>
        <w:snapToGrid w:val="0"/>
        <w:spacing w:beforeAutospacing="0" w:afterAutospacing="0" w:line="520" w:lineRule="exact"/>
        <w:textAlignment w:val="auto"/>
        <w:outlineLvl w:val="1"/>
        <w:rPr>
          <w:rFonts w:hint="eastAsia" w:ascii="宋体" w:hAnsi="宋体" w:eastAsia="宋体" w:cs="宋体"/>
          <w:b/>
          <w:sz w:val="21"/>
          <w:szCs w:val="21"/>
        </w:rPr>
      </w:pPr>
      <w:bookmarkStart w:id="9" w:name="_Toc7368"/>
      <w:r>
        <w:rPr>
          <w:rFonts w:hint="eastAsia" w:ascii="宋体" w:hAnsi="宋体" w:eastAsia="宋体" w:cs="宋体"/>
          <w:b/>
          <w:sz w:val="21"/>
          <w:szCs w:val="21"/>
        </w:rPr>
        <w:t>一、说明</w:t>
      </w:r>
      <w:bookmarkEnd w:id="9"/>
    </w:p>
    <w:p w14:paraId="6FAF7513">
      <w:pPr>
        <w:keepNext w:val="0"/>
        <w:keepLines w:val="0"/>
        <w:pageBreakBefore w:val="0"/>
        <w:kinsoku/>
        <w:wordWrap/>
        <w:overflowPunct/>
        <w:topLinePunct w:val="0"/>
        <w:autoSpaceDE/>
        <w:autoSpaceDN/>
        <w:bidi w:val="0"/>
        <w:adjustRightInd w:val="0"/>
        <w:snapToGrid w:val="0"/>
        <w:spacing w:beforeAutospacing="0" w:afterAutospacing="0" w:line="520" w:lineRule="exact"/>
        <w:textAlignment w:val="auto"/>
        <w:outlineLvl w:val="2"/>
        <w:rPr>
          <w:rFonts w:hint="eastAsia" w:ascii="宋体" w:hAnsi="宋体" w:eastAsia="宋体" w:cs="宋体"/>
          <w:b/>
          <w:bCs/>
          <w:sz w:val="21"/>
          <w:szCs w:val="21"/>
        </w:rPr>
      </w:pPr>
      <w:bookmarkStart w:id="10" w:name="_Toc21093"/>
      <w:r>
        <w:rPr>
          <w:rFonts w:hint="eastAsia" w:ascii="宋体" w:hAnsi="宋体" w:eastAsia="宋体" w:cs="宋体"/>
          <w:b/>
          <w:bCs/>
          <w:sz w:val="21"/>
          <w:szCs w:val="21"/>
        </w:rPr>
        <w:t>1.适用范围</w:t>
      </w:r>
      <w:bookmarkEnd w:id="10"/>
    </w:p>
    <w:p w14:paraId="519F2F3B">
      <w:pPr>
        <w:keepNext w:val="0"/>
        <w:keepLines w:val="0"/>
        <w:pageBreakBefore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1.1本磋商文件仅适用于磋商须知前附表(以下简称</w:t>
      </w:r>
      <w:r>
        <w:rPr>
          <w:rFonts w:hint="eastAsia" w:ascii="宋体" w:hAnsi="宋体" w:eastAsia="宋体" w:cs="宋体"/>
          <w:b/>
          <w:sz w:val="21"/>
          <w:szCs w:val="21"/>
        </w:rPr>
        <w:t>磋商须知前附表)</w:t>
      </w:r>
      <w:r>
        <w:rPr>
          <w:rFonts w:hint="eastAsia" w:ascii="宋体" w:hAnsi="宋体" w:eastAsia="宋体" w:cs="宋体"/>
          <w:sz w:val="21"/>
          <w:szCs w:val="21"/>
        </w:rPr>
        <w:t>中所叙述的采购项目。</w:t>
      </w:r>
    </w:p>
    <w:p w14:paraId="35C1F3E3">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1" w:name="_Toc14852"/>
      <w:r>
        <w:rPr>
          <w:rFonts w:hint="eastAsia" w:ascii="宋体" w:hAnsi="宋体" w:eastAsia="宋体" w:cs="宋体"/>
          <w:b/>
          <w:bCs/>
          <w:sz w:val="21"/>
          <w:szCs w:val="21"/>
        </w:rPr>
        <w:t>2.定义</w:t>
      </w:r>
      <w:bookmarkEnd w:id="11"/>
    </w:p>
    <w:p w14:paraId="492AF94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2.1“采购人”是指依法进行政府采购的国家机关、事业单位、团体组织。本次政府采购的采购人名称、地址、电话、联系人见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66A79F18">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sz w:val="21"/>
          <w:szCs w:val="21"/>
        </w:rPr>
        <w:t>磋商须知前附表。</w:t>
      </w:r>
    </w:p>
    <w:p w14:paraId="487BA185">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lang w:val="en-US" w:eastAsia="zh-CN"/>
        </w:rPr>
      </w:pPr>
      <w:r>
        <w:rPr>
          <w:rFonts w:hint="eastAsia" w:ascii="宋体" w:hAnsi="宋体" w:eastAsia="宋体" w:cs="宋体"/>
          <w:sz w:val="21"/>
          <w:szCs w:val="21"/>
        </w:rPr>
        <w:t>2.3“供应商”是指响应磋商文件要求、参加竞争性磋商采购的法人、其他组织或者自然人。本次政府采购项目</w:t>
      </w:r>
      <w:r>
        <w:rPr>
          <w:rFonts w:hint="eastAsia" w:ascii="宋体" w:hAnsi="宋体" w:eastAsia="宋体" w:cs="宋体"/>
          <w:kern w:val="0"/>
          <w:sz w:val="21"/>
          <w:szCs w:val="21"/>
        </w:rPr>
        <w:t>邀请</w:t>
      </w:r>
      <w:r>
        <w:rPr>
          <w:rFonts w:hint="eastAsia" w:ascii="宋体" w:hAnsi="宋体" w:eastAsia="宋体" w:cs="宋体"/>
          <w:sz w:val="21"/>
          <w:szCs w:val="21"/>
        </w:rPr>
        <w:t>的</w:t>
      </w:r>
      <w:r>
        <w:rPr>
          <w:rFonts w:hint="eastAsia" w:ascii="宋体" w:hAnsi="宋体" w:eastAsia="宋体" w:cs="宋体"/>
          <w:kern w:val="0"/>
          <w:sz w:val="21"/>
          <w:szCs w:val="21"/>
        </w:rPr>
        <w:t>供应商通过</w:t>
      </w:r>
      <w:r>
        <w:rPr>
          <w:rFonts w:hint="eastAsia" w:ascii="宋体" w:hAnsi="宋体" w:eastAsia="宋体" w:cs="宋体"/>
          <w:b/>
          <w:sz w:val="21"/>
          <w:szCs w:val="21"/>
        </w:rPr>
        <w:t>磋商须知前附表</w:t>
      </w:r>
      <w:r>
        <w:rPr>
          <w:rFonts w:hint="eastAsia" w:ascii="宋体" w:hAnsi="宋体" w:eastAsia="宋体" w:cs="宋体"/>
          <w:sz w:val="21"/>
          <w:szCs w:val="21"/>
        </w:rPr>
        <w:t>所述方式</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邀请合格供应商，参与竞争性磋商采购活动。</w:t>
      </w:r>
    </w:p>
    <w:p w14:paraId="62D23B32">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rPr>
      </w:pPr>
      <w:r>
        <w:rPr>
          <w:rFonts w:hint="eastAsia" w:ascii="宋体" w:hAnsi="宋体" w:eastAsia="宋体" w:cs="宋体"/>
          <w:sz w:val="21"/>
          <w:szCs w:val="21"/>
        </w:rPr>
        <w:t>2.4“磋商小组”是指</w:t>
      </w:r>
      <w:r>
        <w:rPr>
          <w:rFonts w:hint="eastAsia" w:ascii="宋体" w:hAnsi="宋体" w:eastAsia="宋体" w:cs="宋体"/>
          <w:kern w:val="0"/>
          <w:sz w:val="21"/>
          <w:szCs w:val="21"/>
        </w:rPr>
        <w:t>依据《中华人民共和国政府采购法》和财政部</w:t>
      </w:r>
      <w:r>
        <w:rPr>
          <w:rFonts w:hint="eastAsia" w:ascii="宋体" w:hAnsi="宋体" w:eastAsia="宋体" w:cs="宋体"/>
          <w:bCs/>
          <w:kern w:val="36"/>
          <w:sz w:val="21"/>
          <w:szCs w:val="21"/>
        </w:rPr>
        <w:t>《</w:t>
      </w:r>
      <w:r>
        <w:rPr>
          <w:rFonts w:hint="eastAsia" w:ascii="宋体" w:hAnsi="宋体" w:eastAsia="宋体" w:cs="宋体"/>
          <w:kern w:val="0"/>
          <w:sz w:val="21"/>
          <w:szCs w:val="21"/>
        </w:rPr>
        <w:t>政府采购竞争性磋商采购方式管理暂行办法</w:t>
      </w:r>
      <w:r>
        <w:rPr>
          <w:rFonts w:hint="eastAsia" w:ascii="宋体" w:hAnsi="宋体" w:eastAsia="宋体" w:cs="宋体"/>
          <w:bCs/>
          <w:kern w:val="36"/>
          <w:sz w:val="21"/>
          <w:szCs w:val="21"/>
        </w:rPr>
        <w:t>》有关规定组建，依法依规</w:t>
      </w:r>
      <w:r>
        <w:rPr>
          <w:rFonts w:hint="eastAsia" w:ascii="宋体" w:hAnsi="宋体" w:eastAsia="宋体" w:cs="宋体"/>
          <w:kern w:val="0"/>
          <w:sz w:val="21"/>
          <w:szCs w:val="21"/>
        </w:rPr>
        <w:t>履行其职责和义务的机构。</w:t>
      </w:r>
    </w:p>
    <w:p w14:paraId="4CEC7ED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2.5“货物”是指各种形态和种类的物品，包括原材料、燃料、设备、产品等，详见《政府采购品目分类目录》(</w:t>
      </w:r>
      <w:r>
        <w:rPr>
          <w:rStyle w:val="43"/>
          <w:rFonts w:hint="eastAsia" w:ascii="宋体" w:hAnsi="宋体" w:eastAsia="宋体" w:cs="宋体"/>
          <w:b w:val="0"/>
          <w:sz w:val="21"/>
          <w:szCs w:val="21"/>
        </w:rPr>
        <w:t>财库[2013]189号</w:t>
      </w:r>
      <w:r>
        <w:rPr>
          <w:rFonts w:hint="eastAsia" w:ascii="宋体" w:hAnsi="宋体" w:eastAsia="宋体" w:cs="宋体"/>
          <w:sz w:val="21"/>
          <w:szCs w:val="21"/>
        </w:rPr>
        <w:t>)。</w:t>
      </w:r>
    </w:p>
    <w:p w14:paraId="373F694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2.6“工程”是指建设工程，包括建筑物和构筑物的新建、改建、扩建、装修、拆除、修缮等，详见《政府采购品目分类目录》(</w:t>
      </w:r>
      <w:r>
        <w:rPr>
          <w:rStyle w:val="43"/>
          <w:rFonts w:hint="eastAsia" w:ascii="宋体" w:hAnsi="宋体" w:eastAsia="宋体" w:cs="宋体"/>
          <w:b w:val="0"/>
          <w:sz w:val="21"/>
          <w:szCs w:val="21"/>
        </w:rPr>
        <w:t>财库[2013]189号</w:t>
      </w:r>
      <w:r>
        <w:rPr>
          <w:rFonts w:hint="eastAsia" w:ascii="宋体" w:hAnsi="宋体" w:eastAsia="宋体" w:cs="宋体"/>
          <w:sz w:val="21"/>
          <w:szCs w:val="21"/>
        </w:rPr>
        <w:t>)。</w:t>
      </w:r>
    </w:p>
    <w:p w14:paraId="28EE06D9">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2.7“服务”是指除货物和工程以外的其他政府采购对象，详见《政府采购品目分类目录》(</w:t>
      </w:r>
      <w:r>
        <w:rPr>
          <w:rStyle w:val="43"/>
          <w:rFonts w:hint="eastAsia" w:ascii="宋体" w:hAnsi="宋体" w:eastAsia="宋体" w:cs="宋体"/>
          <w:b w:val="0"/>
          <w:sz w:val="21"/>
          <w:szCs w:val="21"/>
        </w:rPr>
        <w:t>财库[2013]189号</w:t>
      </w:r>
      <w:r>
        <w:rPr>
          <w:rFonts w:hint="eastAsia" w:ascii="宋体" w:hAnsi="宋体" w:eastAsia="宋体" w:cs="宋体"/>
          <w:sz w:val="21"/>
          <w:szCs w:val="21"/>
        </w:rPr>
        <w:t>)。</w:t>
      </w:r>
    </w:p>
    <w:p w14:paraId="795F5A9A">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2.8“节能产品”或者“环保产品”是指财政部发布的《节能产品政府采购清单》或者《环境标志产品政府采购清单》的产品。</w:t>
      </w:r>
    </w:p>
    <w:p w14:paraId="63D4303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2.9“进口产品”是指通过中国海关报关验放进入中国境内且产自关境外的产品，详见《关于政府采购进口产品管理有关问题的通知》(财库[2007]</w:t>
      </w:r>
      <w:r>
        <w:rPr>
          <w:rFonts w:hint="eastAsia" w:ascii="宋体" w:hAnsi="宋体" w:eastAsia="宋体" w:cs="宋体"/>
          <w:kern w:val="0"/>
          <w:sz w:val="21"/>
          <w:szCs w:val="21"/>
          <w:lang w:eastAsia="zh-CN"/>
        </w:rPr>
        <w:t>10</w:t>
      </w:r>
      <w:r>
        <w:rPr>
          <w:rFonts w:hint="eastAsia" w:ascii="宋体" w:hAnsi="宋体" w:eastAsia="宋体" w:cs="宋体"/>
          <w:kern w:val="0"/>
          <w:sz w:val="21"/>
          <w:szCs w:val="21"/>
        </w:rPr>
        <w:t>9号)。</w:t>
      </w:r>
    </w:p>
    <w:p w14:paraId="3E7E06C3">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2" w:name="_Toc8818"/>
      <w:r>
        <w:rPr>
          <w:rFonts w:hint="eastAsia" w:ascii="宋体" w:hAnsi="宋体" w:eastAsia="宋体" w:cs="宋体"/>
          <w:b/>
          <w:bCs/>
          <w:sz w:val="21"/>
          <w:szCs w:val="21"/>
        </w:rPr>
        <w:t>3.供应商的资格要求</w:t>
      </w:r>
      <w:bookmarkEnd w:id="12"/>
    </w:p>
    <w:p w14:paraId="5F3065B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 供应商应当符合</w:t>
      </w:r>
      <w:r>
        <w:rPr>
          <w:rFonts w:hint="eastAsia" w:ascii="宋体" w:hAnsi="宋体" w:eastAsia="宋体" w:cs="宋体"/>
          <w:b/>
          <w:bCs/>
          <w:sz w:val="21"/>
          <w:szCs w:val="21"/>
        </w:rPr>
        <w:t>磋商须知前附表</w:t>
      </w:r>
      <w:r>
        <w:rPr>
          <w:rFonts w:hint="eastAsia" w:ascii="宋体" w:hAnsi="宋体" w:eastAsia="宋体" w:cs="宋体"/>
          <w:sz w:val="21"/>
          <w:szCs w:val="21"/>
        </w:rPr>
        <w:t>中规定的资格条件要求。</w:t>
      </w:r>
    </w:p>
    <w:p w14:paraId="2B50453F">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1FB2677F">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（1）联合体各方应按磋商文件提供的格式签订联合体协议书，明确联合体牵头人和各方权利义务(含承担工作及工作量比例)；</w:t>
      </w:r>
    </w:p>
    <w:p w14:paraId="14DE4B7B">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（2）联合体中有同类资质的供应商按照联合体分工承担相同工作的，应当按照资质等级较低的供应商确定资质等级；</w:t>
      </w:r>
    </w:p>
    <w:p w14:paraId="5F6FACB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（3）以联合体形式参加政府采购活动的，联合体各方不得再单独参加或者与其他供应商另外组成联合体参加同一合同项下的政府采购活动。</w:t>
      </w:r>
    </w:p>
    <w:p w14:paraId="0A5293A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F2632CC">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）与其他供应商的法定代表人（或者负责人）为同一人，或者与其他供应商存在直接控股、管理关系。</w:t>
      </w:r>
    </w:p>
    <w:p w14:paraId="40E46043">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bCs/>
          <w:sz w:val="21"/>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 w:val="21"/>
          <w:szCs w:val="21"/>
        </w:rPr>
        <w:t>财政部门认定的其他重大违法记录。</w:t>
      </w:r>
    </w:p>
    <w:p w14:paraId="1F122C8F">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3" w:name="_Toc8498"/>
      <w:r>
        <w:rPr>
          <w:rFonts w:hint="eastAsia" w:ascii="宋体" w:hAnsi="宋体" w:eastAsia="宋体" w:cs="宋体"/>
          <w:b/>
          <w:bCs/>
          <w:sz w:val="21"/>
          <w:szCs w:val="21"/>
        </w:rPr>
        <w:t>4.参与磋商的费用</w:t>
      </w:r>
      <w:bookmarkEnd w:id="13"/>
    </w:p>
    <w:p w14:paraId="0A44C462">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4.1无论磋商的结果如何，供应商应自行承担所有与竞争性磋商采购活动有关的全部费用。</w:t>
      </w:r>
    </w:p>
    <w:p w14:paraId="5F4F1766">
      <w:pPr>
        <w:pStyle w:val="24"/>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4" w:name="_Toc31493"/>
      <w:r>
        <w:rPr>
          <w:rFonts w:hint="eastAsia" w:ascii="宋体" w:hAnsi="宋体" w:eastAsia="宋体" w:cs="宋体"/>
          <w:b/>
          <w:sz w:val="21"/>
          <w:szCs w:val="21"/>
        </w:rPr>
        <w:t>5．</w:t>
      </w:r>
      <w:r>
        <w:rPr>
          <w:rFonts w:hint="eastAsia" w:ascii="宋体" w:hAnsi="宋体" w:eastAsia="宋体" w:cs="宋体"/>
          <w:b/>
          <w:bCs/>
          <w:sz w:val="21"/>
          <w:szCs w:val="21"/>
        </w:rPr>
        <w:t>授权委托</w:t>
      </w:r>
      <w:bookmarkEnd w:id="14"/>
    </w:p>
    <w:p w14:paraId="7F2B9179">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5.1供应商代表为供应商法定代表人的，应持有法定代表人身份证明。供应商代表不是供应商法定代表人的，应持有法定代表人授权书，并附法定代表人身份证明。</w:t>
      </w:r>
    </w:p>
    <w:p w14:paraId="74B22E70">
      <w:pPr>
        <w:pStyle w:val="24"/>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sz w:val="21"/>
          <w:szCs w:val="21"/>
        </w:rPr>
      </w:pPr>
      <w:bookmarkStart w:id="15" w:name="_Toc12484"/>
      <w:r>
        <w:rPr>
          <w:rFonts w:hint="eastAsia" w:ascii="宋体" w:hAnsi="宋体" w:eastAsia="宋体" w:cs="宋体"/>
          <w:b/>
          <w:sz w:val="21"/>
          <w:szCs w:val="21"/>
        </w:rPr>
        <w:t>6．联合体形式</w:t>
      </w:r>
      <w:bookmarkEnd w:id="15"/>
    </w:p>
    <w:p w14:paraId="78498630">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6.1除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中另有规定，本次磋商采购不接受为联合体形式的供应商。</w:t>
      </w:r>
    </w:p>
    <w:p w14:paraId="46A19B25">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6.2供应商为联合体形式的，除应符合本章第3条规定外，还应遵守以下规定：</w:t>
      </w:r>
    </w:p>
    <w:p w14:paraId="5A1A4932">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（l）联合体各方必须签订联合体协议书，明确联合体牵头人和各方的义务、工作、合同工作量比例；</w:t>
      </w:r>
    </w:p>
    <w:p w14:paraId="26BF8741">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（2）联合体各方均应当符合本章第3.1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规定的供应商基本资格条件；</w:t>
      </w:r>
    </w:p>
    <w:p w14:paraId="5D0003CD">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中另有规定，联合体各方中至少有一方应当符合本章第3.1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规定的供应商特定资格条件；</w:t>
      </w:r>
    </w:p>
    <w:p w14:paraId="06027EE4">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lang w:val="zh-CN"/>
        </w:rPr>
      </w:pPr>
      <w:r>
        <w:rPr>
          <w:rFonts w:hint="eastAsia" w:ascii="宋体" w:hAnsi="宋体" w:eastAsia="宋体" w:cs="宋体"/>
          <w:sz w:val="21"/>
          <w:szCs w:val="21"/>
        </w:rPr>
        <w:t>（4）</w:t>
      </w:r>
      <w:r>
        <w:rPr>
          <w:rFonts w:hint="eastAsia" w:ascii="宋体" w:hAnsi="宋体" w:eastAsia="宋体" w:cs="宋体"/>
          <w:kern w:val="0"/>
          <w:sz w:val="21"/>
          <w:szCs w:val="21"/>
          <w:lang w:val="zh-CN"/>
        </w:rPr>
        <w:t>联合体各方不得再单独或与其他供应商组成新的联合体参加同一项目的采购活动。</w:t>
      </w:r>
    </w:p>
    <w:p w14:paraId="6B258DC9">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sz w:val="21"/>
          <w:szCs w:val="21"/>
        </w:rPr>
      </w:pPr>
      <w:bookmarkStart w:id="16" w:name="_Toc13712"/>
      <w:r>
        <w:rPr>
          <w:rFonts w:hint="eastAsia" w:ascii="宋体" w:hAnsi="宋体" w:eastAsia="宋体" w:cs="宋体"/>
          <w:b/>
          <w:sz w:val="21"/>
          <w:szCs w:val="21"/>
        </w:rPr>
        <w:t>7.现场勘察</w:t>
      </w:r>
      <w:bookmarkEnd w:id="16"/>
    </w:p>
    <w:p w14:paraId="6920311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7.1供应商应按</w:t>
      </w:r>
      <w:r>
        <w:rPr>
          <w:rFonts w:hint="eastAsia" w:ascii="宋体" w:hAnsi="宋体" w:eastAsia="宋体" w:cs="宋体"/>
          <w:b/>
          <w:sz w:val="21"/>
          <w:szCs w:val="21"/>
        </w:rPr>
        <w:t>磋商须知前附表</w:t>
      </w:r>
      <w:r>
        <w:rPr>
          <w:rFonts w:hint="eastAsia" w:ascii="宋体" w:hAnsi="宋体" w:eastAsia="宋体" w:cs="宋体"/>
          <w:sz w:val="21"/>
          <w:szCs w:val="21"/>
        </w:rPr>
        <w:t>中规定对采购项目现场和周围环境的现场考察。</w:t>
      </w:r>
    </w:p>
    <w:p w14:paraId="260E89D8">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7.2勘察现场的费用由供应商自己承担，勘察期间所发生的人身伤害及财产损失由供应商自己负责。</w:t>
      </w:r>
    </w:p>
    <w:p w14:paraId="53C0FEBA">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7.3采购人不对供应商据此而做出的推论、理解和结论负责。一旦成交，供应商不得以任何借口，提出额外补偿，或延长合同期限的要求。</w:t>
      </w:r>
    </w:p>
    <w:p w14:paraId="5425529A">
      <w:pPr>
        <w:pageBreakBefore w:val="0"/>
        <w:kinsoku/>
        <w:wordWrap/>
        <w:overflowPunct/>
        <w:bidi w:val="0"/>
        <w:adjustRightInd w:val="0"/>
        <w:snapToGrid w:val="0"/>
        <w:spacing w:beforeAutospacing="0" w:afterAutospacing="0" w:line="560" w:lineRule="exact"/>
        <w:jc w:val="left"/>
        <w:outlineLvl w:val="2"/>
        <w:rPr>
          <w:rFonts w:hint="eastAsia" w:ascii="宋体" w:hAnsi="宋体" w:eastAsia="宋体" w:cs="宋体"/>
          <w:b/>
          <w:sz w:val="21"/>
          <w:szCs w:val="21"/>
        </w:rPr>
      </w:pPr>
      <w:bookmarkStart w:id="17" w:name="_Toc9734"/>
      <w:r>
        <w:rPr>
          <w:rFonts w:hint="eastAsia" w:ascii="宋体" w:hAnsi="宋体" w:eastAsia="宋体" w:cs="宋体"/>
          <w:b/>
          <w:sz w:val="21"/>
          <w:szCs w:val="21"/>
        </w:rPr>
        <w:t>8.采购进口产品</w:t>
      </w:r>
      <w:bookmarkEnd w:id="17"/>
    </w:p>
    <w:p w14:paraId="68A0EE82">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sz w:val="21"/>
          <w:szCs w:val="21"/>
        </w:rPr>
        <w:t>8.1除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另有规定外，本项目</w:t>
      </w:r>
      <w:r>
        <w:rPr>
          <w:rFonts w:hint="eastAsia" w:ascii="宋体" w:hAnsi="宋体" w:eastAsia="宋体" w:cs="宋体"/>
          <w:kern w:val="0"/>
          <w:sz w:val="21"/>
          <w:szCs w:val="21"/>
        </w:rPr>
        <w:t>拒绝进口产品参加</w:t>
      </w:r>
      <w:r>
        <w:rPr>
          <w:rFonts w:hint="eastAsia" w:ascii="宋体" w:hAnsi="宋体" w:eastAsia="宋体" w:cs="宋体"/>
          <w:sz w:val="21"/>
          <w:szCs w:val="21"/>
        </w:rPr>
        <w:t>竞争性磋商采购活动</w:t>
      </w:r>
      <w:r>
        <w:rPr>
          <w:rFonts w:hint="eastAsia" w:ascii="宋体" w:hAnsi="宋体" w:eastAsia="宋体" w:cs="宋体"/>
          <w:kern w:val="0"/>
          <w:sz w:val="21"/>
          <w:szCs w:val="21"/>
        </w:rPr>
        <w:t>。</w:t>
      </w:r>
    </w:p>
    <w:p w14:paraId="674BCFE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8.2</w:t>
      </w:r>
      <w:r>
        <w:rPr>
          <w:rFonts w:hint="eastAsia" w:ascii="宋体" w:hAnsi="宋体" w:eastAsia="宋体" w:cs="宋体"/>
          <w:sz w:val="21"/>
          <w:szCs w:val="21"/>
        </w:rPr>
        <w:t>本章第8.1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同意购买进口产品的，</w:t>
      </w:r>
      <w:r>
        <w:rPr>
          <w:rFonts w:hint="eastAsia" w:ascii="宋体" w:hAnsi="宋体" w:eastAsia="宋体" w:cs="宋体"/>
          <w:sz w:val="21"/>
          <w:szCs w:val="21"/>
        </w:rPr>
        <w:t>本项目</w:t>
      </w:r>
      <w:r>
        <w:rPr>
          <w:rFonts w:hint="eastAsia" w:ascii="宋体" w:hAnsi="宋体" w:eastAsia="宋体" w:cs="宋体"/>
          <w:kern w:val="0"/>
          <w:sz w:val="21"/>
          <w:szCs w:val="21"/>
          <w:lang w:val="zh-CN"/>
        </w:rPr>
        <w:t>采购活动</w:t>
      </w:r>
      <w:r>
        <w:rPr>
          <w:rFonts w:hint="eastAsia" w:ascii="宋体" w:hAnsi="宋体" w:eastAsia="宋体" w:cs="宋体"/>
          <w:kern w:val="0"/>
          <w:sz w:val="21"/>
          <w:szCs w:val="21"/>
        </w:rPr>
        <w:t>不限制满足</w:t>
      </w:r>
      <w:r>
        <w:rPr>
          <w:rFonts w:hint="eastAsia" w:ascii="宋体" w:hAnsi="宋体" w:eastAsia="宋体" w:cs="宋体"/>
          <w:sz w:val="21"/>
          <w:szCs w:val="21"/>
        </w:rPr>
        <w:t>磋商文件要求</w:t>
      </w:r>
      <w:r>
        <w:rPr>
          <w:rFonts w:hint="eastAsia" w:ascii="宋体" w:hAnsi="宋体" w:eastAsia="宋体" w:cs="宋体"/>
          <w:kern w:val="0"/>
          <w:sz w:val="21"/>
          <w:szCs w:val="21"/>
        </w:rPr>
        <w:t>的国内产品参与</w:t>
      </w:r>
      <w:r>
        <w:rPr>
          <w:rFonts w:hint="eastAsia" w:ascii="宋体" w:hAnsi="宋体" w:eastAsia="宋体" w:cs="宋体"/>
          <w:sz w:val="21"/>
          <w:szCs w:val="21"/>
        </w:rPr>
        <w:t>竞争性磋商</w:t>
      </w:r>
      <w:r>
        <w:rPr>
          <w:rFonts w:hint="eastAsia" w:ascii="宋体" w:hAnsi="宋体" w:eastAsia="宋体" w:cs="宋体"/>
          <w:kern w:val="0"/>
          <w:sz w:val="21"/>
          <w:szCs w:val="21"/>
        </w:rPr>
        <w:t>。</w:t>
      </w:r>
    </w:p>
    <w:p w14:paraId="36AA8BD7">
      <w:pPr>
        <w:pageBreakBefore w:val="0"/>
        <w:kinsoku/>
        <w:wordWrap/>
        <w:overflowPunct/>
        <w:bidi w:val="0"/>
        <w:adjustRightInd w:val="0"/>
        <w:snapToGrid w:val="0"/>
        <w:spacing w:beforeAutospacing="0" w:afterAutospacing="0" w:line="560" w:lineRule="exact"/>
        <w:jc w:val="left"/>
        <w:outlineLvl w:val="2"/>
        <w:rPr>
          <w:rFonts w:hint="eastAsia" w:ascii="宋体" w:hAnsi="宋体" w:eastAsia="宋体" w:cs="宋体"/>
          <w:b/>
          <w:sz w:val="21"/>
          <w:szCs w:val="21"/>
        </w:rPr>
      </w:pPr>
      <w:bookmarkStart w:id="18" w:name="_Toc17736"/>
      <w:r>
        <w:rPr>
          <w:rFonts w:hint="eastAsia" w:ascii="宋体" w:hAnsi="宋体" w:eastAsia="宋体" w:cs="宋体"/>
          <w:b/>
          <w:bCs/>
          <w:sz w:val="21"/>
          <w:szCs w:val="21"/>
        </w:rPr>
        <w:t>9.</w:t>
      </w:r>
      <w:r>
        <w:rPr>
          <w:rFonts w:hint="eastAsia" w:ascii="宋体" w:hAnsi="宋体" w:eastAsia="宋体" w:cs="宋体"/>
          <w:b/>
          <w:sz w:val="21"/>
          <w:szCs w:val="21"/>
        </w:rPr>
        <w:t>政府采购政策支持</w:t>
      </w:r>
      <w:bookmarkEnd w:id="18"/>
    </w:p>
    <w:p w14:paraId="20E96A8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bookmarkStart w:id="19" w:name="_Toc3591"/>
      <w:r>
        <w:rPr>
          <w:rFonts w:hint="eastAsia" w:ascii="宋体" w:hAnsi="宋体" w:eastAsia="宋体" w:cs="宋体"/>
          <w:b w:val="0"/>
          <w:bCs/>
          <w:sz w:val="21"/>
          <w:szCs w:val="21"/>
        </w:rPr>
        <w:t>9.1对列入财政部、国家发展改革委发布的《节能产品政府采购清单》且属于应当“强制采购的节能产品”，按照规定实行强制采购。实行政府采购强制采购的节能产品见磋商文件前附表。</w:t>
      </w:r>
    </w:p>
    <w:p w14:paraId="613A07B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9.2对列入财政部、国家发展改革委发布的《节能产品政府采购清单》的“非强制采购节能产品”，财政部、环境保护部发布的《环境标志产品政府采购清单》的“环境标志产品”，中小企业，实行优先采购，按照省级以上财政部门有关政策规定，评审时进行价格扣除或加分。实行政府采购优先采购的优惠率见磋商文件前附表。</w:t>
      </w:r>
    </w:p>
    <w:p w14:paraId="2E7D0D9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0B716FA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9.4同一项目中部分产品属于优先采购政策的，评审时只对该部分产品的报价实行价格扣除及加分。</w:t>
      </w:r>
    </w:p>
    <w:p w14:paraId="69B8BB87">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9.5符合本章第9.1款、第9.2款规定的，应提供相关证明资料。</w:t>
      </w:r>
    </w:p>
    <w:p w14:paraId="41B8CBEF">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9.6供应商有融资、担保需求的，具体办理流程可向磋商须知前附表所列金融机构和担保机构询问。</w:t>
      </w:r>
    </w:p>
    <w:p w14:paraId="6B44843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二、磋商文件</w:t>
      </w:r>
      <w:bookmarkEnd w:id="19"/>
    </w:p>
    <w:p w14:paraId="26C222F7">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10．磋商文件的组成</w:t>
      </w:r>
    </w:p>
    <w:p w14:paraId="6DBC2B49">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10.1磋商文件由下列文件组成：</w:t>
      </w:r>
    </w:p>
    <w:p w14:paraId="6C3369E2">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第一章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磋商邀请</w:t>
      </w:r>
    </w:p>
    <w:p w14:paraId="19495B81">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第二章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磋商须知</w:t>
      </w:r>
    </w:p>
    <w:p w14:paraId="5550E56F">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第三章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评审方法及标准</w:t>
      </w:r>
    </w:p>
    <w:p w14:paraId="7DD942D8">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第四章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政府采购合同格式</w:t>
      </w:r>
    </w:p>
    <w:p w14:paraId="34D0AF3A">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第五章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采购需求</w:t>
      </w:r>
    </w:p>
    <w:p w14:paraId="3BAE1B2D">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第六章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响应文件组成</w:t>
      </w:r>
    </w:p>
    <w:p w14:paraId="19EC4685">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bookmarkStart w:id="20" w:name="_Toc5863"/>
      <w:r>
        <w:rPr>
          <w:rFonts w:hint="eastAsia" w:ascii="宋体" w:hAnsi="宋体" w:eastAsia="宋体" w:cs="宋体"/>
          <w:sz w:val="21"/>
          <w:szCs w:val="21"/>
        </w:rPr>
        <w:t>10.</w:t>
      </w:r>
      <w:r>
        <w:rPr>
          <w:rFonts w:hint="eastAsia" w:ascii="宋体" w:hAnsi="宋体" w:eastAsia="宋体" w:cs="宋体"/>
          <w:sz w:val="21"/>
          <w:szCs w:val="21"/>
          <w:lang w:val="en-US" w:eastAsia="zh-CN"/>
        </w:rPr>
        <w:t>2</w:t>
      </w:r>
      <w:r>
        <w:rPr>
          <w:rFonts w:hint="eastAsia" w:ascii="宋体" w:hAnsi="宋体" w:eastAsia="宋体" w:cs="宋体"/>
          <w:sz w:val="21"/>
          <w:szCs w:val="21"/>
        </w:rPr>
        <w:t>磋商小组根据与供应商磋商情况可能实质性变动的内容，包括采购需求中的技术、服务要求以及合同条款，在</w:t>
      </w:r>
      <w:r>
        <w:rPr>
          <w:rFonts w:hint="eastAsia" w:ascii="宋体" w:hAnsi="宋体" w:eastAsia="宋体" w:cs="宋体"/>
          <w:b/>
          <w:sz w:val="21"/>
          <w:szCs w:val="21"/>
        </w:rPr>
        <w:t>磋商须知前附表</w:t>
      </w:r>
      <w:r>
        <w:rPr>
          <w:rFonts w:hint="eastAsia" w:ascii="宋体" w:hAnsi="宋体" w:eastAsia="宋体" w:cs="宋体"/>
          <w:sz w:val="21"/>
          <w:szCs w:val="21"/>
        </w:rPr>
        <w:t>中明确。</w:t>
      </w:r>
    </w:p>
    <w:p w14:paraId="092001E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3</w:t>
      </w:r>
      <w:r>
        <w:rPr>
          <w:rFonts w:hint="eastAsia" w:ascii="宋体" w:hAnsi="宋体" w:eastAsia="宋体" w:cs="宋体"/>
          <w:sz w:val="21"/>
          <w:szCs w:val="21"/>
        </w:rPr>
        <w:t>供应商应仔细阅读</w:t>
      </w:r>
      <w:r>
        <w:rPr>
          <w:rFonts w:hint="eastAsia" w:ascii="宋体" w:hAnsi="宋体" w:eastAsia="宋体" w:cs="宋体"/>
          <w:bCs/>
          <w:sz w:val="21"/>
          <w:szCs w:val="21"/>
        </w:rPr>
        <w:t>磋商</w:t>
      </w:r>
      <w:r>
        <w:rPr>
          <w:rFonts w:hint="eastAsia" w:ascii="宋体" w:hAnsi="宋体" w:eastAsia="宋体" w:cs="宋体"/>
          <w:sz w:val="21"/>
          <w:szCs w:val="21"/>
        </w:rPr>
        <w:t>文件的全部内容，按照</w:t>
      </w:r>
      <w:r>
        <w:rPr>
          <w:rFonts w:hint="eastAsia" w:ascii="宋体" w:hAnsi="宋体" w:eastAsia="宋体" w:cs="宋体"/>
          <w:bCs/>
          <w:sz w:val="21"/>
          <w:szCs w:val="21"/>
        </w:rPr>
        <w:t>磋商</w:t>
      </w:r>
      <w:r>
        <w:rPr>
          <w:rFonts w:hint="eastAsia" w:ascii="宋体" w:hAnsi="宋体" w:eastAsia="宋体" w:cs="宋体"/>
          <w:sz w:val="21"/>
          <w:szCs w:val="21"/>
        </w:rPr>
        <w:t>文件要求编制响应文件。任何对</w:t>
      </w:r>
      <w:r>
        <w:rPr>
          <w:rFonts w:hint="eastAsia" w:ascii="宋体" w:hAnsi="宋体" w:eastAsia="宋体" w:cs="宋体"/>
          <w:bCs/>
          <w:sz w:val="21"/>
          <w:szCs w:val="21"/>
        </w:rPr>
        <w:t>磋商</w:t>
      </w:r>
      <w:r>
        <w:rPr>
          <w:rFonts w:hint="eastAsia" w:ascii="宋体" w:hAnsi="宋体" w:eastAsia="宋体" w:cs="宋体"/>
          <w:sz w:val="21"/>
          <w:szCs w:val="21"/>
        </w:rPr>
        <w:t>文件的忽略或误解不能作为响应文件存在缺陷或瑕疵的理由，其风险由供应商承担。</w:t>
      </w:r>
    </w:p>
    <w:p w14:paraId="5FFDFD72">
      <w:pPr>
        <w:adjustRightInd w:val="0"/>
        <w:snapToGrid w:val="0"/>
        <w:spacing w:line="360" w:lineRule="auto"/>
        <w:ind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1</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 xml:space="preserve"> 磋商文件的提供期限</w:t>
      </w:r>
    </w:p>
    <w:p w14:paraId="234A0E49">
      <w:pPr>
        <w:adjustRightInd w:val="0"/>
        <w:snapToGrid w:val="0"/>
        <w:spacing w:line="360" w:lineRule="auto"/>
        <w:ind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.1磋商文件的提供期限自开始发出之日起不得少于五个工作日。具体提供期限见</w:t>
      </w:r>
      <w:r>
        <w:rPr>
          <w:rFonts w:hint="eastAsia" w:ascii="宋体" w:hAnsi="宋体" w:eastAsia="宋体" w:cs="宋体"/>
          <w:b/>
          <w:color w:val="auto"/>
          <w:sz w:val="21"/>
          <w:szCs w:val="21"/>
          <w:highlight w:val="none"/>
        </w:rPr>
        <w:t>磋商</w:t>
      </w:r>
      <w:r>
        <w:rPr>
          <w:rFonts w:hint="eastAsia" w:ascii="宋体" w:hAnsi="宋体" w:eastAsia="宋体" w:cs="宋体"/>
          <w:b/>
          <w:color w:val="auto"/>
          <w:sz w:val="21"/>
          <w:szCs w:val="21"/>
          <w:highlight w:val="none"/>
          <w:lang w:val="en-US" w:eastAsia="zh-CN"/>
        </w:rPr>
        <w:t>须知</w:t>
      </w:r>
      <w:r>
        <w:rPr>
          <w:rFonts w:hint="eastAsia" w:ascii="宋体" w:hAnsi="宋体" w:eastAsia="宋体" w:cs="宋体"/>
          <w:b/>
          <w:color w:val="auto"/>
          <w:sz w:val="21"/>
          <w:szCs w:val="21"/>
          <w:highlight w:val="none"/>
        </w:rPr>
        <w:t>前附表</w:t>
      </w:r>
      <w:r>
        <w:rPr>
          <w:rFonts w:hint="eastAsia" w:ascii="宋体" w:hAnsi="宋体" w:eastAsia="宋体" w:cs="宋体"/>
          <w:color w:val="auto"/>
          <w:sz w:val="21"/>
          <w:szCs w:val="21"/>
          <w:highlight w:val="none"/>
        </w:rPr>
        <w:t>。</w:t>
      </w:r>
    </w:p>
    <w:p w14:paraId="18DB1092">
      <w:pPr>
        <w:pStyle w:val="5"/>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s="宋体"/>
          <w:b w:val="0"/>
          <w:bCs w:val="0"/>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sz w:val="21"/>
          <w:szCs w:val="21"/>
          <w:highlight w:val="none"/>
          <w:lang w:val="en-US" w:eastAsia="zh-CN"/>
        </w:rPr>
        <w:t>供应商应持</w:t>
      </w:r>
      <w:r>
        <w:rPr>
          <w:rFonts w:hint="eastAsia" w:ascii="宋体" w:hAnsi="宋体" w:eastAsia="宋体" w:cs="宋体"/>
          <w:b/>
          <w:bCs/>
          <w:color w:val="auto"/>
          <w:sz w:val="21"/>
          <w:szCs w:val="21"/>
          <w:highlight w:val="none"/>
          <w:lang w:val="en-US" w:eastAsia="zh-CN"/>
        </w:rPr>
        <w:t>磋商须知前附表</w:t>
      </w:r>
      <w:r>
        <w:rPr>
          <w:rFonts w:hint="eastAsia" w:ascii="宋体" w:hAnsi="宋体" w:eastAsia="宋体" w:cs="宋体"/>
          <w:b w:val="0"/>
          <w:bCs w:val="0"/>
          <w:color w:val="auto"/>
          <w:sz w:val="21"/>
          <w:szCs w:val="21"/>
          <w:highlight w:val="none"/>
          <w:lang w:val="en-US" w:eastAsia="zh-CN"/>
        </w:rPr>
        <w:t>规定的资料领取磋商文件。</w:t>
      </w:r>
    </w:p>
    <w:p w14:paraId="1444F05A">
      <w:pPr>
        <w:pStyle w:val="24"/>
        <w:adjustRightInd w:val="0"/>
        <w:snapToGrid w:val="0"/>
        <w:spacing w:line="360" w:lineRule="auto"/>
        <w:ind w:right="0" w:right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12.</w:t>
      </w:r>
      <w:r>
        <w:rPr>
          <w:rFonts w:hint="eastAsia" w:ascii="宋体" w:hAnsi="宋体" w:eastAsia="宋体" w:cs="宋体"/>
          <w:b/>
          <w:color w:val="auto"/>
          <w:kern w:val="0"/>
          <w:sz w:val="21"/>
          <w:szCs w:val="21"/>
          <w:highlight w:val="none"/>
        </w:rPr>
        <w:t>提交首次响应文件</w:t>
      </w:r>
      <w:r>
        <w:rPr>
          <w:rFonts w:hint="eastAsia" w:ascii="宋体" w:hAnsi="宋体" w:eastAsia="宋体" w:cs="宋体"/>
          <w:b/>
          <w:color w:val="auto"/>
          <w:sz w:val="21"/>
          <w:szCs w:val="21"/>
          <w:highlight w:val="none"/>
        </w:rPr>
        <w:t>的</w:t>
      </w:r>
      <w:r>
        <w:rPr>
          <w:rFonts w:hint="eastAsia" w:ascii="宋体" w:hAnsi="宋体" w:eastAsia="宋体" w:cs="宋体"/>
          <w:b/>
          <w:color w:val="auto"/>
          <w:kern w:val="0"/>
          <w:sz w:val="21"/>
          <w:szCs w:val="21"/>
          <w:highlight w:val="none"/>
        </w:rPr>
        <w:t>截止</w:t>
      </w:r>
      <w:r>
        <w:rPr>
          <w:rFonts w:hint="eastAsia" w:ascii="宋体" w:hAnsi="宋体" w:eastAsia="宋体" w:cs="宋体"/>
          <w:b/>
          <w:color w:val="auto"/>
          <w:sz w:val="21"/>
          <w:szCs w:val="21"/>
          <w:highlight w:val="none"/>
        </w:rPr>
        <w:t>时间</w:t>
      </w:r>
    </w:p>
    <w:p w14:paraId="73F82580">
      <w:pPr>
        <w:pStyle w:val="24"/>
        <w:adjustRightInd w:val="0"/>
        <w:snapToGrid w:val="0"/>
        <w:spacing w:line="360" w:lineRule="auto"/>
        <w:ind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r>
        <w:rPr>
          <w:rFonts w:hint="eastAsia" w:ascii="宋体" w:hAnsi="宋体" w:eastAsia="宋体" w:cs="宋体"/>
          <w:color w:val="auto"/>
          <w:kern w:val="0"/>
          <w:sz w:val="21"/>
          <w:szCs w:val="21"/>
          <w:highlight w:val="none"/>
        </w:rPr>
        <w:t>供应商提交首次响应文件截止</w:t>
      </w:r>
      <w:r>
        <w:rPr>
          <w:rFonts w:hint="eastAsia" w:ascii="宋体" w:hAnsi="宋体" w:eastAsia="宋体" w:cs="宋体"/>
          <w:color w:val="auto"/>
          <w:sz w:val="21"/>
          <w:szCs w:val="21"/>
          <w:highlight w:val="none"/>
        </w:rPr>
        <w:t>时间见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1F8E4998">
      <w:pPr>
        <w:adjustRightInd w:val="0"/>
        <w:snapToGrid w:val="0"/>
        <w:spacing w:line="360" w:lineRule="auto"/>
        <w:ind w:right="0" w:righ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13.磋商文件的澄清</w:t>
      </w:r>
      <w:r>
        <w:rPr>
          <w:rFonts w:hint="eastAsia" w:ascii="宋体" w:hAnsi="宋体" w:eastAsia="宋体" w:cs="宋体"/>
          <w:b/>
          <w:color w:val="auto"/>
          <w:kern w:val="0"/>
          <w:sz w:val="21"/>
          <w:szCs w:val="21"/>
          <w:highlight w:val="none"/>
          <w:lang w:val="zh-CN"/>
        </w:rPr>
        <w:t>或者</w:t>
      </w:r>
      <w:r>
        <w:rPr>
          <w:rFonts w:hint="eastAsia" w:ascii="宋体" w:hAnsi="宋体" w:eastAsia="宋体" w:cs="宋体"/>
          <w:b/>
          <w:bCs/>
          <w:color w:val="auto"/>
          <w:sz w:val="21"/>
          <w:szCs w:val="21"/>
          <w:highlight w:val="none"/>
        </w:rPr>
        <w:t>修改</w:t>
      </w:r>
    </w:p>
    <w:p w14:paraId="169C32F2">
      <w:pPr>
        <w:adjustRightInd w:val="0"/>
        <w:snapToGrid w:val="0"/>
        <w:spacing w:line="360" w:lineRule="auto"/>
        <w:ind w:right="0" w:rightChars="0"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13.1在</w:t>
      </w:r>
      <w:r>
        <w:rPr>
          <w:rFonts w:hint="eastAsia" w:ascii="宋体" w:hAnsi="宋体" w:eastAsia="宋体" w:cs="宋体"/>
          <w:color w:val="auto"/>
          <w:kern w:val="0"/>
          <w:sz w:val="21"/>
          <w:szCs w:val="21"/>
          <w:highlight w:val="none"/>
        </w:rPr>
        <w:t xml:space="preserve">提交首次响应文件截止之日前，采购人、采购代理机构可以对已发出的磋商文件进行必要的澄清或者修改。 </w:t>
      </w:r>
    </w:p>
    <w:p w14:paraId="2CCC44FB">
      <w:pPr>
        <w:adjustRightInd w:val="0"/>
        <w:snapToGrid w:val="0"/>
        <w:spacing w:line="360" w:lineRule="auto"/>
        <w:ind w:right="0" w:rightChars="0"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澄清或者修改的内容可能影响响应文件编制的，采购人、采购代理机构应当在提交首次响应文件截止</w:t>
      </w:r>
      <w:r>
        <w:rPr>
          <w:rFonts w:hint="eastAsia" w:ascii="宋体" w:hAnsi="宋体" w:eastAsia="宋体" w:cs="宋体"/>
          <w:color w:val="auto"/>
          <w:kern w:val="0"/>
          <w:sz w:val="21"/>
          <w:szCs w:val="21"/>
          <w:highlight w:val="none"/>
          <w:lang w:eastAsia="zh-CN"/>
        </w:rPr>
        <w:t>至少</w:t>
      </w:r>
      <w:r>
        <w:rPr>
          <w:rFonts w:hint="eastAsia" w:ascii="宋体" w:hAnsi="宋体" w:eastAsia="宋体" w:cs="宋体"/>
          <w:color w:val="auto"/>
          <w:kern w:val="0"/>
          <w:sz w:val="21"/>
          <w:szCs w:val="21"/>
          <w:highlight w:val="none"/>
          <w:lang w:val="en-US" w:eastAsia="zh-CN"/>
        </w:rPr>
        <w:t>5日前</w:t>
      </w:r>
      <w:r>
        <w:rPr>
          <w:rFonts w:hint="eastAsia" w:ascii="宋体" w:hAnsi="宋体" w:eastAsia="宋体" w:cs="宋体"/>
          <w:color w:val="auto"/>
          <w:kern w:val="0"/>
          <w:sz w:val="21"/>
          <w:szCs w:val="21"/>
          <w:highlight w:val="none"/>
        </w:rPr>
        <w:t>，以书面形式通知所有接收磋商文件的供应商，不足</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日的，顺延供应商提交首次响应文件截止时间。</w:t>
      </w:r>
    </w:p>
    <w:p w14:paraId="2F2B5F66">
      <w:pPr>
        <w:pStyle w:val="24"/>
        <w:adjustRightInd w:val="0"/>
        <w:snapToGrid w:val="0"/>
        <w:spacing w:line="360" w:lineRule="auto"/>
        <w:ind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提交首次响应文件截止时间前对磋商文件澄清或者修改内容，为磋商文件的组成部分。</w:t>
      </w:r>
    </w:p>
    <w:p w14:paraId="628E93A3">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三、响应文件</w:t>
      </w:r>
      <w:bookmarkEnd w:id="20"/>
    </w:p>
    <w:p w14:paraId="2CE0F9E5">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.一般要求</w:t>
      </w:r>
    </w:p>
    <w:p w14:paraId="2A80FC9B">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.1供应商应仔细阅读磋商文件的所有内容，按磋商文件的要求编制响应文件，并保证所提供的全部资料的真实性，以使其响应文件对磋商文件做出实质性的响应。</w:t>
      </w:r>
    </w:p>
    <w:p w14:paraId="50EF461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.2</w:t>
      </w:r>
      <w:r>
        <w:rPr>
          <w:rFonts w:hint="eastAsia" w:ascii="宋体" w:hAnsi="宋体" w:eastAsia="宋体" w:cs="宋体"/>
          <w:sz w:val="21"/>
          <w:szCs w:val="21"/>
        </w:rPr>
        <w:t>供应商提交的响应文件及供应商与采购人或采购代理机构、磋商小组就有关磋商的所有来往函电均使用中文。供应商可以提交其它语言的资料，但应附中文注释，在有差异时以中文为准。</w:t>
      </w:r>
    </w:p>
    <w:p w14:paraId="40E9FCFF">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.3</w:t>
      </w:r>
      <w:r>
        <w:rPr>
          <w:rFonts w:hint="eastAsia" w:ascii="宋体" w:hAnsi="宋体" w:eastAsia="宋体" w:cs="宋体"/>
          <w:sz w:val="21"/>
          <w:szCs w:val="21"/>
        </w:rPr>
        <w:t>计量单位应使用我国法定计量单位，未列明时应默认为我国法定计量单位。</w:t>
      </w:r>
    </w:p>
    <w:p w14:paraId="1138A513">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.4响应文件应采用书面形式，电报、传真、电子邮件形式的响应文件概不接受。</w:t>
      </w:r>
    </w:p>
    <w:p w14:paraId="4257775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.5供应商应按磋商文件中提供的响应文件格式填写。</w:t>
      </w:r>
    </w:p>
    <w:p w14:paraId="4A7369D1">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的组成</w:t>
      </w:r>
    </w:p>
    <w:p w14:paraId="483EF0BB">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bookmarkStart w:id="21" w:name="_Toc14114"/>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.1响应文件包括下列内容：</w:t>
      </w:r>
      <w:bookmarkEnd w:id="21"/>
    </w:p>
    <w:p w14:paraId="2245F2F1">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磋商响应声明</w:t>
      </w:r>
    </w:p>
    <w:p w14:paraId="6CB4D45B">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二、</w:t>
      </w:r>
      <w:r>
        <w:rPr>
          <w:rFonts w:hint="eastAsia" w:ascii="宋体" w:hAnsi="宋体" w:eastAsia="宋体" w:cs="宋体"/>
          <w:sz w:val="21"/>
          <w:szCs w:val="21"/>
        </w:rPr>
        <w:t>保证金</w:t>
      </w:r>
    </w:p>
    <w:p w14:paraId="12CA63F8">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供应商的资格证明文件</w:t>
      </w:r>
    </w:p>
    <w:p w14:paraId="02561CA9">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四、项目实施方案</w:t>
      </w:r>
    </w:p>
    <w:p w14:paraId="3FFDFC33">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技术/商务响应与偏离表</w:t>
      </w:r>
    </w:p>
    <w:p w14:paraId="1F1E5343">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六、</w:t>
      </w:r>
      <w:r>
        <w:rPr>
          <w:rFonts w:hint="eastAsia" w:ascii="宋体" w:hAnsi="宋体" w:eastAsia="宋体" w:cs="宋体"/>
          <w:sz w:val="21"/>
          <w:szCs w:val="21"/>
        </w:rPr>
        <w:t>提供政府采购政策的证明材料</w:t>
      </w:r>
    </w:p>
    <w:p w14:paraId="6141735B">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七、</w:t>
      </w:r>
      <w:r>
        <w:rPr>
          <w:rFonts w:hint="eastAsia" w:ascii="宋体" w:hAnsi="宋体" w:eastAsia="宋体" w:cs="宋体"/>
          <w:sz w:val="21"/>
          <w:szCs w:val="21"/>
        </w:rPr>
        <w:t>报价一览表及报价文件</w:t>
      </w:r>
    </w:p>
    <w:p w14:paraId="0367068D">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八、</w:t>
      </w:r>
      <w:r>
        <w:rPr>
          <w:rFonts w:hint="eastAsia" w:ascii="宋体" w:hAnsi="宋体" w:eastAsia="宋体" w:cs="宋体"/>
          <w:sz w:val="21"/>
          <w:szCs w:val="21"/>
        </w:rPr>
        <w:t>供应商认为需提供的其它资料</w:t>
      </w:r>
    </w:p>
    <w:p w14:paraId="24DBE707">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九、</w:t>
      </w:r>
      <w:r>
        <w:rPr>
          <w:rFonts w:hint="eastAsia" w:ascii="宋体" w:hAnsi="宋体" w:eastAsia="宋体" w:cs="宋体"/>
          <w:sz w:val="21"/>
          <w:szCs w:val="21"/>
        </w:rPr>
        <w:t>最终报价表</w:t>
      </w:r>
    </w:p>
    <w:p w14:paraId="0EE2569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在磋商过程中，供应商根据</w:t>
      </w:r>
      <w:r>
        <w:rPr>
          <w:rFonts w:hint="eastAsia" w:ascii="宋体" w:hAnsi="宋体" w:eastAsia="宋体" w:cs="宋体"/>
          <w:kern w:val="0"/>
          <w:sz w:val="21"/>
          <w:szCs w:val="21"/>
        </w:rPr>
        <w:t>磋商小组</w:t>
      </w:r>
      <w:r>
        <w:rPr>
          <w:rFonts w:hint="eastAsia" w:ascii="宋体" w:hAnsi="宋体" w:eastAsia="宋体" w:cs="宋体"/>
          <w:bCs/>
          <w:sz w:val="21"/>
          <w:szCs w:val="21"/>
        </w:rPr>
        <w:t>书面形式要求</w:t>
      </w:r>
      <w:r>
        <w:rPr>
          <w:rFonts w:hint="eastAsia" w:ascii="宋体" w:hAnsi="宋体" w:eastAsia="宋体" w:cs="宋体"/>
          <w:kern w:val="0"/>
          <w:sz w:val="21"/>
          <w:szCs w:val="21"/>
        </w:rPr>
        <w:t>提交的</w:t>
      </w:r>
      <w:r>
        <w:rPr>
          <w:rFonts w:hint="eastAsia" w:ascii="宋体" w:hAnsi="宋体" w:eastAsia="宋体" w:cs="宋体"/>
          <w:sz w:val="21"/>
          <w:szCs w:val="21"/>
        </w:rPr>
        <w:t>最后报价(或者</w:t>
      </w:r>
      <w:r>
        <w:rPr>
          <w:rFonts w:hint="eastAsia" w:ascii="宋体" w:hAnsi="宋体" w:eastAsia="宋体" w:cs="宋体"/>
          <w:bCs/>
          <w:sz w:val="21"/>
          <w:szCs w:val="21"/>
        </w:rPr>
        <w:t>重</w:t>
      </w:r>
      <w:r>
        <w:rPr>
          <w:rFonts w:hint="eastAsia" w:ascii="宋体" w:hAnsi="宋体" w:eastAsia="宋体" w:cs="宋体"/>
          <w:kern w:val="0"/>
          <w:sz w:val="21"/>
          <w:szCs w:val="21"/>
        </w:rPr>
        <w:t>新提交的响应文件和</w:t>
      </w:r>
      <w:r>
        <w:rPr>
          <w:rFonts w:hint="eastAsia" w:ascii="宋体" w:hAnsi="宋体" w:eastAsia="宋体" w:cs="宋体"/>
          <w:sz w:val="21"/>
          <w:szCs w:val="21"/>
        </w:rPr>
        <w:t>最后报价)是响应文件的有效组成部分。</w:t>
      </w:r>
    </w:p>
    <w:p w14:paraId="5BCEC2E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kern w:val="0"/>
          <w:sz w:val="21"/>
          <w:szCs w:val="21"/>
        </w:rPr>
        <w:t>磋商文件规定可能发生实质性变动的，供应商应当在</w:t>
      </w:r>
      <w:r>
        <w:rPr>
          <w:rFonts w:hint="eastAsia" w:ascii="宋体" w:hAnsi="宋体" w:eastAsia="宋体" w:cs="宋体"/>
          <w:sz w:val="21"/>
          <w:szCs w:val="21"/>
        </w:rPr>
        <w:t>《技术/商务响应与偏离表》中对应内容注明。</w:t>
      </w:r>
    </w:p>
    <w:p w14:paraId="6961E28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根据</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第四十二条的规定，供应商无论成交与否，其响应文件不予退还。</w:t>
      </w:r>
    </w:p>
    <w:p w14:paraId="0922D37E">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.报价</w:t>
      </w:r>
    </w:p>
    <w:p w14:paraId="08A1678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.1供应商应当根据磋商文件要求和范围，以</w:t>
      </w:r>
      <w:r>
        <w:rPr>
          <w:rFonts w:hint="eastAsia" w:ascii="宋体" w:hAnsi="宋体" w:eastAsia="宋体" w:cs="宋体"/>
          <w:bCs/>
          <w:sz w:val="21"/>
          <w:szCs w:val="21"/>
        </w:rPr>
        <w:t>人民币</w:t>
      </w:r>
      <w:r>
        <w:rPr>
          <w:rFonts w:hint="eastAsia" w:ascii="宋体" w:hAnsi="宋体" w:eastAsia="宋体" w:cs="宋体"/>
          <w:sz w:val="21"/>
          <w:szCs w:val="21"/>
        </w:rPr>
        <w:t>报价，以元为单位，保留小数点后两位。</w:t>
      </w:r>
    </w:p>
    <w:p w14:paraId="636C3712">
      <w:pPr>
        <w:pStyle w:val="7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.2供应商应按第六章“响应文件组成”格式填写。</w:t>
      </w:r>
    </w:p>
    <w:p w14:paraId="5424E4F8">
      <w:pPr>
        <w:pStyle w:val="7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16.3</w:t>
      </w:r>
      <w:r>
        <w:rPr>
          <w:rFonts w:hint="eastAsia" w:ascii="宋体" w:hAnsi="宋体" w:eastAsia="宋体" w:cs="宋体"/>
          <w:sz w:val="21"/>
          <w:szCs w:val="21"/>
          <w:lang w:val="en-US" w:eastAsia="zh-CN"/>
        </w:rPr>
        <w:t>供应商的报价</w:t>
      </w:r>
      <w:r>
        <w:rPr>
          <w:rFonts w:hint="eastAsia" w:ascii="宋体" w:hAnsi="宋体" w:eastAsia="宋体" w:cs="宋体"/>
          <w:sz w:val="21"/>
          <w:szCs w:val="21"/>
        </w:rPr>
        <w:t>在合同执行过程中是固定不变的，不得以任何理由予以变更。以可变动价格提交的报价将被认为是非实质响应而被拒绝。</w:t>
      </w:r>
    </w:p>
    <w:p w14:paraId="0CA28626">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lang w:val="zh-CN"/>
        </w:rPr>
        <w:t>供应商</w:t>
      </w:r>
      <w:r>
        <w:rPr>
          <w:rFonts w:hint="eastAsia" w:ascii="宋体" w:hAnsi="宋体" w:eastAsia="宋体" w:cs="宋体"/>
          <w:sz w:val="21"/>
          <w:szCs w:val="21"/>
        </w:rPr>
        <w:t>的报价不得超过采购项目预算，采购项目预算或其计算方法见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29480114">
      <w:pPr>
        <w:pStyle w:val="24"/>
        <w:pageBreakBefore w:val="0"/>
        <w:kinsoku/>
        <w:wordWrap/>
        <w:overflowPunct/>
        <w:bidi w:val="0"/>
        <w:adjustRightInd w:val="0"/>
        <w:snapToGrid w:val="0"/>
        <w:spacing w:beforeAutospacing="0" w:afterAutospacing="0" w:line="560" w:lineRule="exact"/>
        <w:rPr>
          <w:rFonts w:hint="eastAsia" w:ascii="宋体" w:hAnsi="宋体" w:eastAsia="宋体" w:cs="宋体"/>
          <w:b/>
          <w:sz w:val="21"/>
          <w:szCs w:val="21"/>
        </w:rPr>
      </w:pPr>
      <w:r>
        <w:rPr>
          <w:rFonts w:hint="eastAsia" w:ascii="宋体" w:hAnsi="宋体" w:eastAsia="宋体" w:cs="宋体"/>
          <w:b/>
          <w:sz w:val="21"/>
          <w:szCs w:val="21"/>
        </w:rPr>
        <w:t>1</w:t>
      </w:r>
      <w:r>
        <w:rPr>
          <w:rFonts w:hint="eastAsia" w:ascii="宋体" w:hAnsi="宋体" w:eastAsia="宋体" w:cs="宋体"/>
          <w:b/>
          <w:sz w:val="21"/>
          <w:szCs w:val="21"/>
          <w:lang w:val="en-US" w:eastAsia="zh-CN"/>
        </w:rPr>
        <w:t>7</w:t>
      </w:r>
      <w:r>
        <w:rPr>
          <w:rFonts w:hint="eastAsia" w:ascii="宋体" w:hAnsi="宋体" w:eastAsia="宋体" w:cs="宋体"/>
          <w:b/>
          <w:sz w:val="21"/>
          <w:szCs w:val="21"/>
        </w:rPr>
        <w:t>.供应商符合磋商文件规定的证明文件。</w:t>
      </w:r>
    </w:p>
    <w:p w14:paraId="2129D3E3">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lang w:val="zh-CN"/>
        </w:rPr>
        <w:t>.1供应商应提交满足本章第3.1款规定的资格条件要求的证明文件,该证明文件作为响应文件的一部分。</w:t>
      </w:r>
    </w:p>
    <w:p w14:paraId="2DAE1684">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.2</w:t>
      </w:r>
      <w:r>
        <w:rPr>
          <w:rFonts w:hint="eastAsia" w:ascii="宋体" w:hAnsi="宋体" w:eastAsia="宋体" w:cs="宋体"/>
          <w:kern w:val="0"/>
          <w:sz w:val="21"/>
          <w:szCs w:val="21"/>
          <w:lang w:val="zh-CN"/>
        </w:rPr>
        <w:t>供应商</w:t>
      </w:r>
      <w:r>
        <w:rPr>
          <w:rFonts w:hint="eastAsia" w:ascii="宋体" w:hAnsi="宋体" w:eastAsia="宋体" w:cs="宋体"/>
          <w:sz w:val="21"/>
          <w:szCs w:val="21"/>
        </w:rPr>
        <w:t>为联合体形式的，则应提交联合体各方资格文件、联合体协议，否则将视为非实质响应而被拒绝。</w:t>
      </w:r>
    </w:p>
    <w:p w14:paraId="335F4681">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另有规定外，供应商提供的货物及服务不是供应商制造或拥有的,则应当提供经销、或代理磋商货物、或为磋商货物提供售后服务的证明文件。</w:t>
      </w:r>
    </w:p>
    <w:p w14:paraId="245B571D">
      <w:pPr>
        <w:adjustRightInd w:val="0"/>
        <w:snapToGrid w:val="0"/>
        <w:spacing w:before="158" w:beforeLines="50" w:line="360" w:lineRule="auto"/>
        <w:ind w:right="0" w:right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18．样品提供</w:t>
      </w:r>
    </w:p>
    <w:p w14:paraId="609F33F2">
      <w:pPr>
        <w:adjustRightInd w:val="0"/>
        <w:snapToGrid w:val="0"/>
        <w:spacing w:before="158" w:beforeLines="50" w:line="360" w:lineRule="auto"/>
        <w:ind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18.1 </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在磋商时提供样品的，</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有以下情形之一的，在评审时将其视为无效响应。</w:t>
      </w:r>
    </w:p>
    <w:p w14:paraId="799D3931">
      <w:pPr>
        <w:adjustRightInd w:val="0"/>
        <w:snapToGrid w:val="0"/>
        <w:spacing w:before="158" w:beforeLines="50" w:line="360" w:lineRule="auto"/>
        <w:ind w:right="-840" w:rightChars="-40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规定的提交时间、地点提交的；</w:t>
      </w:r>
    </w:p>
    <w:p w14:paraId="2C81F600">
      <w:pPr>
        <w:adjustRightInd w:val="0"/>
        <w:snapToGrid w:val="0"/>
        <w:spacing w:before="158" w:beforeLines="50" w:line="360" w:lineRule="auto"/>
        <w:ind w:right="-840" w:rightChars="-40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提供的样品与响应文件中提供样品的型号、规格不一致的。</w:t>
      </w:r>
    </w:p>
    <w:p w14:paraId="09D77685">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磋商</w:t>
      </w:r>
      <w:r>
        <w:rPr>
          <w:rFonts w:hint="eastAsia" w:ascii="宋体" w:hAnsi="宋体" w:eastAsia="宋体" w:cs="宋体"/>
          <w:b/>
          <w:bCs/>
          <w:sz w:val="21"/>
          <w:szCs w:val="21"/>
        </w:rPr>
        <w:t>保证金</w:t>
      </w:r>
    </w:p>
    <w:p w14:paraId="32DBB8FA">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.1</w:t>
      </w:r>
      <w:r>
        <w:rPr>
          <w:rFonts w:hint="eastAsia" w:ascii="宋体" w:hAnsi="宋体" w:eastAsia="宋体" w:cs="宋体"/>
          <w:b/>
          <w:sz w:val="21"/>
          <w:szCs w:val="21"/>
        </w:rPr>
        <w:t>磋商须知前附表</w:t>
      </w:r>
      <w:r>
        <w:rPr>
          <w:rFonts w:hint="eastAsia" w:ascii="宋体" w:hAnsi="宋体" w:eastAsia="宋体" w:cs="宋体"/>
          <w:sz w:val="21"/>
          <w:szCs w:val="21"/>
        </w:rPr>
        <w:t>规定交纳</w:t>
      </w:r>
      <w:r>
        <w:rPr>
          <w:rFonts w:hint="eastAsia" w:ascii="宋体" w:hAnsi="宋体" w:eastAsia="宋体" w:cs="宋体"/>
          <w:bCs/>
          <w:sz w:val="21"/>
          <w:szCs w:val="21"/>
        </w:rPr>
        <w:t>保证金的</w:t>
      </w:r>
      <w:r>
        <w:rPr>
          <w:rFonts w:hint="eastAsia" w:ascii="宋体" w:hAnsi="宋体" w:eastAsia="宋体" w:cs="宋体"/>
          <w:sz w:val="21"/>
          <w:szCs w:val="21"/>
        </w:rPr>
        <w:t>，应按</w:t>
      </w:r>
      <w:r>
        <w:rPr>
          <w:rFonts w:hint="eastAsia" w:ascii="宋体" w:hAnsi="宋体" w:eastAsia="宋体" w:cs="宋体"/>
          <w:b/>
          <w:sz w:val="21"/>
          <w:szCs w:val="21"/>
        </w:rPr>
        <w:t>磋商须知前附表</w:t>
      </w:r>
      <w:r>
        <w:rPr>
          <w:rFonts w:hint="eastAsia" w:ascii="宋体" w:hAnsi="宋体" w:eastAsia="宋体" w:cs="宋体"/>
          <w:sz w:val="21"/>
          <w:szCs w:val="21"/>
        </w:rPr>
        <w:t>规定的</w:t>
      </w:r>
      <w:r>
        <w:rPr>
          <w:rFonts w:hint="eastAsia" w:ascii="宋体" w:hAnsi="宋体" w:eastAsia="宋体" w:cs="宋体"/>
          <w:bCs/>
          <w:sz w:val="21"/>
          <w:szCs w:val="21"/>
        </w:rPr>
        <w:t>保证金形式交纳，不得以现金方式交纳</w:t>
      </w:r>
      <w:r>
        <w:rPr>
          <w:rFonts w:hint="eastAsia" w:ascii="宋体" w:hAnsi="宋体" w:eastAsia="宋体" w:cs="宋体"/>
          <w:sz w:val="21"/>
          <w:szCs w:val="21"/>
        </w:rPr>
        <w:t>，在提交首次响应文件截止时间前，</w:t>
      </w:r>
      <w:r>
        <w:rPr>
          <w:rFonts w:hint="eastAsia" w:ascii="宋体" w:hAnsi="宋体" w:eastAsia="宋体" w:cs="宋体"/>
          <w:bCs/>
          <w:sz w:val="21"/>
          <w:szCs w:val="21"/>
        </w:rPr>
        <w:t>向采购代理机构交纳不超过</w:t>
      </w:r>
      <w:r>
        <w:rPr>
          <w:rFonts w:hint="eastAsia" w:ascii="宋体" w:hAnsi="宋体" w:eastAsia="宋体" w:cs="宋体"/>
          <w:sz w:val="21"/>
          <w:szCs w:val="21"/>
          <w:lang w:val="zh-CN"/>
        </w:rPr>
        <w:t>采购项目预算2﹪</w:t>
      </w:r>
      <w:r>
        <w:rPr>
          <w:rFonts w:hint="eastAsia" w:ascii="宋体" w:hAnsi="宋体" w:eastAsia="宋体" w:cs="宋体"/>
          <w:bCs/>
          <w:sz w:val="21"/>
          <w:szCs w:val="21"/>
        </w:rPr>
        <w:t>的保证金</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数额采用四舍五入，计算至元</w:t>
      </w:r>
      <w:r>
        <w:rPr>
          <w:rFonts w:hint="eastAsia" w:ascii="宋体" w:hAnsi="宋体" w:eastAsia="宋体" w:cs="宋体"/>
          <w:bCs/>
          <w:sz w:val="21"/>
          <w:szCs w:val="21"/>
          <w:lang w:eastAsia="zh-CN"/>
        </w:rPr>
        <w:t>）</w:t>
      </w:r>
      <w:r>
        <w:rPr>
          <w:rFonts w:hint="eastAsia" w:ascii="宋体" w:hAnsi="宋体" w:eastAsia="宋体" w:cs="宋体"/>
          <w:sz w:val="21"/>
          <w:szCs w:val="21"/>
        </w:rPr>
        <w:t>。</w:t>
      </w:r>
      <w:r>
        <w:rPr>
          <w:rFonts w:hint="eastAsia" w:ascii="宋体" w:hAnsi="宋体" w:eastAsia="宋体" w:cs="宋体"/>
          <w:bCs/>
          <w:sz w:val="21"/>
          <w:szCs w:val="21"/>
        </w:rPr>
        <w:t>保证金有效期应当与</w:t>
      </w:r>
      <w:r>
        <w:rPr>
          <w:rFonts w:hint="eastAsia" w:ascii="宋体" w:hAnsi="宋体" w:eastAsia="宋体" w:cs="宋体"/>
          <w:sz w:val="21"/>
          <w:szCs w:val="21"/>
        </w:rPr>
        <w:t>本章第20.1</w:t>
      </w:r>
      <w:r>
        <w:rPr>
          <w:rFonts w:hint="eastAsia" w:ascii="宋体" w:hAnsi="宋体" w:eastAsia="宋体" w:cs="宋体"/>
          <w:sz w:val="21"/>
          <w:szCs w:val="21"/>
          <w:lang w:val="zh-CN"/>
        </w:rPr>
        <w:t>款</w:t>
      </w:r>
      <w:r>
        <w:rPr>
          <w:rFonts w:hint="eastAsia" w:ascii="宋体" w:hAnsi="宋体" w:eastAsia="宋体" w:cs="宋体"/>
          <w:sz w:val="21"/>
          <w:szCs w:val="21"/>
        </w:rPr>
        <w:t>规定的</w:t>
      </w:r>
      <w:r>
        <w:rPr>
          <w:rFonts w:hint="eastAsia" w:ascii="宋体" w:hAnsi="宋体" w:eastAsia="宋体" w:cs="宋体"/>
          <w:bCs/>
          <w:sz w:val="21"/>
          <w:szCs w:val="21"/>
        </w:rPr>
        <w:t>响应文件有效期一致。</w:t>
      </w:r>
    </w:p>
    <w:p w14:paraId="0948A2A3">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.2</w:t>
      </w:r>
      <w:r>
        <w:rPr>
          <w:rFonts w:hint="eastAsia" w:ascii="宋体" w:hAnsi="宋体" w:eastAsia="宋体" w:cs="宋体"/>
          <w:kern w:val="0"/>
          <w:sz w:val="21"/>
          <w:szCs w:val="21"/>
          <w:lang w:val="zh-CN"/>
        </w:rPr>
        <w:t>供应商为联合体的，可以由联合体中的一方或者共同交纳保证金，其交纳的保证金，对联合体各方均具有约束力。</w:t>
      </w:r>
    </w:p>
    <w:p w14:paraId="22B5486E">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.3未按磋商文件规定提交保证金的，</w:t>
      </w:r>
      <w:r>
        <w:rPr>
          <w:rFonts w:hint="eastAsia" w:ascii="宋体" w:hAnsi="宋体" w:eastAsia="宋体" w:cs="宋体"/>
          <w:bCs/>
          <w:sz w:val="21"/>
          <w:szCs w:val="21"/>
        </w:rPr>
        <w:t>采购人或采购代理机构应当拒绝接收供应商的响应文件</w:t>
      </w:r>
      <w:r>
        <w:rPr>
          <w:rFonts w:hint="eastAsia" w:ascii="宋体" w:hAnsi="宋体" w:eastAsia="宋体" w:cs="宋体"/>
          <w:sz w:val="21"/>
          <w:szCs w:val="21"/>
        </w:rPr>
        <w:t>。</w:t>
      </w:r>
    </w:p>
    <w:p w14:paraId="45011226">
      <w:pPr>
        <w:pStyle w:val="24"/>
        <w:pageBreakBefore w:val="0"/>
        <w:tabs>
          <w:tab w:val="left" w:pos="6300"/>
        </w:tabs>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.4采购代理机构在成交通知书发出后5个工作日内退还未成交供应商的保证金；在采购合同签定后5个工作日内退还成交供应商的保证金，但因供应商自身原因导致无法及时退还的除外。</w:t>
      </w:r>
    </w:p>
    <w:p w14:paraId="7F338668">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.5有下列情形之一的，保证金不予退还，并上缴财政部门：</w:t>
      </w:r>
    </w:p>
    <w:p w14:paraId="4B59C8AE">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（1）供应商在提交首次响应文件截止时间后撤回响应文件的；</w:t>
      </w:r>
    </w:p>
    <w:p w14:paraId="37FAD058">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（2）供应商在响应文件中提供虚假材料的；</w:t>
      </w:r>
    </w:p>
    <w:p w14:paraId="55117F5B">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（3）确定成交结果后，无正当理由放弃成交资格的；</w:t>
      </w:r>
    </w:p>
    <w:p w14:paraId="49DAFAA5">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）除因不可抗力或磋商文件认可的情形以外，成交供应商不与采购人签订合同的；</w:t>
      </w:r>
    </w:p>
    <w:p w14:paraId="7D4A7628">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）供应商与采购人、其他供应商或者采购代理机构恶意串通的；</w:t>
      </w:r>
    </w:p>
    <w:p w14:paraId="4EC392FF">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）磋商文件规定的其他情形。</w:t>
      </w:r>
    </w:p>
    <w:p w14:paraId="520B5EBA">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20</w:t>
      </w:r>
      <w:r>
        <w:rPr>
          <w:rFonts w:hint="eastAsia" w:ascii="宋体" w:hAnsi="宋体" w:eastAsia="宋体" w:cs="宋体"/>
          <w:b/>
          <w:bCs/>
          <w:sz w:val="21"/>
          <w:szCs w:val="21"/>
        </w:rPr>
        <w:t>.</w:t>
      </w:r>
      <w:r>
        <w:rPr>
          <w:rFonts w:hint="eastAsia" w:ascii="宋体" w:hAnsi="宋体" w:eastAsia="宋体" w:cs="宋体"/>
          <w:b/>
          <w:sz w:val="21"/>
          <w:szCs w:val="21"/>
        </w:rPr>
        <w:t>响应文件有效期</w:t>
      </w:r>
    </w:p>
    <w:p w14:paraId="31BC7807">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.1响应文件有效期见</w:t>
      </w:r>
      <w:r>
        <w:rPr>
          <w:rFonts w:hint="eastAsia" w:ascii="宋体" w:hAnsi="宋体" w:eastAsia="宋体" w:cs="宋体"/>
          <w:b/>
          <w:sz w:val="21"/>
          <w:szCs w:val="21"/>
        </w:rPr>
        <w:t>磋商须知前附表</w:t>
      </w:r>
      <w:r>
        <w:rPr>
          <w:rFonts w:hint="eastAsia" w:ascii="宋体" w:hAnsi="宋体" w:eastAsia="宋体" w:cs="宋体"/>
          <w:sz w:val="21"/>
          <w:szCs w:val="21"/>
        </w:rPr>
        <w:t>，在此期间响应文件对供应商具有法律约束力，从</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之日起计算。响应文件有效期不足的将被视为无效响应。</w:t>
      </w:r>
    </w:p>
    <w:p w14:paraId="6AB2AB96">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21</w:t>
      </w:r>
      <w:r>
        <w:rPr>
          <w:rFonts w:hint="eastAsia" w:ascii="宋体" w:hAnsi="宋体" w:eastAsia="宋体" w:cs="宋体"/>
          <w:b/>
          <w:bCs/>
          <w:sz w:val="21"/>
          <w:szCs w:val="21"/>
        </w:rPr>
        <w:t>.响应文件的签署及规定</w:t>
      </w:r>
    </w:p>
    <w:p w14:paraId="40EF3FCB">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.1</w:t>
      </w:r>
      <w:r>
        <w:rPr>
          <w:rFonts w:hint="eastAsia" w:ascii="宋体" w:hAnsi="宋体" w:eastAsia="宋体" w:cs="宋体"/>
          <w:sz w:val="21"/>
          <w:szCs w:val="21"/>
          <w:highlight w:val="none"/>
        </w:rPr>
        <w:t>响应文件的正本和副本应</w:t>
      </w:r>
      <w:r>
        <w:rPr>
          <w:rFonts w:hint="eastAsia" w:hAnsi="宋体" w:cs="宋体"/>
          <w:sz w:val="21"/>
          <w:szCs w:val="21"/>
          <w:highlight w:val="none"/>
          <w:lang w:val="en-US" w:eastAsia="zh-CN"/>
        </w:rPr>
        <w:t>胶装</w:t>
      </w:r>
      <w:r>
        <w:rPr>
          <w:rFonts w:hint="eastAsia" w:ascii="宋体" w:hAnsi="宋体" w:eastAsia="宋体" w:cs="宋体"/>
          <w:sz w:val="21"/>
          <w:szCs w:val="21"/>
          <w:highlight w:val="none"/>
        </w:rPr>
        <w:t>成册，</w:t>
      </w:r>
      <w:r>
        <w:rPr>
          <w:rFonts w:hint="eastAsia" w:ascii="宋体" w:hAnsi="宋体" w:eastAsia="宋体" w:cs="宋体"/>
          <w:sz w:val="21"/>
          <w:szCs w:val="21"/>
        </w:rPr>
        <w:t>正本一份，副本份数见</w:t>
      </w:r>
      <w:r>
        <w:rPr>
          <w:rFonts w:hint="eastAsia" w:ascii="宋体" w:hAnsi="宋体" w:eastAsia="宋体" w:cs="宋体"/>
          <w:b/>
          <w:sz w:val="21"/>
          <w:szCs w:val="21"/>
        </w:rPr>
        <w:t>磋商须知前附表</w:t>
      </w:r>
      <w:r>
        <w:rPr>
          <w:rFonts w:hint="eastAsia" w:ascii="宋体" w:hAnsi="宋体" w:eastAsia="宋体" w:cs="宋体"/>
          <w:sz w:val="21"/>
          <w:szCs w:val="21"/>
        </w:rPr>
        <w:t>。正本和副本的封面上应标记“正本”或“副本”的字样，当正本和副本有差异时，以正本为准。</w:t>
      </w:r>
    </w:p>
    <w:p w14:paraId="7E2EC6C0">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.2响应文件正本和副本应按磋商文件要求签章处盖单位章和由法定代表人或其委托代理人签字；任何加行、涂改、增删，应有法定代表人或其委托代理人在旁边签字。否则，将导致响应文件无效。</w:t>
      </w:r>
    </w:p>
    <w:p w14:paraId="610064B2">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.3在磋商过程中，供应商按磋商文件规定和磋商小组要求提交的最后报价(或者</w:t>
      </w:r>
      <w:r>
        <w:rPr>
          <w:rFonts w:hint="eastAsia" w:ascii="宋体" w:hAnsi="宋体" w:eastAsia="宋体" w:cs="宋体"/>
          <w:bCs/>
          <w:sz w:val="21"/>
          <w:szCs w:val="21"/>
        </w:rPr>
        <w:t>重</w:t>
      </w:r>
      <w:r>
        <w:rPr>
          <w:rFonts w:hint="eastAsia" w:ascii="宋体" w:hAnsi="宋体" w:eastAsia="宋体" w:cs="宋体"/>
          <w:sz w:val="21"/>
          <w:szCs w:val="21"/>
        </w:rPr>
        <w:t>新提交的响应文件和最后报价)，可打印或用不退色墨水书写，但需经法定代表人或其委托代理人签字，或者加盖供应商单位章。否则，将导致响应文件无效。</w:t>
      </w:r>
    </w:p>
    <w:p w14:paraId="2083C65D">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bookmarkStart w:id="22" w:name="_Toc3804"/>
      <w:r>
        <w:rPr>
          <w:rFonts w:hint="eastAsia" w:ascii="宋体" w:hAnsi="宋体" w:eastAsia="宋体" w:cs="宋体"/>
          <w:b/>
          <w:sz w:val="21"/>
          <w:szCs w:val="21"/>
        </w:rPr>
        <w:t>四、响应文件的递交</w:t>
      </w:r>
      <w:bookmarkEnd w:id="22"/>
    </w:p>
    <w:p w14:paraId="6C16E739">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的密封和标记</w:t>
      </w:r>
    </w:p>
    <w:p w14:paraId="595324A1">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.1响应文件应密封包装，加贴封条，并在封套的封口处盖供应商单位章或者由法定代表人或其委托代理人签字。</w:t>
      </w:r>
    </w:p>
    <w:p w14:paraId="3F22542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.2响应文件封套上应写明的内容见</w:t>
      </w:r>
      <w:r>
        <w:rPr>
          <w:rFonts w:hint="eastAsia" w:ascii="宋体" w:hAnsi="宋体" w:eastAsia="宋体" w:cs="宋体"/>
          <w:b/>
          <w:sz w:val="21"/>
          <w:szCs w:val="21"/>
        </w:rPr>
        <w:t>磋商须知前附表。</w:t>
      </w:r>
    </w:p>
    <w:p w14:paraId="1A49D8C4">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.3响应文件如果未按上述规定密封和加写标记，采购人或采购代理机构将拒绝接收。</w:t>
      </w:r>
    </w:p>
    <w:p w14:paraId="6B9543F6">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.响应文件的</w:t>
      </w:r>
      <w:r>
        <w:rPr>
          <w:rFonts w:hint="eastAsia" w:ascii="宋体" w:hAnsi="宋体" w:eastAsia="宋体" w:cs="宋体"/>
          <w:b/>
          <w:kern w:val="0"/>
          <w:sz w:val="21"/>
          <w:szCs w:val="21"/>
          <w:lang w:val="zh-CN"/>
        </w:rPr>
        <w:t>补充、修改或者撤回</w:t>
      </w:r>
    </w:p>
    <w:p w14:paraId="699C1BFA">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.1供应商在提交首次响应文件截止时间前，可以对所提交的首次响应文件进行补充、修改或者撤回，并书面通知采购人、采购代理机构。该通知应有供应商法定代表人或其委托代理人签字。</w:t>
      </w:r>
    </w:p>
    <w:p w14:paraId="4249798C">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.2</w:t>
      </w:r>
      <w:r>
        <w:rPr>
          <w:rFonts w:hint="eastAsia" w:ascii="宋体" w:hAnsi="宋体" w:eastAsia="宋体" w:cs="宋体"/>
          <w:sz w:val="21"/>
          <w:szCs w:val="21"/>
          <w:lang w:val="zh-CN"/>
        </w:rPr>
        <w:t>补充、修改的内容与响应文件不一致时，以补充、修改的内容为准。</w:t>
      </w:r>
    </w:p>
    <w:p w14:paraId="38135282">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.响应文件的递交与接收</w:t>
      </w:r>
    </w:p>
    <w:p w14:paraId="40C9F45A">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.1供应商应在</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前，将响应文件送达</w:t>
      </w:r>
      <w:r>
        <w:rPr>
          <w:rFonts w:hint="eastAsia" w:ascii="宋体" w:hAnsi="宋体" w:eastAsia="宋体" w:cs="宋体"/>
          <w:b/>
          <w:sz w:val="21"/>
          <w:szCs w:val="21"/>
        </w:rPr>
        <w:t>磋商须知前附表</w:t>
      </w:r>
      <w:r>
        <w:rPr>
          <w:rFonts w:hint="eastAsia" w:ascii="宋体" w:hAnsi="宋体" w:eastAsia="宋体" w:cs="宋体"/>
          <w:sz w:val="21"/>
          <w:szCs w:val="21"/>
        </w:rPr>
        <w:t>中指定的地点。</w:t>
      </w:r>
      <w:r>
        <w:rPr>
          <w:rFonts w:hint="eastAsia" w:ascii="宋体" w:hAnsi="宋体" w:eastAsia="宋体" w:cs="宋体"/>
          <w:kern w:val="0"/>
          <w:sz w:val="21"/>
          <w:szCs w:val="21"/>
        </w:rPr>
        <w:t>在截止时间后送达的响应文件，采购人、采购代理机构或者磋商小组应当拒收。</w:t>
      </w:r>
    </w:p>
    <w:p w14:paraId="0FD328C0">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.2在提交首次响应文件截止时间后，由</w:t>
      </w:r>
      <w:r>
        <w:rPr>
          <w:rFonts w:hint="eastAsia" w:ascii="宋体" w:hAnsi="宋体" w:eastAsia="宋体" w:cs="宋体"/>
          <w:bCs/>
          <w:sz w:val="21"/>
          <w:szCs w:val="21"/>
        </w:rPr>
        <w:t>供应商代表</w:t>
      </w:r>
      <w:r>
        <w:rPr>
          <w:rFonts w:hint="eastAsia" w:ascii="宋体" w:hAnsi="宋体" w:eastAsia="宋体" w:cs="宋体"/>
          <w:sz w:val="21"/>
          <w:szCs w:val="21"/>
        </w:rPr>
        <w:t>当场查验</w:t>
      </w:r>
      <w:r>
        <w:rPr>
          <w:rFonts w:hint="eastAsia" w:ascii="宋体" w:hAnsi="宋体" w:eastAsia="宋体" w:cs="宋体"/>
          <w:bCs/>
          <w:sz w:val="21"/>
          <w:szCs w:val="21"/>
        </w:rPr>
        <w:t>响应文件</w:t>
      </w:r>
      <w:r>
        <w:rPr>
          <w:rFonts w:hint="eastAsia" w:ascii="宋体" w:hAnsi="宋体" w:eastAsia="宋体" w:cs="宋体"/>
          <w:sz w:val="21"/>
          <w:szCs w:val="21"/>
        </w:rPr>
        <w:t>的密封状况，采购人或</w:t>
      </w:r>
      <w:r>
        <w:rPr>
          <w:rFonts w:hint="eastAsia" w:ascii="宋体" w:hAnsi="宋体" w:eastAsia="宋体" w:cs="宋体"/>
          <w:bCs/>
          <w:sz w:val="21"/>
          <w:szCs w:val="21"/>
        </w:rPr>
        <w:t>采购代理机构</w:t>
      </w:r>
      <w:r>
        <w:rPr>
          <w:rFonts w:hint="eastAsia" w:ascii="宋体" w:hAnsi="宋体" w:eastAsia="宋体" w:cs="宋体"/>
          <w:sz w:val="21"/>
          <w:szCs w:val="21"/>
        </w:rPr>
        <w:t>不当场拆封</w:t>
      </w:r>
      <w:r>
        <w:rPr>
          <w:rFonts w:hint="eastAsia" w:ascii="宋体" w:hAnsi="宋体" w:eastAsia="宋体" w:cs="宋体"/>
          <w:bCs/>
          <w:sz w:val="21"/>
          <w:szCs w:val="21"/>
        </w:rPr>
        <w:t>响应文件</w:t>
      </w:r>
      <w:r>
        <w:rPr>
          <w:rFonts w:hint="eastAsia" w:ascii="宋体" w:hAnsi="宋体" w:eastAsia="宋体" w:cs="宋体"/>
          <w:sz w:val="21"/>
          <w:szCs w:val="21"/>
        </w:rPr>
        <w:t>。</w:t>
      </w:r>
    </w:p>
    <w:p w14:paraId="51F09156">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bookmarkStart w:id="23" w:name="_Toc31598"/>
      <w:r>
        <w:rPr>
          <w:rFonts w:hint="eastAsia" w:ascii="宋体" w:hAnsi="宋体" w:eastAsia="宋体" w:cs="宋体"/>
          <w:b/>
          <w:sz w:val="21"/>
          <w:szCs w:val="21"/>
        </w:rPr>
        <w:t>五、响应文件的评审与磋商</w:t>
      </w:r>
      <w:bookmarkEnd w:id="23"/>
    </w:p>
    <w:p w14:paraId="31D4CE5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bookmarkStart w:id="24" w:name="_Toc21464"/>
      <w:r>
        <w:rPr>
          <w:rFonts w:hint="eastAsia" w:ascii="宋体" w:hAnsi="宋体" w:eastAsia="宋体" w:cs="宋体"/>
          <w:b/>
          <w:bCs w:val="0"/>
          <w:sz w:val="21"/>
          <w:szCs w:val="21"/>
        </w:rPr>
        <w:t>25.磋商程序</w:t>
      </w:r>
    </w:p>
    <w:p w14:paraId="23B58A02">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25.1磋商程序：响应文件审查、磋商（包括澄清）、响应文件评审、提出成交供应商。其中，磋商按本章第30.1</w:t>
      </w:r>
      <w:r>
        <w:rPr>
          <w:rFonts w:hint="eastAsia" w:ascii="宋体" w:hAnsi="宋体" w:eastAsia="宋体" w:cs="宋体"/>
          <w:b w:val="0"/>
          <w:bCs/>
          <w:sz w:val="21"/>
          <w:szCs w:val="21"/>
          <w:lang w:val="zh-CN"/>
        </w:rPr>
        <w:t>款或者</w:t>
      </w:r>
      <w:r>
        <w:rPr>
          <w:rFonts w:hint="eastAsia" w:ascii="宋体" w:hAnsi="宋体" w:eastAsia="宋体" w:cs="宋体"/>
          <w:b w:val="0"/>
          <w:bCs/>
          <w:sz w:val="21"/>
          <w:szCs w:val="21"/>
        </w:rPr>
        <w:t>第30.2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情形进行。</w:t>
      </w:r>
    </w:p>
    <w:p w14:paraId="72456684">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26. 响应文件审查 </w:t>
      </w:r>
    </w:p>
    <w:p w14:paraId="63E9AD97">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26.1 资格性审查：根据本章第3.1项规定的供应商资格条件要求，对响应文件的资格证明等进行审查，以确定供应商是否具备磋商资格条件。</w:t>
      </w:r>
    </w:p>
    <w:p w14:paraId="49EBB99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26.2符合性审查: 对响应文件(包括首次提交的响应文件、重新提交的响应文件)的有效性、完整性和响应程度进行审查，以确定是否对磋商文件的实质性要求作出响应。</w:t>
      </w:r>
    </w:p>
    <w:p w14:paraId="70AB2521">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27.实质性响应</w:t>
      </w:r>
    </w:p>
    <w:p w14:paraId="4EA87CE5">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27.1实质性响应是指响应文件(包括首次响应文件、重新提交的响应文件)与磋商文件要求的所有条款、条件和规格相符，没有偏离。偏离指不满足、或不响应磋商文件的要求。</w:t>
      </w:r>
    </w:p>
    <w:p w14:paraId="295AE204">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27.2响应文件是否实质性响应磋商文件要求由磋商小组依据磋商文件规定认定。磋商小组决定响应文件的响应性只根据响应文件本身的真实无误的内容，而不依据外部的证据。</w:t>
      </w:r>
    </w:p>
    <w:p w14:paraId="62019CE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28.无效响应 </w:t>
      </w:r>
    </w:p>
    <w:p w14:paraId="7F384F0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28.1磋商小组在对资格性和符合性进行审查时，有下列情况之一的，属无效响应，磋商小组应当告知有关供应商：</w:t>
      </w:r>
    </w:p>
    <w:p w14:paraId="0D01AE10">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（1）供应商不具备本章第3.1款规定的供应商资格条件要求，或存在本章第3.</w:t>
      </w: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款情形的；</w:t>
      </w:r>
    </w:p>
    <w:p w14:paraId="1B01C12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（2）联合体不符合本章第3.2款规定的；</w:t>
      </w:r>
    </w:p>
    <w:p w14:paraId="428C143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（3）应交未交磋商保证金或金额不足、磋商保证金缴纳形式不符合磋商文件要求的；</w:t>
      </w:r>
    </w:p>
    <w:p w14:paraId="11D0699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（4）响应文件未按照磋商文件要求签署、盖章的；</w:t>
      </w:r>
    </w:p>
    <w:p w14:paraId="5546F09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（4）响应文件不满足本章第27.1款规定的实质性要求的；</w:t>
      </w:r>
    </w:p>
    <w:p w14:paraId="799BCE49">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（5）报价超过采购项目预算的；</w:t>
      </w:r>
    </w:p>
    <w:p w14:paraId="523AE09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（6）响应文件有效期不足的；</w:t>
      </w:r>
    </w:p>
    <w:p w14:paraId="6435E77C">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（7）响应文件不符合法律、规章、规范性文件和磋商文件规定及要求的。</w:t>
      </w:r>
    </w:p>
    <w:p w14:paraId="57F7E70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29.澄清</w:t>
      </w:r>
    </w:p>
    <w:p w14:paraId="34650B5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BFF374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D53AD1">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30.磋商</w:t>
      </w:r>
    </w:p>
    <w:p w14:paraId="083D7E9C">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30.1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6DD60F79">
      <w:pPr>
        <w:pageBreakBefore w:val="0"/>
        <w:kinsoku/>
        <w:wordWrap/>
        <w:overflowPunct/>
        <w:bidi w:val="0"/>
        <w:adjustRightInd w:val="0"/>
        <w:snapToGrid w:val="0"/>
        <w:spacing w:beforeAutospacing="0" w:afterAutospacing="0" w:line="560" w:lineRule="exact"/>
        <w:ind w:firstLine="210" w:firstLineChars="100"/>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（1）磋商结束后，磋商小组应当要求所有继续参加磋商的供应商在磋商小组规定时间内提交最后报价。</w:t>
      </w:r>
    </w:p>
    <w:p w14:paraId="3BB0119C">
      <w:pPr>
        <w:pageBreakBefore w:val="0"/>
        <w:kinsoku/>
        <w:wordWrap/>
        <w:overflowPunct/>
        <w:bidi w:val="0"/>
        <w:adjustRightInd w:val="0"/>
        <w:snapToGrid w:val="0"/>
        <w:spacing w:beforeAutospacing="0" w:afterAutospacing="0" w:line="560" w:lineRule="exact"/>
        <w:ind w:firstLine="210" w:firstLineChars="100"/>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（2）磋商文件明确可能发生实质性变动，但在磋商过程中磋商小组根据磋商情况认为磋商文件无需发生实质性变动的，磋商小组不另行通知。</w:t>
      </w:r>
    </w:p>
    <w:p w14:paraId="3036DCF2">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30.2本章第10.2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明确磋商文件实质性变动内容的，磋商小组可以组织多轮磋商。在每一轮磋商中，磋商小组可以根据磋商文件规定和磋商情况，对磋商文件的采购需求中的技术、服务要求以及合同草案条款作实质性变动(磋商文件的实质性变动内容为磋商文件的组成部分)，并以书面形式要求响应文件审查合格的供应商，在规定的截止时间前重新提交响应文件。磋商小组应当根据本章第26.2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规定对供应商重新提交的响应文件进行审查。供应商重新提交的响应文件审查不合格的，不得进入下一轮磋商，也不得要求提交最后报价。</w:t>
      </w:r>
    </w:p>
    <w:p w14:paraId="7B42D6E0">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（1）磋商文件能够详细列明采购需求的技术、服务要求的，磋商结束后，磋商小组应当要求所有继续参加磋商的供应商在规定时间内提交最后报价。</w:t>
      </w:r>
    </w:p>
    <w:p w14:paraId="22D5C80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9384046">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30.3 重新提交的响应文件或者最后报价应按本章第21.3</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规定，由其法定代表人或其委托代理人签字或者加盖供应商单位章，在规定时间内密封递交给磋商小组。</w:t>
      </w:r>
    </w:p>
    <w:p w14:paraId="17A5A3D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30.4</w:t>
      </w:r>
      <w:r>
        <w:rPr>
          <w:rFonts w:hint="eastAsia" w:ascii="宋体" w:hAnsi="宋体" w:eastAsia="宋体" w:cs="宋体"/>
          <w:b w:val="0"/>
          <w:bCs/>
          <w:sz w:val="21"/>
          <w:szCs w:val="21"/>
          <w:lang w:val="zh-CN"/>
        </w:rPr>
        <w:t>供应商的</w:t>
      </w:r>
      <w:r>
        <w:rPr>
          <w:rFonts w:hint="eastAsia" w:ascii="宋体" w:hAnsi="宋体" w:eastAsia="宋体" w:cs="宋体"/>
          <w:b w:val="0"/>
          <w:bCs/>
          <w:sz w:val="21"/>
          <w:szCs w:val="21"/>
        </w:rPr>
        <w:t>最</w:t>
      </w:r>
      <w:r>
        <w:rPr>
          <w:rFonts w:hint="eastAsia" w:ascii="宋体" w:hAnsi="宋体" w:eastAsia="宋体" w:cs="宋体"/>
          <w:b w:val="0"/>
          <w:bCs/>
          <w:sz w:val="21"/>
          <w:szCs w:val="21"/>
          <w:lang w:val="zh-CN"/>
        </w:rPr>
        <w:t>后</w:t>
      </w:r>
      <w:r>
        <w:rPr>
          <w:rFonts w:hint="eastAsia" w:ascii="宋体" w:hAnsi="宋体" w:eastAsia="宋体" w:cs="宋体"/>
          <w:b w:val="0"/>
          <w:bCs/>
          <w:sz w:val="21"/>
          <w:szCs w:val="21"/>
        </w:rPr>
        <w:t>报价及政府采购政策规定的价格扣除情况，磋商小组应召集所有参加最后报价的供应商当场开封公布，并由供应商代表签字确认。</w:t>
      </w:r>
    </w:p>
    <w:p w14:paraId="144202D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30.5提交首次响应文件的供应商，在提交最后报价之前，可以根据磋商情况退出磋商，并书面通知采购代理机构或者磋商小组。该通知由供应商法定代表人或其委托代理人签字。采购代理机构按本章第19.4</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规定退还退出磋商的供应商的磋商保证金。</w:t>
      </w:r>
    </w:p>
    <w:p w14:paraId="1344B64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30.6提交首次响应文件的供应商，未按磋商文件规定及磋商小组要求提交最后报价(或者重新提交的响应文件和最后报价)，且又未按本章第30.5</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规定退出磋商的，供应商的磋商保证金不予退还。</w:t>
      </w:r>
    </w:p>
    <w:p w14:paraId="425F5965">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31.响应文件评审</w:t>
      </w:r>
    </w:p>
    <w:p w14:paraId="5B01E32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31.1经磋商确定最终采购需求和提交最后报价的供应商后，由磋商小组采用综合评分法对提交最后报价的供应商的响应文件和最后报价进行综合评价。</w:t>
      </w:r>
    </w:p>
    <w:p w14:paraId="275ED1F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31.2综合评分法，是指响应文件满足磋商文件全部实质性要求且按评审因素的量化指标评审得分最高的供应商为成交候选供应商的评审方法。</w:t>
      </w:r>
      <w:r>
        <w:rPr>
          <w:rFonts w:hint="eastAsia" w:ascii="宋体" w:hAnsi="宋体" w:eastAsia="宋体" w:cs="宋体"/>
          <w:b w:val="0"/>
          <w:bCs/>
          <w:sz w:val="21"/>
          <w:szCs w:val="21"/>
          <w:highlight w:val="none"/>
          <w:lang w:val="en-US" w:eastAsia="zh-CN"/>
        </w:rPr>
        <w:t>本采购项目的评审因素和标准见</w:t>
      </w:r>
      <w:r>
        <w:rPr>
          <w:rFonts w:hint="eastAsia" w:ascii="宋体" w:hAnsi="宋体" w:eastAsia="宋体" w:cs="宋体"/>
          <w:b/>
          <w:bCs w:val="0"/>
          <w:sz w:val="21"/>
          <w:szCs w:val="21"/>
          <w:highlight w:val="none"/>
          <w:lang w:val="en-US" w:eastAsia="zh-CN"/>
        </w:rPr>
        <w:t>磋商须知前附表</w:t>
      </w:r>
      <w:r>
        <w:rPr>
          <w:rFonts w:hint="eastAsia" w:ascii="宋体" w:hAnsi="宋体" w:eastAsia="宋体" w:cs="宋体"/>
          <w:b w:val="0"/>
          <w:bCs/>
          <w:sz w:val="21"/>
          <w:szCs w:val="21"/>
          <w:highlight w:val="none"/>
          <w:lang w:eastAsia="zh-CN"/>
        </w:rPr>
        <w:t>）</w:t>
      </w:r>
    </w:p>
    <w:p w14:paraId="0CB0FCD2">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6EE658E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31.4综合评分法中的价格分采用低价优先法计算，即满足磋商文件要求且经调整后的最后报价最低的供应商的价格为磋商基准价，其价格分为满分。其他供应商的价格分按照下列公式计算：</w:t>
      </w:r>
    </w:p>
    <w:p w14:paraId="0C2DB8DD">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lang w:val="en-US"/>
        </w:rPr>
      </w:pPr>
      <w:r>
        <w:rPr>
          <w:rFonts w:hint="eastAsia" w:ascii="宋体" w:hAnsi="宋体" w:eastAsia="宋体" w:cs="宋体"/>
          <w:b w:val="0"/>
          <w:bCs/>
          <w:sz w:val="21"/>
          <w:szCs w:val="21"/>
        </w:rPr>
        <w:t>磋商报价得分=（磋商基准价/最后磋商报价）×</w:t>
      </w:r>
      <w:r>
        <w:rPr>
          <w:rFonts w:hint="eastAsia" w:ascii="宋体" w:hAnsi="宋体" w:eastAsia="宋体" w:cs="宋体"/>
          <w:b w:val="0"/>
          <w:bCs/>
          <w:sz w:val="21"/>
          <w:szCs w:val="21"/>
          <w:lang w:val="en-US" w:eastAsia="zh-CN"/>
        </w:rPr>
        <w:t>投标报价权值</w:t>
      </w:r>
    </w:p>
    <w:p w14:paraId="433209D7">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rPr>
      </w:pPr>
      <w:r>
        <w:rPr>
          <w:rFonts w:hint="eastAsia" w:ascii="宋体" w:hAnsi="宋体" w:eastAsia="宋体" w:cs="宋体"/>
          <w:b w:val="0"/>
          <w:bCs/>
          <w:sz w:val="21"/>
          <w:szCs w:val="21"/>
        </w:rPr>
        <w:t>项目评审过程中，不得去掉最后报价中的最高报价和最低报价。</w:t>
      </w:r>
    </w:p>
    <w:p w14:paraId="09F1887B">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31.5涉及政府采购政策优惠对供应商分值进行调整的，按</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规定调整供应商的技术、商务、价格得分或总得分。</w:t>
      </w:r>
    </w:p>
    <w:p w14:paraId="733BDDD5">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31.6涉及多处或部分获得政府采购政策优惠的，其多处或部分享受政府采购优惠政策的计算方法见</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相关规定。</w:t>
      </w:r>
    </w:p>
    <w:p w14:paraId="7FA27F40">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31.7评审时，磋商小组各成员应当独立对每个供应商的响应文件进行评价、评分，并按照政府采购优惠政策对最后报价进行价格扣除和技术、商务、价格加分后，汇总各供应商的总得分。</w:t>
      </w:r>
    </w:p>
    <w:p w14:paraId="7262C170">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32.提出成交供应商</w:t>
      </w:r>
    </w:p>
    <w:p w14:paraId="77314EB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    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797DD850">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33.确定成交供应商</w:t>
      </w:r>
    </w:p>
    <w:p w14:paraId="563D4D4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33.1采购代理机构应当在评审结束后2个工作日内将评审报告送采购人确认。</w:t>
      </w:r>
    </w:p>
    <w:p w14:paraId="6D18F4E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33.2采购人应当在收到评审报告后5个工作日内，从评审报告提出的成交候选供应商中，按照排序由高到低的原则确定成交供应商，也可以书面授权磋商小组直接确定成交供应商。</w:t>
      </w:r>
    </w:p>
    <w:p w14:paraId="5ECB16DB">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34.磋商终止</w:t>
      </w:r>
    </w:p>
    <w:p w14:paraId="7693925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34.1出现下列情形之一的，采购人或者采购代理机构应当终止竞争性磋商采购活动，在本章第37.1款指定的媒体上发布项目终止公告并说明原因，重新开展采购活动： </w:t>
      </w:r>
    </w:p>
    <w:p w14:paraId="50E5317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（1）因情况变化，不再符合规定的竞争性磋商采购方式适用情形的；</w:t>
      </w:r>
    </w:p>
    <w:p w14:paraId="33FEA8C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（2）出现影响采购公正的违法、违规行为的；</w:t>
      </w:r>
    </w:p>
    <w:p w14:paraId="1D0EEA1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0830F69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（4）因重大变故，采购任务取消的。</w:t>
      </w:r>
    </w:p>
    <w:p w14:paraId="3FBAE754">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35．重新评审</w:t>
      </w:r>
    </w:p>
    <w:p w14:paraId="56E140B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284AA423">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36.保密及串通行为</w:t>
      </w:r>
    </w:p>
    <w:p w14:paraId="708EDB1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36.1磋商小组成员以及与评审工作有关的人员不得泄露评审情况以及评审过程中获悉的国家秘密、商业秘密。</w:t>
      </w:r>
    </w:p>
    <w:p w14:paraId="48958A9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51D3FBC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36.3</w:t>
      </w:r>
      <w:r>
        <w:rPr>
          <w:rFonts w:hint="eastAsia" w:ascii="宋体" w:hAnsi="宋体" w:eastAsia="宋体" w:cs="宋体"/>
          <w:b w:val="0"/>
          <w:bCs/>
          <w:sz w:val="21"/>
          <w:szCs w:val="21"/>
          <w:lang w:val="zh-CN"/>
        </w:rPr>
        <w:t>有下列情形之一的，属于恶意串通，对供应商依照政府采购法第七十七条第一款的规定追究法律责任：</w:t>
      </w:r>
    </w:p>
    <w:p w14:paraId="07A3832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（一）供应商直接或者间接从采购人或者采购代理机构处获得其他供应商的相关情况并修改其投标文件或者响应文件；</w:t>
      </w:r>
    </w:p>
    <w:p w14:paraId="0D1E897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（二）供应商按照采购人或者采购代理机构的授意撤换、修改投标文件或者响应文件；</w:t>
      </w:r>
    </w:p>
    <w:p w14:paraId="449BDFF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（三）供应商之间协商报价、技术方案等投标文件或者响应文件的实质性内容；</w:t>
      </w:r>
    </w:p>
    <w:p w14:paraId="14B45C7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（四）属于同一集团、协会、商会等组织成员的供应商按照该组织要求协同参加政府采购活动；</w:t>
      </w:r>
    </w:p>
    <w:p w14:paraId="2EDBD7D3">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（五）供应商之间事先约定由某一特定供应商中标、成交；</w:t>
      </w:r>
    </w:p>
    <w:p w14:paraId="5BA84BF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（六）供应商之间商定部分供应商放弃参加政府采购活动或者放弃中标、成交；</w:t>
      </w:r>
    </w:p>
    <w:p w14:paraId="7425077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（七）供应商与采购人或者采购代理机构之间、供应商相互之间，为谋求特定供应商中标、成交或者排斥其他供应商的其他串通行为。</w:t>
      </w:r>
    </w:p>
    <w:p w14:paraId="7854B477">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六、成交结果信息公布与授予合同</w:t>
      </w:r>
      <w:bookmarkEnd w:id="24"/>
    </w:p>
    <w:p w14:paraId="1B6F1D61">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38</w:t>
      </w:r>
      <w:r>
        <w:rPr>
          <w:rFonts w:hint="eastAsia" w:ascii="宋体" w:hAnsi="宋体" w:eastAsia="宋体" w:cs="宋体"/>
          <w:b/>
          <w:bCs/>
          <w:sz w:val="21"/>
          <w:szCs w:val="21"/>
        </w:rPr>
        <w:t>.成交信息的公布</w:t>
      </w:r>
    </w:p>
    <w:p w14:paraId="0422ECC7">
      <w:pPr>
        <w:pStyle w:val="24"/>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8</w:t>
      </w:r>
      <w:r>
        <w:rPr>
          <w:rFonts w:hint="eastAsia" w:ascii="宋体" w:hAnsi="宋体" w:eastAsia="宋体" w:cs="宋体"/>
          <w:sz w:val="21"/>
          <w:szCs w:val="21"/>
        </w:rPr>
        <w:t>.1成交供应商确定后2个工作日内，采购人或者采购代理机构应将成交结果信息在</w:t>
      </w:r>
      <w:r>
        <w:rPr>
          <w:rFonts w:hint="eastAsia" w:ascii="宋体" w:hAnsi="宋体" w:eastAsia="宋体" w:cs="宋体"/>
          <w:b/>
          <w:sz w:val="21"/>
          <w:szCs w:val="21"/>
        </w:rPr>
        <w:t>磋商须知前附表</w:t>
      </w:r>
      <w:r>
        <w:rPr>
          <w:rFonts w:hint="eastAsia" w:ascii="宋体" w:hAnsi="宋体" w:eastAsia="宋体" w:cs="宋体"/>
          <w:sz w:val="21"/>
          <w:szCs w:val="21"/>
        </w:rPr>
        <w:t>指定的媒体上公布。</w:t>
      </w:r>
    </w:p>
    <w:p w14:paraId="20FA8315">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.询问及质疑</w:t>
      </w:r>
    </w:p>
    <w:p w14:paraId="1FDF7508">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r>
        <w:rPr>
          <w:rFonts w:hint="eastAsia" w:ascii="宋体" w:hAnsi="宋体" w:eastAsia="宋体" w:cs="宋体"/>
          <w:sz w:val="21"/>
          <w:szCs w:val="21"/>
        </w:rPr>
        <w:t>.1供应商对政府采购活动事项有疑问的，可以向采购人或采购代理机构提出询问。</w:t>
      </w:r>
    </w:p>
    <w:p w14:paraId="1F6E6BC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39</w:t>
      </w:r>
      <w:r>
        <w:rPr>
          <w:rFonts w:hint="eastAsia" w:ascii="宋体" w:hAnsi="宋体" w:eastAsia="宋体" w:cs="宋体"/>
          <w:sz w:val="21"/>
          <w:szCs w:val="21"/>
        </w:rPr>
        <w:t>.2供应商若认为磋商文件、采购过程和成交结果使自己的权益受到损害，可以按法律、规章及财政部相关文件规定向采购人或采购代理机构提出质疑。</w:t>
      </w:r>
    </w:p>
    <w:p w14:paraId="68ACC7BA">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40</w:t>
      </w:r>
      <w:r>
        <w:rPr>
          <w:rFonts w:hint="eastAsia" w:ascii="宋体" w:hAnsi="宋体" w:eastAsia="宋体" w:cs="宋体"/>
          <w:b/>
          <w:bCs/>
          <w:sz w:val="21"/>
          <w:szCs w:val="21"/>
        </w:rPr>
        <w:t>.成交通知</w:t>
      </w:r>
    </w:p>
    <w:p w14:paraId="6D67DE5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40.1成交供应商确定后，采购人或采购代理机构将以书面形式向成交供应商发出成交通知书。成交通知书对采购人和成交供应商具有同等法律效力。</w:t>
      </w:r>
    </w:p>
    <w:p w14:paraId="77A5A92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40.2 成交通知书是合同文件的组成部分。</w:t>
      </w:r>
    </w:p>
    <w:p w14:paraId="605B8DD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40.3 成交供应商在收到采购代理机构的成交通知书后10日内，应按照磋商须知前附表的规定，向采购人提交履约担保。联合体成交的，履约担保由联合体各方或联合体中牵头人的名义提交。</w:t>
      </w:r>
    </w:p>
    <w:p w14:paraId="71FA4D1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40.4 成交供应商没有按照本章第39.3款规定提交履约担保的，视为放弃成交资格，其保证金不予退还。</w:t>
      </w:r>
    </w:p>
    <w:p w14:paraId="09BAB6E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41</w:t>
      </w:r>
      <w:r>
        <w:rPr>
          <w:rFonts w:hint="eastAsia" w:ascii="宋体" w:hAnsi="宋体" w:eastAsia="宋体" w:cs="宋体"/>
          <w:b/>
          <w:bCs/>
          <w:sz w:val="21"/>
          <w:szCs w:val="21"/>
        </w:rPr>
        <w:t>.签订合同</w:t>
      </w:r>
    </w:p>
    <w:p w14:paraId="6BCA89CF">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.1磋商文件、成交供应商的响应文件及其补充的响应文件等均为签订政府采购合同的依据。</w:t>
      </w:r>
    </w:p>
    <w:p w14:paraId="7537EC4D">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.2成交供应商应当在成交通知书发出之日起30日内与采购人签订政府采购合同。</w:t>
      </w:r>
    </w:p>
    <w:p w14:paraId="3F05AB6C">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.3成交供应商应当按照合同约定履行义务。成交供应商不得向他人转让成交项目，也不得将成交项目分包后分别向他人转让。</w:t>
      </w:r>
    </w:p>
    <w:p w14:paraId="5AEB4026">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.4成交供应商有下列情形之一的，责令限期改正，情节严重的，列入不良行为记录名单，在1至3年内禁止参加政府采购活动，并予以通报：</w:t>
      </w:r>
    </w:p>
    <w:p w14:paraId="05B90188">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（一）成交后无正当理由不与采购人签订合同的；</w:t>
      </w:r>
    </w:p>
    <w:p w14:paraId="576524C3">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（二）未按照采购文件确定的事项签订政府采购合同，或者与采购人另行订立背离合同实质性内容的协议的；</w:t>
      </w:r>
    </w:p>
    <w:p w14:paraId="6BE8BD5A">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（三）拒绝履行合同义务的；</w:t>
      </w:r>
    </w:p>
    <w:p w14:paraId="2F835285">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（四）违反法律、规章、规范性文件规定的。</w:t>
      </w:r>
    </w:p>
    <w:p w14:paraId="0318030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5" w:name="_Toc24042"/>
      <w:r>
        <w:rPr>
          <w:rFonts w:hint="eastAsia" w:ascii="宋体" w:hAnsi="宋体" w:eastAsia="宋体" w:cs="宋体"/>
          <w:b/>
          <w:sz w:val="21"/>
          <w:szCs w:val="21"/>
        </w:rPr>
        <w:t>七、其他规定</w:t>
      </w:r>
      <w:bookmarkEnd w:id="25"/>
    </w:p>
    <w:p w14:paraId="4EC2BD3F">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42</w:t>
      </w:r>
      <w:r>
        <w:rPr>
          <w:rFonts w:hint="eastAsia" w:ascii="宋体" w:hAnsi="宋体" w:eastAsia="宋体" w:cs="宋体"/>
          <w:b/>
          <w:sz w:val="21"/>
          <w:szCs w:val="21"/>
        </w:rPr>
        <w:t>.采购代理服务费</w:t>
      </w:r>
    </w:p>
    <w:p w14:paraId="0121FED2">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.1采购代理机构应按</w:t>
      </w:r>
      <w:r>
        <w:rPr>
          <w:rFonts w:hint="eastAsia" w:ascii="宋体" w:hAnsi="宋体" w:eastAsia="宋体" w:cs="宋体"/>
          <w:b/>
          <w:sz w:val="21"/>
          <w:szCs w:val="21"/>
        </w:rPr>
        <w:t>磋商须知前附表</w:t>
      </w:r>
      <w:r>
        <w:rPr>
          <w:rFonts w:hint="eastAsia" w:ascii="宋体" w:hAnsi="宋体" w:eastAsia="宋体" w:cs="宋体"/>
          <w:sz w:val="21"/>
          <w:szCs w:val="21"/>
        </w:rPr>
        <w:t>规定收取采购代理服务费。</w:t>
      </w:r>
    </w:p>
    <w:p w14:paraId="2E7C6EB5">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.2集中采购机构不得收取采购代理服务费。</w:t>
      </w:r>
    </w:p>
    <w:p w14:paraId="64473BE7">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1"/>
          <w:szCs w:val="21"/>
        </w:rPr>
      </w:pPr>
      <w:r>
        <w:rPr>
          <w:rFonts w:hint="eastAsia" w:ascii="宋体" w:hAnsi="宋体" w:eastAsia="宋体" w:cs="宋体"/>
          <w:b/>
          <w:sz w:val="21"/>
          <w:szCs w:val="21"/>
        </w:rPr>
        <w:t>4</w:t>
      </w:r>
      <w:r>
        <w:rPr>
          <w:rFonts w:hint="eastAsia" w:ascii="宋体" w:hAnsi="宋体" w:eastAsia="宋体" w:cs="宋体"/>
          <w:b/>
          <w:sz w:val="21"/>
          <w:szCs w:val="21"/>
          <w:lang w:val="en-US" w:eastAsia="zh-CN"/>
        </w:rPr>
        <w:t>3</w:t>
      </w:r>
      <w:r>
        <w:rPr>
          <w:rFonts w:hint="eastAsia" w:ascii="宋体" w:hAnsi="宋体" w:eastAsia="宋体" w:cs="宋体"/>
          <w:b/>
          <w:sz w:val="21"/>
          <w:szCs w:val="21"/>
        </w:rPr>
        <w:t>.其他规定</w:t>
      </w:r>
    </w:p>
    <w:p w14:paraId="7738BBFE">
      <w:pPr>
        <w:keepNext w:val="0"/>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3</w:t>
      </w:r>
      <w:r>
        <w:rPr>
          <w:rFonts w:hint="eastAsia" w:ascii="宋体" w:hAnsi="宋体" w:eastAsia="宋体" w:cs="宋体"/>
          <w:sz w:val="21"/>
          <w:szCs w:val="21"/>
        </w:rPr>
        <w:t>.1磋商文件的其他规定见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51F41DD0">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7BDF22D6">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3FFB3FEE">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64EA9C2E">
      <w:pPr>
        <w:pStyle w:val="5"/>
        <w:rPr>
          <w:rFonts w:hint="eastAsia" w:ascii="宋体" w:hAnsi="宋体" w:eastAsia="宋体" w:cs="宋体"/>
          <w:b/>
          <w:bCs/>
          <w:sz w:val="21"/>
          <w:szCs w:val="21"/>
        </w:rPr>
      </w:pPr>
    </w:p>
    <w:p w14:paraId="68016CB9">
      <w:pPr>
        <w:rPr>
          <w:rFonts w:hint="eastAsia" w:ascii="宋体" w:hAnsi="宋体" w:eastAsia="宋体" w:cs="宋体"/>
          <w:b/>
          <w:bCs/>
          <w:sz w:val="21"/>
          <w:szCs w:val="21"/>
        </w:rPr>
      </w:pPr>
    </w:p>
    <w:p w14:paraId="26C3AC7F">
      <w:pPr>
        <w:pStyle w:val="5"/>
        <w:rPr>
          <w:rFonts w:hint="eastAsia" w:ascii="宋体" w:hAnsi="宋体" w:eastAsia="宋体" w:cs="宋体"/>
          <w:b/>
          <w:bCs/>
          <w:sz w:val="21"/>
          <w:szCs w:val="21"/>
        </w:rPr>
      </w:pPr>
    </w:p>
    <w:p w14:paraId="057118C8">
      <w:pPr>
        <w:rPr>
          <w:rFonts w:hint="eastAsia" w:ascii="宋体" w:hAnsi="宋体" w:eastAsia="宋体" w:cs="宋体"/>
          <w:b/>
          <w:bCs/>
          <w:sz w:val="21"/>
          <w:szCs w:val="21"/>
        </w:rPr>
      </w:pPr>
    </w:p>
    <w:p w14:paraId="6CBABCBE">
      <w:pPr>
        <w:pStyle w:val="5"/>
        <w:rPr>
          <w:rFonts w:hint="eastAsia" w:ascii="宋体" w:hAnsi="宋体" w:eastAsia="宋体" w:cs="宋体"/>
          <w:b/>
          <w:bCs/>
          <w:sz w:val="21"/>
          <w:szCs w:val="21"/>
        </w:rPr>
      </w:pPr>
    </w:p>
    <w:p w14:paraId="22A56CF0">
      <w:pPr>
        <w:rPr>
          <w:rFonts w:hint="eastAsia" w:ascii="宋体" w:hAnsi="宋体" w:eastAsia="宋体" w:cs="宋体"/>
          <w:b/>
          <w:bCs/>
          <w:sz w:val="21"/>
          <w:szCs w:val="21"/>
        </w:rPr>
      </w:pPr>
    </w:p>
    <w:p w14:paraId="0BFB06D6">
      <w:pPr>
        <w:pStyle w:val="5"/>
        <w:rPr>
          <w:rFonts w:hint="eastAsia" w:ascii="宋体" w:hAnsi="宋体" w:eastAsia="宋体" w:cs="宋体"/>
          <w:b/>
          <w:bCs/>
          <w:sz w:val="21"/>
          <w:szCs w:val="21"/>
        </w:rPr>
      </w:pPr>
    </w:p>
    <w:p w14:paraId="3DFD3704">
      <w:pPr>
        <w:rPr>
          <w:rFonts w:hint="eastAsia" w:ascii="宋体" w:hAnsi="宋体" w:eastAsia="宋体" w:cs="宋体"/>
          <w:b/>
          <w:bCs/>
          <w:sz w:val="21"/>
          <w:szCs w:val="21"/>
        </w:rPr>
      </w:pPr>
    </w:p>
    <w:p w14:paraId="060A5379">
      <w:pPr>
        <w:pStyle w:val="5"/>
        <w:rPr>
          <w:rFonts w:hint="eastAsia" w:ascii="宋体" w:hAnsi="宋体" w:eastAsia="宋体" w:cs="宋体"/>
          <w:b/>
          <w:bCs/>
          <w:sz w:val="21"/>
          <w:szCs w:val="21"/>
        </w:rPr>
      </w:pPr>
    </w:p>
    <w:p w14:paraId="4DF6C3DA">
      <w:pPr>
        <w:rPr>
          <w:rFonts w:hint="eastAsia"/>
        </w:rPr>
      </w:pPr>
    </w:p>
    <w:p w14:paraId="1B6FE228">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078656E7">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60E9F00B">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637A0190">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第三章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评审办法及标准</w:t>
      </w:r>
      <w:bookmarkEnd w:id="8"/>
    </w:p>
    <w:p w14:paraId="075D6DA6">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 xml:space="preserve"> </w:t>
      </w:r>
      <w:bookmarkStart w:id="26" w:name="_Toc508008698"/>
      <w:r>
        <w:rPr>
          <w:rFonts w:hint="eastAsia" w:ascii="宋体" w:hAnsi="宋体" w:eastAsia="宋体" w:cs="宋体"/>
          <w:b/>
          <w:bCs/>
          <w:sz w:val="21"/>
          <w:szCs w:val="21"/>
        </w:rPr>
        <w:t>1.评标方法</w:t>
      </w:r>
      <w:bookmarkEnd w:id="26"/>
    </w:p>
    <w:p w14:paraId="5B8938EF">
      <w:pPr>
        <w:pageBreakBefore w:val="0"/>
        <w:kinsoku/>
        <w:wordWrap/>
        <w:overflowPunct/>
        <w:bidi w:val="0"/>
        <w:spacing w:beforeAutospacing="0" w:afterAutospacing="0" w:line="560" w:lineRule="exact"/>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1.1评标方法：综合评分法</w:t>
      </w:r>
      <w:r>
        <w:rPr>
          <w:rFonts w:hint="eastAsia" w:ascii="宋体" w:hAnsi="宋体" w:eastAsia="宋体" w:cs="宋体"/>
          <w:sz w:val="21"/>
          <w:szCs w:val="21"/>
          <w:lang w:eastAsia="zh-CN"/>
        </w:rPr>
        <w:t>，是</w:t>
      </w:r>
      <w:r>
        <w:rPr>
          <w:rFonts w:hint="eastAsia" w:ascii="宋体" w:hAnsi="宋体" w:eastAsia="宋体" w:cs="宋体"/>
          <w:sz w:val="21"/>
          <w:szCs w:val="21"/>
        </w:rPr>
        <w:t>指</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全部实质性要求，且按照评审因素的量化指标评审得分最高的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为中标候选人的评标方法。</w:t>
      </w:r>
    </w:p>
    <w:p w14:paraId="41F08DBF">
      <w:pPr>
        <w:pageBreakBefore w:val="0"/>
        <w:kinsoku/>
        <w:wordWrap/>
        <w:overflowPunct/>
        <w:bidi w:val="0"/>
        <w:spacing w:beforeAutospacing="0" w:afterAutospacing="0" w:line="560" w:lineRule="exact"/>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1.2评标因素：评审因素的设定应当与</w:t>
      </w:r>
      <w:r>
        <w:rPr>
          <w:rFonts w:hint="eastAsia" w:ascii="宋体" w:hAnsi="宋体" w:eastAsia="宋体" w:cs="宋体"/>
          <w:sz w:val="21"/>
          <w:szCs w:val="21"/>
          <w:lang w:eastAsia="zh-CN"/>
        </w:rPr>
        <w:t>供应商</w:t>
      </w:r>
      <w:r>
        <w:rPr>
          <w:rFonts w:hint="eastAsia" w:ascii="宋体" w:hAnsi="宋体" w:eastAsia="宋体" w:cs="宋体"/>
          <w:sz w:val="21"/>
          <w:szCs w:val="21"/>
        </w:rPr>
        <w:t>所提供服务的质量相关，包括投标报价、技术或者服务水平、履约能力、售后服务等，但不包括第一章“</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w:t>
      </w:r>
    </w:p>
    <w:p w14:paraId="4F5144C1">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27" w:name="_Toc508008699"/>
      <w:r>
        <w:rPr>
          <w:rFonts w:hint="eastAsia" w:ascii="宋体" w:hAnsi="宋体" w:eastAsia="宋体" w:cs="宋体"/>
          <w:b/>
          <w:bCs/>
          <w:sz w:val="21"/>
          <w:szCs w:val="21"/>
        </w:rPr>
        <w:t>2.评标程序</w:t>
      </w:r>
      <w:bookmarkEnd w:id="27"/>
    </w:p>
    <w:p w14:paraId="440D9C8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2.1评标程序分为</w:t>
      </w:r>
      <w:r>
        <w:rPr>
          <w:rFonts w:hint="eastAsia" w:ascii="宋体" w:hAnsi="宋体" w:eastAsia="宋体" w:cs="宋体"/>
          <w:sz w:val="21"/>
          <w:szCs w:val="21"/>
          <w:lang w:eastAsia="zh-CN"/>
        </w:rPr>
        <w:t>响应文件</w:t>
      </w:r>
      <w:r>
        <w:rPr>
          <w:rFonts w:hint="eastAsia" w:ascii="宋体" w:hAnsi="宋体" w:eastAsia="宋体" w:cs="宋体"/>
          <w:sz w:val="21"/>
          <w:szCs w:val="21"/>
        </w:rPr>
        <w:t>资格审查、符合性审查、澄清有关问题、比较和评价、确定中标候选人名单。</w:t>
      </w:r>
    </w:p>
    <w:p w14:paraId="176C1E52">
      <w:pPr>
        <w:pageBreakBefore w:val="0"/>
        <w:kinsoku/>
        <w:wordWrap/>
        <w:overflowPunct/>
        <w:bidi w:val="0"/>
        <w:spacing w:beforeAutospacing="0" w:afterAutospacing="0" w:line="560" w:lineRule="exact"/>
        <w:jc w:val="left"/>
        <w:outlineLvl w:val="0"/>
        <w:rPr>
          <w:rFonts w:hint="default" w:ascii="宋体" w:hAnsi="宋体" w:eastAsia="宋体" w:cs="宋体"/>
          <w:b/>
          <w:bCs/>
          <w:sz w:val="21"/>
          <w:szCs w:val="21"/>
          <w:lang w:val="en-US" w:eastAsia="zh-CN"/>
        </w:rPr>
      </w:pPr>
      <w:bookmarkStart w:id="28" w:name="_Toc508008700"/>
      <w:r>
        <w:rPr>
          <w:rFonts w:hint="eastAsia" w:ascii="宋体" w:hAnsi="宋体" w:eastAsia="宋体" w:cs="宋体"/>
          <w:b/>
          <w:bCs/>
          <w:sz w:val="21"/>
          <w:szCs w:val="21"/>
        </w:rPr>
        <w:t>3.资格审查</w:t>
      </w:r>
    </w:p>
    <w:p w14:paraId="16246BC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3.1 供应商应当符合磋商须知前附表中规定的资格条件要求。</w:t>
      </w:r>
    </w:p>
    <w:p w14:paraId="63EC0F3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36216AB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（1）联合体各方应按磋商文件提供的格式签订联合体协议书，明确联合体牵头人和各方权利义务(含承担工作及工作量比例)；</w:t>
      </w:r>
    </w:p>
    <w:p w14:paraId="48A54D4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（2）联合体中有同类资质的供应商按照联合体分工承担相同工作的，应当按照资质等级较低的供应商确定资质等级；</w:t>
      </w:r>
    </w:p>
    <w:p w14:paraId="38D6DDC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（3）以联合体形式参加政府采购活动的，联合体各方不得再单独参加或者与其他供应商另外组成联合体参加同一合同项下的政府采购活动。</w:t>
      </w:r>
    </w:p>
    <w:p w14:paraId="548FF6C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0F760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（1）与其他供应商的法定代表人（或者负责人）为同一人，或者与其他供应商存在直接控股、管理关系。</w:t>
      </w:r>
    </w:p>
    <w:p w14:paraId="2A7CB37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受到刑事处罚，或者受到三万元以上的罚款、责令停产停业、在一至三年内禁止参加政府采购活动、暂扣或者吊销许可证、暂扣或者吊销执照等情形之一的行政处罚，或者存在财政部门认定的其他重大违法记录。</w:t>
      </w:r>
    </w:p>
    <w:p w14:paraId="52DA80B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7E4E2D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（1）不符合第二章第3条</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的资格要求的；</w:t>
      </w:r>
    </w:p>
    <w:p w14:paraId="67CA06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（2）联合体没有提交联合体协议书，或未提交联合体各方资格证明文件的；</w:t>
      </w:r>
    </w:p>
    <w:p w14:paraId="7E209DB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响应文件</w:t>
      </w:r>
      <w:r>
        <w:rPr>
          <w:rFonts w:hint="eastAsia" w:ascii="宋体" w:hAnsi="宋体" w:eastAsia="宋体" w:cs="宋体"/>
          <w:sz w:val="21"/>
          <w:szCs w:val="21"/>
        </w:rPr>
        <w:t>中资格证明文件未按照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要求签署、盖章的；</w:t>
      </w:r>
    </w:p>
    <w:p w14:paraId="090A6DF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（4）不符合法律、法规和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1895FD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rPr>
        <w:t>对未通过资格审查的</w:t>
      </w:r>
      <w:r>
        <w:rPr>
          <w:rFonts w:hint="eastAsia" w:ascii="宋体" w:hAnsi="宋体" w:eastAsia="宋体" w:cs="宋体"/>
          <w:sz w:val="21"/>
          <w:szCs w:val="21"/>
          <w:lang w:eastAsia="zh-CN"/>
        </w:rPr>
        <w:t>供应商</w:t>
      </w:r>
      <w:r>
        <w:rPr>
          <w:rFonts w:hint="eastAsia" w:ascii="宋体" w:hAnsi="宋体" w:eastAsia="宋体" w:cs="宋体"/>
          <w:sz w:val="21"/>
          <w:szCs w:val="21"/>
        </w:rPr>
        <w:t>，应当告知其未通过的原因。</w:t>
      </w:r>
    </w:p>
    <w:p w14:paraId="31D2F6E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6</w:t>
      </w:r>
      <w:r>
        <w:rPr>
          <w:rFonts w:hint="eastAsia" w:ascii="宋体" w:hAnsi="宋体" w:eastAsia="宋体" w:cs="宋体"/>
          <w:sz w:val="21"/>
          <w:szCs w:val="21"/>
        </w:rPr>
        <w:t>已进行资格预审的，可以不再对</w:t>
      </w:r>
      <w:r>
        <w:rPr>
          <w:rFonts w:hint="eastAsia" w:ascii="宋体" w:hAnsi="宋体" w:eastAsia="宋体" w:cs="宋体"/>
          <w:sz w:val="21"/>
          <w:szCs w:val="21"/>
          <w:lang w:eastAsia="zh-CN"/>
        </w:rPr>
        <w:t>供应商</w:t>
      </w:r>
      <w:r>
        <w:rPr>
          <w:rFonts w:hint="eastAsia" w:ascii="宋体" w:hAnsi="宋体" w:eastAsia="宋体" w:cs="宋体"/>
          <w:sz w:val="21"/>
          <w:szCs w:val="21"/>
        </w:rPr>
        <w:t>资格进行审查。资格预审合格的</w:t>
      </w:r>
      <w:r>
        <w:rPr>
          <w:rFonts w:hint="eastAsia" w:ascii="宋体" w:hAnsi="宋体" w:eastAsia="宋体" w:cs="宋体"/>
          <w:sz w:val="21"/>
          <w:szCs w:val="21"/>
          <w:lang w:eastAsia="zh-CN"/>
        </w:rPr>
        <w:t>供应商</w:t>
      </w:r>
      <w:r>
        <w:rPr>
          <w:rFonts w:hint="eastAsia" w:ascii="宋体" w:hAnsi="宋体" w:eastAsia="宋体" w:cs="宋体"/>
          <w:sz w:val="21"/>
          <w:szCs w:val="21"/>
        </w:rPr>
        <w:t>在提交</w:t>
      </w:r>
      <w:r>
        <w:rPr>
          <w:rFonts w:hint="eastAsia" w:ascii="宋体" w:hAnsi="宋体" w:eastAsia="宋体" w:cs="宋体"/>
          <w:sz w:val="21"/>
          <w:szCs w:val="21"/>
          <w:lang w:eastAsia="zh-CN"/>
        </w:rPr>
        <w:t>响应文件</w:t>
      </w:r>
      <w:r>
        <w:rPr>
          <w:rFonts w:hint="eastAsia" w:ascii="宋体" w:hAnsi="宋体" w:eastAsia="宋体" w:cs="宋体"/>
          <w:sz w:val="21"/>
          <w:szCs w:val="21"/>
        </w:rPr>
        <w:t>的截止时间前资格发生变化的，应当按新情况更新或补充其资格审查证明资料，以证实其各项资格条件仍能继续满足资格预审公告的要求。</w:t>
      </w:r>
    </w:p>
    <w:p w14:paraId="25C668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7</w:t>
      </w:r>
      <w:r>
        <w:rPr>
          <w:rFonts w:hint="eastAsia" w:ascii="宋体" w:hAnsi="宋体" w:eastAsia="宋体" w:cs="宋体"/>
          <w:sz w:val="21"/>
          <w:szCs w:val="21"/>
        </w:rPr>
        <w:t>资格审查结束后，采购人及采购代理机构应将资格审查结果送交评标委员会。合格</w:t>
      </w:r>
      <w:r>
        <w:rPr>
          <w:rFonts w:hint="eastAsia" w:ascii="宋体" w:hAnsi="宋体" w:eastAsia="宋体" w:cs="宋体"/>
          <w:sz w:val="21"/>
          <w:szCs w:val="21"/>
          <w:lang w:eastAsia="zh-CN"/>
        </w:rPr>
        <w:t>供应商</w:t>
      </w:r>
      <w:r>
        <w:rPr>
          <w:rFonts w:hint="eastAsia" w:ascii="宋体" w:hAnsi="宋体" w:eastAsia="宋体" w:cs="宋体"/>
          <w:sz w:val="21"/>
          <w:szCs w:val="21"/>
        </w:rPr>
        <w:t>不足3家的，不得进入评标环节。</w:t>
      </w:r>
    </w:p>
    <w:p w14:paraId="42CF4C9D">
      <w:pPr>
        <w:pageBreakBefore w:val="0"/>
        <w:kinsoku/>
        <w:wordWrap/>
        <w:overflowPunct/>
        <w:topLinePunct w:val="0"/>
        <w:bidi w:val="0"/>
        <w:spacing w:beforeAutospacing="0" w:afterAutospacing="0" w:line="560" w:lineRule="exact"/>
        <w:jc w:val="left"/>
        <w:outlineLvl w:val="0"/>
        <w:rPr>
          <w:rFonts w:hint="eastAsia"/>
        </w:rPr>
      </w:pPr>
      <w:r>
        <w:rPr>
          <w:rFonts w:hint="eastAsia" w:ascii="宋体" w:hAnsi="宋体" w:eastAsia="宋体" w:cs="宋体"/>
          <w:b/>
          <w:bCs/>
          <w:sz w:val="21"/>
          <w:szCs w:val="21"/>
        </w:rPr>
        <w:t>附表1</w:t>
      </w:r>
      <w:r>
        <w:rPr>
          <w:rFonts w:hint="eastAsia" w:ascii="宋体" w:hAnsi="宋体" w:eastAsia="宋体" w:cs="宋体"/>
          <w:b/>
          <w:bCs/>
          <w:sz w:val="21"/>
          <w:szCs w:val="21"/>
          <w:lang w:eastAsia="zh-CN"/>
        </w:rPr>
        <w:t>：</w:t>
      </w:r>
      <w:r>
        <w:rPr>
          <w:rFonts w:hint="eastAsia" w:ascii="宋体" w:hAnsi="宋体" w:eastAsia="宋体" w:cs="宋体"/>
          <w:b/>
          <w:bCs/>
          <w:sz w:val="21"/>
          <w:szCs w:val="21"/>
        </w:rPr>
        <w:t>供应商资格性审查表</w:t>
      </w:r>
    </w:p>
    <w:tbl>
      <w:tblPr>
        <w:tblStyle w:val="40"/>
        <w:tblpPr w:leftFromText="180" w:rightFromText="180" w:vertAnchor="text" w:horzAnchor="page" w:tblpX="1095" w:tblpY="202"/>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600"/>
        <w:gridCol w:w="685"/>
        <w:gridCol w:w="879"/>
        <w:gridCol w:w="824"/>
      </w:tblGrid>
      <w:tr w14:paraId="78EB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1" w:type="dxa"/>
            <w:vMerge w:val="restart"/>
            <w:tcBorders>
              <w:top w:val="single" w:color="auto" w:sz="4" w:space="0"/>
              <w:left w:val="single" w:color="auto" w:sz="4" w:space="0"/>
              <w:right w:val="single" w:color="auto" w:sz="4" w:space="0"/>
            </w:tcBorders>
            <w:noWrap w:val="0"/>
            <w:vAlign w:val="center"/>
          </w:tcPr>
          <w:p w14:paraId="3AB5F94C">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6600" w:type="dxa"/>
            <w:vMerge w:val="restart"/>
            <w:tcBorders>
              <w:top w:val="single" w:color="auto" w:sz="4" w:space="0"/>
              <w:left w:val="single" w:color="auto" w:sz="4" w:space="0"/>
              <w:right w:val="single" w:color="auto" w:sz="4" w:space="0"/>
            </w:tcBorders>
            <w:noWrap w:val="0"/>
            <w:vAlign w:val="center"/>
          </w:tcPr>
          <w:p w14:paraId="070A69A9">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资格性审查</w:t>
            </w:r>
            <w:r>
              <w:rPr>
                <w:rFonts w:hint="eastAsia" w:ascii="宋体" w:hAnsi="宋体" w:eastAsia="宋体" w:cs="宋体"/>
                <w:sz w:val="21"/>
                <w:szCs w:val="21"/>
              </w:rPr>
              <w:t>内容</w:t>
            </w:r>
          </w:p>
        </w:tc>
        <w:tc>
          <w:tcPr>
            <w:tcW w:w="2388" w:type="dxa"/>
            <w:gridSpan w:val="3"/>
            <w:tcBorders>
              <w:top w:val="single" w:color="auto" w:sz="4" w:space="0"/>
              <w:left w:val="single" w:color="auto" w:sz="4" w:space="0"/>
              <w:right w:val="single" w:color="auto" w:sz="4" w:space="0"/>
            </w:tcBorders>
            <w:noWrap w:val="0"/>
            <w:vAlign w:val="center"/>
          </w:tcPr>
          <w:p w14:paraId="62E4F9AB">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rPr>
              <w:t>供应商名称</w:t>
            </w:r>
          </w:p>
        </w:tc>
      </w:tr>
      <w:tr w14:paraId="637D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671" w:type="dxa"/>
            <w:vMerge w:val="continue"/>
            <w:tcBorders>
              <w:left w:val="single" w:color="auto" w:sz="4" w:space="0"/>
              <w:right w:val="single" w:color="auto" w:sz="4" w:space="0"/>
            </w:tcBorders>
            <w:noWrap w:val="0"/>
            <w:vAlign w:val="center"/>
          </w:tcPr>
          <w:p w14:paraId="5B1F8147">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p>
        </w:tc>
        <w:tc>
          <w:tcPr>
            <w:tcW w:w="6600" w:type="dxa"/>
            <w:vMerge w:val="continue"/>
            <w:tcBorders>
              <w:left w:val="single" w:color="auto" w:sz="4" w:space="0"/>
              <w:right w:val="single" w:color="auto" w:sz="4" w:space="0"/>
            </w:tcBorders>
            <w:noWrap w:val="0"/>
            <w:vAlign w:val="center"/>
          </w:tcPr>
          <w:p w14:paraId="1DA3711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685" w:type="dxa"/>
            <w:tcBorders>
              <w:top w:val="single" w:color="auto" w:sz="4" w:space="0"/>
              <w:left w:val="single" w:color="auto" w:sz="4" w:space="0"/>
              <w:right w:val="single" w:color="auto" w:sz="4" w:space="0"/>
            </w:tcBorders>
            <w:noWrap w:val="0"/>
            <w:vAlign w:val="top"/>
          </w:tcPr>
          <w:p w14:paraId="38C33A3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top w:val="single" w:color="auto" w:sz="4" w:space="0"/>
              <w:left w:val="single" w:color="auto" w:sz="4" w:space="0"/>
              <w:right w:val="single" w:color="auto" w:sz="4" w:space="0"/>
            </w:tcBorders>
            <w:noWrap w:val="0"/>
            <w:vAlign w:val="top"/>
          </w:tcPr>
          <w:p w14:paraId="78534E9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top w:val="single" w:color="auto" w:sz="4" w:space="0"/>
              <w:left w:val="single" w:color="auto" w:sz="4" w:space="0"/>
              <w:right w:val="single" w:color="auto" w:sz="4" w:space="0"/>
            </w:tcBorders>
            <w:noWrap w:val="0"/>
            <w:vAlign w:val="top"/>
          </w:tcPr>
          <w:p w14:paraId="5FA3916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214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30C6582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131206C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《磋商响应声明》原件或复印件。</w:t>
            </w:r>
          </w:p>
        </w:tc>
        <w:tc>
          <w:tcPr>
            <w:tcW w:w="685" w:type="dxa"/>
            <w:tcBorders>
              <w:left w:val="single" w:color="auto" w:sz="4" w:space="0"/>
              <w:right w:val="single" w:color="auto" w:sz="4" w:space="0"/>
            </w:tcBorders>
            <w:noWrap w:val="0"/>
            <w:vAlign w:val="center"/>
          </w:tcPr>
          <w:p w14:paraId="5DB3AA0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A190A1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013963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574A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0037F10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6EBE9D3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法人提交法定代表人身份证明或者法定代表人授权委托书并附法定代表人身份证明，自然人提交身份证复印件。</w:t>
            </w:r>
          </w:p>
        </w:tc>
        <w:tc>
          <w:tcPr>
            <w:tcW w:w="685" w:type="dxa"/>
            <w:tcBorders>
              <w:left w:val="single" w:color="auto" w:sz="4" w:space="0"/>
              <w:right w:val="single" w:color="auto" w:sz="4" w:space="0"/>
            </w:tcBorders>
            <w:noWrap w:val="0"/>
            <w:vAlign w:val="center"/>
          </w:tcPr>
          <w:p w14:paraId="76E6313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5CE036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39270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111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DCA70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2F1C4BB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《供应商资格声明》原件或复印件。</w:t>
            </w:r>
          </w:p>
        </w:tc>
        <w:tc>
          <w:tcPr>
            <w:tcW w:w="685" w:type="dxa"/>
            <w:tcBorders>
              <w:left w:val="single" w:color="auto" w:sz="4" w:space="0"/>
              <w:right w:val="single" w:color="auto" w:sz="4" w:space="0"/>
            </w:tcBorders>
            <w:noWrap w:val="0"/>
            <w:vAlign w:val="center"/>
          </w:tcPr>
          <w:p w14:paraId="74FF95A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3FF7673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4C6B4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047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11561B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42A27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营业执照副本、税务登记证副本、组织机构代码证（“三证合一或五证合一”只提供营业执照副本）。</w:t>
            </w:r>
          </w:p>
        </w:tc>
        <w:tc>
          <w:tcPr>
            <w:tcW w:w="685" w:type="dxa"/>
            <w:tcBorders>
              <w:left w:val="single" w:color="auto" w:sz="4" w:space="0"/>
              <w:right w:val="single" w:color="auto" w:sz="4" w:space="0"/>
            </w:tcBorders>
            <w:noWrap w:val="0"/>
            <w:vAlign w:val="center"/>
          </w:tcPr>
          <w:p w14:paraId="744A266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59CA3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F594F5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08E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FC6F53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5138CC9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《湖南省政府采购供应商资格承诺函》（提供此承诺函的无需提供财务状况、缴纳税收和社会保障资金等资格证明材料）。</w:t>
            </w:r>
          </w:p>
        </w:tc>
        <w:tc>
          <w:tcPr>
            <w:tcW w:w="685" w:type="dxa"/>
            <w:tcBorders>
              <w:left w:val="single" w:color="auto" w:sz="4" w:space="0"/>
              <w:right w:val="single" w:color="auto" w:sz="4" w:space="0"/>
            </w:tcBorders>
            <w:noWrap w:val="0"/>
            <w:vAlign w:val="center"/>
          </w:tcPr>
          <w:p w14:paraId="4F8DE33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ED9B4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5CEABF8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CDD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A72F6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7133E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投标人参加本次政府采购活动前3年内没有重大违法记录的声明承诺。</w:t>
            </w:r>
          </w:p>
        </w:tc>
        <w:tc>
          <w:tcPr>
            <w:tcW w:w="685" w:type="dxa"/>
            <w:tcBorders>
              <w:left w:val="single" w:color="auto" w:sz="4" w:space="0"/>
              <w:right w:val="single" w:color="auto" w:sz="4" w:space="0"/>
            </w:tcBorders>
            <w:noWrap w:val="0"/>
            <w:vAlign w:val="center"/>
          </w:tcPr>
          <w:p w14:paraId="5B8C186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22C354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AF008F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6E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6513320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43830DDB">
            <w:pPr>
              <w:keepNext w:val="0"/>
              <w:keepLines w:val="0"/>
              <w:pageBreakBefore w:val="0"/>
              <w:widowControl w:val="0"/>
              <w:kinsoku/>
              <w:wordWrap w:val="0"/>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投标人在“信用中国”网站（www.creditchina.gov.cn）列入失信被执行人和重大税收违法案件当事人名单和“中国政府采购网”（www.ccgp.gov.cn）网站未列入政府采购严重违法失信行为记录名单等被禁止投标记录</w:t>
            </w:r>
          </w:p>
        </w:tc>
        <w:tc>
          <w:tcPr>
            <w:tcW w:w="685" w:type="dxa"/>
            <w:tcBorders>
              <w:left w:val="single" w:color="auto" w:sz="4" w:space="0"/>
              <w:right w:val="single" w:color="auto" w:sz="4" w:space="0"/>
            </w:tcBorders>
            <w:noWrap w:val="0"/>
            <w:vAlign w:val="center"/>
          </w:tcPr>
          <w:p w14:paraId="47A9D5A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07CC96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A97AF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2DC2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27D447C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926F24">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中小企业参加投标必须提供《中小企业声明函》，否则视为无效投标。格式见财政部工业和信息化部关于《政府采购促进中小企业发展管理办法》的通知财库【2020】46号文。</w:t>
            </w:r>
          </w:p>
        </w:tc>
        <w:tc>
          <w:tcPr>
            <w:tcW w:w="685" w:type="dxa"/>
            <w:tcBorders>
              <w:left w:val="single" w:color="auto" w:sz="4" w:space="0"/>
              <w:right w:val="single" w:color="auto" w:sz="4" w:space="0"/>
            </w:tcBorders>
            <w:noWrap w:val="0"/>
            <w:vAlign w:val="center"/>
          </w:tcPr>
          <w:p w14:paraId="5D1E8A1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A7B32D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0AF39C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30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80608E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70C12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具有建设行政主管部门颁发的工程监理综合资质或房屋建筑工程专业乙级及以上监理资质，资质证书处于有效期内(提供资质证书复印件)。</w:t>
            </w:r>
          </w:p>
        </w:tc>
        <w:tc>
          <w:tcPr>
            <w:tcW w:w="685" w:type="dxa"/>
            <w:tcBorders>
              <w:left w:val="single" w:color="auto" w:sz="4" w:space="0"/>
              <w:right w:val="single" w:color="auto" w:sz="4" w:space="0"/>
            </w:tcBorders>
            <w:noWrap w:val="0"/>
            <w:vAlign w:val="center"/>
          </w:tcPr>
          <w:p w14:paraId="6C228BD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C769AE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EEF645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135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A2FD519">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0F8F6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总监理工程师的资格要求：拟投入本项目的总监理工程师须具有房屋建筑工程专业国家注册监理工程师证书（在有效期内）。</w:t>
            </w:r>
            <w:bookmarkStart w:id="151" w:name="_GoBack"/>
            <w:bookmarkEnd w:id="151"/>
          </w:p>
        </w:tc>
        <w:tc>
          <w:tcPr>
            <w:tcW w:w="685" w:type="dxa"/>
            <w:tcBorders>
              <w:left w:val="single" w:color="auto" w:sz="4" w:space="0"/>
              <w:right w:val="single" w:color="auto" w:sz="4" w:space="0"/>
            </w:tcBorders>
            <w:noWrap w:val="0"/>
            <w:vAlign w:val="center"/>
          </w:tcPr>
          <w:p w14:paraId="55122DF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0384333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1A3B84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18B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79132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F24669">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法律、法规和磋商文件规定的其他投标无效情形的</w:t>
            </w:r>
          </w:p>
        </w:tc>
        <w:tc>
          <w:tcPr>
            <w:tcW w:w="685" w:type="dxa"/>
            <w:tcBorders>
              <w:left w:val="single" w:color="auto" w:sz="4" w:space="0"/>
              <w:right w:val="single" w:color="auto" w:sz="4" w:space="0"/>
            </w:tcBorders>
            <w:noWrap w:val="0"/>
            <w:vAlign w:val="center"/>
          </w:tcPr>
          <w:p w14:paraId="72C1FAF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403717B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DF6C08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1217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271" w:type="dxa"/>
            <w:gridSpan w:val="2"/>
            <w:tcBorders>
              <w:top w:val="single" w:color="auto" w:sz="4" w:space="0"/>
              <w:left w:val="single" w:color="auto" w:sz="4" w:space="0"/>
              <w:bottom w:val="single" w:color="auto" w:sz="4" w:space="0"/>
              <w:right w:val="single" w:color="auto" w:sz="4" w:space="0"/>
            </w:tcBorders>
            <w:noWrap w:val="0"/>
            <w:vAlign w:val="center"/>
          </w:tcPr>
          <w:p w14:paraId="4C5D068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结论（合格/不合格）</w:t>
            </w:r>
          </w:p>
        </w:tc>
        <w:tc>
          <w:tcPr>
            <w:tcW w:w="685" w:type="dxa"/>
            <w:tcBorders>
              <w:left w:val="single" w:color="auto" w:sz="4" w:space="0"/>
              <w:right w:val="single" w:color="auto" w:sz="4" w:space="0"/>
            </w:tcBorders>
            <w:noWrap w:val="0"/>
            <w:vAlign w:val="center"/>
          </w:tcPr>
          <w:p w14:paraId="5C751D4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D6A7A3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7A385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bl>
    <w:p w14:paraId="4072797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1DAAA2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124F4CE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4"/>
          <w:szCs w:val="24"/>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2E566C09">
      <w:pPr>
        <w:pageBreakBefore w:val="0"/>
        <w:kinsoku/>
        <w:wordWrap/>
        <w:overflowPunct/>
        <w:topLinePunct w:val="0"/>
        <w:bidi w:val="0"/>
        <w:spacing w:beforeAutospacing="0" w:afterAutospacing="0" w:line="560" w:lineRule="exact"/>
        <w:jc w:val="left"/>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4、符合性审查</w:t>
      </w:r>
      <w:bookmarkEnd w:id="28"/>
    </w:p>
    <w:p w14:paraId="64D244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4.1评标委员会应当对资格审查合格的</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进行符合性审查，以确定其是否满足</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w:t>
      </w:r>
    </w:p>
    <w:p w14:paraId="6A3E570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（1）依据</w:t>
      </w:r>
      <w:r>
        <w:rPr>
          <w:rFonts w:hint="eastAsia" w:ascii="宋体" w:hAnsi="宋体" w:eastAsia="宋体" w:cs="宋体"/>
          <w:sz w:val="21"/>
          <w:szCs w:val="21"/>
          <w:lang w:eastAsia="zh-CN"/>
        </w:rPr>
        <w:t>磋商文件</w:t>
      </w:r>
      <w:r>
        <w:rPr>
          <w:rFonts w:hint="eastAsia" w:ascii="宋体" w:hAnsi="宋体" w:eastAsia="宋体" w:cs="宋体"/>
          <w:sz w:val="21"/>
          <w:szCs w:val="21"/>
        </w:rPr>
        <w:t>的规定，从</w:t>
      </w:r>
      <w:r>
        <w:rPr>
          <w:rFonts w:hint="eastAsia" w:ascii="宋体" w:hAnsi="宋体" w:eastAsia="宋体" w:cs="宋体"/>
          <w:sz w:val="21"/>
          <w:szCs w:val="21"/>
          <w:lang w:eastAsia="zh-CN"/>
        </w:rPr>
        <w:t>响应文件</w:t>
      </w:r>
      <w:r>
        <w:rPr>
          <w:rFonts w:hint="eastAsia" w:ascii="宋体" w:hAnsi="宋体" w:eastAsia="宋体" w:cs="宋体"/>
          <w:sz w:val="21"/>
          <w:szCs w:val="21"/>
        </w:rPr>
        <w:t>的有效性、完整性和对</w:t>
      </w:r>
      <w:r>
        <w:rPr>
          <w:rFonts w:hint="eastAsia" w:ascii="宋体" w:hAnsi="宋体" w:eastAsia="宋体" w:cs="宋体"/>
          <w:sz w:val="21"/>
          <w:szCs w:val="21"/>
          <w:lang w:eastAsia="zh-CN"/>
        </w:rPr>
        <w:t>磋商文件</w:t>
      </w:r>
      <w:r>
        <w:rPr>
          <w:rFonts w:hint="eastAsia" w:ascii="宋体" w:hAnsi="宋体" w:eastAsia="宋体" w:cs="宋体"/>
          <w:sz w:val="21"/>
          <w:szCs w:val="21"/>
        </w:rPr>
        <w:t>的响应程度进行审查，以确定是否对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的实质性要求作出响应。评标委员会决定</w:t>
      </w:r>
      <w:r>
        <w:rPr>
          <w:rFonts w:hint="eastAsia" w:ascii="宋体" w:hAnsi="宋体" w:eastAsia="宋体" w:cs="宋体"/>
          <w:sz w:val="21"/>
          <w:szCs w:val="21"/>
          <w:lang w:eastAsia="zh-CN"/>
        </w:rPr>
        <w:t>响应文件</w:t>
      </w:r>
      <w:r>
        <w:rPr>
          <w:rFonts w:hint="eastAsia" w:ascii="宋体" w:hAnsi="宋体" w:eastAsia="宋体" w:cs="宋体"/>
          <w:sz w:val="21"/>
          <w:szCs w:val="21"/>
        </w:rPr>
        <w:t>的响应性只根据</w:t>
      </w:r>
      <w:r>
        <w:rPr>
          <w:rFonts w:hint="eastAsia" w:ascii="宋体" w:hAnsi="宋体" w:eastAsia="宋体" w:cs="宋体"/>
          <w:sz w:val="21"/>
          <w:szCs w:val="21"/>
          <w:lang w:eastAsia="zh-CN"/>
        </w:rPr>
        <w:t>响应文件</w:t>
      </w:r>
      <w:r>
        <w:rPr>
          <w:rFonts w:hint="eastAsia" w:ascii="宋体" w:hAnsi="宋体" w:eastAsia="宋体" w:cs="宋体"/>
          <w:sz w:val="21"/>
          <w:szCs w:val="21"/>
        </w:rPr>
        <w:t>真实无误的内容，而不依据外部的证据，但</w:t>
      </w:r>
      <w:r>
        <w:rPr>
          <w:rFonts w:hint="eastAsia" w:ascii="宋体" w:hAnsi="宋体" w:eastAsia="宋体" w:cs="宋体"/>
          <w:sz w:val="21"/>
          <w:szCs w:val="21"/>
          <w:lang w:eastAsia="zh-CN"/>
        </w:rPr>
        <w:t>响应文件</w:t>
      </w:r>
      <w:r>
        <w:rPr>
          <w:rFonts w:hint="eastAsia" w:ascii="宋体" w:hAnsi="宋体" w:eastAsia="宋体" w:cs="宋体"/>
          <w:sz w:val="21"/>
          <w:szCs w:val="21"/>
        </w:rPr>
        <w:t>有不真实、不正确的内容时除外。</w:t>
      </w:r>
    </w:p>
    <w:p w14:paraId="5D661F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供应商</w:t>
      </w:r>
      <w:r>
        <w:rPr>
          <w:rFonts w:hint="eastAsia" w:ascii="宋体" w:hAnsi="宋体" w:eastAsia="宋体" w:cs="宋体"/>
          <w:sz w:val="21"/>
          <w:szCs w:val="21"/>
        </w:rPr>
        <w:t>不得通过修正或撤销不合要求的偏离从而使其投标成为实质上响应的投标。</w:t>
      </w:r>
    </w:p>
    <w:p w14:paraId="191794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4.2</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22B62EF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中商务技术文件未按照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规定要求签署、盖章的；</w:t>
      </w:r>
    </w:p>
    <w:p w14:paraId="657D17B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响应文件</w:t>
      </w:r>
      <w:r>
        <w:rPr>
          <w:rFonts w:hint="eastAsia" w:ascii="宋体" w:hAnsi="宋体" w:eastAsia="宋体" w:cs="宋体"/>
          <w:sz w:val="21"/>
          <w:szCs w:val="21"/>
        </w:rPr>
        <w:t>没有对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的实质性要求和条件作出响应，或者对</w:t>
      </w:r>
      <w:r>
        <w:rPr>
          <w:rFonts w:hint="eastAsia" w:ascii="宋体" w:hAnsi="宋体" w:eastAsia="宋体" w:cs="宋体"/>
          <w:sz w:val="21"/>
          <w:szCs w:val="21"/>
          <w:lang w:eastAsia="zh-CN"/>
        </w:rPr>
        <w:t>磋商文件</w:t>
      </w:r>
      <w:r>
        <w:rPr>
          <w:rFonts w:hint="eastAsia" w:ascii="宋体" w:hAnsi="宋体" w:eastAsia="宋体" w:cs="宋体"/>
          <w:sz w:val="21"/>
          <w:szCs w:val="21"/>
        </w:rPr>
        <w:t>的偏差超出</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规定的偏差范围或最高项数；</w:t>
      </w:r>
    </w:p>
    <w:p w14:paraId="29F8A3F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（3）报价超过</w:t>
      </w:r>
      <w:r>
        <w:rPr>
          <w:rFonts w:hint="eastAsia" w:ascii="宋体" w:hAnsi="宋体" w:eastAsia="宋体" w:cs="宋体"/>
          <w:sz w:val="21"/>
          <w:szCs w:val="21"/>
          <w:lang w:eastAsia="zh-CN"/>
        </w:rPr>
        <w:t>磋商文件</w:t>
      </w:r>
      <w:r>
        <w:rPr>
          <w:rFonts w:hint="eastAsia" w:ascii="宋体" w:hAnsi="宋体" w:eastAsia="宋体" w:cs="宋体"/>
          <w:sz w:val="21"/>
          <w:szCs w:val="21"/>
        </w:rPr>
        <w:t xml:space="preserve">中规定的最高限价和最低价的； </w:t>
      </w:r>
    </w:p>
    <w:p w14:paraId="41BBAD9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响应文件有效期</w:t>
      </w:r>
      <w:r>
        <w:rPr>
          <w:rFonts w:hint="eastAsia" w:ascii="宋体" w:hAnsi="宋体" w:eastAsia="宋体" w:cs="宋体"/>
          <w:sz w:val="21"/>
          <w:szCs w:val="21"/>
        </w:rPr>
        <w:t>不足的；</w:t>
      </w:r>
    </w:p>
    <w:p w14:paraId="4E55F63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响应文件</w:t>
      </w:r>
      <w:r>
        <w:rPr>
          <w:rFonts w:hint="eastAsia" w:ascii="宋体" w:hAnsi="宋体" w:eastAsia="宋体" w:cs="宋体"/>
          <w:sz w:val="21"/>
          <w:szCs w:val="21"/>
        </w:rPr>
        <w:t>含有采购人不能接受的附加条件的；</w:t>
      </w:r>
    </w:p>
    <w:p w14:paraId="455D870A">
      <w:pPr>
        <w:pageBreakBefore w:val="0"/>
        <w:kinsoku/>
        <w:wordWrap/>
        <w:overflowPunct/>
        <w:topLinePunct w:val="0"/>
        <w:bidi w:val="0"/>
        <w:spacing w:beforeAutospacing="0" w:afterAutospacing="0" w:line="560" w:lineRule="exact"/>
        <w:ind w:left="0" w:leftChars="0" w:firstLine="420" w:firstLineChars="200"/>
        <w:jc w:val="left"/>
        <w:outlineLvl w:val="0"/>
        <w:rPr>
          <w:rFonts w:hint="eastAsia" w:ascii="宋体" w:hAnsi="宋体" w:eastAsia="宋体" w:cs="宋体"/>
          <w:b/>
          <w:bCs/>
          <w:sz w:val="21"/>
          <w:szCs w:val="21"/>
          <w:lang w:val="en-US" w:eastAsia="zh-CN"/>
        </w:rPr>
      </w:pPr>
      <w:r>
        <w:rPr>
          <w:rFonts w:hint="eastAsia" w:ascii="宋体" w:hAnsi="宋体" w:eastAsia="宋体" w:cs="宋体"/>
          <w:sz w:val="21"/>
          <w:szCs w:val="21"/>
        </w:rPr>
        <w:t>（6）法律、法规和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261A40C6">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lang w:val="en-US" w:eastAsia="zh-CN"/>
        </w:rPr>
        <w:t>附表2：</w:t>
      </w:r>
      <w:r>
        <w:rPr>
          <w:rFonts w:hint="eastAsia" w:ascii="宋体" w:hAnsi="宋体" w:eastAsia="宋体" w:cs="宋体"/>
          <w:b/>
          <w:bCs/>
          <w:sz w:val="21"/>
          <w:szCs w:val="21"/>
        </w:rPr>
        <w:t>符合性审查表</w:t>
      </w:r>
    </w:p>
    <w:tbl>
      <w:tblPr>
        <w:tblStyle w:val="40"/>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811"/>
        <w:gridCol w:w="1550"/>
        <w:gridCol w:w="1567"/>
        <w:gridCol w:w="1504"/>
      </w:tblGrid>
      <w:tr w14:paraId="730C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6" w:type="dxa"/>
            <w:vMerge w:val="restart"/>
            <w:vAlign w:val="center"/>
          </w:tcPr>
          <w:p w14:paraId="1E8144E2">
            <w:pPr>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4811" w:type="dxa"/>
            <w:vMerge w:val="restart"/>
            <w:vAlign w:val="center"/>
          </w:tcPr>
          <w:p w14:paraId="77756307">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符合性审查</w:t>
            </w:r>
            <w:r>
              <w:rPr>
                <w:rFonts w:hint="eastAsia" w:ascii="宋体" w:hAnsi="宋体" w:eastAsia="宋体" w:cs="宋体"/>
                <w:b w:val="0"/>
                <w:bCs w:val="0"/>
                <w:sz w:val="21"/>
                <w:szCs w:val="21"/>
              </w:rPr>
              <w:t>内容</w:t>
            </w:r>
          </w:p>
        </w:tc>
        <w:tc>
          <w:tcPr>
            <w:tcW w:w="4621" w:type="dxa"/>
            <w:gridSpan w:val="3"/>
            <w:vAlign w:val="center"/>
          </w:tcPr>
          <w:p w14:paraId="197C79AE">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供应商</w:t>
            </w:r>
          </w:p>
        </w:tc>
      </w:tr>
      <w:tr w14:paraId="357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26" w:type="dxa"/>
            <w:vMerge w:val="continue"/>
            <w:vAlign w:val="center"/>
          </w:tcPr>
          <w:p w14:paraId="04FFD3AC">
            <w:pPr>
              <w:jc w:val="center"/>
              <w:rPr>
                <w:rFonts w:hint="eastAsia" w:ascii="宋体" w:hAnsi="宋体" w:eastAsia="宋体" w:cs="宋体"/>
                <w:sz w:val="21"/>
                <w:szCs w:val="21"/>
              </w:rPr>
            </w:pPr>
          </w:p>
        </w:tc>
        <w:tc>
          <w:tcPr>
            <w:tcW w:w="4811" w:type="dxa"/>
            <w:vMerge w:val="continue"/>
            <w:vAlign w:val="center"/>
          </w:tcPr>
          <w:p w14:paraId="0FB1BCCC">
            <w:pPr>
              <w:jc w:val="center"/>
              <w:rPr>
                <w:rFonts w:hint="eastAsia" w:ascii="宋体" w:hAnsi="宋体" w:eastAsia="宋体" w:cs="宋体"/>
                <w:sz w:val="21"/>
                <w:szCs w:val="21"/>
              </w:rPr>
            </w:pPr>
          </w:p>
        </w:tc>
        <w:tc>
          <w:tcPr>
            <w:tcW w:w="1550" w:type="dxa"/>
            <w:vAlign w:val="center"/>
          </w:tcPr>
          <w:p w14:paraId="223D1059">
            <w:pPr>
              <w:spacing w:line="240" w:lineRule="atLeast"/>
              <w:jc w:val="center"/>
              <w:rPr>
                <w:rFonts w:hint="eastAsia" w:ascii="宋体" w:hAnsi="宋体" w:eastAsia="宋体" w:cs="宋体"/>
                <w:b/>
                <w:bCs/>
                <w:sz w:val="21"/>
                <w:szCs w:val="21"/>
              </w:rPr>
            </w:pPr>
          </w:p>
        </w:tc>
        <w:tc>
          <w:tcPr>
            <w:tcW w:w="1567" w:type="dxa"/>
            <w:vAlign w:val="center"/>
          </w:tcPr>
          <w:p w14:paraId="14EA827D">
            <w:pPr>
              <w:spacing w:line="240" w:lineRule="atLeast"/>
              <w:ind w:left="211" w:leftChars="0" w:hanging="211" w:hangingChars="100"/>
              <w:jc w:val="left"/>
              <w:rPr>
                <w:rFonts w:hint="eastAsia" w:ascii="宋体" w:hAnsi="宋体" w:eastAsia="宋体" w:cs="宋体"/>
                <w:b/>
                <w:bCs/>
                <w:sz w:val="21"/>
                <w:szCs w:val="21"/>
                <w:lang w:eastAsia="zh-CN"/>
              </w:rPr>
            </w:pPr>
          </w:p>
        </w:tc>
        <w:tc>
          <w:tcPr>
            <w:tcW w:w="1504" w:type="dxa"/>
            <w:vAlign w:val="center"/>
          </w:tcPr>
          <w:p w14:paraId="5512C633">
            <w:pPr>
              <w:spacing w:line="240" w:lineRule="atLeast"/>
              <w:jc w:val="center"/>
              <w:rPr>
                <w:rFonts w:hint="eastAsia" w:ascii="宋体" w:hAnsi="宋体" w:eastAsia="宋体" w:cs="宋体"/>
                <w:b/>
                <w:bCs/>
                <w:sz w:val="21"/>
                <w:szCs w:val="21"/>
              </w:rPr>
            </w:pPr>
          </w:p>
        </w:tc>
      </w:tr>
      <w:tr w14:paraId="5D3E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26" w:type="dxa"/>
            <w:vAlign w:val="center"/>
          </w:tcPr>
          <w:p w14:paraId="5CD3E307">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1</w:t>
            </w:r>
          </w:p>
        </w:tc>
        <w:tc>
          <w:tcPr>
            <w:tcW w:w="4811" w:type="dxa"/>
            <w:vAlign w:val="center"/>
          </w:tcPr>
          <w:p w14:paraId="7B41736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响应文件的签署、盖章符合磋商文件要求</w:t>
            </w:r>
          </w:p>
        </w:tc>
        <w:tc>
          <w:tcPr>
            <w:tcW w:w="1550" w:type="dxa"/>
          </w:tcPr>
          <w:p w14:paraId="03C31E22">
            <w:pPr>
              <w:jc w:val="center"/>
              <w:rPr>
                <w:rFonts w:hint="eastAsia" w:ascii="宋体" w:hAnsi="宋体" w:eastAsia="宋体" w:cs="宋体"/>
                <w:sz w:val="21"/>
                <w:szCs w:val="21"/>
              </w:rPr>
            </w:pPr>
          </w:p>
        </w:tc>
        <w:tc>
          <w:tcPr>
            <w:tcW w:w="1567" w:type="dxa"/>
          </w:tcPr>
          <w:p w14:paraId="63A5383D">
            <w:pPr>
              <w:jc w:val="center"/>
              <w:rPr>
                <w:rFonts w:hint="eastAsia" w:ascii="宋体" w:hAnsi="宋体" w:eastAsia="宋体" w:cs="宋体"/>
                <w:sz w:val="21"/>
                <w:szCs w:val="21"/>
              </w:rPr>
            </w:pPr>
          </w:p>
        </w:tc>
        <w:tc>
          <w:tcPr>
            <w:tcW w:w="1504" w:type="dxa"/>
          </w:tcPr>
          <w:p w14:paraId="2E62E22D">
            <w:pPr>
              <w:jc w:val="center"/>
              <w:rPr>
                <w:rFonts w:hint="eastAsia" w:ascii="宋体" w:hAnsi="宋体" w:eastAsia="宋体" w:cs="宋体"/>
                <w:sz w:val="21"/>
                <w:szCs w:val="21"/>
              </w:rPr>
            </w:pPr>
          </w:p>
        </w:tc>
      </w:tr>
      <w:tr w14:paraId="2F4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26" w:type="dxa"/>
            <w:vAlign w:val="center"/>
          </w:tcPr>
          <w:p w14:paraId="0B448623">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2</w:t>
            </w:r>
          </w:p>
        </w:tc>
        <w:tc>
          <w:tcPr>
            <w:tcW w:w="4811" w:type="dxa"/>
            <w:vAlign w:val="center"/>
          </w:tcPr>
          <w:p w14:paraId="7156E3F3">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投标有效期满足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64B88DFE">
            <w:pPr>
              <w:jc w:val="center"/>
              <w:rPr>
                <w:rFonts w:hint="eastAsia" w:ascii="宋体" w:hAnsi="宋体" w:eastAsia="宋体" w:cs="宋体"/>
                <w:sz w:val="21"/>
                <w:szCs w:val="21"/>
              </w:rPr>
            </w:pPr>
          </w:p>
        </w:tc>
        <w:tc>
          <w:tcPr>
            <w:tcW w:w="1567" w:type="dxa"/>
          </w:tcPr>
          <w:p w14:paraId="36E2F998">
            <w:pPr>
              <w:jc w:val="center"/>
              <w:rPr>
                <w:rFonts w:hint="eastAsia" w:ascii="宋体" w:hAnsi="宋体" w:eastAsia="宋体" w:cs="宋体"/>
                <w:sz w:val="21"/>
                <w:szCs w:val="21"/>
              </w:rPr>
            </w:pPr>
          </w:p>
        </w:tc>
        <w:tc>
          <w:tcPr>
            <w:tcW w:w="1504" w:type="dxa"/>
          </w:tcPr>
          <w:p w14:paraId="4A7D4A2A">
            <w:pPr>
              <w:jc w:val="center"/>
              <w:rPr>
                <w:rFonts w:hint="eastAsia" w:ascii="宋体" w:hAnsi="宋体" w:eastAsia="宋体" w:cs="宋体"/>
                <w:sz w:val="21"/>
                <w:szCs w:val="21"/>
              </w:rPr>
            </w:pPr>
          </w:p>
        </w:tc>
      </w:tr>
      <w:tr w14:paraId="5AD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26" w:type="dxa"/>
            <w:vAlign w:val="center"/>
          </w:tcPr>
          <w:p w14:paraId="4339DA19">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3</w:t>
            </w:r>
          </w:p>
        </w:tc>
        <w:tc>
          <w:tcPr>
            <w:tcW w:w="4811" w:type="dxa"/>
            <w:vAlign w:val="center"/>
          </w:tcPr>
          <w:p w14:paraId="1A6F29E4">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lang w:eastAsia="zh-CN"/>
              </w:rPr>
              <w:t>期</w:t>
            </w: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2A424A2F">
            <w:pPr>
              <w:jc w:val="center"/>
              <w:rPr>
                <w:rFonts w:hint="eastAsia" w:ascii="宋体" w:hAnsi="宋体" w:eastAsia="宋体" w:cs="宋体"/>
                <w:sz w:val="21"/>
                <w:szCs w:val="21"/>
              </w:rPr>
            </w:pPr>
          </w:p>
        </w:tc>
        <w:tc>
          <w:tcPr>
            <w:tcW w:w="1567" w:type="dxa"/>
          </w:tcPr>
          <w:p w14:paraId="2BC2F0BC">
            <w:pPr>
              <w:jc w:val="center"/>
              <w:rPr>
                <w:rFonts w:hint="eastAsia" w:ascii="宋体" w:hAnsi="宋体" w:eastAsia="宋体" w:cs="宋体"/>
                <w:sz w:val="21"/>
                <w:szCs w:val="21"/>
              </w:rPr>
            </w:pPr>
          </w:p>
        </w:tc>
        <w:tc>
          <w:tcPr>
            <w:tcW w:w="1504" w:type="dxa"/>
          </w:tcPr>
          <w:p w14:paraId="580D477D">
            <w:pPr>
              <w:jc w:val="center"/>
              <w:rPr>
                <w:rFonts w:hint="eastAsia" w:ascii="宋体" w:hAnsi="宋体" w:eastAsia="宋体" w:cs="宋体"/>
                <w:sz w:val="21"/>
                <w:szCs w:val="21"/>
              </w:rPr>
            </w:pPr>
          </w:p>
        </w:tc>
      </w:tr>
      <w:tr w14:paraId="1677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F25D37E">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4</w:t>
            </w:r>
          </w:p>
        </w:tc>
        <w:tc>
          <w:tcPr>
            <w:tcW w:w="4811" w:type="dxa"/>
            <w:vAlign w:val="center"/>
          </w:tcPr>
          <w:p w14:paraId="5962BDE9">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付款方式响应</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134612A0">
            <w:pPr>
              <w:jc w:val="center"/>
              <w:rPr>
                <w:rFonts w:hint="eastAsia" w:ascii="宋体" w:hAnsi="宋体" w:eastAsia="宋体" w:cs="宋体"/>
                <w:sz w:val="21"/>
                <w:szCs w:val="21"/>
              </w:rPr>
            </w:pPr>
          </w:p>
        </w:tc>
        <w:tc>
          <w:tcPr>
            <w:tcW w:w="1567" w:type="dxa"/>
          </w:tcPr>
          <w:p w14:paraId="62CA7F60">
            <w:pPr>
              <w:jc w:val="center"/>
              <w:rPr>
                <w:rFonts w:hint="eastAsia" w:ascii="宋体" w:hAnsi="宋体" w:eastAsia="宋体" w:cs="宋体"/>
                <w:sz w:val="21"/>
                <w:szCs w:val="21"/>
              </w:rPr>
            </w:pPr>
          </w:p>
        </w:tc>
        <w:tc>
          <w:tcPr>
            <w:tcW w:w="1504" w:type="dxa"/>
          </w:tcPr>
          <w:p w14:paraId="62AE08C6">
            <w:pPr>
              <w:jc w:val="center"/>
              <w:rPr>
                <w:rFonts w:hint="eastAsia" w:ascii="宋体" w:hAnsi="宋体" w:eastAsia="宋体" w:cs="宋体"/>
                <w:sz w:val="21"/>
                <w:szCs w:val="21"/>
              </w:rPr>
            </w:pPr>
          </w:p>
        </w:tc>
      </w:tr>
      <w:tr w14:paraId="5589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0ADFF95">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4811" w:type="dxa"/>
            <w:vAlign w:val="center"/>
          </w:tcPr>
          <w:p w14:paraId="5C21B8B0">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服务质量满足磋商文件要求</w:t>
            </w:r>
          </w:p>
        </w:tc>
        <w:tc>
          <w:tcPr>
            <w:tcW w:w="1550" w:type="dxa"/>
          </w:tcPr>
          <w:p w14:paraId="44DBAF46">
            <w:pPr>
              <w:jc w:val="center"/>
              <w:rPr>
                <w:rFonts w:hint="eastAsia" w:ascii="宋体" w:hAnsi="宋体" w:eastAsia="宋体" w:cs="宋体"/>
                <w:sz w:val="21"/>
                <w:szCs w:val="21"/>
              </w:rPr>
            </w:pPr>
          </w:p>
        </w:tc>
        <w:tc>
          <w:tcPr>
            <w:tcW w:w="1567" w:type="dxa"/>
          </w:tcPr>
          <w:p w14:paraId="744D4BC0">
            <w:pPr>
              <w:jc w:val="center"/>
              <w:rPr>
                <w:rFonts w:hint="eastAsia" w:ascii="宋体" w:hAnsi="宋体" w:eastAsia="宋体" w:cs="宋体"/>
                <w:sz w:val="21"/>
                <w:szCs w:val="21"/>
              </w:rPr>
            </w:pPr>
          </w:p>
        </w:tc>
        <w:tc>
          <w:tcPr>
            <w:tcW w:w="1504" w:type="dxa"/>
          </w:tcPr>
          <w:p w14:paraId="4A746315">
            <w:pPr>
              <w:jc w:val="center"/>
              <w:rPr>
                <w:rFonts w:hint="eastAsia" w:ascii="宋体" w:hAnsi="宋体" w:eastAsia="宋体" w:cs="宋体"/>
                <w:sz w:val="21"/>
                <w:szCs w:val="21"/>
              </w:rPr>
            </w:pPr>
          </w:p>
        </w:tc>
      </w:tr>
      <w:tr w14:paraId="602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26" w:type="dxa"/>
            <w:vAlign w:val="center"/>
          </w:tcPr>
          <w:p w14:paraId="0E9FAB99">
            <w:pPr>
              <w:keepNext w:val="0"/>
              <w:keepLines w:val="0"/>
              <w:pageBreakBefore w:val="0"/>
              <w:widowControl/>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811" w:type="dxa"/>
            <w:vAlign w:val="center"/>
          </w:tcPr>
          <w:p w14:paraId="5BA9A16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报价没有超过</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文件中规定的预算金额或者最高限价</w:t>
            </w:r>
          </w:p>
        </w:tc>
        <w:tc>
          <w:tcPr>
            <w:tcW w:w="1550" w:type="dxa"/>
          </w:tcPr>
          <w:p w14:paraId="27D06A89">
            <w:pPr>
              <w:jc w:val="center"/>
              <w:rPr>
                <w:rFonts w:hint="eastAsia" w:ascii="宋体" w:hAnsi="宋体" w:eastAsia="宋体" w:cs="宋体"/>
                <w:sz w:val="21"/>
                <w:szCs w:val="21"/>
              </w:rPr>
            </w:pPr>
          </w:p>
        </w:tc>
        <w:tc>
          <w:tcPr>
            <w:tcW w:w="1567" w:type="dxa"/>
          </w:tcPr>
          <w:p w14:paraId="0B5B1E9C">
            <w:pPr>
              <w:jc w:val="center"/>
              <w:rPr>
                <w:rFonts w:hint="eastAsia" w:ascii="宋体" w:hAnsi="宋体" w:eastAsia="宋体" w:cs="宋体"/>
                <w:sz w:val="21"/>
                <w:szCs w:val="21"/>
              </w:rPr>
            </w:pPr>
          </w:p>
        </w:tc>
        <w:tc>
          <w:tcPr>
            <w:tcW w:w="1504" w:type="dxa"/>
          </w:tcPr>
          <w:p w14:paraId="0E5AD7AC">
            <w:pPr>
              <w:jc w:val="center"/>
              <w:rPr>
                <w:rFonts w:hint="eastAsia" w:ascii="宋体" w:hAnsi="宋体" w:eastAsia="宋体" w:cs="宋体"/>
                <w:sz w:val="21"/>
                <w:szCs w:val="21"/>
              </w:rPr>
            </w:pPr>
          </w:p>
        </w:tc>
      </w:tr>
      <w:tr w14:paraId="2ACE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26" w:type="dxa"/>
            <w:vAlign w:val="center"/>
          </w:tcPr>
          <w:p w14:paraId="3E76F924">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lang w:eastAsia="zh-CN"/>
              </w:rPr>
            </w:pPr>
            <w:r>
              <w:rPr>
                <w:rFonts w:hint="eastAsia" w:ascii="宋体" w:hAnsi="宋体" w:cs="宋体"/>
                <w:sz w:val="21"/>
                <w:szCs w:val="21"/>
                <w:highlight w:val="none"/>
                <w:lang w:val="en-US" w:eastAsia="zh-CN"/>
              </w:rPr>
              <w:t>7</w:t>
            </w:r>
          </w:p>
        </w:tc>
        <w:tc>
          <w:tcPr>
            <w:tcW w:w="4811" w:type="dxa"/>
            <w:vAlign w:val="center"/>
          </w:tcPr>
          <w:p w14:paraId="682C868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文件中没有不符合法律、法规和</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文件其他实质性规定</w:t>
            </w:r>
          </w:p>
        </w:tc>
        <w:tc>
          <w:tcPr>
            <w:tcW w:w="1550" w:type="dxa"/>
          </w:tcPr>
          <w:p w14:paraId="7F218C46">
            <w:pPr>
              <w:jc w:val="center"/>
              <w:rPr>
                <w:rFonts w:hint="eastAsia" w:ascii="宋体" w:hAnsi="宋体" w:eastAsia="宋体" w:cs="宋体"/>
                <w:sz w:val="21"/>
                <w:szCs w:val="21"/>
              </w:rPr>
            </w:pPr>
          </w:p>
        </w:tc>
        <w:tc>
          <w:tcPr>
            <w:tcW w:w="1567" w:type="dxa"/>
          </w:tcPr>
          <w:p w14:paraId="0F407822">
            <w:pPr>
              <w:jc w:val="center"/>
              <w:rPr>
                <w:rFonts w:hint="eastAsia" w:ascii="宋体" w:hAnsi="宋体" w:eastAsia="宋体" w:cs="宋体"/>
                <w:sz w:val="21"/>
                <w:szCs w:val="21"/>
              </w:rPr>
            </w:pPr>
          </w:p>
        </w:tc>
        <w:tc>
          <w:tcPr>
            <w:tcW w:w="1504" w:type="dxa"/>
          </w:tcPr>
          <w:p w14:paraId="639D6BD2">
            <w:pPr>
              <w:jc w:val="center"/>
              <w:rPr>
                <w:rFonts w:hint="eastAsia" w:ascii="宋体" w:hAnsi="宋体" w:eastAsia="宋体" w:cs="宋体"/>
                <w:sz w:val="21"/>
                <w:szCs w:val="21"/>
              </w:rPr>
            </w:pPr>
          </w:p>
        </w:tc>
      </w:tr>
      <w:tr w14:paraId="12A0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337" w:type="dxa"/>
            <w:gridSpan w:val="2"/>
            <w:vAlign w:val="center"/>
          </w:tcPr>
          <w:p w14:paraId="4EC9F4DC">
            <w:pPr>
              <w:keepNext w:val="0"/>
              <w:keepLines w:val="0"/>
              <w:pageBreakBefore w:val="0"/>
              <w:widowControl/>
              <w:kinsoku/>
              <w:wordWrap/>
              <w:overflowPunct/>
              <w:topLinePunct w:val="0"/>
              <w:autoSpaceDE/>
              <w:autoSpaceDN/>
              <w:bidi w:val="0"/>
              <w:spacing w:beforeAutospacing="0" w:afterAutospacing="0" w:line="5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结论（合格/不合格）</w:t>
            </w:r>
          </w:p>
        </w:tc>
        <w:tc>
          <w:tcPr>
            <w:tcW w:w="1550" w:type="dxa"/>
          </w:tcPr>
          <w:p w14:paraId="75C72ABF">
            <w:pPr>
              <w:jc w:val="center"/>
              <w:rPr>
                <w:rFonts w:hint="eastAsia" w:ascii="宋体" w:hAnsi="宋体" w:eastAsia="宋体" w:cs="宋体"/>
                <w:sz w:val="21"/>
                <w:szCs w:val="21"/>
              </w:rPr>
            </w:pPr>
          </w:p>
        </w:tc>
        <w:tc>
          <w:tcPr>
            <w:tcW w:w="1567" w:type="dxa"/>
          </w:tcPr>
          <w:p w14:paraId="4B875F14">
            <w:pPr>
              <w:jc w:val="center"/>
              <w:rPr>
                <w:rFonts w:hint="eastAsia" w:ascii="宋体" w:hAnsi="宋体" w:eastAsia="宋体" w:cs="宋体"/>
                <w:sz w:val="21"/>
                <w:szCs w:val="21"/>
              </w:rPr>
            </w:pPr>
          </w:p>
        </w:tc>
        <w:tc>
          <w:tcPr>
            <w:tcW w:w="1504" w:type="dxa"/>
          </w:tcPr>
          <w:p w14:paraId="36B2B4DB">
            <w:pPr>
              <w:jc w:val="center"/>
              <w:rPr>
                <w:rFonts w:hint="eastAsia" w:ascii="宋体" w:hAnsi="宋体" w:eastAsia="宋体" w:cs="宋体"/>
                <w:sz w:val="21"/>
                <w:szCs w:val="21"/>
              </w:rPr>
            </w:pPr>
          </w:p>
        </w:tc>
      </w:tr>
    </w:tbl>
    <w:p w14:paraId="15CCE3B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FACC71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2554F8B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bookmarkStart w:id="29" w:name="_Toc508008701"/>
    </w:p>
    <w:p w14:paraId="49F36B62">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5.澄清有关问题</w:t>
      </w:r>
      <w:bookmarkEnd w:id="29"/>
    </w:p>
    <w:p w14:paraId="47D46E3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5.1对于</w:t>
      </w:r>
      <w:r>
        <w:rPr>
          <w:rFonts w:hint="eastAsia" w:ascii="宋体" w:hAnsi="宋体" w:eastAsia="宋体" w:cs="宋体"/>
          <w:sz w:val="21"/>
          <w:szCs w:val="21"/>
          <w:lang w:eastAsia="zh-CN"/>
        </w:rPr>
        <w:t>响应文件</w:t>
      </w:r>
      <w:r>
        <w:rPr>
          <w:rFonts w:hint="eastAsia" w:ascii="宋体" w:hAnsi="宋体" w:eastAsia="宋体" w:cs="宋体"/>
          <w:sz w:val="21"/>
          <w:szCs w:val="21"/>
        </w:rPr>
        <w:t>中含义不明确、同类问题表述不一致或者有明显文字和计算错误的内容，评标委员会应当以书面形式要求</w:t>
      </w:r>
      <w:r>
        <w:rPr>
          <w:rFonts w:hint="eastAsia" w:ascii="宋体" w:hAnsi="宋体" w:eastAsia="宋体" w:cs="宋体"/>
          <w:sz w:val="21"/>
          <w:szCs w:val="21"/>
          <w:lang w:eastAsia="zh-CN"/>
        </w:rPr>
        <w:t>供应商</w:t>
      </w:r>
      <w:r>
        <w:rPr>
          <w:rFonts w:hint="eastAsia" w:ascii="宋体" w:hAnsi="宋体" w:eastAsia="宋体" w:cs="宋体"/>
          <w:sz w:val="21"/>
          <w:szCs w:val="21"/>
        </w:rPr>
        <w:t>作出必要的澄清、说明或者补正。</w:t>
      </w:r>
    </w:p>
    <w:p w14:paraId="7E2DF8E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5.2</w:t>
      </w:r>
      <w:r>
        <w:rPr>
          <w:rFonts w:hint="eastAsia" w:ascii="宋体" w:hAnsi="宋体" w:eastAsia="宋体" w:cs="宋体"/>
          <w:sz w:val="21"/>
          <w:szCs w:val="21"/>
          <w:lang w:eastAsia="zh-CN"/>
        </w:rPr>
        <w:t>响应文件</w:t>
      </w:r>
      <w:r>
        <w:rPr>
          <w:rFonts w:hint="eastAsia" w:ascii="宋体" w:hAnsi="宋体" w:eastAsia="宋体" w:cs="宋体"/>
          <w:sz w:val="21"/>
          <w:szCs w:val="21"/>
        </w:rPr>
        <w:t>报价出现前后不一致的，除【评标方法及标准前附表】另有规定外，按照下列规定修正：</w:t>
      </w:r>
    </w:p>
    <w:p w14:paraId="6FE4DB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中开标一览表内容与</w:t>
      </w:r>
      <w:r>
        <w:rPr>
          <w:rFonts w:hint="eastAsia" w:ascii="宋体" w:hAnsi="宋体" w:eastAsia="宋体" w:cs="宋体"/>
          <w:sz w:val="21"/>
          <w:szCs w:val="21"/>
          <w:lang w:eastAsia="zh-CN"/>
        </w:rPr>
        <w:t>响应文件</w:t>
      </w:r>
      <w:r>
        <w:rPr>
          <w:rFonts w:hint="eastAsia" w:ascii="宋体" w:hAnsi="宋体" w:eastAsia="宋体" w:cs="宋体"/>
          <w:sz w:val="21"/>
          <w:szCs w:val="21"/>
        </w:rPr>
        <w:t>中相应内容不一致的，以开标一览表为准；</w:t>
      </w:r>
    </w:p>
    <w:p w14:paraId="03ACA40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（2）大写金额和小写金额不一致的，以大写金额为准；</w:t>
      </w:r>
    </w:p>
    <w:p w14:paraId="5B38AC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（3）单价金额小数点或者百分比有明显错位的，以</w:t>
      </w:r>
      <w:r>
        <w:rPr>
          <w:rFonts w:hint="eastAsia" w:ascii="宋体" w:hAnsi="宋体" w:eastAsia="宋体" w:cs="宋体"/>
          <w:sz w:val="21"/>
          <w:szCs w:val="21"/>
          <w:lang w:val="en-US" w:eastAsia="zh-CN"/>
        </w:rPr>
        <w:t>报价</w:t>
      </w:r>
      <w:r>
        <w:rPr>
          <w:rFonts w:hint="eastAsia" w:ascii="宋体" w:hAnsi="宋体" w:eastAsia="宋体" w:cs="宋体"/>
          <w:sz w:val="21"/>
          <w:szCs w:val="21"/>
        </w:rPr>
        <w:t>一览表的总价为准，并修改单价；</w:t>
      </w:r>
    </w:p>
    <w:p w14:paraId="0E2CAA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（4）总价金额与按单价汇总金额不一致的，以单价金额计算结果为准。</w:t>
      </w:r>
    </w:p>
    <w:p w14:paraId="184D3B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5.3</w:t>
      </w:r>
      <w:r>
        <w:rPr>
          <w:rFonts w:hint="eastAsia" w:ascii="宋体" w:hAnsi="宋体" w:eastAsia="宋体" w:cs="宋体"/>
          <w:sz w:val="21"/>
          <w:szCs w:val="21"/>
          <w:lang w:eastAsia="zh-CN"/>
        </w:rPr>
        <w:t>响应文件</w:t>
      </w:r>
      <w:r>
        <w:rPr>
          <w:rFonts w:hint="eastAsia" w:ascii="宋体" w:hAnsi="宋体" w:eastAsia="宋体" w:cs="宋体"/>
          <w:sz w:val="21"/>
          <w:szCs w:val="21"/>
        </w:rPr>
        <w:t>报价同时出现两种以上不一致的，按照前款规定的顺序修正。修正后的报价由</w:t>
      </w:r>
      <w:r>
        <w:rPr>
          <w:rFonts w:hint="eastAsia" w:ascii="宋体" w:hAnsi="宋体" w:eastAsia="宋体" w:cs="宋体"/>
          <w:sz w:val="21"/>
          <w:szCs w:val="21"/>
          <w:lang w:eastAsia="zh-CN"/>
        </w:rPr>
        <w:t>供应商</w:t>
      </w:r>
      <w:r>
        <w:rPr>
          <w:rFonts w:hint="eastAsia" w:ascii="宋体" w:hAnsi="宋体" w:eastAsia="宋体" w:cs="宋体"/>
          <w:sz w:val="21"/>
          <w:szCs w:val="21"/>
        </w:rPr>
        <w:t>代表签字或者加盖单位章确认后产生约束力，</w:t>
      </w:r>
      <w:r>
        <w:rPr>
          <w:rFonts w:hint="eastAsia" w:ascii="宋体" w:hAnsi="宋体" w:eastAsia="宋体" w:cs="宋体"/>
          <w:sz w:val="21"/>
          <w:szCs w:val="21"/>
          <w:lang w:eastAsia="zh-CN"/>
        </w:rPr>
        <w:t>供应商</w:t>
      </w:r>
      <w:r>
        <w:rPr>
          <w:rFonts w:hint="eastAsia" w:ascii="宋体" w:hAnsi="宋体" w:eastAsia="宋体" w:cs="宋体"/>
          <w:sz w:val="21"/>
          <w:szCs w:val="21"/>
        </w:rPr>
        <w:t>不确认的，其投标无效。</w:t>
      </w:r>
    </w:p>
    <w:p w14:paraId="63CA1EB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5.4</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的澄清、说明或者补正应当采用书面形式，并加盖公章，或者由法定代表人或其授权的代表签字，并按评标委员会的通知要求递交。</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的澄清、说明或者补正不得超出</w:t>
      </w:r>
      <w:r>
        <w:rPr>
          <w:rFonts w:hint="eastAsia" w:ascii="宋体" w:hAnsi="宋体" w:eastAsia="宋体" w:cs="宋体"/>
          <w:sz w:val="21"/>
          <w:szCs w:val="21"/>
          <w:lang w:eastAsia="zh-CN"/>
        </w:rPr>
        <w:t>响应文件</w:t>
      </w:r>
      <w:r>
        <w:rPr>
          <w:rFonts w:hint="eastAsia" w:ascii="宋体" w:hAnsi="宋体" w:eastAsia="宋体" w:cs="宋体"/>
          <w:sz w:val="21"/>
          <w:szCs w:val="21"/>
        </w:rPr>
        <w:t>的范围或者改变</w:t>
      </w:r>
      <w:r>
        <w:rPr>
          <w:rFonts w:hint="eastAsia" w:ascii="宋体" w:hAnsi="宋体" w:eastAsia="宋体" w:cs="宋体"/>
          <w:sz w:val="21"/>
          <w:szCs w:val="21"/>
          <w:lang w:eastAsia="zh-CN"/>
        </w:rPr>
        <w:t>响应文件</w:t>
      </w:r>
      <w:r>
        <w:rPr>
          <w:rFonts w:hint="eastAsia" w:ascii="宋体" w:hAnsi="宋体" w:eastAsia="宋体" w:cs="宋体"/>
          <w:sz w:val="21"/>
          <w:szCs w:val="21"/>
        </w:rPr>
        <w:t>的实质性内容。</w:t>
      </w:r>
    </w:p>
    <w:p w14:paraId="3F8819E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5.5有效的书面澄清材料，是</w:t>
      </w:r>
      <w:r>
        <w:rPr>
          <w:rFonts w:hint="eastAsia" w:ascii="宋体" w:hAnsi="宋体" w:eastAsia="宋体" w:cs="宋体"/>
          <w:sz w:val="21"/>
          <w:szCs w:val="21"/>
          <w:lang w:eastAsia="zh-CN"/>
        </w:rPr>
        <w:t>响应文件</w:t>
      </w:r>
      <w:r>
        <w:rPr>
          <w:rFonts w:hint="eastAsia" w:ascii="宋体" w:hAnsi="宋体" w:eastAsia="宋体" w:cs="宋体"/>
          <w:sz w:val="21"/>
          <w:szCs w:val="21"/>
        </w:rPr>
        <w:t>的补充材料，成为</w:t>
      </w:r>
      <w:r>
        <w:rPr>
          <w:rFonts w:hint="eastAsia" w:ascii="宋体" w:hAnsi="宋体" w:eastAsia="宋体" w:cs="宋体"/>
          <w:sz w:val="21"/>
          <w:szCs w:val="21"/>
          <w:lang w:eastAsia="zh-CN"/>
        </w:rPr>
        <w:t>响应文件</w:t>
      </w:r>
      <w:r>
        <w:rPr>
          <w:rFonts w:hint="eastAsia" w:ascii="宋体" w:hAnsi="宋体" w:eastAsia="宋体" w:cs="宋体"/>
          <w:sz w:val="21"/>
          <w:szCs w:val="21"/>
        </w:rPr>
        <w:t>的组成部分。</w:t>
      </w:r>
    </w:p>
    <w:p w14:paraId="080E38C8">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0" w:name="_Toc508008702"/>
      <w:r>
        <w:rPr>
          <w:rFonts w:hint="eastAsia" w:ascii="宋体" w:hAnsi="宋体" w:eastAsia="宋体" w:cs="宋体"/>
          <w:b/>
          <w:bCs/>
          <w:sz w:val="21"/>
          <w:szCs w:val="21"/>
        </w:rPr>
        <w:t>6.比较与评价</w:t>
      </w:r>
      <w:bookmarkEnd w:id="30"/>
    </w:p>
    <w:p w14:paraId="6CF7636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6.1评标委员会应按照</w:t>
      </w:r>
      <w:r>
        <w:rPr>
          <w:rFonts w:hint="eastAsia" w:ascii="宋体" w:hAnsi="宋体" w:eastAsia="宋体" w:cs="宋体"/>
          <w:sz w:val="21"/>
          <w:szCs w:val="21"/>
          <w:lang w:eastAsia="zh-CN"/>
        </w:rPr>
        <w:t>磋商文件</w:t>
      </w:r>
      <w:r>
        <w:rPr>
          <w:rFonts w:hint="eastAsia" w:ascii="宋体" w:hAnsi="宋体" w:eastAsia="宋体" w:cs="宋体"/>
          <w:sz w:val="21"/>
          <w:szCs w:val="21"/>
        </w:rPr>
        <w:t>中规定的评标方法、标准和评标因素，对资格性检查和符合性检查合格的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进行评估，综合比较与评价。</w:t>
      </w:r>
    </w:p>
    <w:p w14:paraId="0071C35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6.2投标报价的修正或调整：</w:t>
      </w:r>
    </w:p>
    <w:p w14:paraId="1ED6814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（1）如果有算术错误，投标报价将按本章第4.2款进行算术修正及修正次序规则修正。</w:t>
      </w:r>
    </w:p>
    <w:p w14:paraId="3E36F3D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（2）评标基准价和投标报价按照上述顺序修正或调整。</w:t>
      </w:r>
    </w:p>
    <w:p w14:paraId="09C7B2E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6.3投标报价评价：价格分应当采用低价优先法计算，即满足</w:t>
      </w:r>
      <w:r>
        <w:rPr>
          <w:rFonts w:hint="eastAsia" w:ascii="宋体" w:hAnsi="宋体" w:eastAsia="宋体" w:cs="宋体"/>
          <w:sz w:val="21"/>
          <w:szCs w:val="21"/>
          <w:lang w:eastAsia="zh-CN"/>
        </w:rPr>
        <w:t>磋商文件</w:t>
      </w:r>
      <w:r>
        <w:rPr>
          <w:rFonts w:hint="eastAsia" w:ascii="宋体" w:hAnsi="宋体" w:eastAsia="宋体" w:cs="宋体"/>
          <w:sz w:val="21"/>
          <w:szCs w:val="21"/>
        </w:rPr>
        <w:t>要求且投标价格最低的投标报价为评标基准价，其价格分为满分（报价权重分）。其他</w:t>
      </w:r>
      <w:r>
        <w:rPr>
          <w:rFonts w:hint="eastAsia" w:ascii="宋体" w:hAnsi="宋体" w:eastAsia="宋体" w:cs="宋体"/>
          <w:sz w:val="21"/>
          <w:szCs w:val="21"/>
          <w:lang w:eastAsia="zh-CN"/>
        </w:rPr>
        <w:t>供应商</w:t>
      </w:r>
      <w:r>
        <w:rPr>
          <w:rFonts w:hint="eastAsia" w:ascii="宋体" w:hAnsi="宋体" w:eastAsia="宋体" w:cs="宋体"/>
          <w:sz w:val="21"/>
          <w:szCs w:val="21"/>
        </w:rPr>
        <w:t>的价格分统一按照下列公式计算：</w:t>
      </w:r>
    </w:p>
    <w:p w14:paraId="18E1199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投标报价得分=（评标基准价调整／） ×报价权重分</w:t>
      </w:r>
    </w:p>
    <w:p w14:paraId="567D84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6.4技术、商务等评分项响应评价</w:t>
      </w:r>
    </w:p>
    <w:p w14:paraId="3C71FD1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（1）技术、商务等评分项响应评分。按本章第1.2款规定的评标因素和标准，对技术、商务等评分项计算得分。</w:t>
      </w:r>
    </w:p>
    <w:p w14:paraId="11A2F8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6.5评标总得分</w:t>
      </w:r>
    </w:p>
    <w:p w14:paraId="385605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评标总得分＝F1＋F2＋……＋Fn</w:t>
      </w:r>
    </w:p>
    <w:p w14:paraId="452B2A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F1、F2……Fn分别为各项评审因素的得分；</w:t>
      </w:r>
    </w:p>
    <w:p w14:paraId="4711F7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评标过程中，不得去掉报价中的最高报价和最低报价。</w:t>
      </w:r>
    </w:p>
    <w:p w14:paraId="6ECCE30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6.6评分分值计算保留小数点后两位，小数点后第三位“四舍五入”。</w:t>
      </w:r>
    </w:p>
    <w:p w14:paraId="7DF5409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6.7评标时，评标委员会各成员应当独立对每个</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进行评价、评分，然后汇总每个</w:t>
      </w:r>
      <w:r>
        <w:rPr>
          <w:rFonts w:hint="eastAsia" w:ascii="宋体" w:hAnsi="宋体" w:eastAsia="宋体" w:cs="宋体"/>
          <w:sz w:val="21"/>
          <w:szCs w:val="21"/>
          <w:lang w:eastAsia="zh-CN"/>
        </w:rPr>
        <w:t>供应商</w:t>
      </w:r>
      <w:r>
        <w:rPr>
          <w:rFonts w:hint="eastAsia" w:ascii="宋体" w:hAnsi="宋体" w:eastAsia="宋体" w:cs="宋体"/>
          <w:sz w:val="21"/>
          <w:szCs w:val="21"/>
        </w:rPr>
        <w:t>每项评分因素的得分。每个供应商的最终得分为所有磋商小组成员评分的算术平均值。</w:t>
      </w:r>
    </w:p>
    <w:p w14:paraId="7ABAFF9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6.8评审得分相同的，由采购人或者采购人委托评标委员会按照【评标方法及标准前附表】规定的方式确定一个</w:t>
      </w:r>
      <w:r>
        <w:rPr>
          <w:rFonts w:hint="eastAsia" w:ascii="宋体" w:hAnsi="宋体" w:eastAsia="宋体" w:cs="宋体"/>
          <w:sz w:val="21"/>
          <w:szCs w:val="21"/>
          <w:lang w:eastAsia="zh-CN"/>
        </w:rPr>
        <w:t>供应商</w:t>
      </w:r>
      <w:r>
        <w:rPr>
          <w:rFonts w:hint="eastAsia" w:ascii="宋体" w:hAnsi="宋体" w:eastAsia="宋体" w:cs="宋体"/>
          <w:sz w:val="21"/>
          <w:szCs w:val="21"/>
        </w:rPr>
        <w:t>获得</w:t>
      </w:r>
      <w:r>
        <w:rPr>
          <w:rFonts w:hint="eastAsia" w:ascii="宋体" w:hAnsi="宋体" w:eastAsia="宋体" w:cs="宋体"/>
          <w:sz w:val="21"/>
          <w:szCs w:val="21"/>
          <w:lang w:eastAsia="zh-CN"/>
        </w:rPr>
        <w:t>成交供应商</w:t>
      </w:r>
      <w:r>
        <w:rPr>
          <w:rFonts w:hint="eastAsia" w:ascii="宋体" w:hAnsi="宋体" w:eastAsia="宋体" w:cs="宋体"/>
          <w:sz w:val="21"/>
          <w:szCs w:val="21"/>
        </w:rPr>
        <w:t>推荐资格，</w:t>
      </w:r>
      <w:r>
        <w:rPr>
          <w:rFonts w:hint="eastAsia" w:ascii="宋体" w:hAnsi="宋体" w:eastAsia="宋体" w:cs="宋体"/>
          <w:sz w:val="21"/>
          <w:szCs w:val="21"/>
          <w:lang w:eastAsia="zh-CN"/>
        </w:rPr>
        <w:t>磋商文件</w:t>
      </w:r>
      <w:r>
        <w:rPr>
          <w:rFonts w:hint="eastAsia" w:ascii="宋体" w:hAnsi="宋体" w:eastAsia="宋体" w:cs="宋体"/>
          <w:sz w:val="21"/>
          <w:szCs w:val="21"/>
        </w:rPr>
        <w:t>未规定的采取随机抽取方式确定。</w:t>
      </w:r>
    </w:p>
    <w:p w14:paraId="358C7A11">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1" w:name="_Toc508008703"/>
      <w:r>
        <w:rPr>
          <w:rFonts w:hint="eastAsia" w:ascii="宋体" w:hAnsi="宋体" w:eastAsia="宋体" w:cs="宋体"/>
          <w:b/>
          <w:bCs/>
          <w:sz w:val="21"/>
          <w:szCs w:val="21"/>
        </w:rPr>
        <w:t>7.</w:t>
      </w:r>
      <w:r>
        <w:rPr>
          <w:rFonts w:hint="eastAsia" w:ascii="宋体" w:hAnsi="宋体" w:eastAsia="宋体" w:cs="宋体"/>
          <w:b/>
          <w:bCs/>
          <w:sz w:val="21"/>
          <w:szCs w:val="21"/>
          <w:lang w:val="en-US" w:eastAsia="zh-CN"/>
        </w:rPr>
        <w:t>推荐成交</w:t>
      </w:r>
      <w:r>
        <w:rPr>
          <w:rFonts w:hint="eastAsia" w:ascii="宋体" w:hAnsi="宋体" w:eastAsia="宋体" w:cs="宋体"/>
          <w:b/>
          <w:bCs/>
          <w:sz w:val="21"/>
          <w:szCs w:val="21"/>
        </w:rPr>
        <w:t>候选人名单</w:t>
      </w:r>
      <w:bookmarkEnd w:id="31"/>
    </w:p>
    <w:p w14:paraId="69F54B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7.1评标结果按评审后得分由高到低顺序排列。得分相同的，按投标报价由低到高顺序排列。得分与投标报价均相同的，按技术得分由高到低顺序排名。</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全部实质性要求，且按照评审因素的量化指标评审得分排名前三名的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w:t>
      </w:r>
    </w:p>
    <w:p w14:paraId="1ED31BCC">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2" w:name="_Toc508008704"/>
      <w:r>
        <w:rPr>
          <w:rFonts w:hint="eastAsia" w:ascii="宋体" w:hAnsi="宋体" w:eastAsia="宋体" w:cs="宋体"/>
          <w:b/>
          <w:bCs/>
          <w:sz w:val="21"/>
          <w:szCs w:val="21"/>
        </w:rPr>
        <w:t>8.编写评</w:t>
      </w:r>
      <w:r>
        <w:rPr>
          <w:rFonts w:hint="eastAsia" w:ascii="宋体" w:hAnsi="宋体" w:eastAsia="宋体" w:cs="宋体"/>
          <w:b/>
          <w:bCs/>
          <w:sz w:val="21"/>
          <w:szCs w:val="21"/>
          <w:lang w:val="en-US" w:eastAsia="zh-CN"/>
        </w:rPr>
        <w:t>审</w:t>
      </w:r>
      <w:r>
        <w:rPr>
          <w:rFonts w:hint="eastAsia" w:ascii="宋体" w:hAnsi="宋体" w:eastAsia="宋体" w:cs="宋体"/>
          <w:b/>
          <w:bCs/>
          <w:sz w:val="21"/>
          <w:szCs w:val="21"/>
        </w:rPr>
        <w:t>报告</w:t>
      </w:r>
      <w:bookmarkEnd w:id="32"/>
    </w:p>
    <w:p w14:paraId="21F6B4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8.1评标委员会根据全体评标成员签字的原始评标记录和评标结果编写评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04BAC2A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8.2评标委员会成员对需要共同认定的事项存在争议的，应当按照少数服从多数的原则作出结论。持不同意见的评标委员会成员应当在评标报告上签署不同意见及理由，否则视为同意评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45D0A83D">
      <w:pPr>
        <w:pageBreakBefore w:val="0"/>
        <w:kinsoku/>
        <w:wordWrap/>
        <w:overflowPunct/>
        <w:bidi w:val="0"/>
        <w:spacing w:beforeAutospacing="0" w:afterAutospacing="0" w:line="560" w:lineRule="exact"/>
        <w:jc w:val="left"/>
        <w:outlineLvl w:val="0"/>
        <w:rPr>
          <w:rFonts w:hint="eastAsia" w:ascii="宋体" w:hAnsi="宋体" w:eastAsia="宋体" w:cs="宋体"/>
          <w:sz w:val="21"/>
          <w:szCs w:val="21"/>
        </w:rPr>
      </w:pPr>
      <w:bookmarkStart w:id="33" w:name="_Toc508008705"/>
      <w:r>
        <w:rPr>
          <w:rFonts w:hint="eastAsia" w:ascii="宋体" w:hAnsi="宋体" w:eastAsia="宋体" w:cs="宋体"/>
          <w:sz w:val="21"/>
          <w:szCs w:val="21"/>
        </w:rPr>
        <w:t>9.评</w:t>
      </w:r>
      <w:r>
        <w:rPr>
          <w:rFonts w:hint="eastAsia" w:ascii="宋体" w:hAnsi="宋体" w:eastAsia="宋体" w:cs="宋体"/>
          <w:sz w:val="21"/>
          <w:szCs w:val="21"/>
          <w:lang w:val="en-US" w:eastAsia="zh-CN"/>
        </w:rPr>
        <w:t>审</w:t>
      </w:r>
      <w:r>
        <w:rPr>
          <w:rFonts w:hint="eastAsia" w:ascii="宋体" w:hAnsi="宋体" w:eastAsia="宋体" w:cs="宋体"/>
          <w:sz w:val="21"/>
          <w:szCs w:val="21"/>
        </w:rPr>
        <w:t>报告复核</w:t>
      </w:r>
      <w:bookmarkEnd w:id="33"/>
    </w:p>
    <w:p w14:paraId="3E0F3C5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9.1汇总完成后，除下列情形外，任何人不得修改评标结果：</w:t>
      </w:r>
    </w:p>
    <w:p w14:paraId="21491D9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（1）分值汇总计算错误的；</w:t>
      </w:r>
    </w:p>
    <w:p w14:paraId="0C3F8C6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（2）分项评分超出评分标准范围的；</w:t>
      </w:r>
    </w:p>
    <w:p w14:paraId="2EF9FAB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（3）评标委员会成员对客观评审因素评分不一致的；</w:t>
      </w:r>
    </w:p>
    <w:p w14:paraId="1C1ED60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（4）经评标委员会认定评分畸高、畸低的。</w:t>
      </w:r>
    </w:p>
    <w:p w14:paraId="2C3802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9.2评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报告签署前，经复核发现存在以上情形之一的，评标委员会应当当场修改评</w:t>
      </w:r>
      <w:r>
        <w:rPr>
          <w:rFonts w:hint="eastAsia" w:ascii="宋体" w:hAnsi="宋体" w:eastAsia="宋体" w:cs="宋体"/>
          <w:sz w:val="21"/>
          <w:szCs w:val="21"/>
          <w:lang w:val="en-US" w:eastAsia="zh-CN"/>
        </w:rPr>
        <w:t>审</w:t>
      </w:r>
      <w:r>
        <w:rPr>
          <w:rFonts w:hint="eastAsia" w:ascii="宋体" w:hAnsi="宋体" w:eastAsia="宋体" w:cs="宋体"/>
          <w:sz w:val="21"/>
          <w:szCs w:val="21"/>
        </w:rPr>
        <w:t>结果，并在评</w:t>
      </w:r>
      <w:r>
        <w:rPr>
          <w:rFonts w:hint="eastAsia" w:ascii="宋体" w:hAnsi="宋体" w:eastAsia="宋体" w:cs="宋体"/>
          <w:sz w:val="21"/>
          <w:szCs w:val="21"/>
          <w:lang w:val="en-US" w:eastAsia="zh-CN"/>
        </w:rPr>
        <w:t>审</w:t>
      </w:r>
      <w:r>
        <w:rPr>
          <w:rFonts w:hint="eastAsia" w:ascii="宋体" w:hAnsi="宋体" w:eastAsia="宋体" w:cs="宋体"/>
          <w:sz w:val="21"/>
          <w:szCs w:val="21"/>
        </w:rPr>
        <w:t>报告中记载；评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报告签署后，采购人或者采购代理机构发现存在以上情形之一的，应当组织原评标委员会进行重新评审，重新评审改变评</w:t>
      </w:r>
      <w:r>
        <w:rPr>
          <w:rFonts w:hint="eastAsia" w:ascii="宋体" w:hAnsi="宋体" w:eastAsia="宋体" w:cs="宋体"/>
          <w:sz w:val="21"/>
          <w:szCs w:val="21"/>
          <w:lang w:val="en-US" w:eastAsia="zh-CN"/>
        </w:rPr>
        <w:t>审</w:t>
      </w:r>
      <w:r>
        <w:rPr>
          <w:rFonts w:hint="eastAsia" w:ascii="宋体" w:hAnsi="宋体" w:eastAsia="宋体" w:cs="宋体"/>
          <w:sz w:val="21"/>
          <w:szCs w:val="21"/>
        </w:rPr>
        <w:t>结果的，书面报告监督管理部门。</w:t>
      </w:r>
    </w:p>
    <w:p w14:paraId="7D791EE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9.3</w:t>
      </w:r>
      <w:r>
        <w:rPr>
          <w:rFonts w:hint="eastAsia" w:ascii="宋体" w:hAnsi="宋体" w:eastAsia="宋体" w:cs="宋体"/>
          <w:sz w:val="21"/>
          <w:szCs w:val="21"/>
          <w:lang w:eastAsia="zh-CN"/>
        </w:rPr>
        <w:t>供应商</w:t>
      </w:r>
      <w:r>
        <w:rPr>
          <w:rFonts w:hint="eastAsia" w:ascii="宋体" w:hAnsi="宋体" w:eastAsia="宋体" w:cs="宋体"/>
          <w:sz w:val="21"/>
          <w:szCs w:val="21"/>
        </w:rPr>
        <w:t>对本条第一款情形提出质疑的，采购人或者采购代理机构可以组织原评标委员会进行重新评审，重新评审改变评标结果的，书面报告监督管理部门。</w:t>
      </w:r>
    </w:p>
    <w:p w14:paraId="678BD447">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4" w:name="_Toc508008706"/>
      <w:r>
        <w:rPr>
          <w:rFonts w:hint="eastAsia" w:ascii="宋体" w:hAnsi="宋体" w:eastAsia="宋体" w:cs="宋体"/>
          <w:b/>
          <w:bCs/>
          <w:sz w:val="21"/>
          <w:szCs w:val="21"/>
        </w:rPr>
        <w:t>10.停止评标</w:t>
      </w:r>
      <w:bookmarkEnd w:id="34"/>
    </w:p>
    <w:p w14:paraId="3FBD477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10.1评标委员会发现</w:t>
      </w:r>
      <w:r>
        <w:rPr>
          <w:rFonts w:hint="eastAsia" w:ascii="宋体" w:hAnsi="宋体" w:eastAsia="宋体" w:cs="宋体"/>
          <w:sz w:val="21"/>
          <w:szCs w:val="21"/>
          <w:lang w:eastAsia="zh-CN"/>
        </w:rPr>
        <w:t>磋商文件</w:t>
      </w:r>
      <w:r>
        <w:rPr>
          <w:rFonts w:hint="eastAsia" w:ascii="宋体" w:hAnsi="宋体" w:eastAsia="宋体" w:cs="宋体"/>
          <w:sz w:val="21"/>
          <w:szCs w:val="21"/>
        </w:rPr>
        <w:t>存在歧义、重大缺陷导致评标工作无法进行，或者</w:t>
      </w:r>
      <w:r>
        <w:rPr>
          <w:rFonts w:hint="eastAsia" w:ascii="宋体" w:hAnsi="宋体" w:eastAsia="宋体" w:cs="宋体"/>
          <w:sz w:val="21"/>
          <w:szCs w:val="21"/>
          <w:lang w:eastAsia="zh-CN"/>
        </w:rPr>
        <w:t>磋商文件</w:t>
      </w:r>
      <w:r>
        <w:rPr>
          <w:rFonts w:hint="eastAsia" w:ascii="宋体" w:hAnsi="宋体" w:eastAsia="宋体" w:cs="宋体"/>
          <w:sz w:val="21"/>
          <w:szCs w:val="21"/>
        </w:rPr>
        <w:t>内容违反国家有关强制性规定的，应当停止评标工作，与采购人或者采购代理机构沟通并作书面记录。采购人或者采购代理机构确认后，应当修改</w:t>
      </w:r>
      <w:r>
        <w:rPr>
          <w:rFonts w:hint="eastAsia" w:ascii="宋体" w:hAnsi="宋体" w:eastAsia="宋体" w:cs="宋体"/>
          <w:sz w:val="21"/>
          <w:szCs w:val="21"/>
          <w:lang w:eastAsia="zh-CN"/>
        </w:rPr>
        <w:t>磋商文件</w:t>
      </w:r>
      <w:r>
        <w:rPr>
          <w:rFonts w:hint="eastAsia" w:ascii="宋体" w:hAnsi="宋体" w:eastAsia="宋体" w:cs="宋体"/>
          <w:sz w:val="21"/>
          <w:szCs w:val="21"/>
        </w:rPr>
        <w:t>，重新组织采购活动。</w:t>
      </w:r>
    </w:p>
    <w:p w14:paraId="6F52A810">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5" w:name="_Toc508008707"/>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.重新组建评标委员会进行评标</w:t>
      </w:r>
      <w:bookmarkEnd w:id="35"/>
    </w:p>
    <w:p w14:paraId="4EBAB04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.1评标委员会或者其成员存在下列情形导致评标结果无效的，采购人、采购代理机构可以重新组建评标委员会进行评标，并书面报告监督管理部门，但采购合同已经履行的除外：</w:t>
      </w:r>
    </w:p>
    <w:p w14:paraId="417765D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（1）评标委员会组成不符合《政府采购货物和服务招标投标管理办法》规定的；</w:t>
      </w:r>
    </w:p>
    <w:p w14:paraId="242BC5F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（2）有《政府采购货物和服务招标投标管理办法》第六十二条第一至五项情形的；</w:t>
      </w:r>
    </w:p>
    <w:p w14:paraId="57A1A8E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（3）评标委员会及其成员独立评标受到非法干预的；</w:t>
      </w:r>
    </w:p>
    <w:p w14:paraId="5963934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（4）有政府采购法实施条例第七十五条规定的违法行为的。</w:t>
      </w:r>
    </w:p>
    <w:p w14:paraId="22CCD55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10</w:t>
      </w:r>
      <w:r>
        <w:rPr>
          <w:rFonts w:hint="eastAsia" w:ascii="宋体" w:hAnsi="宋体" w:eastAsia="宋体" w:cs="宋体"/>
          <w:sz w:val="21"/>
          <w:szCs w:val="21"/>
        </w:rPr>
        <w:t>.2有违法违规行为的原评标委员会成员不得参加重新组建的评标委员会。</w:t>
      </w:r>
    </w:p>
    <w:p w14:paraId="0796D56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附表：评审因素及评分标准</w:t>
      </w:r>
    </w:p>
    <w:tbl>
      <w:tblPr>
        <w:tblStyle w:val="40"/>
        <w:tblW w:w="0" w:type="auto"/>
        <w:tblInd w:w="113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2"/>
        <w:gridCol w:w="3526"/>
        <w:gridCol w:w="2927"/>
      </w:tblGrid>
      <w:tr w14:paraId="7C032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1012" w:type="dxa"/>
            <w:vAlign w:val="center"/>
          </w:tcPr>
          <w:p w14:paraId="07D4D663">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526" w:type="dxa"/>
            <w:vAlign w:val="center"/>
          </w:tcPr>
          <w:p w14:paraId="22AA1AF3">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    目</w:t>
            </w:r>
          </w:p>
        </w:tc>
        <w:tc>
          <w:tcPr>
            <w:tcW w:w="2927" w:type="dxa"/>
            <w:vAlign w:val="center"/>
          </w:tcPr>
          <w:p w14:paraId="6B4374C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权值范围</w:t>
            </w:r>
          </w:p>
        </w:tc>
      </w:tr>
      <w:tr w14:paraId="44309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1012" w:type="dxa"/>
            <w:vAlign w:val="center"/>
          </w:tcPr>
          <w:p w14:paraId="56346196">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26" w:type="dxa"/>
            <w:vAlign w:val="center"/>
          </w:tcPr>
          <w:p w14:paraId="4570BABA">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w:t>
            </w:r>
          </w:p>
        </w:tc>
        <w:tc>
          <w:tcPr>
            <w:tcW w:w="2927" w:type="dxa"/>
            <w:vAlign w:val="center"/>
          </w:tcPr>
          <w:p w14:paraId="0B2771AE">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r>
      <w:tr w14:paraId="73122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1012" w:type="dxa"/>
            <w:vAlign w:val="center"/>
          </w:tcPr>
          <w:p w14:paraId="39534681">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526" w:type="dxa"/>
            <w:vAlign w:val="center"/>
          </w:tcPr>
          <w:p w14:paraId="4A0BD4AE">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2927" w:type="dxa"/>
            <w:vAlign w:val="center"/>
          </w:tcPr>
          <w:p w14:paraId="34A0BE81">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p>
        </w:tc>
      </w:tr>
      <w:tr w14:paraId="5B80BA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1012" w:type="dxa"/>
            <w:vAlign w:val="center"/>
          </w:tcPr>
          <w:p w14:paraId="1BD5287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526" w:type="dxa"/>
            <w:shd w:val="clear" w:color="auto" w:fill="auto"/>
            <w:vAlign w:val="center"/>
          </w:tcPr>
          <w:p w14:paraId="2FED422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w:t>
            </w:r>
          </w:p>
        </w:tc>
        <w:tc>
          <w:tcPr>
            <w:tcW w:w="2927" w:type="dxa"/>
            <w:shd w:val="clear" w:color="auto" w:fill="auto"/>
            <w:vAlign w:val="center"/>
          </w:tcPr>
          <w:p w14:paraId="0E0485DB">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w:t>
            </w:r>
          </w:p>
        </w:tc>
      </w:tr>
      <w:tr w14:paraId="30DDF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538" w:type="dxa"/>
            <w:gridSpan w:val="2"/>
            <w:vAlign w:val="center"/>
          </w:tcPr>
          <w:p w14:paraId="70B68060">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∑(1+2+3)=100</w:t>
            </w:r>
          </w:p>
        </w:tc>
        <w:tc>
          <w:tcPr>
            <w:tcW w:w="2927" w:type="dxa"/>
            <w:vAlign w:val="center"/>
          </w:tcPr>
          <w:p w14:paraId="0D09945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bl>
    <w:p w14:paraId="5BEEB8F6">
      <w:pPr>
        <w:pStyle w:val="5"/>
        <w:rPr>
          <w:rFonts w:hint="eastAsia"/>
          <w:color w:val="FF0000"/>
          <w:highlight w:val="none"/>
        </w:rPr>
        <w:sectPr>
          <w:footerReference r:id="rId11" w:type="default"/>
          <w:pgSz w:w="11906" w:h="16838"/>
          <w:pgMar w:top="1417" w:right="1247" w:bottom="1417" w:left="1247" w:header="851" w:footer="992" w:gutter="0"/>
          <w:pgNumType w:fmt="decimal"/>
          <w:cols w:space="720" w:num="1"/>
          <w:rtlGutter w:val="0"/>
          <w:docGrid w:type="lines" w:linePitch="312" w:charSpace="0"/>
        </w:sectPr>
      </w:pPr>
    </w:p>
    <w:p w14:paraId="65FB072A">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附表：评审因素及评分标准</w:t>
      </w:r>
    </w:p>
    <w:tbl>
      <w:tblPr>
        <w:tblStyle w:val="40"/>
        <w:tblW w:w="10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13"/>
        <w:gridCol w:w="1296"/>
        <w:gridCol w:w="792"/>
        <w:gridCol w:w="6679"/>
      </w:tblGrid>
      <w:tr w14:paraId="174D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194E81F">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C5B912">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评审因素</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631D15A">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分值</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33EBEB2F">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评分标准</w:t>
            </w:r>
          </w:p>
        </w:tc>
      </w:tr>
      <w:tr w14:paraId="54E2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87C0ADC">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03D9CFC">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价格部分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99AD11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投标报价</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363C02D">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100</w:t>
            </w:r>
            <w:r>
              <w:rPr>
                <w:rFonts w:hint="eastAsia" w:ascii="宋体" w:hAnsi="宋体" w:eastAsia="宋体" w:cs="宋体"/>
                <w:sz w:val="21"/>
                <w:szCs w:val="21"/>
              </w:rPr>
              <w:t>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0D24EBCC">
            <w:pPr>
              <w:keepNext w:val="0"/>
              <w:keepLines w:val="0"/>
              <w:pageBreakBefore w:val="0"/>
              <w:widowControl/>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1、以</w:t>
            </w:r>
            <w:r>
              <w:rPr>
                <w:rFonts w:hint="eastAsia" w:ascii="宋体" w:hAnsi="宋体" w:eastAsia="宋体" w:cs="宋体"/>
                <w:color w:val="000000"/>
                <w:kern w:val="0"/>
                <w:sz w:val="21"/>
                <w:szCs w:val="21"/>
              </w:rPr>
              <w:t>经评审小组一致认定满足磋商文件要求</w:t>
            </w:r>
            <w:r>
              <w:rPr>
                <w:rFonts w:hint="eastAsia" w:ascii="宋体" w:hAnsi="宋体" w:eastAsia="宋体" w:cs="宋体"/>
                <w:sz w:val="21"/>
                <w:szCs w:val="21"/>
              </w:rPr>
              <w:t>且经调整后的最后报价最低的供应商的价格为评审基准价，其价格分为满分</w:t>
            </w:r>
            <w:r>
              <w:rPr>
                <w:rFonts w:hint="eastAsia" w:ascii="宋体" w:hAnsi="宋体" w:eastAsia="宋体" w:cs="宋体"/>
                <w:sz w:val="21"/>
                <w:szCs w:val="21"/>
                <w:lang w:val="en-US" w:eastAsia="zh-CN"/>
              </w:rPr>
              <w:t>100</w:t>
            </w:r>
            <w:r>
              <w:rPr>
                <w:rFonts w:hint="eastAsia" w:ascii="宋体" w:hAnsi="宋体" w:eastAsia="宋体" w:cs="宋体"/>
                <w:sz w:val="21"/>
                <w:szCs w:val="21"/>
              </w:rPr>
              <w:t>分。其他供应商的价格得分统一按公式计算：报价得分＝评标基准价÷投标报价×投标报价分值。</w:t>
            </w:r>
          </w:p>
          <w:p w14:paraId="6264B340">
            <w:pPr>
              <w:keepNext w:val="0"/>
              <w:keepLines w:val="0"/>
              <w:pageBreakBefore w:val="0"/>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b/>
                <w:bCs/>
                <w:sz w:val="21"/>
                <w:szCs w:val="21"/>
              </w:rPr>
              <w:t>注：评标委员会认为投标人的报价明显低于其他通过符合性审查投标人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125C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690" w:type="dxa"/>
            <w:tcBorders>
              <w:left w:val="single" w:color="auto" w:sz="4" w:space="0"/>
              <w:bottom w:val="single" w:color="auto" w:sz="4" w:space="0"/>
              <w:right w:val="single" w:color="auto" w:sz="4" w:space="0"/>
            </w:tcBorders>
            <w:shd w:val="clear" w:color="auto" w:fill="auto"/>
            <w:vAlign w:val="center"/>
          </w:tcPr>
          <w:p w14:paraId="3016204C">
            <w:pPr>
              <w:keepNext w:val="0"/>
              <w:keepLines w:val="0"/>
              <w:pageBreakBefore w:val="0"/>
              <w:kinsoku/>
              <w:wordWrap/>
              <w:overflowPunct/>
              <w:topLinePunct w:val="0"/>
              <w:bidi w:val="0"/>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13" w:type="dxa"/>
            <w:tcBorders>
              <w:left w:val="single" w:color="auto" w:sz="4" w:space="0"/>
              <w:bottom w:val="single" w:color="auto" w:sz="4" w:space="0"/>
              <w:right w:val="single" w:color="auto" w:sz="4" w:space="0"/>
            </w:tcBorders>
            <w:shd w:val="clear" w:color="auto" w:fill="auto"/>
            <w:vAlign w:val="center"/>
          </w:tcPr>
          <w:p w14:paraId="15B612A5">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r>
              <w:rPr>
                <w:rFonts w:hint="eastAsia" w:ascii="宋体" w:hAnsi="宋体" w:eastAsia="宋体" w:cs="宋体"/>
                <w:lang w:val="en-US" w:eastAsia="zh-CN"/>
              </w:rPr>
              <w:t>商务部分（20%）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F9560B6">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类似业绩</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B7DAFE0">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100</w:t>
            </w:r>
            <w:r>
              <w:rPr>
                <w:rFonts w:hint="eastAsia" w:ascii="宋体" w:hAnsi="宋体" w:eastAsia="宋体" w:cs="宋体"/>
              </w:rPr>
              <w:t>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05B882E3">
            <w:pPr>
              <w:pStyle w:val="70"/>
              <w:keepNext w:val="0"/>
              <w:keepLines w:val="0"/>
              <w:pageBreakBefore w:val="0"/>
              <w:kinsoku/>
              <w:wordWrap/>
              <w:overflowPunct/>
              <w:topLinePunct w:val="0"/>
              <w:bidi w:val="0"/>
              <w:spacing w:line="400" w:lineRule="exact"/>
              <w:jc w:val="both"/>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供应商近三年（指开标截止日前36个月）承担过类似业绩的，每提供一个得</w:t>
            </w:r>
            <w:r>
              <w:rPr>
                <w:rFonts w:hint="eastAsia" w:cs="宋体"/>
                <w:color w:val="auto"/>
                <w:sz w:val="21"/>
                <w:szCs w:val="21"/>
                <w:highlight w:val="none"/>
                <w:lang w:val="en-US" w:eastAsia="zh-CN"/>
              </w:rPr>
              <w:t>50</w:t>
            </w:r>
            <w:r>
              <w:rPr>
                <w:rFonts w:hint="eastAsia" w:ascii="宋体" w:hAnsi="宋体" w:eastAsia="宋体" w:cs="宋体"/>
                <w:color w:val="auto"/>
                <w:sz w:val="21"/>
                <w:szCs w:val="21"/>
                <w:highlight w:val="none"/>
                <w:lang w:val="zh-CN" w:eastAsia="zh-CN"/>
              </w:rPr>
              <w:t>分，本项最高得</w:t>
            </w:r>
            <w:r>
              <w:rPr>
                <w:rFonts w:hint="eastAsia" w:cs="宋体"/>
                <w:color w:val="auto"/>
                <w:sz w:val="21"/>
                <w:szCs w:val="21"/>
                <w:highlight w:val="none"/>
                <w:lang w:val="en-US" w:eastAsia="zh-CN"/>
              </w:rPr>
              <w:t>100</w:t>
            </w:r>
            <w:r>
              <w:rPr>
                <w:rFonts w:hint="eastAsia" w:ascii="宋体" w:hAnsi="宋体" w:eastAsia="宋体" w:cs="宋体"/>
                <w:color w:val="auto"/>
                <w:sz w:val="21"/>
                <w:szCs w:val="21"/>
                <w:highlight w:val="none"/>
                <w:lang w:val="zh-CN" w:eastAsia="zh-CN"/>
              </w:rPr>
              <w:t>分。</w:t>
            </w:r>
          </w:p>
          <w:p w14:paraId="4FAB90F7">
            <w:pPr>
              <w:pStyle w:val="70"/>
              <w:keepNext w:val="0"/>
              <w:keepLines w:val="0"/>
              <w:pageBreakBefore w:val="0"/>
              <w:kinsoku/>
              <w:wordWrap/>
              <w:overflowPunct/>
              <w:topLinePunct w:val="0"/>
              <w:bidi w:val="0"/>
              <w:spacing w:line="400" w:lineRule="exact"/>
              <w:jc w:val="both"/>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sz w:val="21"/>
                <w:szCs w:val="21"/>
                <w:highlight w:val="none"/>
                <w:lang w:val="zh-CN" w:eastAsia="zh-CN"/>
              </w:rPr>
              <w:t>注：提供合同或中标（成交）通知书复印件并加盖投标单位公章，否则不予计分</w:t>
            </w:r>
            <w:r>
              <w:rPr>
                <w:rFonts w:hint="eastAsia" w:ascii="宋体" w:hAnsi="宋体" w:eastAsia="宋体" w:cs="宋体"/>
                <w:color w:val="auto"/>
                <w:sz w:val="21"/>
                <w:szCs w:val="21"/>
                <w:highlight w:val="none"/>
                <w:lang w:val="zh-CN" w:eastAsia="zh-CN"/>
              </w:rPr>
              <w:t>。</w:t>
            </w:r>
          </w:p>
        </w:tc>
      </w:tr>
      <w:tr w14:paraId="24B2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6" w:hRule="exact"/>
          <w:jc w:val="center"/>
        </w:trPr>
        <w:tc>
          <w:tcPr>
            <w:tcW w:w="690" w:type="dxa"/>
            <w:tcBorders>
              <w:left w:val="single" w:color="auto" w:sz="4" w:space="0"/>
              <w:bottom w:val="single" w:color="auto" w:sz="4" w:space="0"/>
              <w:right w:val="single" w:color="auto" w:sz="4" w:space="0"/>
            </w:tcBorders>
            <w:shd w:val="clear" w:color="auto" w:fill="auto"/>
            <w:vAlign w:val="center"/>
          </w:tcPr>
          <w:p w14:paraId="3213F196">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13" w:type="dxa"/>
            <w:tcBorders>
              <w:left w:val="single" w:color="auto" w:sz="4" w:space="0"/>
              <w:bottom w:val="single" w:color="auto" w:sz="4" w:space="0"/>
              <w:right w:val="single" w:color="auto" w:sz="4" w:space="0"/>
            </w:tcBorders>
            <w:shd w:val="clear" w:color="auto" w:fill="auto"/>
            <w:vAlign w:val="center"/>
          </w:tcPr>
          <w:p w14:paraId="23635CE5">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r>
              <w:rPr>
                <w:rFonts w:hint="eastAsia" w:ascii="宋体" w:hAnsi="宋体" w:eastAsia="宋体" w:cs="宋体"/>
                <w:lang w:val="en-US" w:eastAsia="zh-CN"/>
              </w:rPr>
              <w:t>技术部分（50%）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E044421">
            <w:pPr>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项目</w:t>
            </w:r>
          </w:p>
          <w:p w14:paraId="04DC60EF">
            <w:pPr>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rPr>
            </w:pPr>
            <w:r>
              <w:rPr>
                <w:rFonts w:hint="eastAsia" w:ascii="宋体" w:hAnsi="宋体" w:eastAsia="宋体" w:cs="宋体"/>
                <w:sz w:val="21"/>
                <w:szCs w:val="21"/>
                <w:highlight w:val="none"/>
                <w:lang w:eastAsia="zh-CN"/>
              </w:rPr>
              <w:t>实施方案</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6091971">
            <w:pPr>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lang w:val="en-US" w:eastAsia="zh-CN"/>
              </w:rPr>
            </w:pPr>
            <w:r>
              <w:rPr>
                <w:rFonts w:hint="eastAsia" w:ascii="宋体" w:hAnsi="宋体" w:eastAsia="宋体" w:cs="宋体"/>
                <w:color w:val="auto"/>
                <w:kern w:val="2"/>
                <w:sz w:val="21"/>
                <w:szCs w:val="24"/>
                <w:highlight w:val="none"/>
                <w:lang w:val="en-US" w:eastAsia="zh-CN" w:bidi="ar-SA"/>
              </w:rPr>
              <w:t>100分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6897195A">
            <w:pPr>
              <w:pStyle w:val="39"/>
              <w:keepNext w:val="0"/>
              <w:keepLines w:val="0"/>
              <w:pageBreakBefore w:val="0"/>
              <w:numPr>
                <w:ilvl w:val="0"/>
                <w:numId w:val="0"/>
              </w:numPr>
              <w:kinsoku/>
              <w:wordWrap/>
              <w:overflowPunct/>
              <w:topLinePunct w:val="0"/>
              <w:bidi w:val="0"/>
              <w:adjustRightInd/>
              <w:snapToGrid/>
              <w:spacing w:after="0" w:line="400" w:lineRule="exact"/>
              <w:ind w:left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磋商小组成员根据</w:t>
            </w:r>
            <w:r>
              <w:rPr>
                <w:rFonts w:hint="eastAsia" w:ascii="宋体" w:hAnsi="宋体" w:eastAsia="宋体" w:cs="宋体"/>
                <w:b w:val="0"/>
                <w:bCs w:val="0"/>
                <w:color w:val="auto"/>
                <w:sz w:val="21"/>
                <w:szCs w:val="21"/>
                <w:highlight w:val="none"/>
                <w:lang w:val="zh-CN" w:eastAsia="zh-CN"/>
              </w:rPr>
              <w:t>供应商针对本项目提供具体的实施方案</w:t>
            </w:r>
            <w:r>
              <w:rPr>
                <w:rFonts w:hint="eastAsia" w:ascii="宋体" w:hAnsi="宋体" w:cs="宋体"/>
                <w:b w:val="0"/>
                <w:bCs w:val="0"/>
                <w:color w:val="auto"/>
                <w:sz w:val="21"/>
                <w:szCs w:val="21"/>
                <w:highlight w:val="none"/>
                <w:lang w:val="en-US" w:eastAsia="zh-CN"/>
              </w:rPr>
              <w:t>进行综合评分</w:t>
            </w:r>
            <w:r>
              <w:rPr>
                <w:rFonts w:hint="eastAsia" w:ascii="宋体" w:hAnsi="宋体" w:eastAsia="宋体" w:cs="宋体"/>
                <w:b w:val="0"/>
                <w:bCs w:val="0"/>
                <w:color w:val="auto"/>
                <w:sz w:val="21"/>
                <w:szCs w:val="21"/>
                <w:highlight w:val="none"/>
                <w:lang w:val="zh-CN" w:eastAsia="zh-CN"/>
              </w:rPr>
              <w:t>，内容包含</w:t>
            </w:r>
            <w:r>
              <w:rPr>
                <w:rFonts w:hint="eastAsia" w:ascii="宋体" w:hAnsi="宋体" w:cs="宋体"/>
                <w:b w:val="0"/>
                <w:bCs w:val="0"/>
                <w:color w:val="auto"/>
                <w:sz w:val="21"/>
                <w:szCs w:val="21"/>
                <w:highlight w:val="none"/>
                <w:lang w:val="zh-CN" w:eastAsia="zh-CN"/>
              </w:rPr>
              <w:t>：</w:t>
            </w:r>
            <w:r>
              <w:rPr>
                <w:rFonts w:hint="eastAsia" w:ascii="宋体" w:hAnsi="宋体" w:eastAsia="宋体" w:cs="宋体"/>
                <w:b w:val="0"/>
                <w:bCs w:val="0"/>
                <w:color w:val="auto"/>
                <w:sz w:val="21"/>
                <w:szCs w:val="21"/>
                <w:highlight w:val="none"/>
                <w:lang w:val="zh-CN" w:eastAsia="zh-CN"/>
              </w:rPr>
              <w:t>①监理范围和服务内容</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②监理依据及工作目标</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③监理机构设置、人员进场计划和人员岗位职责</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④监理工作程序、方法和制度</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⑤质量、进度、造价、安全、环保监理措施</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⑥合同、信息管理措施</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⑦组织协调内容及措施</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⑧监理工作重点与难点分析及对策</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eastAsia="zh-CN"/>
              </w:rPr>
              <w:t>⑨合理化建议</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⑩监理设施配备。</w:t>
            </w:r>
          </w:p>
          <w:p w14:paraId="17E98C16">
            <w:pPr>
              <w:pStyle w:val="39"/>
              <w:keepNext w:val="0"/>
              <w:keepLines w:val="0"/>
              <w:pageBreakBefore w:val="0"/>
              <w:numPr>
                <w:ilvl w:val="0"/>
                <w:numId w:val="0"/>
              </w:numPr>
              <w:kinsoku/>
              <w:wordWrap/>
              <w:overflowPunct/>
              <w:topLinePunct w:val="0"/>
              <w:bidi w:val="0"/>
              <w:adjustRightInd/>
              <w:snapToGrid/>
              <w:spacing w:after="0" w:line="400" w:lineRule="exact"/>
              <w:ind w:left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各项内容完善、措施合理，且具有可行性的计</w:t>
            </w:r>
            <w:r>
              <w:rPr>
                <w:rFonts w:hint="eastAsia" w:ascii="宋体" w:hAnsi="宋体" w:cs="宋体"/>
                <w:b w:val="0"/>
                <w:bCs w:val="0"/>
                <w:color w:val="auto"/>
                <w:sz w:val="21"/>
                <w:szCs w:val="21"/>
                <w:highlight w:val="none"/>
                <w:lang w:val="en-US" w:eastAsia="zh-CN"/>
              </w:rPr>
              <w:t>100</w:t>
            </w:r>
            <w:r>
              <w:rPr>
                <w:rFonts w:hint="eastAsia" w:ascii="宋体" w:hAnsi="宋体" w:eastAsia="宋体" w:cs="宋体"/>
                <w:b w:val="0"/>
                <w:bCs w:val="0"/>
                <w:color w:val="auto"/>
                <w:sz w:val="21"/>
                <w:szCs w:val="21"/>
                <w:highlight w:val="none"/>
                <w:lang w:val="en-US" w:eastAsia="zh-CN"/>
              </w:rPr>
              <w:t>分；</w:t>
            </w:r>
          </w:p>
          <w:p w14:paraId="5B9F85C4">
            <w:pPr>
              <w:pStyle w:val="39"/>
              <w:keepNext w:val="0"/>
              <w:keepLines w:val="0"/>
              <w:pageBreakBefore w:val="0"/>
              <w:numPr>
                <w:ilvl w:val="0"/>
                <w:numId w:val="0"/>
              </w:numPr>
              <w:kinsoku/>
              <w:wordWrap/>
              <w:overflowPunct/>
              <w:topLinePunct w:val="0"/>
              <w:bidi w:val="0"/>
              <w:adjustRightInd/>
              <w:snapToGrid/>
              <w:spacing w:after="0" w:line="400" w:lineRule="exact"/>
              <w:ind w:leftChars="0"/>
              <w:jc w:val="left"/>
              <w:textAlignment w:val="auto"/>
              <w:rPr>
                <w:rFonts w:hint="eastAsia" w:ascii="宋体" w:hAnsi="宋体" w:eastAsia="宋体" w:cs="宋体"/>
                <w:b/>
                <w:bCs/>
                <w:color w:val="auto"/>
                <w:sz w:val="21"/>
                <w:szCs w:val="21"/>
                <w:highlight w:val="none"/>
                <w:lang w:val="zh-CN" w:eastAsia="zh-CN"/>
              </w:rPr>
            </w:pPr>
            <w:r>
              <w:rPr>
                <w:rFonts w:hint="eastAsia" w:ascii="宋体" w:hAnsi="宋体" w:eastAsia="宋体" w:cs="宋体"/>
                <w:b w:val="0"/>
                <w:bCs w:val="0"/>
                <w:color w:val="auto"/>
                <w:sz w:val="21"/>
                <w:szCs w:val="21"/>
                <w:highlight w:val="none"/>
                <w:lang w:val="en-US" w:eastAsia="zh-CN"/>
              </w:rPr>
              <w:t>有缺漏项的每项扣</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分，各项内容有缺陷、欠合理、欠完整的每处扣</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分，有语言、文字及其他错误的每处扣</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分，扣完为止，未提供方案的计0分。</w:t>
            </w:r>
          </w:p>
        </w:tc>
      </w:tr>
      <w:tr w14:paraId="212B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05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F26E7A9">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sz w:val="21"/>
                <w:szCs w:val="21"/>
                <w:highlight w:val="none"/>
              </w:rPr>
              <w:t>注：1、评标委员会认为供应商的报价明显低于其他通过符合性审查供应商的报价，有可能影响产品质量或者不能诚信履约的，应当要求其在评标现场规定的时间内提供书面说明，必要时提交相关证明材料，供应商</w:t>
            </w:r>
            <w:r>
              <w:rPr>
                <w:rFonts w:hint="eastAsia" w:ascii="宋体" w:hAnsi="宋体" w:eastAsia="宋体" w:cs="宋体"/>
                <w:b/>
                <w:bCs/>
                <w:color w:val="000000"/>
                <w:sz w:val="21"/>
                <w:szCs w:val="21"/>
                <w:highlight w:val="none"/>
              </w:rPr>
              <w:t>不能证明报价合理性的，评标委员会应当将其作为无效投标处理。</w:t>
            </w:r>
          </w:p>
          <w:p w14:paraId="03AFA3A8">
            <w:pPr>
              <w:keepNext w:val="0"/>
              <w:keepLines w:val="0"/>
              <w:pageBreakBefore w:val="0"/>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b/>
                <w:bCs/>
                <w:color w:val="000000"/>
                <w:sz w:val="21"/>
                <w:szCs w:val="21"/>
                <w:highlight w:val="none"/>
              </w:rPr>
              <w:t>2、采购人或评标委员会将保留要求对供应商提供的复</w:t>
            </w:r>
            <w:r>
              <w:rPr>
                <w:rFonts w:hint="eastAsia" w:ascii="宋体" w:hAnsi="宋体" w:eastAsia="宋体" w:cs="宋体"/>
                <w:b/>
                <w:bCs/>
                <w:sz w:val="21"/>
                <w:szCs w:val="21"/>
                <w:highlight w:val="none"/>
              </w:rPr>
              <w:t>印件和相关投标资料真实性予以核查的权利，如发现虚假，取消投标资格并报送有关监管部门按照有关</w:t>
            </w:r>
            <w:r>
              <w:rPr>
                <w:rFonts w:hint="eastAsia" w:ascii="宋体" w:hAnsi="宋体" w:eastAsia="宋体" w:cs="宋体"/>
                <w:b/>
                <w:bCs/>
                <w:color w:val="000000"/>
                <w:sz w:val="21"/>
                <w:szCs w:val="21"/>
                <w:highlight w:val="none"/>
              </w:rPr>
              <w:t>规定处理。</w:t>
            </w:r>
          </w:p>
        </w:tc>
      </w:tr>
    </w:tbl>
    <w:p w14:paraId="10B68650">
      <w:pPr>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sz w:val="21"/>
          <w:szCs w:val="21"/>
          <w:highlight w:val="none"/>
          <w:lang w:eastAsia="zh-CN"/>
        </w:rPr>
      </w:pPr>
      <w:bookmarkStart w:id="36" w:name="_Toc11880"/>
    </w:p>
    <w:p w14:paraId="571E11D6">
      <w:pPr>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sz w:val="21"/>
          <w:szCs w:val="21"/>
          <w:highlight w:val="none"/>
          <w:lang w:eastAsia="zh-CN"/>
        </w:rPr>
      </w:pPr>
    </w:p>
    <w:p w14:paraId="08E96BA5">
      <w:pPr>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sz w:val="21"/>
          <w:szCs w:val="21"/>
          <w:highlight w:val="none"/>
          <w:lang w:eastAsia="zh-CN"/>
        </w:rPr>
      </w:pPr>
    </w:p>
    <w:p w14:paraId="4C004FD1">
      <w:pPr>
        <w:pStyle w:val="2"/>
        <w:rPr>
          <w:rFonts w:hint="eastAsia" w:ascii="宋体" w:hAnsi="宋体" w:eastAsia="宋体" w:cs="宋体"/>
          <w:sz w:val="21"/>
          <w:szCs w:val="21"/>
          <w:highlight w:val="none"/>
          <w:lang w:eastAsia="zh-CN"/>
        </w:rPr>
      </w:pPr>
    </w:p>
    <w:p w14:paraId="1A1B175D">
      <w:pPr>
        <w:pStyle w:val="3"/>
        <w:rPr>
          <w:rFonts w:hint="eastAsia"/>
          <w:lang w:eastAsia="zh-CN"/>
        </w:rPr>
      </w:pPr>
    </w:p>
    <w:p w14:paraId="39B53ABE">
      <w:pPr>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说明：</w:t>
      </w:r>
    </w:p>
    <w:p w14:paraId="4C96AAE0">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ind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highlight w:val="none"/>
        </w:rPr>
        <w:t>1、</w:t>
      </w:r>
      <w:r>
        <w:rPr>
          <w:rFonts w:hint="eastAsia" w:ascii="宋体" w:hAnsi="宋体" w:eastAsia="宋体" w:cs="宋体"/>
          <w:sz w:val="21"/>
          <w:szCs w:val="21"/>
          <w:lang w:val="en-US" w:eastAsia="zh-CN"/>
        </w:rPr>
        <w:t>依据《关于推动解决政府采购导演低价问题的通知》（财库【2026】2号）文规定，</w:t>
      </w:r>
      <w:r>
        <w:rPr>
          <w:rFonts w:hint="eastAsia" w:ascii="宋体" w:hAnsi="宋体" w:eastAsia="宋体" w:cs="宋体"/>
          <w:sz w:val="21"/>
          <w:szCs w:val="21"/>
        </w:rPr>
        <w:t>政府采购评审中出现下列情形之一的，评审委员会应当启动异常低价投标（响应）审查程序：</w:t>
      </w:r>
    </w:p>
    <w:p w14:paraId="5E5CAF9B">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、投标（响应）报价低于全部通过符合性审查供应商投标（响应）报价平均值50%的，即投标（响应）报价&lt;全部通过符合性审查供应商投标（响应）报价平均值×50%；</w:t>
      </w:r>
    </w:p>
    <w:p w14:paraId="5DA7CA19">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、投标（响应）报价低于通过符合性审查的次低报价供应商投标（响应）报价50%的，即投标（响应）报价&lt;通过符合性审查的次低报价供应商投标（响应）报价×50%；</w:t>
      </w:r>
    </w:p>
    <w:p w14:paraId="30878235">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、投标（响应）报价低于采购项目最高限价45%的，即投标（响应）报价&lt;采购项目最高限价×45%；</w:t>
      </w:r>
    </w:p>
    <w:p w14:paraId="2C21F820">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、评审委员会基于专业判断，认为供应商报价过低，有可能影响产品质量或者不能诚信履约的其他情形。</w:t>
      </w:r>
    </w:p>
    <w:p w14:paraId="5E38B703">
      <w:pPr>
        <w:keepNext w:val="0"/>
        <w:keepLines w:val="0"/>
        <w:pageBreakBefore w:val="0"/>
        <w:widowControl w:val="0"/>
        <w:kinsoku/>
        <w:wordWrap/>
        <w:overflowPunct/>
        <w:topLinePunct w:val="0"/>
        <w:autoSpaceDE/>
        <w:autoSpaceDN/>
        <w:bidi w:val="0"/>
        <w:adjustRightInd w:val="0"/>
        <w:snapToGrid w:val="0"/>
        <w:spacing w:beforeAutospacing="0" w:afterAutospacing="0" w:line="43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评审委员会启动异常低价投标（响应）审查后，属于前述4项情形的，相关供应商在评审现场</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分钟</w:t>
      </w:r>
      <w:r>
        <w:rPr>
          <w:rFonts w:hint="eastAsia" w:ascii="宋体" w:hAnsi="宋体" w:eastAsia="宋体" w:cs="宋体"/>
          <w:sz w:val="21"/>
          <w:szCs w:val="21"/>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投标人不能证明其报价合理性的，评标委员会可将其作为无效投标处理。</w:t>
      </w:r>
    </w:p>
    <w:p w14:paraId="44F80022">
      <w:pPr>
        <w:keepNext w:val="0"/>
        <w:keepLines w:val="0"/>
        <w:pageBreakBefore w:val="0"/>
        <w:widowControl w:val="0"/>
        <w:kinsoku/>
        <w:wordWrap/>
        <w:overflowPunct/>
        <w:topLinePunct w:val="0"/>
        <w:autoSpaceDE/>
        <w:autoSpaceDN/>
        <w:bidi w:val="0"/>
        <w:spacing w:beforeAutospacing="0" w:afterAutospacing="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、上述《评标因素和标准》中执行政府采购优惠政策的计算方法详见《磋商须知前附表》。表格中所述“报价”、“投标总价格”、“投标报价”均指投标人的最后报价</w:t>
      </w:r>
      <w:r>
        <w:rPr>
          <w:rFonts w:hint="eastAsia" w:ascii="宋体" w:hAnsi="宋体" w:eastAsia="宋体" w:cs="宋体"/>
          <w:kern w:val="0"/>
          <w:sz w:val="21"/>
          <w:szCs w:val="21"/>
          <w:highlight w:val="none"/>
        </w:rPr>
        <w:t>按采购文件规定的办法进行算术修正及政府采购政策调整后的评标价格。</w:t>
      </w:r>
    </w:p>
    <w:p w14:paraId="4633CB6F">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评分标准中涉及要求提供复印（影印）件的，响应文件中须附相关证书和证明文件的复印（影印）件并加盖单位公章，否则相应计分项不予计分。评分标准或资格条件中涉及要求递交原件的，投标人须在投标截止时间前将要求提供的原件单独密封包装（外包装上注明投标人名称和证件明细）与响应文件一起递交，否则相应计分项不予计分。</w:t>
      </w:r>
    </w:p>
    <w:p w14:paraId="7DD9B125">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highlight w:val="none"/>
          <w:lang w:val="en-US" w:eastAsia="zh-CN"/>
        </w:rPr>
        <w:t>4</w:t>
      </w:r>
      <w:r>
        <w:rPr>
          <w:rFonts w:hint="eastAsia" w:ascii="宋体" w:hAnsi="宋体" w:eastAsia="宋体" w:cs="宋体"/>
          <w:bCs/>
          <w:sz w:val="21"/>
          <w:szCs w:val="21"/>
          <w:highlight w:val="none"/>
        </w:rPr>
        <w:t>、投标人参与政府采购应提供真实有效的证明材料，应当诚信守法、公平竞争。如有以提供虚假材料（包括但不限于虚假技术参数响应、虚假制造商产品彩页、虚假业绩、虚假证书等）、隐瞒失信信息等谋取中标（成交）的行为，一经发现，将报行政监管部门严肃查处。</w:t>
      </w:r>
    </w:p>
    <w:p w14:paraId="71BF116B">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both"/>
        <w:outlineLvl w:val="0"/>
        <w:rPr>
          <w:rFonts w:hint="eastAsia" w:ascii="宋体" w:hAnsi="宋体" w:eastAsia="宋体" w:cs="宋体"/>
          <w:b/>
          <w:sz w:val="21"/>
          <w:szCs w:val="21"/>
        </w:rPr>
      </w:pPr>
    </w:p>
    <w:p w14:paraId="6006D936">
      <w:pPr>
        <w:keepNext w:val="0"/>
        <w:keepLines w:val="0"/>
        <w:pageBreakBefore w:val="0"/>
        <w:kinsoku/>
        <w:wordWrap/>
        <w:overflowPunct/>
        <w:topLinePunct w:val="0"/>
        <w:bidi w:val="0"/>
        <w:spacing w:line="440" w:lineRule="exact"/>
        <w:jc w:val="center"/>
        <w:textAlignment w:val="auto"/>
        <w:outlineLvl w:val="0"/>
        <w:rPr>
          <w:rFonts w:hint="eastAsia" w:ascii="宋体" w:hAnsi="宋体" w:eastAsia="宋体" w:cs="宋体"/>
          <w:b/>
          <w:sz w:val="28"/>
          <w:szCs w:val="28"/>
        </w:rPr>
      </w:pPr>
    </w:p>
    <w:p w14:paraId="5CAF8C91">
      <w:pPr>
        <w:keepNext w:val="0"/>
        <w:keepLines w:val="0"/>
        <w:pageBreakBefore w:val="0"/>
        <w:kinsoku/>
        <w:wordWrap/>
        <w:overflowPunct/>
        <w:topLinePunct w:val="0"/>
        <w:bidi w:val="0"/>
        <w:spacing w:line="440" w:lineRule="exact"/>
        <w:jc w:val="center"/>
        <w:textAlignment w:val="auto"/>
        <w:outlineLvl w:val="0"/>
        <w:rPr>
          <w:rFonts w:hint="eastAsia" w:ascii="宋体" w:hAnsi="宋体" w:eastAsia="宋体" w:cs="宋体"/>
          <w:b/>
          <w:sz w:val="28"/>
          <w:szCs w:val="28"/>
        </w:rPr>
      </w:pPr>
    </w:p>
    <w:p w14:paraId="2355EF57">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p>
    <w:p w14:paraId="0BD215EC">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p>
    <w:p w14:paraId="587D039C">
      <w:pPr>
        <w:pageBreakBefore w:val="0"/>
        <w:kinsoku/>
        <w:wordWrap/>
        <w:overflowPunct/>
        <w:bidi w:val="0"/>
        <w:spacing w:line="360" w:lineRule="auto"/>
        <w:jc w:val="both"/>
        <w:textAlignment w:val="auto"/>
        <w:outlineLvl w:val="0"/>
        <w:rPr>
          <w:rFonts w:hint="eastAsia" w:ascii="宋体" w:hAnsi="宋体" w:eastAsia="宋体" w:cs="宋体"/>
          <w:b/>
          <w:sz w:val="28"/>
          <w:szCs w:val="28"/>
        </w:rPr>
      </w:pPr>
    </w:p>
    <w:p w14:paraId="5ABF82E4">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第四章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政府采购合同格式</w:t>
      </w:r>
      <w:bookmarkEnd w:id="36"/>
    </w:p>
    <w:p w14:paraId="23E3EF2A">
      <w:pPr>
        <w:pageBreakBefore w:val="0"/>
        <w:kinsoku/>
        <w:wordWrap/>
        <w:overflowPunct/>
        <w:bidi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第一节</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政府采购合同协议书</w:t>
      </w:r>
    </w:p>
    <w:p w14:paraId="1DA1762D">
      <w:pPr>
        <w:pageBreakBefore w:val="0"/>
        <w:widowControl w:val="0"/>
        <w:kinsoku/>
        <w:wordWrap/>
        <w:overflowPunct/>
        <w:bidi w:val="0"/>
        <w:spacing w:beforeAutospacing="0" w:afterAutospacing="0" w:line="520" w:lineRule="exact"/>
        <w:ind w:firstLine="6062" w:firstLineChars="2887"/>
        <w:jc w:val="left"/>
        <w:textAlignment w:val="auto"/>
        <w:rPr>
          <w:rFonts w:hint="eastAsia" w:ascii="宋体" w:hAnsi="宋体" w:eastAsia="宋体" w:cs="宋体"/>
          <w:kern w:val="2"/>
          <w:sz w:val="21"/>
          <w:szCs w:val="21"/>
          <w:lang w:val="zh-TW" w:eastAsia="zh-TW" w:bidi="zh-TW"/>
        </w:rPr>
      </w:pPr>
      <w:bookmarkStart w:id="37" w:name="_Toc22719"/>
      <w:bookmarkStart w:id="38" w:name="_Toc32558"/>
      <w:bookmarkStart w:id="39" w:name="_Toc8566"/>
      <w:r>
        <w:rPr>
          <w:rFonts w:hint="eastAsia" w:ascii="宋体" w:hAnsi="宋体" w:eastAsia="宋体" w:cs="宋体"/>
          <w:color w:val="000000"/>
          <w:kern w:val="2"/>
          <w:sz w:val="21"/>
          <w:szCs w:val="21"/>
          <w:lang w:val="zh-TW" w:eastAsia="zh-TW" w:bidi="zh-TW"/>
        </w:rPr>
        <w:t>采购合同编号：</w:t>
      </w:r>
    </w:p>
    <w:p w14:paraId="71576A8D">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采购人（发包人）：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（甲方）</w:t>
      </w:r>
    </w:p>
    <w:p w14:paraId="1F8CD1F7">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供应商（承包人）：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（乙方）</w:t>
      </w:r>
    </w:p>
    <w:p w14:paraId="6C013946">
      <w:pPr>
        <w:pageBreakBefore w:val="0"/>
        <w:widowControl w:val="0"/>
        <w:kinsoku/>
        <w:wordWrap/>
        <w:overflowPunct/>
        <w:bidi w:val="0"/>
        <w:spacing w:beforeAutospacing="0" w:afterAutospacing="0" w:line="520" w:lineRule="exact"/>
        <w:ind w:firstLine="44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en-US" w:eastAsia="zh-CN" w:bidi="zh-TW"/>
        </w:rPr>
        <w:t>为了保护甲、乙双方合法权益，根</w:t>
      </w:r>
      <w:r>
        <w:rPr>
          <w:rFonts w:hint="eastAsia" w:ascii="宋体" w:hAnsi="宋体" w:eastAsia="宋体" w:cs="宋体"/>
          <w:color w:val="000000"/>
          <w:kern w:val="2"/>
          <w:sz w:val="21"/>
          <w:szCs w:val="21"/>
          <w:lang w:val="zh-TW" w:eastAsia="zh-TW" w:bidi="zh-TW"/>
        </w:rPr>
        <w:t>据《中华人民共和国</w:t>
      </w:r>
      <w:r>
        <w:rPr>
          <w:rFonts w:hint="eastAsia" w:ascii="宋体" w:hAnsi="宋体" w:eastAsia="宋体" w:cs="宋体"/>
          <w:color w:val="000000"/>
          <w:kern w:val="2"/>
          <w:sz w:val="21"/>
          <w:szCs w:val="21"/>
          <w:lang w:val="en-US" w:eastAsia="zh-CN" w:bidi="zh-TW"/>
        </w:rPr>
        <w:t>民法典</w:t>
      </w:r>
      <w:r>
        <w:rPr>
          <w:rFonts w:hint="eastAsia" w:ascii="宋体" w:hAnsi="宋体" w:eastAsia="宋体" w:cs="宋体"/>
          <w:color w:val="000000"/>
          <w:kern w:val="2"/>
          <w:sz w:val="21"/>
          <w:szCs w:val="21"/>
          <w:lang w:val="zh-TW" w:eastAsia="zh-TW" w:bidi="zh-TW"/>
        </w:rPr>
        <w:t>》、《中华人民共和国政府采购法》及其他有关法律、法规</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规章，</w:t>
      </w:r>
      <w:r>
        <w:rPr>
          <w:rFonts w:hint="eastAsia" w:ascii="宋体" w:hAnsi="宋体" w:eastAsia="宋体" w:cs="宋体"/>
          <w:color w:val="000000"/>
          <w:kern w:val="2"/>
          <w:sz w:val="21"/>
          <w:szCs w:val="21"/>
          <w:lang w:val="zh-TW" w:eastAsia="zh-TW" w:bidi="zh-TW"/>
        </w:rPr>
        <w:t>双方</w:t>
      </w:r>
      <w:r>
        <w:rPr>
          <w:rFonts w:hint="eastAsia" w:ascii="宋体" w:hAnsi="宋体" w:eastAsia="宋体" w:cs="宋体"/>
          <w:color w:val="000000"/>
          <w:kern w:val="2"/>
          <w:sz w:val="21"/>
          <w:szCs w:val="21"/>
          <w:lang w:val="en-US" w:eastAsia="zh-CN" w:bidi="zh-TW"/>
        </w:rPr>
        <w:t>签订</w:t>
      </w:r>
      <w:r>
        <w:rPr>
          <w:rFonts w:hint="eastAsia" w:ascii="宋体" w:hAnsi="宋体" w:eastAsia="宋体" w:cs="宋体"/>
          <w:color w:val="000000"/>
          <w:kern w:val="2"/>
          <w:sz w:val="21"/>
          <w:szCs w:val="21"/>
          <w:lang w:val="zh-TW" w:eastAsia="zh-TW" w:bidi="zh-TW"/>
        </w:rPr>
        <w:t>本</w:t>
      </w:r>
      <w:r>
        <w:rPr>
          <w:rFonts w:hint="eastAsia" w:ascii="宋体" w:hAnsi="宋体" w:eastAsia="宋体" w:cs="宋体"/>
          <w:color w:val="000000"/>
          <w:kern w:val="2"/>
          <w:sz w:val="21"/>
          <w:szCs w:val="21"/>
          <w:lang w:val="en-US" w:eastAsia="zh-CN" w:bidi="zh-TW"/>
        </w:rPr>
        <w:t>合同</w:t>
      </w:r>
      <w:r>
        <w:rPr>
          <w:rFonts w:hint="eastAsia" w:ascii="宋体" w:hAnsi="宋体" w:eastAsia="宋体" w:cs="宋体"/>
          <w:color w:val="000000"/>
          <w:kern w:val="2"/>
          <w:sz w:val="21"/>
          <w:szCs w:val="21"/>
          <w:lang w:val="zh-TW" w:eastAsia="zh-TW" w:bidi="zh-TW"/>
        </w:rPr>
        <w:t>协议书。</w:t>
      </w:r>
    </w:p>
    <w:p w14:paraId="5A8830A4">
      <w:pPr>
        <w:keepNext/>
        <w:keepLines/>
        <w:pageBreakBefore w:val="0"/>
        <w:widowControl w:val="0"/>
        <w:tabs>
          <w:tab w:val="left" w:pos="363"/>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40" w:name="bookmark425"/>
      <w:bookmarkStart w:id="41" w:name="_Toc4958"/>
      <w:bookmarkStart w:id="42" w:name="bookmark426"/>
      <w:bookmarkStart w:id="43" w:name="bookmark423"/>
      <w:bookmarkStart w:id="44" w:name="bookmark424"/>
      <w:bookmarkStart w:id="45" w:name="_Toc32082"/>
      <w:r>
        <w:rPr>
          <w:rFonts w:hint="eastAsia" w:ascii="宋体" w:hAnsi="宋体" w:eastAsia="宋体" w:cs="宋体"/>
          <w:b/>
          <w:bCs/>
          <w:color w:val="000000"/>
          <w:kern w:val="2"/>
          <w:sz w:val="21"/>
          <w:szCs w:val="21"/>
          <w:lang w:val="zh-TW" w:eastAsia="zh-TW" w:bidi="zh-TW"/>
        </w:rPr>
        <w:t>1</w:t>
      </w:r>
      <w:bookmarkEnd w:id="40"/>
      <w:r>
        <w:rPr>
          <w:rFonts w:hint="eastAsia" w:ascii="宋体" w:hAnsi="宋体" w:eastAsia="宋体" w:cs="宋体"/>
          <w:b/>
          <w:bCs/>
          <w:color w:val="000000"/>
          <w:kern w:val="2"/>
          <w:sz w:val="21"/>
          <w:szCs w:val="21"/>
          <w:lang w:val="zh-TW" w:eastAsia="zh-CN"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项目信息</w:t>
      </w:r>
      <w:bookmarkEnd w:id="41"/>
      <w:bookmarkEnd w:id="42"/>
      <w:bookmarkEnd w:id="43"/>
      <w:bookmarkEnd w:id="44"/>
      <w:bookmarkEnd w:id="45"/>
    </w:p>
    <w:p w14:paraId="28FA1D4A">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1</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采购项目名称：</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133E75DB">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采购计划编号：</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2C121864">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项目内容：</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50E06EB9">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（4）是否分包：</w:t>
      </w:r>
      <w:r>
        <w:rPr>
          <w:rFonts w:hint="eastAsia" w:ascii="宋体" w:hAnsi="宋体" w:eastAsia="宋体" w:cs="宋体"/>
          <w:kern w:val="2"/>
          <w:sz w:val="21"/>
          <w:szCs w:val="21"/>
          <w:u w:val="single"/>
          <w:lang w:val="en-US" w:eastAsia="zh-CN" w:bidi="zh-TW"/>
        </w:rPr>
        <w:t xml:space="preserve">                                </w:t>
      </w:r>
    </w:p>
    <w:p w14:paraId="5BA1A6F1">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（5）项目负责人：</w:t>
      </w:r>
      <w:r>
        <w:rPr>
          <w:rFonts w:hint="eastAsia" w:ascii="宋体" w:hAnsi="宋体" w:eastAsia="宋体" w:cs="宋体"/>
          <w:kern w:val="2"/>
          <w:sz w:val="21"/>
          <w:szCs w:val="21"/>
          <w:u w:val="single"/>
          <w:lang w:val="en-US" w:eastAsia="zh-CN" w:bidi="zh-TW"/>
        </w:rPr>
        <w:t xml:space="preserve">                              </w:t>
      </w:r>
    </w:p>
    <w:p w14:paraId="0409E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（6）联系电话：</w:t>
      </w:r>
      <w:r>
        <w:rPr>
          <w:rFonts w:hint="eastAsia" w:ascii="宋体" w:hAnsi="宋体" w:eastAsia="宋体" w:cs="宋体"/>
          <w:kern w:val="2"/>
          <w:sz w:val="21"/>
          <w:szCs w:val="21"/>
          <w:u w:val="single"/>
          <w:lang w:val="en-US" w:eastAsia="zh-CN" w:bidi="zh-TW"/>
        </w:rPr>
        <w:t xml:space="preserve">                                </w:t>
      </w:r>
      <w:bookmarkStart w:id="46" w:name="bookmark429"/>
      <w:bookmarkStart w:id="47" w:name="bookmark428"/>
      <w:bookmarkStart w:id="48" w:name="bookmark430"/>
      <w:bookmarkStart w:id="49" w:name="bookmark427"/>
      <w:bookmarkStart w:id="50" w:name="_Toc24354"/>
      <w:bookmarkStart w:id="51" w:name="_Toc17910"/>
    </w:p>
    <w:p w14:paraId="1554CF76">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zh-TW" w:eastAsia="zh-TW" w:bidi="zh-TW"/>
        </w:rPr>
        <w:t>2</w:t>
      </w:r>
      <w:bookmarkEnd w:id="46"/>
      <w:r>
        <w:rPr>
          <w:rFonts w:hint="eastAsia" w:ascii="宋体" w:hAnsi="宋体" w:eastAsia="宋体" w:cs="宋体"/>
          <w:color w:val="000000"/>
          <w:kern w:val="2"/>
          <w:sz w:val="21"/>
          <w:szCs w:val="21"/>
          <w:lang w:val="zh-TW" w:eastAsia="zh-TW" w:bidi="zh-TW"/>
        </w:rPr>
        <w:t>、</w:t>
      </w:r>
      <w:bookmarkEnd w:id="47"/>
      <w:bookmarkEnd w:id="48"/>
      <w:bookmarkEnd w:id="49"/>
      <w:r>
        <w:rPr>
          <w:rFonts w:hint="eastAsia" w:ascii="宋体" w:hAnsi="宋体" w:eastAsia="宋体" w:cs="宋体"/>
          <w:color w:val="000000"/>
          <w:kern w:val="2"/>
          <w:sz w:val="21"/>
          <w:szCs w:val="21"/>
          <w:lang w:val="en-US" w:eastAsia="zh-CN" w:bidi="zh-TW"/>
        </w:rPr>
        <w:t>合同金额</w:t>
      </w:r>
      <w:bookmarkEnd w:id="50"/>
      <w:bookmarkEnd w:id="51"/>
      <w:bookmarkStart w:id="52" w:name="bookmark432"/>
      <w:bookmarkStart w:id="53" w:name="bookmark433"/>
      <w:bookmarkStart w:id="54" w:name="bookmark431"/>
      <w:bookmarkStart w:id="55" w:name="bookmark434"/>
    </w:p>
    <w:p w14:paraId="22ED8CA9">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合同金额小写：</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大写：</w:t>
      </w:r>
      <w:r>
        <w:rPr>
          <w:rFonts w:hint="eastAsia" w:ascii="宋体" w:hAnsi="宋体" w:eastAsia="宋体" w:cs="宋体"/>
          <w:b w:val="0"/>
          <w:bCs w:val="0"/>
          <w:color w:val="000000"/>
          <w:kern w:val="2"/>
          <w:sz w:val="21"/>
          <w:szCs w:val="21"/>
          <w:u w:val="single"/>
          <w:lang w:val="en-US" w:eastAsia="zh-CN" w:bidi="zh-TW"/>
        </w:rPr>
        <w:t xml:space="preserve">                          </w:t>
      </w:r>
    </w:p>
    <w:p w14:paraId="4AA528B0">
      <w:pPr>
        <w:keepNext/>
        <w:keepLines/>
        <w:pageBreakBefore w:val="0"/>
        <w:widowControl w:val="0"/>
        <w:numPr>
          <w:ilvl w:val="0"/>
          <w:numId w:val="3"/>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具体标的见附件。</w:t>
      </w:r>
    </w:p>
    <w:p w14:paraId="611E3990">
      <w:pPr>
        <w:keepNext/>
        <w:keepLines/>
        <w:pageBreakBefore w:val="0"/>
        <w:widowControl w:val="0"/>
        <w:numPr>
          <w:ilvl w:val="0"/>
          <w:numId w:val="3"/>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合同定价方式：□固定总价    □固定单价   □成本补偿   □绩效激励</w:t>
      </w:r>
    </w:p>
    <w:p w14:paraId="7577E914">
      <w:pPr>
        <w:keepNext/>
        <w:keepLines/>
        <w:pageBreakBefore w:val="0"/>
        <w:widowControl w:val="0"/>
        <w:numPr>
          <w:ilvl w:val="0"/>
          <w:numId w:val="3"/>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付款方式（按项目实际勾选填写）：</w:t>
      </w:r>
    </w:p>
    <w:p w14:paraId="3C580AB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全额付款：</w:t>
      </w:r>
      <w:r>
        <w:rPr>
          <w:rFonts w:hint="eastAsia" w:ascii="宋体" w:hAnsi="宋体" w:eastAsia="宋体" w:cs="宋体"/>
          <w:b w:val="0"/>
          <w:bCs w:val="0"/>
          <w:color w:val="000000"/>
          <w:kern w:val="2"/>
          <w:sz w:val="21"/>
          <w:szCs w:val="21"/>
          <w:u w:val="single"/>
          <w:lang w:val="en-US" w:eastAsia="zh-CN" w:bidi="zh-TW"/>
        </w:rPr>
        <w:t>（应一次性支付全总合同款项）</w:t>
      </w:r>
    </w:p>
    <w:p w14:paraId="3A935BB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预付款：</w:t>
      </w:r>
      <w:r>
        <w:rPr>
          <w:rFonts w:hint="eastAsia" w:ascii="宋体" w:hAnsi="宋体" w:eastAsia="宋体" w:cs="宋体"/>
          <w:b w:val="0"/>
          <w:bCs w:val="0"/>
          <w:color w:val="000000"/>
          <w:kern w:val="2"/>
          <w:sz w:val="21"/>
          <w:szCs w:val="21"/>
          <w:u w:val="single"/>
          <w:lang w:val="en-US" w:eastAsia="zh-CN" w:bidi="zh-TW"/>
        </w:rPr>
        <w:t>（应明确预付款的支付比例和支付条件）</w:t>
      </w:r>
    </w:p>
    <w:p w14:paraId="0788AEC5">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分期付款：</w:t>
      </w:r>
      <w:r>
        <w:rPr>
          <w:rFonts w:hint="eastAsia" w:ascii="宋体" w:hAnsi="宋体" w:eastAsia="宋体" w:cs="宋体"/>
          <w:b w:val="0"/>
          <w:bCs w:val="0"/>
          <w:color w:val="000000"/>
          <w:kern w:val="2"/>
          <w:sz w:val="21"/>
          <w:szCs w:val="21"/>
          <w:u w:val="single"/>
          <w:lang w:val="en-US" w:eastAsia="zh-CN" w:bidi="zh-TW"/>
        </w:rPr>
        <w:t xml:space="preserve">（应按季度分期支付合同款项） </w:t>
      </w:r>
    </w:p>
    <w:p w14:paraId="499947A4">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成本补偿：</w:t>
      </w:r>
      <w:r>
        <w:rPr>
          <w:rFonts w:hint="eastAsia" w:ascii="宋体" w:hAnsi="宋体" w:eastAsia="宋体" w:cs="宋体"/>
          <w:b w:val="0"/>
          <w:bCs w:val="0"/>
          <w:color w:val="000000"/>
          <w:kern w:val="2"/>
          <w:sz w:val="21"/>
          <w:szCs w:val="21"/>
          <w:u w:val="single"/>
          <w:lang w:val="en-US" w:eastAsia="zh-CN" w:bidi="zh-TW"/>
        </w:rPr>
        <w:t>（应明确按照成本补偿方式的支付方式各支付条件）</w:t>
      </w:r>
    </w:p>
    <w:p w14:paraId="5F458E5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绩效激励：</w:t>
      </w:r>
      <w:r>
        <w:rPr>
          <w:rFonts w:hint="eastAsia" w:ascii="宋体" w:hAnsi="宋体" w:eastAsia="宋体" w:cs="宋体"/>
          <w:b w:val="0"/>
          <w:bCs w:val="0"/>
          <w:color w:val="000000"/>
          <w:kern w:val="2"/>
          <w:sz w:val="21"/>
          <w:szCs w:val="21"/>
          <w:u w:val="single"/>
          <w:lang w:val="en-US" w:eastAsia="zh-CN" w:bidi="zh-TW"/>
        </w:rPr>
        <w:t>（应明确按照绩效激励方式的支付方式各支付条件</w:t>
      </w:r>
      <w:r>
        <w:rPr>
          <w:rFonts w:hint="eastAsia" w:ascii="宋体" w:hAnsi="宋体" w:eastAsia="宋体" w:cs="宋体"/>
          <w:b/>
          <w:bCs/>
          <w:color w:val="000000"/>
          <w:kern w:val="2"/>
          <w:sz w:val="21"/>
          <w:szCs w:val="21"/>
          <w:u w:val="single"/>
          <w:lang w:val="en-US" w:eastAsia="zh-CN" w:bidi="zh-TW"/>
        </w:rPr>
        <w:t>）</w:t>
      </w:r>
    </w:p>
    <w:p w14:paraId="53E023E7">
      <w:pPr>
        <w:keepNext/>
        <w:keepLines/>
        <w:pageBreakBefore w:val="0"/>
        <w:widowControl w:val="0"/>
        <w:numPr>
          <w:ilvl w:val="0"/>
          <w:numId w:val="0"/>
        </w:numPr>
        <w:tabs>
          <w:tab w:val="left" w:pos="378"/>
        </w:tabs>
        <w:kinsoku/>
        <w:wordWrap/>
        <w:overflowPunct/>
        <w:bidi w:val="0"/>
        <w:spacing w:beforeAutospacing="0" w:afterAutospacing="0" w:line="520" w:lineRule="exact"/>
        <w:ind w:leftChars="0"/>
        <w:jc w:val="left"/>
        <w:textAlignment w:val="auto"/>
        <w:outlineLvl w:val="9"/>
        <w:rPr>
          <w:rFonts w:hint="eastAsia" w:ascii="宋体" w:hAnsi="宋体" w:eastAsia="宋体" w:cs="宋体"/>
          <w:b/>
          <w:bCs/>
          <w:kern w:val="2"/>
          <w:sz w:val="21"/>
          <w:szCs w:val="21"/>
          <w:lang w:val="zh-TW" w:eastAsia="zh-TW" w:bidi="zh-TW"/>
        </w:rPr>
      </w:pPr>
    </w:p>
    <w:p w14:paraId="7B3D752A">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p>
    <w:bookmarkEnd w:id="52"/>
    <w:bookmarkEnd w:id="53"/>
    <w:bookmarkEnd w:id="54"/>
    <w:bookmarkEnd w:id="55"/>
    <w:p w14:paraId="445BECBF">
      <w:pPr>
        <w:keepNext/>
        <w:keepLines/>
        <w:pageBreakBefore w:val="0"/>
        <w:widowControl w:val="0"/>
        <w:numPr>
          <w:ilvl w:val="0"/>
          <w:numId w:val="0"/>
        </w:numPr>
        <w:tabs>
          <w:tab w:val="left" w:pos="378"/>
        </w:tabs>
        <w:kinsoku/>
        <w:wordWrap/>
        <w:overflowPunct/>
        <w:bidi w:val="0"/>
        <w:spacing w:beforeAutospacing="0" w:afterAutospacing="0" w:line="520" w:lineRule="exact"/>
        <w:jc w:val="left"/>
        <w:textAlignment w:val="auto"/>
        <w:outlineLvl w:val="0"/>
        <w:rPr>
          <w:rFonts w:hint="eastAsia" w:ascii="宋体" w:hAnsi="宋体" w:eastAsia="宋体" w:cs="宋体"/>
          <w:b/>
          <w:bCs/>
          <w:color w:val="000000"/>
          <w:kern w:val="2"/>
          <w:sz w:val="21"/>
          <w:szCs w:val="21"/>
          <w:lang w:val="en-US" w:eastAsia="zh-CN" w:bidi="zh-TW"/>
        </w:rPr>
      </w:pPr>
      <w:bookmarkStart w:id="56" w:name="_Toc9225"/>
      <w:bookmarkStart w:id="57" w:name="_Toc13499"/>
      <w:r>
        <w:rPr>
          <w:rFonts w:hint="eastAsia" w:ascii="宋体" w:hAnsi="宋体" w:eastAsia="宋体" w:cs="宋体"/>
          <w:b/>
          <w:bCs/>
          <w:color w:val="000000"/>
          <w:kern w:val="2"/>
          <w:sz w:val="21"/>
          <w:szCs w:val="21"/>
          <w:lang w:val="en-US" w:eastAsia="zh-CN" w:bidi="zh-TW"/>
        </w:rPr>
        <w:t>3、合同履行</w:t>
      </w:r>
      <w:bookmarkEnd w:id="56"/>
      <w:bookmarkEnd w:id="57"/>
    </w:p>
    <w:p w14:paraId="023ACE6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（1）起始日期：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，完成日期：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。总日历天数：</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天</w:t>
      </w:r>
    </w:p>
    <w:p w14:paraId="6E8193CC">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t>（2）地点：</w:t>
      </w:r>
      <w:r>
        <w:rPr>
          <w:rFonts w:hint="eastAsia" w:ascii="宋体" w:hAnsi="宋体" w:eastAsia="宋体" w:cs="宋体"/>
          <w:b w:val="0"/>
          <w:bCs w:val="0"/>
          <w:color w:val="000000"/>
          <w:kern w:val="2"/>
          <w:sz w:val="21"/>
          <w:szCs w:val="21"/>
          <w:u w:val="single"/>
          <w:lang w:val="en-US" w:eastAsia="zh-CN" w:bidi="zh-TW"/>
        </w:rPr>
        <w:t xml:space="preserve">               </w:t>
      </w:r>
    </w:p>
    <w:p w14:paraId="02C8D27A">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none"/>
          <w:lang w:val="en-US" w:eastAsia="zh-CN" w:bidi="zh-TW"/>
        </w:rPr>
      </w:pPr>
      <w:r>
        <w:rPr>
          <w:rFonts w:hint="eastAsia" w:ascii="宋体" w:hAnsi="宋体" w:eastAsia="宋体" w:cs="宋体"/>
          <w:b w:val="0"/>
          <w:bCs w:val="0"/>
          <w:color w:val="000000"/>
          <w:kern w:val="2"/>
          <w:sz w:val="21"/>
          <w:szCs w:val="21"/>
          <w:u w:val="none"/>
          <w:lang w:val="en-US" w:eastAsia="zh-CN" w:bidi="zh-TW"/>
        </w:rPr>
        <w:t>（3）方式：</w:t>
      </w:r>
      <w:r>
        <w:rPr>
          <w:rFonts w:hint="eastAsia" w:ascii="宋体" w:hAnsi="宋体" w:eastAsia="宋体" w:cs="宋体"/>
          <w:b w:val="0"/>
          <w:bCs w:val="0"/>
          <w:color w:val="000000"/>
          <w:kern w:val="2"/>
          <w:sz w:val="21"/>
          <w:szCs w:val="21"/>
          <w:u w:val="single"/>
          <w:lang w:val="en-US" w:eastAsia="zh-CN" w:bidi="zh-TW"/>
        </w:rPr>
        <w:t xml:space="preserve">               </w:t>
      </w:r>
    </w:p>
    <w:p w14:paraId="3DDF8AC0">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（4）履约担保：</w:t>
      </w:r>
      <w:r>
        <w:rPr>
          <w:rFonts w:hint="eastAsia" w:ascii="宋体" w:hAnsi="宋体" w:eastAsia="宋体" w:cs="宋体"/>
          <w:b w:val="0"/>
          <w:bCs w:val="0"/>
          <w:color w:val="000000"/>
          <w:kern w:val="2"/>
          <w:sz w:val="21"/>
          <w:szCs w:val="21"/>
          <w:u w:val="single"/>
          <w:lang w:val="en-US" w:eastAsia="zh-CN" w:bidi="zh-TW"/>
        </w:rPr>
        <w:t>履约担保的金额、形式和期限要求。</w:t>
      </w:r>
    </w:p>
    <w:p w14:paraId="1A429D83">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（5）质量保证金：</w:t>
      </w:r>
      <w:r>
        <w:rPr>
          <w:rFonts w:hint="eastAsia" w:ascii="宋体" w:hAnsi="宋体" w:eastAsia="宋体" w:cs="宋体"/>
          <w:b w:val="0"/>
          <w:bCs w:val="0"/>
          <w:color w:val="000000"/>
          <w:kern w:val="2"/>
          <w:sz w:val="21"/>
          <w:szCs w:val="21"/>
          <w:u w:val="single"/>
          <w:lang w:val="en-US" w:eastAsia="zh-CN" w:bidi="zh-TW"/>
        </w:rPr>
        <w:t>质量保证金的金额、形式和期限要求。</w:t>
      </w:r>
    </w:p>
    <w:p w14:paraId="4038369B">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en-US" w:eastAsia="zh-CN" w:bidi="zh-TW"/>
        </w:rPr>
      </w:pPr>
      <w:bookmarkStart w:id="58" w:name="bookmark435"/>
      <w:bookmarkStart w:id="59" w:name="bookmark436"/>
      <w:bookmarkStart w:id="60" w:name="_Toc19329"/>
      <w:bookmarkStart w:id="61" w:name="_Toc30255"/>
      <w:r>
        <w:rPr>
          <w:rFonts w:hint="eastAsia" w:ascii="宋体" w:hAnsi="宋体" w:eastAsia="宋体" w:cs="宋体"/>
          <w:b/>
          <w:bCs/>
          <w:color w:val="000000"/>
          <w:kern w:val="2"/>
          <w:sz w:val="21"/>
          <w:szCs w:val="21"/>
          <w:lang w:val="zh-TW" w:eastAsia="zh-TW" w:bidi="zh-TW"/>
        </w:rPr>
        <w:t>4</w:t>
      </w:r>
      <w:bookmarkEnd w:id="58"/>
      <w:r>
        <w:rPr>
          <w:rFonts w:hint="eastAsia" w:ascii="宋体" w:hAnsi="宋体" w:eastAsia="宋体" w:cs="宋体"/>
          <w:b/>
          <w:bCs/>
          <w:color w:val="000000"/>
          <w:kern w:val="2"/>
          <w:sz w:val="21"/>
          <w:szCs w:val="21"/>
          <w:lang w:val="zh-TW" w:eastAsia="zh-TW"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合同</w:t>
      </w:r>
      <w:bookmarkEnd w:id="59"/>
      <w:r>
        <w:rPr>
          <w:rFonts w:hint="eastAsia" w:ascii="宋体" w:hAnsi="宋体" w:eastAsia="宋体" w:cs="宋体"/>
          <w:b/>
          <w:bCs/>
          <w:color w:val="000000"/>
          <w:kern w:val="2"/>
          <w:sz w:val="21"/>
          <w:szCs w:val="21"/>
          <w:lang w:val="en-US" w:eastAsia="zh-CN" w:bidi="zh-TW"/>
        </w:rPr>
        <w:t>验收</w:t>
      </w:r>
      <w:bookmarkEnd w:id="60"/>
      <w:bookmarkEnd w:id="61"/>
    </w:p>
    <w:p w14:paraId="31E761F0">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bookmarkStart w:id="62" w:name="bookmark440"/>
      <w:bookmarkStart w:id="63" w:name="bookmark437"/>
      <w:bookmarkStart w:id="64" w:name="bookmark439"/>
      <w:bookmarkStart w:id="65" w:name="bookmark438"/>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验收主体：</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 xml:space="preserve"> </w:t>
      </w:r>
    </w:p>
    <w:p w14:paraId="391CD1B3">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（2）验收方式：</w:t>
      </w:r>
      <w:r>
        <w:rPr>
          <w:rFonts w:hint="eastAsia" w:ascii="宋体" w:hAnsi="宋体" w:eastAsia="宋体" w:cs="宋体"/>
          <w:b w:val="0"/>
          <w:bCs w:val="0"/>
          <w:color w:val="000000"/>
          <w:kern w:val="2"/>
          <w:sz w:val="21"/>
          <w:szCs w:val="21"/>
          <w:u w:val="single"/>
          <w:lang w:val="en-US" w:eastAsia="zh-CN" w:bidi="zh-TW"/>
        </w:rPr>
        <w:t xml:space="preserve">                                </w:t>
      </w:r>
    </w:p>
    <w:p w14:paraId="20B81DBC">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（3）验收标准：</w:t>
      </w:r>
      <w:r>
        <w:rPr>
          <w:rFonts w:hint="eastAsia" w:ascii="宋体" w:hAnsi="宋体" w:eastAsia="宋体" w:cs="宋体"/>
          <w:b w:val="0"/>
          <w:bCs w:val="0"/>
          <w:color w:val="000000"/>
          <w:kern w:val="2"/>
          <w:sz w:val="21"/>
          <w:szCs w:val="21"/>
          <w:u w:val="single"/>
          <w:lang w:val="en-US" w:eastAsia="zh-CN" w:bidi="zh-TW"/>
        </w:rPr>
        <w:t xml:space="preserve">                                </w:t>
      </w:r>
      <w:bookmarkEnd w:id="62"/>
      <w:bookmarkEnd w:id="63"/>
      <w:bookmarkEnd w:id="64"/>
      <w:bookmarkEnd w:id="65"/>
    </w:p>
    <w:p w14:paraId="7B13DAA5">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66" w:name="_Toc4301"/>
      <w:bookmarkStart w:id="67" w:name="_Toc26220"/>
      <w:bookmarkStart w:id="68" w:name="bookmark446"/>
      <w:bookmarkStart w:id="69" w:name="bookmark445"/>
      <w:bookmarkStart w:id="70" w:name="bookmark450"/>
      <w:r>
        <w:rPr>
          <w:rFonts w:hint="eastAsia" w:ascii="宋体" w:hAnsi="宋体" w:eastAsia="宋体" w:cs="宋体"/>
          <w:b/>
          <w:bCs/>
          <w:color w:val="000000"/>
          <w:kern w:val="2"/>
          <w:sz w:val="21"/>
          <w:szCs w:val="21"/>
          <w:lang w:val="en-US" w:eastAsia="zh-CN" w:bidi="zh-TW"/>
        </w:rPr>
        <w:t>5</w:t>
      </w:r>
      <w:r>
        <w:rPr>
          <w:rFonts w:hint="eastAsia" w:ascii="宋体" w:hAnsi="宋体" w:eastAsia="宋体" w:cs="宋体"/>
          <w:b/>
          <w:bCs/>
          <w:color w:val="000000"/>
          <w:kern w:val="2"/>
          <w:sz w:val="21"/>
          <w:szCs w:val="21"/>
          <w:lang w:val="zh-TW" w:eastAsia="zh-TW"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解决合同纠纷方式</w:t>
      </w:r>
      <w:bookmarkEnd w:id="66"/>
      <w:bookmarkEnd w:id="67"/>
      <w:bookmarkEnd w:id="68"/>
      <w:bookmarkEnd w:id="69"/>
      <w:bookmarkEnd w:id="70"/>
    </w:p>
    <w:p w14:paraId="0BF269B9">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TW" w:bidi="zh-TW"/>
        </w:rPr>
        <w:t>首先通过双方协商解决，协商解决不成，则通过以下途径之一解决纠纷：</w:t>
      </w:r>
    </w:p>
    <w:p w14:paraId="1A3D5F92">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sym w:font="Wingdings" w:char="00A8"/>
      </w:r>
      <w:r>
        <w:rPr>
          <w:rFonts w:hint="eastAsia" w:ascii="宋体" w:hAnsi="宋体" w:eastAsia="宋体" w:cs="宋体"/>
          <w:color w:val="000000"/>
          <w:kern w:val="2"/>
          <w:sz w:val="21"/>
          <w:szCs w:val="21"/>
          <w:lang w:val="zh-TW" w:eastAsia="zh-CN" w:bidi="zh-TW"/>
        </w:rPr>
        <w:t>提请仲裁</w:t>
      </w:r>
      <w:r>
        <w:rPr>
          <w:rFonts w:hint="eastAsia" w:ascii="宋体" w:hAnsi="宋体" w:eastAsia="宋体" w:cs="宋体"/>
          <w:color w:val="000000"/>
          <w:kern w:val="2"/>
          <w:sz w:val="21"/>
          <w:szCs w:val="21"/>
          <w:lang w:val="en-US" w:eastAsia="zh-CN" w:bidi="zh-TW"/>
        </w:rPr>
        <w:t xml:space="preserve">             </w:t>
      </w:r>
      <w:r>
        <w:rPr>
          <w:rFonts w:hint="eastAsia" w:ascii="宋体" w:hAnsi="宋体" w:eastAsia="宋体" w:cs="宋体"/>
          <w:color w:val="000000"/>
          <w:kern w:val="2"/>
          <w:sz w:val="21"/>
          <w:szCs w:val="21"/>
          <w:lang w:val="en-US" w:eastAsia="zh-CN" w:bidi="zh-TW"/>
        </w:rPr>
        <w:sym w:font="Wingdings" w:char="00A8"/>
      </w:r>
      <w:r>
        <w:rPr>
          <w:rFonts w:hint="eastAsia" w:ascii="宋体" w:hAnsi="宋体" w:eastAsia="宋体" w:cs="宋体"/>
          <w:color w:val="000000"/>
          <w:kern w:val="2"/>
          <w:sz w:val="21"/>
          <w:szCs w:val="21"/>
          <w:lang w:val="en-US" w:eastAsia="zh-CN" w:bidi="zh-TW"/>
        </w:rPr>
        <w:t>向人民法院提起诉讼</w:t>
      </w:r>
    </w:p>
    <w:p w14:paraId="1AC82EBC">
      <w:pPr>
        <w:keepNext/>
        <w:keepLines/>
        <w:pageBreakBefore w:val="0"/>
        <w:widowControl w:val="0"/>
        <w:numPr>
          <w:ilvl w:val="0"/>
          <w:numId w:val="4"/>
        </w:numPr>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color w:val="000000"/>
          <w:kern w:val="2"/>
          <w:sz w:val="21"/>
          <w:szCs w:val="21"/>
          <w:lang w:val="zh-TW" w:eastAsia="zh-TW" w:bidi="zh-TW"/>
        </w:rPr>
      </w:pPr>
      <w:bookmarkStart w:id="71" w:name="_Toc17954"/>
      <w:bookmarkStart w:id="72" w:name="_Toc19251"/>
      <w:bookmarkStart w:id="73" w:name="bookmark451"/>
      <w:bookmarkStart w:id="74" w:name="bookmark452"/>
      <w:bookmarkStart w:id="75" w:name="bookmark454"/>
      <w:r>
        <w:rPr>
          <w:rFonts w:hint="eastAsia" w:ascii="宋体" w:hAnsi="宋体" w:eastAsia="宋体" w:cs="宋体"/>
          <w:b/>
          <w:bCs/>
          <w:color w:val="000000"/>
          <w:kern w:val="2"/>
          <w:sz w:val="21"/>
          <w:szCs w:val="21"/>
          <w:lang w:val="zh-TW" w:eastAsia="zh-TW" w:bidi="zh-TW"/>
        </w:rPr>
        <w:t>组成合同的文件</w:t>
      </w:r>
      <w:bookmarkEnd w:id="71"/>
      <w:bookmarkEnd w:id="72"/>
      <w:bookmarkEnd w:id="73"/>
      <w:bookmarkEnd w:id="74"/>
      <w:bookmarkEnd w:id="75"/>
    </w:p>
    <w:p w14:paraId="6FD2ABEB">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本协议与下列文件一起构成合同文件，如下述文件之间有任何抵触、矛盾或歧义，应按以下顺序解释：</w:t>
      </w:r>
    </w:p>
    <w:p w14:paraId="007AE468">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（1）在采购或合同履行过程中乙方作出的承诺以及及双方协商达成的变更或补充协议。</w:t>
      </w:r>
    </w:p>
    <w:p w14:paraId="7FBBD3F5">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本合同协议书</w:t>
      </w:r>
    </w:p>
    <w:p w14:paraId="77A730CC">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中标</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成交</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通知书</w:t>
      </w:r>
      <w:bookmarkStart w:id="76" w:name="bookmark455"/>
      <w:bookmarkEnd w:id="76"/>
    </w:p>
    <w:p w14:paraId="5E83A198">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4</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投标</w:t>
      </w:r>
      <w:r>
        <w:rPr>
          <w:rFonts w:hint="eastAsia" w:ascii="宋体" w:hAnsi="宋体" w:eastAsia="宋体" w:cs="宋体"/>
          <w:color w:val="000000"/>
          <w:kern w:val="2"/>
          <w:sz w:val="21"/>
          <w:szCs w:val="21"/>
          <w:lang w:val="en-US" w:eastAsia="zh-CN" w:bidi="zh-TW"/>
        </w:rPr>
        <w:t>文件</w:t>
      </w:r>
    </w:p>
    <w:p w14:paraId="7C05364B">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color w:val="000000"/>
          <w:kern w:val="2"/>
          <w:sz w:val="21"/>
          <w:szCs w:val="21"/>
          <w:lang w:val="zh-TW" w:eastAsia="zh-TW" w:bidi="zh-TW"/>
        </w:rPr>
      </w:pPr>
      <w:bookmarkStart w:id="77" w:name="bookmark456"/>
      <w:bookmarkEnd w:id="77"/>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5</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合同专用条款</w:t>
      </w:r>
      <w:bookmarkStart w:id="78" w:name="bookmark457"/>
      <w:bookmarkEnd w:id="78"/>
    </w:p>
    <w:p w14:paraId="2C8CD5C1">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6</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合同通用条款</w:t>
      </w:r>
    </w:p>
    <w:p w14:paraId="701ECCB2">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en-US" w:eastAsia="zh-CN" w:bidi="zh-TW"/>
        </w:rPr>
      </w:pPr>
      <w:bookmarkStart w:id="79" w:name="bookmark458"/>
      <w:bookmarkEnd w:id="79"/>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7</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标准、规范及有关技术文件</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图纸</w:t>
      </w:r>
    </w:p>
    <w:p w14:paraId="7B4D82BD">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b/>
          <w:bCs/>
          <w:color w:val="000000"/>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8</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其他合同文件</w:t>
      </w:r>
      <w:bookmarkStart w:id="80" w:name="_Toc1269"/>
      <w:bookmarkStart w:id="81" w:name="_Toc27406"/>
    </w:p>
    <w:p w14:paraId="1AA884A5">
      <w:pPr>
        <w:pageBreakBefore w:val="0"/>
        <w:widowControl w:val="0"/>
        <w:tabs>
          <w:tab w:val="left" w:pos="464"/>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bCs/>
          <w:color w:val="000000"/>
          <w:kern w:val="2"/>
          <w:sz w:val="21"/>
          <w:szCs w:val="21"/>
          <w:lang w:val="en-US" w:eastAsia="zh-CN" w:bidi="zh-TW"/>
        </w:rPr>
        <w:t>7</w:t>
      </w:r>
      <w:r>
        <w:rPr>
          <w:rFonts w:hint="eastAsia" w:ascii="宋体" w:hAnsi="宋体" w:eastAsia="宋体" w:cs="宋体"/>
          <w:b/>
          <w:bCs/>
          <w:color w:val="000000"/>
          <w:kern w:val="2"/>
          <w:sz w:val="21"/>
          <w:szCs w:val="21"/>
          <w:lang w:val="zh-TW" w:eastAsia="zh-TW" w:bidi="zh-TW"/>
        </w:rPr>
        <w:t>、合同生效</w:t>
      </w:r>
      <w:bookmarkEnd w:id="80"/>
      <w:bookmarkEnd w:id="81"/>
    </w:p>
    <w:p w14:paraId="4B996559">
      <w:pPr>
        <w:pageBreakBefore w:val="0"/>
        <w:widowControl w:val="0"/>
        <w:tabs>
          <w:tab w:val="left" w:pos="464"/>
        </w:tabs>
        <w:kinsoku/>
        <w:wordWrap/>
        <w:overflowPunct/>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 xml:space="preserve">本合同自 </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 xml:space="preserve"> 生效。</w:t>
      </w:r>
      <w:bookmarkStart w:id="82" w:name="bookmark466"/>
      <w:bookmarkStart w:id="83" w:name="bookmark464"/>
      <w:bookmarkStart w:id="84" w:name="_Toc28629"/>
      <w:bookmarkStart w:id="85" w:name="bookmark463"/>
      <w:bookmarkStart w:id="86" w:name="_Toc17854"/>
    </w:p>
    <w:p w14:paraId="35BB7971">
      <w:pPr>
        <w:keepNext/>
        <w:keepLines/>
        <w:pageBreakBefore w:val="0"/>
        <w:widowControl w:val="0"/>
        <w:tabs>
          <w:tab w:val="left" w:pos="469"/>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r>
        <w:rPr>
          <w:rFonts w:hint="eastAsia" w:ascii="宋体" w:hAnsi="宋体" w:eastAsia="宋体" w:cs="宋体"/>
          <w:b/>
          <w:bCs/>
          <w:color w:val="000000"/>
          <w:kern w:val="2"/>
          <w:sz w:val="21"/>
          <w:szCs w:val="21"/>
          <w:lang w:val="en-US" w:eastAsia="zh-CN" w:bidi="zh-TW"/>
        </w:rPr>
        <w:t>8</w:t>
      </w:r>
      <w:r>
        <w:rPr>
          <w:rFonts w:hint="eastAsia" w:ascii="宋体" w:hAnsi="宋体" w:eastAsia="宋体" w:cs="宋体"/>
          <w:b/>
          <w:bCs/>
          <w:color w:val="000000"/>
          <w:kern w:val="2"/>
          <w:sz w:val="21"/>
          <w:szCs w:val="21"/>
          <w:lang w:val="zh-TW" w:eastAsia="zh-TW" w:bidi="zh-TW"/>
        </w:rPr>
        <w:t>、合同份数</w:t>
      </w:r>
      <w:bookmarkEnd w:id="82"/>
      <w:bookmarkEnd w:id="83"/>
      <w:bookmarkEnd w:id="84"/>
      <w:bookmarkEnd w:id="85"/>
      <w:bookmarkEnd w:id="86"/>
    </w:p>
    <w:p w14:paraId="7030C7D4">
      <w:pPr>
        <w:pageBreakBefore w:val="0"/>
        <w:widowControl w:val="0"/>
        <w:tabs>
          <w:tab w:val="left" w:pos="493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本合同一式</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采购人</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供应商</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份，均具有同等法律效力。</w:t>
      </w:r>
    </w:p>
    <w:p w14:paraId="0483435D">
      <w:pPr>
        <w:pageBreakBefore w:val="0"/>
        <w:widowControl w:val="0"/>
        <w:tabs>
          <w:tab w:val="left" w:pos="2410"/>
          <w:tab w:val="left" w:pos="3250"/>
          <w:tab w:val="left" w:pos="409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合同订立时间：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月</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日</w:t>
      </w:r>
    </w:p>
    <w:p w14:paraId="160E5D18">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kern w:val="2"/>
          <w:sz w:val="21"/>
          <w:szCs w:val="21"/>
          <w:lang w:val="zh-TW" w:eastAsia="zh-TW" w:bidi="zh-TW"/>
        </w:rPr>
        <w:t>合同订立地点</w:t>
      </w:r>
      <w:r>
        <w:rPr>
          <w:rFonts w:hint="eastAsia" w:ascii="宋体" w:hAnsi="宋体" w:eastAsia="宋体" w:cs="宋体"/>
          <w:color w:val="000000"/>
          <w:kern w:val="2"/>
          <w:sz w:val="21"/>
          <w:szCs w:val="21"/>
          <w:lang w:val="zh-TW" w:eastAsia="zh-CN" w:bidi="zh-TW"/>
        </w:rPr>
        <w:t>：</w:t>
      </w:r>
    </w:p>
    <w:p w14:paraId="118651A6">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en-US" w:eastAsia="zh-CN" w:bidi="zh-TW"/>
        </w:rPr>
        <w:t>附件：具体标的明细、分包合同等。</w:t>
      </w:r>
    </w:p>
    <w:p w14:paraId="31AA0FBB">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kern w:val="2"/>
          <w:sz w:val="21"/>
          <w:szCs w:val="21"/>
          <w:lang w:val="zh-TW" w:eastAsia="zh-TW" w:bidi="zh-TW"/>
        </w:rPr>
        <w:t>甲      方：（公章）                     乙      方：（公章）</w:t>
      </w:r>
    </w:p>
    <w:p w14:paraId="068B87F7">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法定代表人：</w:t>
      </w:r>
      <w:r>
        <w:rPr>
          <w:rFonts w:hint="eastAsia" w:ascii="宋体" w:hAnsi="宋体" w:eastAsia="宋体" w:cs="宋体"/>
          <w:sz w:val="21"/>
          <w:szCs w:val="21"/>
          <w:u w:val="single"/>
        </w:rPr>
        <w:t xml:space="preserve">                   </w:t>
      </w:r>
    </w:p>
    <w:p w14:paraId="6C752598">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委托代理人：</w:t>
      </w:r>
      <w:r>
        <w:rPr>
          <w:rFonts w:hint="eastAsia" w:ascii="宋体" w:hAnsi="宋体" w:eastAsia="宋体" w:cs="宋体"/>
          <w:sz w:val="21"/>
          <w:szCs w:val="21"/>
          <w:u w:val="single"/>
        </w:rPr>
        <w:t xml:space="preserve">                   </w:t>
      </w:r>
    </w:p>
    <w:p w14:paraId="6329C4A3">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电      话：</w:t>
      </w:r>
      <w:r>
        <w:rPr>
          <w:rFonts w:hint="eastAsia" w:ascii="宋体" w:hAnsi="宋体" w:eastAsia="宋体" w:cs="宋体"/>
          <w:sz w:val="21"/>
          <w:szCs w:val="21"/>
          <w:u w:val="single"/>
        </w:rPr>
        <w:t xml:space="preserve">                   </w:t>
      </w:r>
    </w:p>
    <w:p w14:paraId="5AF29EE5">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传      真：</w:t>
      </w:r>
      <w:r>
        <w:rPr>
          <w:rFonts w:hint="eastAsia" w:ascii="宋体" w:hAnsi="宋体" w:eastAsia="宋体" w:cs="宋体"/>
          <w:sz w:val="21"/>
          <w:szCs w:val="21"/>
          <w:u w:val="single"/>
        </w:rPr>
        <w:t xml:space="preserve">                   </w:t>
      </w:r>
    </w:p>
    <w:p w14:paraId="768BF44E">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开 户 银 行：</w:t>
      </w:r>
      <w:r>
        <w:rPr>
          <w:rFonts w:hint="eastAsia" w:ascii="宋体" w:hAnsi="宋体" w:eastAsia="宋体" w:cs="宋体"/>
          <w:sz w:val="21"/>
          <w:szCs w:val="21"/>
          <w:u w:val="single"/>
        </w:rPr>
        <w:t xml:space="preserve">                   </w:t>
      </w:r>
    </w:p>
    <w:p w14:paraId="143C17B7">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帐       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3A98E079">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190CD983">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233E070D">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65ADCCBD">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6FCE658C">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7A243679">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462E15CE">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215BD90F">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672CEB1B">
      <w:pPr>
        <w:pStyle w:val="2"/>
        <w:rPr>
          <w:rFonts w:hint="eastAsia" w:ascii="宋体" w:hAnsi="宋体" w:eastAsia="宋体" w:cs="宋体"/>
          <w:sz w:val="21"/>
          <w:szCs w:val="21"/>
          <w:u w:val="single"/>
        </w:rPr>
      </w:pPr>
    </w:p>
    <w:p w14:paraId="1BF7EDC2">
      <w:pPr>
        <w:pStyle w:val="3"/>
        <w:rPr>
          <w:rFonts w:hint="eastAsia" w:ascii="宋体" w:hAnsi="宋体" w:eastAsia="宋体" w:cs="宋体"/>
          <w:sz w:val="21"/>
          <w:szCs w:val="21"/>
          <w:u w:val="single"/>
        </w:rPr>
      </w:pPr>
    </w:p>
    <w:p w14:paraId="4671491D">
      <w:pPr>
        <w:rPr>
          <w:rFonts w:hint="eastAsia" w:ascii="宋体" w:hAnsi="宋体" w:eastAsia="宋体" w:cs="宋体"/>
          <w:sz w:val="21"/>
          <w:szCs w:val="21"/>
          <w:u w:val="single"/>
        </w:rPr>
      </w:pPr>
    </w:p>
    <w:p w14:paraId="50D165B3">
      <w:pPr>
        <w:pStyle w:val="2"/>
        <w:rPr>
          <w:rFonts w:hint="eastAsia" w:ascii="宋体" w:hAnsi="宋体" w:eastAsia="宋体" w:cs="宋体"/>
          <w:sz w:val="21"/>
          <w:szCs w:val="21"/>
          <w:u w:val="single"/>
        </w:rPr>
      </w:pPr>
    </w:p>
    <w:p w14:paraId="0DCA8BC9">
      <w:pPr>
        <w:pStyle w:val="3"/>
        <w:rPr>
          <w:rFonts w:hint="eastAsia" w:ascii="宋体" w:hAnsi="宋体" w:eastAsia="宋体" w:cs="宋体"/>
          <w:sz w:val="21"/>
          <w:szCs w:val="21"/>
          <w:u w:val="single"/>
        </w:rPr>
      </w:pPr>
    </w:p>
    <w:p w14:paraId="6A228B11">
      <w:pPr>
        <w:rPr>
          <w:rFonts w:hint="eastAsia" w:ascii="宋体" w:hAnsi="宋体" w:eastAsia="宋体" w:cs="宋体"/>
          <w:sz w:val="21"/>
          <w:szCs w:val="21"/>
          <w:u w:val="single"/>
        </w:rPr>
      </w:pPr>
    </w:p>
    <w:p w14:paraId="5A8FAF9E">
      <w:pPr>
        <w:pStyle w:val="2"/>
        <w:rPr>
          <w:rFonts w:hint="eastAsia" w:ascii="宋体" w:hAnsi="宋体" w:eastAsia="宋体" w:cs="宋体"/>
          <w:sz w:val="21"/>
          <w:szCs w:val="21"/>
          <w:u w:val="single"/>
        </w:rPr>
      </w:pPr>
    </w:p>
    <w:p w14:paraId="7809A346">
      <w:pPr>
        <w:pStyle w:val="3"/>
        <w:rPr>
          <w:rFonts w:hint="eastAsia" w:ascii="宋体" w:hAnsi="宋体" w:eastAsia="宋体" w:cs="宋体"/>
          <w:sz w:val="21"/>
          <w:szCs w:val="21"/>
          <w:u w:val="single"/>
        </w:rPr>
      </w:pPr>
    </w:p>
    <w:p w14:paraId="3DF44930">
      <w:pPr>
        <w:rPr>
          <w:rFonts w:hint="eastAsia" w:ascii="宋体" w:hAnsi="宋体" w:eastAsia="宋体" w:cs="宋体"/>
          <w:sz w:val="21"/>
          <w:szCs w:val="21"/>
          <w:u w:val="single"/>
        </w:rPr>
      </w:pPr>
    </w:p>
    <w:p w14:paraId="782C8FF3">
      <w:pPr>
        <w:pStyle w:val="2"/>
        <w:rPr>
          <w:rFonts w:hint="eastAsia" w:ascii="宋体" w:hAnsi="宋体" w:eastAsia="宋体" w:cs="宋体"/>
          <w:sz w:val="21"/>
          <w:szCs w:val="21"/>
          <w:u w:val="single"/>
        </w:rPr>
      </w:pPr>
    </w:p>
    <w:p w14:paraId="7DC7740D">
      <w:pPr>
        <w:pStyle w:val="3"/>
        <w:rPr>
          <w:rFonts w:hint="eastAsia" w:ascii="宋体" w:hAnsi="宋体" w:eastAsia="宋体" w:cs="宋体"/>
          <w:sz w:val="21"/>
          <w:szCs w:val="21"/>
          <w:u w:val="single"/>
        </w:rPr>
      </w:pPr>
    </w:p>
    <w:p w14:paraId="7B1DF0FC">
      <w:pPr>
        <w:rPr>
          <w:rFonts w:hint="eastAsia" w:ascii="宋体" w:hAnsi="宋体" w:eastAsia="宋体" w:cs="宋体"/>
          <w:sz w:val="21"/>
          <w:szCs w:val="21"/>
          <w:u w:val="single"/>
        </w:rPr>
      </w:pPr>
    </w:p>
    <w:p w14:paraId="63073EAE">
      <w:pPr>
        <w:pStyle w:val="2"/>
        <w:rPr>
          <w:rFonts w:hint="eastAsia" w:ascii="宋体" w:hAnsi="宋体" w:eastAsia="宋体" w:cs="宋体"/>
          <w:sz w:val="21"/>
          <w:szCs w:val="21"/>
          <w:u w:val="single"/>
        </w:rPr>
      </w:pPr>
    </w:p>
    <w:p w14:paraId="28E0AF72">
      <w:pPr>
        <w:pStyle w:val="3"/>
        <w:rPr>
          <w:rFonts w:hint="eastAsia" w:ascii="宋体" w:hAnsi="宋体" w:eastAsia="宋体" w:cs="宋体"/>
          <w:sz w:val="21"/>
          <w:szCs w:val="21"/>
          <w:u w:val="single"/>
        </w:rPr>
      </w:pPr>
    </w:p>
    <w:p w14:paraId="53D1666C">
      <w:pPr>
        <w:rPr>
          <w:rFonts w:hint="eastAsia"/>
        </w:rPr>
      </w:pPr>
    </w:p>
    <w:p w14:paraId="750D0C59">
      <w:pPr>
        <w:pStyle w:val="5"/>
        <w:bidi w:val="0"/>
        <w:jc w:val="center"/>
        <w:rPr>
          <w:rFonts w:hint="eastAsia"/>
        </w:rPr>
      </w:pPr>
      <w:r>
        <w:rPr>
          <w:rFonts w:hint="eastAsia"/>
        </w:rPr>
        <w:t>第二节 政府采购合同通用条款</w:t>
      </w:r>
      <w:bookmarkEnd w:id="37"/>
      <w:bookmarkEnd w:id="38"/>
      <w:bookmarkEnd w:id="39"/>
    </w:p>
    <w:p w14:paraId="1735B22D">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1.</w:t>
      </w:r>
      <w:r>
        <w:rPr>
          <w:rFonts w:hint="eastAsia" w:ascii="宋体" w:hAnsi="宋体" w:eastAsia="宋体" w:cs="宋体"/>
          <w:b/>
          <w:bCs/>
          <w:color w:val="000000"/>
          <w:sz w:val="21"/>
          <w:szCs w:val="21"/>
          <w:highlight w:val="none"/>
        </w:rPr>
        <w:t>定义</w:t>
      </w:r>
    </w:p>
    <w:p w14:paraId="74AD8FB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1.1合同当事人</w:t>
      </w:r>
    </w:p>
    <w:p w14:paraId="0B34C52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color w:val="000000"/>
          <w:sz w:val="21"/>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color w:val="000000"/>
          <w:sz w:val="21"/>
          <w:szCs w:val="21"/>
          <w:highlight w:val="none"/>
        </w:rPr>
        <w:t>【政府采购合同专用条款】。</w:t>
      </w:r>
    </w:p>
    <w:p w14:paraId="00F4E0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（2）供应商（以下称乙方）是指参加政府采购活动而取得中标结果，并向采购人提供货物、服务的法人、其他组织或者自然人。</w:t>
      </w:r>
    </w:p>
    <w:p w14:paraId="58D5FFDD">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1.2本合同下列术语应解释为：</w:t>
      </w:r>
    </w:p>
    <w:p w14:paraId="744ECC73">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（1）“合同”系指甲乙双方签署的、政府采购合同协议书中载明的甲乙双方所达成的协议，包括所有的附件、附录和上述文件所提到的构成合同的所有文件。</w:t>
      </w:r>
    </w:p>
    <w:p w14:paraId="34A0799E">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（2）“合同价”系指根据本合同规定乙方在正确地完全履行合同义务后甲方应支付给乙方的价款。</w:t>
      </w:r>
    </w:p>
    <w:p w14:paraId="77829616">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（3）“货物”系指乙方根据本合同规定须向甲方提供的各种形态和种类的物品，包括原材料、设备、产品（包括软件）及相关的其备品备件、工具、手册及其它技术资料和材料。</w:t>
      </w:r>
    </w:p>
    <w:p w14:paraId="431BA9BF">
      <w:pPr>
        <w:pageBreakBefore w:val="0"/>
        <w:tabs>
          <w:tab w:val="left" w:pos="570"/>
          <w:tab w:val="left" w:pos="888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6C0960D7">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（5）“合同条款”系指本合同条款。</w:t>
      </w:r>
    </w:p>
    <w:p w14:paraId="6F9CA422">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（6）“项目现场”系指本合同项下货物安装、运行的现场，其名称见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3641D4B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2.合同的适用范围</w:t>
      </w:r>
    </w:p>
    <w:p w14:paraId="65220D2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 本合同条款适用于没有被本合同其他部分的条款所取代的范围。</w:t>
      </w:r>
    </w:p>
    <w:p w14:paraId="7B2F280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 合同内容根据招标文件、投标文件而确定。</w:t>
      </w:r>
    </w:p>
    <w:p w14:paraId="6B7622A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sz w:val="21"/>
          <w:szCs w:val="21"/>
          <w:highlight w:val="none"/>
        </w:rPr>
        <w:t>合同标的及金额</w:t>
      </w:r>
    </w:p>
    <w:p w14:paraId="6EF52BF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 合同标的及金额应与中标结果一致。</w:t>
      </w:r>
    </w:p>
    <w:p w14:paraId="4C57316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w:t>
      </w:r>
      <w:r>
        <w:rPr>
          <w:rFonts w:hint="eastAsia" w:ascii="宋体" w:hAnsi="宋体" w:eastAsia="宋体" w:cs="宋体"/>
          <w:b/>
          <w:sz w:val="21"/>
          <w:szCs w:val="21"/>
          <w:highlight w:val="none"/>
        </w:rPr>
        <w:t>合同价款</w:t>
      </w:r>
    </w:p>
    <w:p w14:paraId="69C8E90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bCs/>
          <w:i/>
          <w:iCs/>
          <w:sz w:val="21"/>
          <w:szCs w:val="21"/>
          <w:highlight w:val="none"/>
        </w:rPr>
      </w:pPr>
      <w:r>
        <w:rPr>
          <w:rFonts w:hint="eastAsia" w:ascii="宋体" w:hAnsi="宋体" w:eastAsia="宋体" w:cs="宋体"/>
          <w:sz w:val="21"/>
          <w:szCs w:val="21"/>
          <w:highlight w:val="none"/>
        </w:rPr>
        <w:t>4.1具体合同价款见本合同第3.1条。乙方为履行本合同而发生的所有费用均应包含在合同价款中，甲方不再另行支付其它任何费用。</w:t>
      </w:r>
    </w:p>
    <w:p w14:paraId="7DA79586">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5.履行合同的时间、地点和方式</w:t>
      </w:r>
    </w:p>
    <w:p w14:paraId="34DC3AB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5.1 乙方应当在甲方确定的时间、指定的地点履行合同，具体的交货时间、地点和方式见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492C21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5.2 乙方提供服务的应当在甲方指定的地点完成服务项目。</w:t>
      </w:r>
    </w:p>
    <w:p w14:paraId="013B9B3D">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r>
        <w:rPr>
          <w:rFonts w:hint="eastAsia" w:ascii="宋体" w:hAnsi="宋体" w:eastAsia="宋体" w:cs="宋体"/>
          <w:b/>
          <w:sz w:val="21"/>
          <w:szCs w:val="21"/>
          <w:highlight w:val="none"/>
        </w:rPr>
        <w:t>货物的验收</w:t>
      </w:r>
    </w:p>
    <w:p w14:paraId="2B3AD50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6.1 甲方在收到乙方交付的货物后应当及时组织验收。</w:t>
      </w:r>
    </w:p>
    <w:p w14:paraId="78BAE07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6.2 货物的表面瑕疵，甲方应在验收时当面提出；对质量问题有异议的应在安装调试后十个工作日内提出。</w:t>
      </w:r>
    </w:p>
    <w:p w14:paraId="776B3A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6.3 在验收过程中发现数量不足或有质量、技术等问题，乙方应负责按照甲方的要求采取补足、更换或退货等处理措施，并承担由此发生的一切费用和损失。</w:t>
      </w:r>
    </w:p>
    <w:p w14:paraId="7047133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6.4 甲方在乙方按合同规定交货或安装、调试后，无正当理由而拖延接收、验收或拒绝接收、验收的，应承担因此给乙方造成的直接损失。</w:t>
      </w:r>
    </w:p>
    <w:p w14:paraId="00D83DF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6.5 甲方对货物进行检查验收合格后，应当收取发票并在《交货验收单》上签署验收意见及加盖单位印章。</w:t>
      </w:r>
    </w:p>
    <w:p w14:paraId="7CA66D2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6.6 大型或者复杂的货物采购项目，甲方可以邀请国家认可的质量检测机构参加验收工作，并由其出具验收报告单。</w:t>
      </w:r>
    </w:p>
    <w:p w14:paraId="0534CB0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sz w:val="21"/>
          <w:szCs w:val="21"/>
          <w:highlight w:val="none"/>
        </w:rPr>
        <w:t>6.7 乙方提供的进口产品，乙方应出示中华人民共和国进出口商品检验部门出具的检验证书（招标文件第五章采购需求另有约定的除外）。</w:t>
      </w:r>
    </w:p>
    <w:p w14:paraId="650BDD5C">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7.货物包装要求</w:t>
      </w:r>
    </w:p>
    <w:p w14:paraId="5CC1D82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954A6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7.2 每一个包装箱内应附一份详细装箱单、质量证书和保修保养证书。</w:t>
      </w:r>
    </w:p>
    <w:p w14:paraId="2816A781">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8.运输和保险</w:t>
      </w:r>
    </w:p>
    <w:p w14:paraId="4B7B1EF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8.1乙方负责办理将货物运抵本合同第5.1条规定的交货地点的一切运输事项，相关费用应包括在合同总价中。</w:t>
      </w:r>
    </w:p>
    <w:p w14:paraId="4C94370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8.2乙方应向保险公司投保以甲方为受益人的发运合同货物发票金额的</w:t>
      </w: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0％运输一切险。</w:t>
      </w:r>
    </w:p>
    <w:p w14:paraId="4D09EC6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9.质量标准和保证</w:t>
      </w:r>
    </w:p>
    <w:p w14:paraId="65FDA03B">
      <w:pPr>
        <w:pStyle w:val="24"/>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9.1 质量标准</w:t>
      </w:r>
    </w:p>
    <w:p w14:paraId="46783BB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（1）本合同下交付的货物应符合招标文件第四章“技术规格、参数与要求”所述的标准。如果没有提及适用标准，则应符合中华人民共和国有关机构发布的最新版本的标准。</w:t>
      </w:r>
    </w:p>
    <w:p w14:paraId="7897A709">
      <w:pPr>
        <w:pStyle w:val="24"/>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（2）采用中华人民共和国法定计量单位。</w:t>
      </w:r>
    </w:p>
    <w:p w14:paraId="0ED0ECF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（3）乙方所出售的货物还应符合国家有关安全、环保、卫生之规定。</w:t>
      </w:r>
    </w:p>
    <w:p w14:paraId="16986E5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9.2 保证</w:t>
      </w:r>
    </w:p>
    <w:p w14:paraId="5E7AA44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规定或乙方承诺（两者以较长的为准）的质量保证期内，本保证保持有效。</w:t>
      </w:r>
    </w:p>
    <w:p w14:paraId="3AEB208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（2）在质量保证期内所发现的缺陷，甲方应尽快以书面形式通知乙方。</w:t>
      </w:r>
    </w:p>
    <w:p w14:paraId="2C641CA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（3）乙方收到通知后应在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规定的响应时间内以合理的速度免费维修或更换有缺陷的货物或部件。</w:t>
      </w:r>
    </w:p>
    <w:p w14:paraId="3AF55C5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0D71996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（5）乙方在约定的时间内未能弥补缺陷，甲方可采取必要的补救措施，但其风险和费用将由乙方承担，甲方根据合同规定对乙方行使的其他权利不受影响。</w:t>
      </w:r>
    </w:p>
    <w:p w14:paraId="7DC9775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10.权利瑕疵担保</w:t>
      </w:r>
    </w:p>
    <w:p w14:paraId="3339FBF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10.1 乙方保证对其出售的货物享有合法的权利。</w:t>
      </w:r>
    </w:p>
    <w:p w14:paraId="5A8BBE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10.2 乙方保证在其出售的货物上不存在任何未曾向甲方透露的担保物权，如抵押权、质押权、留置权等。</w:t>
      </w:r>
    </w:p>
    <w:p w14:paraId="1886C2A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10.3 如甲方使用该货物构成上述侵权的，则由乙方承担全部责任。</w:t>
      </w:r>
    </w:p>
    <w:p w14:paraId="6C11BA5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10</w:t>
      </w:r>
      <w:r>
        <w:rPr>
          <w:rFonts w:hint="eastAsia" w:ascii="宋体" w:hAnsi="宋体" w:eastAsia="宋体" w:cs="宋体"/>
          <w:b/>
          <w:bCs/>
          <w:sz w:val="21"/>
          <w:szCs w:val="21"/>
          <w:highlight w:val="none"/>
        </w:rPr>
        <w:t>.知识产权保护</w:t>
      </w:r>
    </w:p>
    <w:p w14:paraId="2BFDBD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.1 乙方对其所销售的货物应当享有知识产权或经权利人合法授权，保证没有侵犯任何第三人的知识产权和商业秘密等权利。</w:t>
      </w:r>
    </w:p>
    <w:p w14:paraId="5167BD9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.2 甲方使用乙方提供的货物对第三人构成侵权的，应当由乙方承担全部法律责任，给甲方造成损害的，乙方应当承担赔偿责任。</w:t>
      </w:r>
    </w:p>
    <w:p w14:paraId="3D5D30A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.3 甲方委托乙方开发的产品，甲方享有知识产权，未经甲方许可不得转让任何第三人。</w:t>
      </w:r>
    </w:p>
    <w:p w14:paraId="3938ADD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12.保密义务</w:t>
      </w:r>
    </w:p>
    <w:p w14:paraId="6D30217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 甲、乙双方在采购和履行合同过程中所获悉的对方属于保密的内容，双方均有保密义务。</w:t>
      </w:r>
    </w:p>
    <w:p w14:paraId="0ABBFB5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13.合同价款支付</w:t>
      </w:r>
    </w:p>
    <w:p w14:paraId="48C0FD2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13.1验收合格后，乙方出具正规发票给甲方，凭甲方开具的《政府采购合同验收报告单》办理合同价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结算手续。</w:t>
      </w:r>
    </w:p>
    <w:p w14:paraId="2265A1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13.2 合同价款构成中应当由财政支付的部分，甲方应当在货物验收合格后的十五个工作日内向国库管理部门申请支付，经国库管理部门审核后直接支付给乙方。</w:t>
      </w:r>
    </w:p>
    <w:p w14:paraId="6199EE6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13.3 合同价款构成中应当由甲方自行支付的部分，甲方应当在货物验收合格后十五个工作内支付。</w:t>
      </w:r>
    </w:p>
    <w:p w14:paraId="5C6230D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13.4支付合同价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08746D5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13.5 合同价款支付方式</w:t>
      </w:r>
      <w:r>
        <w:rPr>
          <w:rFonts w:hint="eastAsia" w:ascii="宋体" w:hAnsi="宋体" w:eastAsia="宋体" w:cs="宋体"/>
          <w:bCs/>
          <w:sz w:val="21"/>
          <w:szCs w:val="21"/>
          <w:highlight w:val="none"/>
        </w:rPr>
        <w:t>和条件在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中另有规定。</w:t>
      </w:r>
    </w:p>
    <w:p w14:paraId="003F7A1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14.</w:t>
      </w:r>
      <w:r>
        <w:rPr>
          <w:rFonts w:hint="eastAsia" w:ascii="宋体" w:hAnsi="宋体" w:eastAsia="宋体" w:cs="宋体"/>
          <w:b/>
          <w:sz w:val="21"/>
          <w:szCs w:val="21"/>
          <w:highlight w:val="none"/>
        </w:rPr>
        <w:t>乙方应提供的服务</w:t>
      </w:r>
    </w:p>
    <w:p w14:paraId="406DD3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14.1 乙方应向甲方提交所提供货物的技术文件，包括相应的中文技术文件，如：产品目录、图纸、操作手册、使用说明、维护手册或服务指南。这些文件应包装好随同货物一起发运。</w:t>
      </w:r>
    </w:p>
    <w:p w14:paraId="5F09646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14.2 乙方还应提供下列服务：</w:t>
      </w:r>
    </w:p>
    <w:p w14:paraId="541E341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（1）货物的现场移动、安装、调试、启动监督及技术支持；</w:t>
      </w:r>
    </w:p>
    <w:p w14:paraId="360CB5B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（2）提供货物组装和维修所需的专用工具和辅助材料；</w:t>
      </w:r>
    </w:p>
    <w:p w14:paraId="55CC615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（3）在合同各方商定的一定期限内对所有的货物实施运行监督、维修，但前提条件是该服务并不能免除乙方在质量保证期内所承担的义务；</w:t>
      </w:r>
    </w:p>
    <w:p w14:paraId="046EB3D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（4）在制造商或项目现场就货物的安装、启动、运营、维护对甲方操作人员进行培训；</w:t>
      </w:r>
    </w:p>
    <w:p w14:paraId="7EF8B2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规定由乙方提供的其他服务。</w:t>
      </w:r>
    </w:p>
    <w:p w14:paraId="02F28CC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14.3 乙方提供的服务的费用应包含在合同价款中，甲方不再另行支付。</w:t>
      </w:r>
    </w:p>
    <w:p w14:paraId="6420033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15.违约责任</w:t>
      </w:r>
    </w:p>
    <w:p w14:paraId="7202646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15.1质量瑕疵的补救措施和索赔</w:t>
      </w:r>
    </w:p>
    <w:p w14:paraId="56B460A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24C3BD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①乙方同意退货并将货款退还给甲方，由此发生的一切费用和损失由乙方承担。</w:t>
      </w:r>
    </w:p>
    <w:p w14:paraId="7A12B67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②根据货物的质量状况以及甲方所遭受的损失，经过甲乙双方商定降低货物的价格。</w:t>
      </w:r>
    </w:p>
    <w:p w14:paraId="368387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F25902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549743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15.2 迟延交货的违约责任</w:t>
      </w:r>
    </w:p>
    <w:p w14:paraId="009774B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5A448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（2）除本合同</w:t>
      </w:r>
      <w:r>
        <w:rPr>
          <w:rFonts w:hint="eastAsia" w:ascii="宋体" w:hAnsi="宋体" w:eastAsia="宋体" w:cs="宋体"/>
          <w:bCs/>
          <w:sz w:val="21"/>
          <w:szCs w:val="21"/>
          <w:highlight w:val="none"/>
        </w:rPr>
        <w:t>第20条</w:t>
      </w:r>
      <w:r>
        <w:rPr>
          <w:rFonts w:hint="eastAsia" w:ascii="宋体" w:hAnsi="宋体" w:eastAsia="宋体" w:cs="宋体"/>
          <w:sz w:val="21"/>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0DFA3D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54A2817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16.合同的变更</w:t>
      </w:r>
    </w:p>
    <w:p w14:paraId="51B9A01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16.1 在合同履行过程中，甲、乙双方可就合同履行的时间、地点和方式等协商进行变更。协商一致后，双方应签订书面的补充协议。</w:t>
      </w:r>
    </w:p>
    <w:p w14:paraId="78A73B4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16.2 在不改变合同其他条款的前提下，甲方有权在合同价款百分之十的范围内追加与合同标的相同的货物或服务，并就此与乙方签订补充合同，乙方不得拒绝。</w:t>
      </w:r>
    </w:p>
    <w:p w14:paraId="4E45803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16.3 除双方签署书面协议，并成为合同不可分割的一部分外，本合同条件不得有任何变更。</w:t>
      </w:r>
    </w:p>
    <w:p w14:paraId="3AE88E2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17.合同中止与终止</w:t>
      </w:r>
    </w:p>
    <w:p w14:paraId="4641E9F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17.1合同的中止</w:t>
      </w:r>
    </w:p>
    <w:p w14:paraId="7E6D132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（1）合同在履行过程中，因采购计划调整，甲方可以要求中止履行，待计划确定后继续履行；</w:t>
      </w:r>
    </w:p>
    <w:p w14:paraId="4D0EB7F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（2）合同履行过程中因供应商就采购过程或结果提起投诉的，甲方认为有必要或财政部门责令中止的，应当中止合同的履行。</w:t>
      </w:r>
    </w:p>
    <w:p w14:paraId="7CA68B20">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17.2合同的终止</w:t>
      </w:r>
    </w:p>
    <w:p w14:paraId="41FF01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（1）合同因有效期限届满而终止；</w:t>
      </w:r>
    </w:p>
    <w:p w14:paraId="70B8DCE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（2）乙方未能依照本合同约定条件履行合同，已构成根本性违约的，甲方有权终止本合同，并追究乙方的违约责任。</w:t>
      </w:r>
    </w:p>
    <w:p w14:paraId="6825AE7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（3）如果乙方丧失履约能力或被宣告破产，甲方可在任何时候以书面形式通知乙方终止合同而不给乙方补偿。</w:t>
      </w:r>
    </w:p>
    <w:p w14:paraId="78FFEB4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（4）如果乙方在履行合同过程中有不正当竞争行为，甲方有权解除合同，并按《中华人民共和国反不正当竞争法》规定由有关部门追究其法律责任。</w:t>
      </w:r>
    </w:p>
    <w:p w14:paraId="217602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（5）如果合同的履行将损害国家利益或社会公共利益，甲方有权终止合同的履行，给乙方造成损失的予以相应补偿。</w:t>
      </w:r>
    </w:p>
    <w:p w14:paraId="45F12C8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18.合同转让和分包</w:t>
      </w:r>
    </w:p>
    <w:p w14:paraId="0D9AFE5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18.1 乙方不得以任何形式将合同转包。</w:t>
      </w:r>
    </w:p>
    <w:p w14:paraId="2E50E1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18.2 乙方未在投标文件中说明，不得将</w:t>
      </w:r>
      <w:r>
        <w:rPr>
          <w:rFonts w:hint="eastAsia" w:ascii="宋体" w:hAnsi="宋体" w:eastAsia="宋体" w:cs="宋体"/>
          <w:bCs/>
          <w:sz w:val="21"/>
          <w:szCs w:val="21"/>
          <w:highlight w:val="none"/>
        </w:rPr>
        <w:t>合同</w:t>
      </w:r>
      <w:r>
        <w:rPr>
          <w:rFonts w:hint="eastAsia" w:ascii="宋体" w:hAnsi="宋体" w:eastAsia="宋体" w:cs="宋体"/>
          <w:sz w:val="21"/>
          <w:szCs w:val="21"/>
          <w:highlight w:val="none"/>
        </w:rPr>
        <w:t>的非主体、非关键性工作分包给他人。</w:t>
      </w:r>
    </w:p>
    <w:p w14:paraId="24504F1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19.不可抗力</w:t>
      </w:r>
    </w:p>
    <w:p w14:paraId="457962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19.1 不可抗力是指合同双方不可预见、不可避免、不可克服的自然灾害和社会事件。</w:t>
      </w:r>
    </w:p>
    <w:p w14:paraId="52C444E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19.2 任何一方对由于不可抗力造成的部分或全部不能履行合同不承担违约责任。但迟延履行后发生不可抗力的，不能免除责任。</w:t>
      </w:r>
    </w:p>
    <w:p w14:paraId="20222FC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19.3 遇有不可抗力的一方，应在三日内将事件的情况以书面形式通知另一方，并在事件发生后十日内，向另一方提交合同不能履行或部分不能履行或需要延期履行理由的报告。</w:t>
      </w:r>
    </w:p>
    <w:p w14:paraId="7930B11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20.解决争议的方法</w:t>
      </w:r>
    </w:p>
    <w:p w14:paraId="7883C2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20.1 合同各方应通过友好协商，解决在执行合同过程中所发生的或与合同有关的一切争端。如从协商开始后十日内仍不能解决，可以向财政部门提请调解。</w:t>
      </w:r>
    </w:p>
    <w:p w14:paraId="6F820BE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20.2 调解不成可以按</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中约定中规定下列方式之一提起仲裁或诉讼：</w:t>
      </w:r>
    </w:p>
    <w:p w14:paraId="15FC6B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（1）向甲方所在地仲裁机构提起仲裁；</w:t>
      </w:r>
    </w:p>
    <w:p w14:paraId="0F84400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（2）向甲方所在地人民法院提起诉讼。</w:t>
      </w:r>
    </w:p>
    <w:p w14:paraId="25E0EE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20.3 如仲裁或诉讼事项不影响合同其它部分的履行，则在仲裁或诉讼期间，除正在进行仲裁或诉讼的部分外，合同的其它部分应继续执行。</w:t>
      </w:r>
    </w:p>
    <w:p w14:paraId="79D17929">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21.法律适用</w:t>
      </w:r>
    </w:p>
    <w:p w14:paraId="2C50FA4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 本合同适用中华人民共和国现行法律、行政法规和规章，如合同条款与法律、行政法规和规章不一致的，按照法律、行政法规和规章修改本合同。</w:t>
      </w:r>
    </w:p>
    <w:p w14:paraId="03EF590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22.</w:t>
      </w:r>
      <w:r>
        <w:rPr>
          <w:rFonts w:hint="eastAsia" w:ascii="宋体" w:hAnsi="宋体" w:eastAsia="宋体" w:cs="宋体"/>
          <w:b/>
          <w:sz w:val="21"/>
          <w:szCs w:val="21"/>
          <w:highlight w:val="none"/>
        </w:rPr>
        <w:t>通知</w:t>
      </w:r>
    </w:p>
    <w:p w14:paraId="0863F50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22.1本合同一方给另一方的通知均应采用书面形式，传真或快递送到本合同中规定的对方的地址和办理签收手续，</w:t>
      </w:r>
    </w:p>
    <w:p w14:paraId="2AE56CA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22.2通知以送到之日或通知书中规定的生效之日起生效，两者中以较迟之日为准。</w:t>
      </w:r>
    </w:p>
    <w:p w14:paraId="39EFC9B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23. 合同未尽事项</w:t>
      </w:r>
    </w:p>
    <w:p w14:paraId="4190433C">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23.1合同未尽事项见</w:t>
      </w:r>
      <w:r>
        <w:rPr>
          <w:rFonts w:hint="eastAsia" w:ascii="宋体" w:hAnsi="宋体" w:eastAsia="宋体" w:cs="宋体"/>
          <w:b/>
          <w:sz w:val="21"/>
          <w:szCs w:val="21"/>
          <w:highlight w:val="none"/>
        </w:rPr>
        <w:t>【政府采购合同专用条款】。</w:t>
      </w:r>
    </w:p>
    <w:p w14:paraId="6711990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24.合同生效</w:t>
      </w:r>
    </w:p>
    <w:p w14:paraId="7B8011CC">
      <w:pPr>
        <w:pageBreakBefore w:val="0"/>
        <w:kinsoku/>
        <w:wordWrap/>
        <w:overflowPunct/>
        <w:topLinePunct w:val="0"/>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24.1 本合同在合同双方签字盖章后生效。</w:t>
      </w:r>
    </w:p>
    <w:p w14:paraId="0F8EBE4D">
      <w:pPr>
        <w:pStyle w:val="19"/>
        <w:rPr>
          <w:rFonts w:hint="eastAsia" w:ascii="宋体" w:hAnsi="宋体" w:eastAsia="宋体" w:cs="宋体"/>
          <w:sz w:val="21"/>
          <w:szCs w:val="21"/>
          <w:highlight w:val="none"/>
        </w:rPr>
      </w:pPr>
    </w:p>
    <w:p w14:paraId="48536487">
      <w:pPr>
        <w:pStyle w:val="21"/>
        <w:rPr>
          <w:rFonts w:hint="eastAsia" w:ascii="宋体" w:hAnsi="宋体" w:eastAsia="宋体" w:cs="宋体"/>
          <w:sz w:val="21"/>
          <w:szCs w:val="21"/>
          <w:highlight w:val="none"/>
        </w:rPr>
      </w:pPr>
    </w:p>
    <w:p w14:paraId="700F1D11">
      <w:pPr>
        <w:pStyle w:val="5"/>
        <w:pageBreakBefore w:val="0"/>
        <w:widowControl/>
        <w:kinsoku/>
        <w:wordWrap/>
        <w:overflowPunct/>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第三节</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政府采购合同专用条款（服务类）</w:t>
      </w:r>
    </w:p>
    <w:p w14:paraId="6B305ABA">
      <w:pPr>
        <w:pageBreakBefore w:val="0"/>
        <w:kinsoku/>
        <w:wordWrap/>
        <w:overflowPunct/>
        <w:bidi w:val="0"/>
        <w:spacing w:line="360" w:lineRule="auto"/>
        <w:ind w:firstLine="420" w:firstLineChars="200"/>
        <w:textAlignment w:val="auto"/>
        <w:rPr>
          <w:rFonts w:hint="eastAsia" w:ascii="宋体" w:hAnsi="宋体" w:eastAsia="宋体" w:cs="宋体"/>
          <w:kern w:val="22"/>
          <w:position w:val="-2"/>
          <w:sz w:val="21"/>
          <w:szCs w:val="21"/>
        </w:rPr>
      </w:pPr>
      <w:r>
        <w:rPr>
          <w:rFonts w:hint="eastAsia" w:ascii="宋体" w:hAnsi="宋体" w:eastAsia="宋体" w:cs="宋体"/>
          <w:sz w:val="21"/>
          <w:szCs w:val="21"/>
        </w:rPr>
        <w:t>服务类政府采购合同专用条款参照（服务类）专用条款的格式和相关内容，根据项目的实际情况，按照服务内容、服务要求、委托经营期限限、服务流程、考核方式等内容进行编制。</w:t>
      </w:r>
    </w:p>
    <w:p w14:paraId="16A4700F">
      <w:pPr>
        <w:pStyle w:val="35"/>
        <w:pageBreakBefore w:val="0"/>
        <w:widowControl/>
        <w:kinsoku/>
        <w:wordWrap/>
        <w:overflowPunct/>
        <w:bidi w:val="0"/>
        <w:spacing w:line="360" w:lineRule="auto"/>
        <w:ind w:firstLine="420"/>
        <w:jc w:val="left"/>
        <w:textAlignment w:val="auto"/>
        <w:rPr>
          <w:rFonts w:hint="eastAsia" w:ascii="宋体" w:hAnsi="宋体" w:eastAsia="宋体" w:cs="宋体"/>
          <w:b/>
          <w:bCs/>
          <w:kern w:val="22"/>
          <w:sz w:val="21"/>
          <w:szCs w:val="21"/>
        </w:rPr>
      </w:pPr>
      <w:r>
        <w:rPr>
          <w:rFonts w:hint="eastAsia" w:ascii="宋体" w:hAnsi="宋体" w:eastAsia="宋体" w:cs="宋体"/>
          <w:b/>
          <w:bCs/>
          <w:kern w:val="22"/>
          <w:sz w:val="21"/>
          <w:szCs w:val="21"/>
          <w:lang w:val="en-US" w:eastAsia="zh-CN"/>
        </w:rPr>
        <w:t>本项目为监理服务，甲乙双方可以按照建设工程监理合同(示范文本)(GF-2012-0202)签订合同，</w:t>
      </w:r>
      <w:r>
        <w:rPr>
          <w:rFonts w:hint="eastAsia" w:ascii="宋体" w:hAnsi="宋体" w:eastAsia="宋体" w:cs="宋体"/>
          <w:b/>
          <w:bCs/>
          <w:kern w:val="22"/>
          <w:sz w:val="21"/>
          <w:szCs w:val="21"/>
        </w:rPr>
        <w:t>以实际合同签订为准。</w:t>
      </w:r>
    </w:p>
    <w:p w14:paraId="5DBFAF6E">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b/>
          <w:bCs/>
          <w:sz w:val="21"/>
          <w:szCs w:val="21"/>
        </w:rPr>
      </w:pPr>
    </w:p>
    <w:p w14:paraId="078E4831">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1BE8FFA">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259A85AC">
      <w:pPr>
        <w:pageBreakBefore w:val="0"/>
        <w:kinsoku/>
        <w:wordWrap/>
        <w:overflowPunct/>
        <w:bidi w:val="0"/>
        <w:spacing w:line="360" w:lineRule="auto"/>
        <w:jc w:val="center"/>
        <w:textAlignment w:val="auto"/>
        <w:outlineLvl w:val="0"/>
        <w:rPr>
          <w:rFonts w:hint="eastAsia" w:ascii="宋体" w:hAnsi="宋体" w:eastAsia="宋体" w:cs="宋体"/>
          <w:b/>
          <w:bCs/>
          <w:color w:val="000000"/>
          <w:spacing w:val="-2"/>
          <w:w w:val="100"/>
          <w:kern w:val="2"/>
          <w:position w:val="0"/>
          <w:sz w:val="24"/>
          <w:szCs w:val="24"/>
          <w:shd w:val="clear" w:color="auto" w:fill="auto"/>
          <w:lang w:eastAsia="zh-CN" w:bidi="ar-SA"/>
        </w:rPr>
      </w:pPr>
      <w:bookmarkStart w:id="87" w:name="_Toc31036"/>
      <w:r>
        <w:rPr>
          <w:rFonts w:hint="eastAsia" w:ascii="宋体" w:hAnsi="宋体" w:eastAsia="宋体" w:cs="宋体"/>
          <w:b/>
          <w:sz w:val="28"/>
          <w:szCs w:val="28"/>
          <w:highlight w:val="none"/>
        </w:rPr>
        <w:t>第五章</w:t>
      </w:r>
      <w:r>
        <w:rPr>
          <w:rFonts w:hint="eastAsia" w:ascii="宋体" w:hAnsi="宋体" w:eastAsia="宋体" w:cs="宋体"/>
          <w:b/>
          <w:sz w:val="28"/>
          <w:szCs w:val="28"/>
          <w:highlight w:val="none"/>
          <w:lang w:val="en-US" w:eastAsia="zh-CN"/>
        </w:rPr>
        <w:t xml:space="preserve"> </w:t>
      </w:r>
      <w:r>
        <w:rPr>
          <w:rFonts w:hint="eastAsia" w:ascii="宋体" w:hAnsi="宋体" w:eastAsia="宋体" w:cs="宋体"/>
          <w:b/>
          <w:sz w:val="28"/>
          <w:szCs w:val="28"/>
          <w:highlight w:val="none"/>
        </w:rPr>
        <w:t>采购需求</w:t>
      </w:r>
    </w:p>
    <w:p w14:paraId="56E9CF83">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390" w:lineRule="exact"/>
        <w:ind w:left="0" w:right="0" w:firstLine="0"/>
        <w:jc w:val="both"/>
        <w:textAlignment w:val="auto"/>
        <w:outlineLvl w:val="1"/>
        <w:rPr>
          <w:rFonts w:hint="eastAsia" w:ascii="宋体" w:hAnsi="宋体" w:eastAsia="宋体" w:cs="宋体"/>
          <w:color w:val="000000"/>
          <w:spacing w:val="0"/>
          <w:w w:val="100"/>
          <w:kern w:val="2"/>
          <w:position w:val="0"/>
          <w:sz w:val="24"/>
          <w:szCs w:val="24"/>
          <w:shd w:val="clear" w:color="auto" w:fill="auto"/>
          <w:lang w:eastAsia="zh-CN" w:bidi="ar-SA"/>
        </w:rPr>
      </w:pPr>
      <w:r>
        <w:rPr>
          <w:rFonts w:hint="eastAsia" w:ascii="宋体" w:hAnsi="宋体" w:eastAsia="宋体" w:cs="宋体"/>
          <w:b/>
          <w:bCs/>
          <w:color w:val="000000"/>
          <w:spacing w:val="-2"/>
          <w:w w:val="100"/>
          <w:kern w:val="2"/>
          <w:position w:val="0"/>
          <w:sz w:val="24"/>
          <w:szCs w:val="24"/>
          <w:shd w:val="clear" w:color="auto" w:fill="auto"/>
          <w:lang w:eastAsia="zh-CN" w:bidi="ar-SA"/>
        </w:rPr>
        <w:t>一、基本信息</w:t>
      </w:r>
    </w:p>
    <w:tbl>
      <w:tblPr>
        <w:tblStyle w:val="167"/>
        <w:tblpPr w:leftFromText="180" w:rightFromText="180" w:vertAnchor="text" w:horzAnchor="page" w:tblpX="1576" w:tblpY="284"/>
        <w:tblOverlap w:val="never"/>
        <w:tblW w:w="95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2"/>
        <w:gridCol w:w="2288"/>
        <w:gridCol w:w="2025"/>
        <w:gridCol w:w="3015"/>
      </w:tblGrid>
      <w:tr w14:paraId="3B513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trPr>
        <w:tc>
          <w:tcPr>
            <w:tcW w:w="2242" w:type="dxa"/>
            <w:noWrap w:val="0"/>
            <w:vAlign w:val="center"/>
          </w:tcPr>
          <w:p w14:paraId="217DD8FA">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项目名称</w:t>
            </w:r>
          </w:p>
        </w:tc>
        <w:tc>
          <w:tcPr>
            <w:tcW w:w="7328" w:type="dxa"/>
            <w:gridSpan w:val="3"/>
            <w:noWrap w:val="0"/>
            <w:vAlign w:val="center"/>
          </w:tcPr>
          <w:p w14:paraId="4B50E09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b/>
                <w:bCs/>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华容高新区纺织新材料与印染高标准厂房建设项目工程建设监理服务项目</w:t>
            </w:r>
          </w:p>
        </w:tc>
      </w:tr>
      <w:tr w14:paraId="55318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exact"/>
        </w:trPr>
        <w:tc>
          <w:tcPr>
            <w:tcW w:w="2242" w:type="dxa"/>
            <w:noWrap w:val="0"/>
            <w:vAlign w:val="center"/>
          </w:tcPr>
          <w:p w14:paraId="6A3F986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采购单位</w:t>
            </w:r>
          </w:p>
        </w:tc>
        <w:tc>
          <w:tcPr>
            <w:tcW w:w="7328" w:type="dxa"/>
            <w:gridSpan w:val="3"/>
            <w:noWrap w:val="0"/>
            <w:vAlign w:val="center"/>
          </w:tcPr>
          <w:p w14:paraId="686FE08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1680" w:firstLineChars="8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华容高新技术产业开发区管理委员会</w:t>
            </w:r>
          </w:p>
        </w:tc>
      </w:tr>
      <w:tr w14:paraId="59ABF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exact"/>
        </w:trPr>
        <w:tc>
          <w:tcPr>
            <w:tcW w:w="2242" w:type="dxa"/>
            <w:vMerge w:val="restart"/>
            <w:tcBorders>
              <w:bottom w:val="nil"/>
            </w:tcBorders>
            <w:noWrap w:val="0"/>
            <w:vAlign w:val="center"/>
          </w:tcPr>
          <w:p w14:paraId="6B27F5F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3B5A702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51D0F4E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A8"/>
            </w:r>
            <w:r>
              <w:rPr>
                <w:rFonts w:hint="eastAsia" w:ascii="宋体" w:hAnsi="宋体" w:eastAsia="宋体" w:cs="宋体"/>
                <w:color w:val="000000"/>
                <w:spacing w:val="0"/>
                <w:w w:val="100"/>
                <w:kern w:val="2"/>
                <w:position w:val="0"/>
                <w:sz w:val="21"/>
                <w:szCs w:val="21"/>
                <w:shd w:val="clear" w:color="auto" w:fill="auto"/>
                <w:lang w:eastAsia="zh-CN" w:bidi="ar-SA"/>
              </w:rPr>
              <w:t>自行组织编制</w:t>
            </w:r>
          </w:p>
        </w:tc>
        <w:tc>
          <w:tcPr>
            <w:tcW w:w="2288" w:type="dxa"/>
            <w:noWrap w:val="0"/>
            <w:vAlign w:val="center"/>
          </w:tcPr>
          <w:p w14:paraId="6E69934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363"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负责人</w:t>
            </w:r>
          </w:p>
        </w:tc>
        <w:tc>
          <w:tcPr>
            <w:tcW w:w="2025" w:type="dxa"/>
            <w:noWrap w:val="0"/>
            <w:vAlign w:val="center"/>
          </w:tcPr>
          <w:p w14:paraId="7FBB59D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266" w:right="0" w:firstLine="105" w:firstLineChars="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3015" w:type="dxa"/>
            <w:noWrap w:val="0"/>
            <w:vAlign w:val="center"/>
          </w:tcPr>
          <w:p w14:paraId="3E068249">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630" w:firstLineChars="3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723A8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continue"/>
            <w:tcBorders>
              <w:top w:val="nil"/>
              <w:bottom w:val="nil"/>
            </w:tcBorders>
            <w:noWrap w:val="0"/>
            <w:vAlign w:val="center"/>
          </w:tcPr>
          <w:p w14:paraId="5FD0773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43E8B89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2025" w:type="dxa"/>
            <w:noWrap w:val="0"/>
            <w:vAlign w:val="center"/>
          </w:tcPr>
          <w:p w14:paraId="5A07C14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3015" w:type="dxa"/>
            <w:noWrap w:val="0"/>
            <w:vAlign w:val="center"/>
          </w:tcPr>
          <w:p w14:paraId="360039D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1F781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exact"/>
        </w:trPr>
        <w:tc>
          <w:tcPr>
            <w:tcW w:w="2242" w:type="dxa"/>
            <w:vMerge w:val="continue"/>
            <w:tcBorders>
              <w:top w:val="nil"/>
            </w:tcBorders>
            <w:noWrap w:val="0"/>
            <w:vAlign w:val="center"/>
          </w:tcPr>
          <w:p w14:paraId="62881D3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1ADA043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其它参与编制人员</w:t>
            </w:r>
          </w:p>
        </w:tc>
        <w:tc>
          <w:tcPr>
            <w:tcW w:w="5040" w:type="dxa"/>
            <w:gridSpan w:val="2"/>
            <w:noWrap w:val="0"/>
            <w:vAlign w:val="center"/>
          </w:tcPr>
          <w:p w14:paraId="26B3C5A9">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4F2C2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restart"/>
            <w:tcBorders>
              <w:bottom w:val="nil"/>
            </w:tcBorders>
            <w:noWrap w:val="0"/>
            <w:vAlign w:val="center"/>
          </w:tcPr>
          <w:p w14:paraId="7F4FE392">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23B5E656">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2"/>
                <w:position w:val="0"/>
                <w:sz w:val="21"/>
                <w:szCs w:val="21"/>
                <w:shd w:val="clear" w:color="auto" w:fill="auto"/>
                <w:lang w:eastAsia="zh-CN" w:bidi="ar-SA"/>
              </w:rPr>
              <w:t>委托采购代理机构或者其他单位编制</w:t>
            </w:r>
          </w:p>
        </w:tc>
        <w:tc>
          <w:tcPr>
            <w:tcW w:w="2288" w:type="dxa"/>
            <w:noWrap w:val="0"/>
            <w:vAlign w:val="center"/>
          </w:tcPr>
          <w:p w14:paraId="635A416A">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机构名称</w:t>
            </w:r>
          </w:p>
        </w:tc>
        <w:tc>
          <w:tcPr>
            <w:tcW w:w="5040" w:type="dxa"/>
            <w:gridSpan w:val="2"/>
            <w:noWrap w:val="0"/>
            <w:vAlign w:val="center"/>
          </w:tcPr>
          <w:p w14:paraId="43D6C9B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435"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湖南省中君项目管理咨询有限公司</w:t>
            </w:r>
          </w:p>
        </w:tc>
      </w:tr>
      <w:tr w14:paraId="61408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continue"/>
            <w:tcBorders>
              <w:top w:val="nil"/>
              <w:bottom w:val="nil"/>
            </w:tcBorders>
            <w:noWrap w:val="0"/>
            <w:vAlign w:val="center"/>
          </w:tcPr>
          <w:p w14:paraId="58DB03C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7FFD657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联系人</w:t>
            </w:r>
          </w:p>
        </w:tc>
        <w:tc>
          <w:tcPr>
            <w:tcW w:w="2025" w:type="dxa"/>
            <w:noWrap w:val="0"/>
            <w:vAlign w:val="center"/>
          </w:tcPr>
          <w:p w14:paraId="40854422">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38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3015" w:type="dxa"/>
            <w:noWrap w:val="0"/>
            <w:vAlign w:val="center"/>
          </w:tcPr>
          <w:p w14:paraId="47D578F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548" w:right="0" w:firstLine="315" w:firstLineChars="1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75D9A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continue"/>
            <w:tcBorders>
              <w:top w:val="nil"/>
            </w:tcBorders>
            <w:noWrap w:val="0"/>
            <w:vAlign w:val="center"/>
          </w:tcPr>
          <w:p w14:paraId="1215F76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798BA3F8">
            <w:pPr>
              <w:keepNext w:val="0"/>
              <w:keepLines w:val="0"/>
              <w:pageBreakBefore w:val="0"/>
              <w:widowControl w:val="0"/>
              <w:shd w:val="clear" w:color="auto" w:fill="auto"/>
              <w:kinsoku/>
              <w:wordWrap/>
              <w:overflowPunct/>
              <w:topLinePunct w:val="0"/>
              <w:autoSpaceDE/>
              <w:autoSpaceDN/>
              <w:bidi w:val="0"/>
              <w:adjustRightInd/>
              <w:snapToGrid w:val="0"/>
              <w:spacing w:before="0" w:after="0" w:line="390" w:lineRule="exact"/>
              <w:ind w:left="0" w:leftChars="0" w:right="0" w:rightChars="0" w:firstLine="0" w:firstLineChars="0"/>
              <w:jc w:val="center"/>
              <w:textAlignment w:val="auto"/>
              <w:rPr>
                <w:rFonts w:hint="default"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0"/>
                <w:position w:val="0"/>
                <w:sz w:val="21"/>
                <w:szCs w:val="21"/>
                <w:shd w:val="clear" w:color="auto" w:fill="auto"/>
                <w:lang w:val="en-US" w:eastAsia="zh-CN" w:bidi="en-US"/>
              </w:rPr>
              <w:t>李女士</w:t>
            </w:r>
          </w:p>
        </w:tc>
        <w:tc>
          <w:tcPr>
            <w:tcW w:w="2025" w:type="dxa"/>
            <w:noWrap w:val="0"/>
            <w:vAlign w:val="center"/>
          </w:tcPr>
          <w:p w14:paraId="11B7275C">
            <w:pPr>
              <w:keepNext w:val="0"/>
              <w:keepLines w:val="0"/>
              <w:pageBreakBefore w:val="0"/>
              <w:widowControl w:val="0"/>
              <w:shd w:val="clear" w:color="auto" w:fill="auto"/>
              <w:kinsoku/>
              <w:wordWrap/>
              <w:overflowPunct/>
              <w:topLinePunct w:val="0"/>
              <w:autoSpaceDE/>
              <w:autoSpaceDN/>
              <w:bidi w:val="0"/>
              <w:adjustRightInd/>
              <w:snapToGrid w:val="0"/>
              <w:spacing w:before="0" w:after="0" w:line="390" w:lineRule="exact"/>
              <w:ind w:left="0" w:leftChars="0" w:right="0" w:rightChars="0" w:firstLine="0" w:firstLineChars="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0730-8864801</w:t>
            </w:r>
          </w:p>
        </w:tc>
        <w:tc>
          <w:tcPr>
            <w:tcW w:w="3015" w:type="dxa"/>
            <w:noWrap w:val="0"/>
            <w:vAlign w:val="center"/>
          </w:tcPr>
          <w:p w14:paraId="43817CD9">
            <w:pPr>
              <w:keepNext w:val="0"/>
              <w:keepLines w:val="0"/>
              <w:pageBreakBefore w:val="0"/>
              <w:widowControl w:val="0"/>
              <w:shd w:val="clear" w:color="auto" w:fill="auto"/>
              <w:kinsoku/>
              <w:wordWrap/>
              <w:overflowPunct/>
              <w:topLinePunct w:val="0"/>
              <w:autoSpaceDE/>
              <w:autoSpaceDN/>
              <w:bidi w:val="0"/>
              <w:adjustRightInd/>
              <w:snapToGrid w:val="0"/>
              <w:spacing w:before="0" w:after="0" w:line="390" w:lineRule="exact"/>
              <w:ind w:left="0" w:right="0" w:firstLine="0"/>
              <w:jc w:val="center"/>
              <w:textAlignment w:val="auto"/>
              <w:rPr>
                <w:rFonts w:hint="eastAsia" w:ascii="宋体" w:hAnsi="宋体" w:eastAsia="宋体" w:cs="宋体"/>
                <w:color w:val="000000"/>
                <w:spacing w:val="0"/>
                <w:w w:val="100"/>
                <w:kern w:val="0"/>
                <w:position w:val="0"/>
                <w:sz w:val="21"/>
                <w:szCs w:val="21"/>
                <w:shd w:val="clear" w:color="auto" w:fill="auto"/>
                <w:lang w:val="en-US" w:eastAsia="zh-CN" w:bidi="en-US"/>
              </w:rPr>
            </w:pPr>
            <w:r>
              <w:rPr>
                <w:rFonts w:hint="eastAsia" w:ascii="宋体" w:hAnsi="宋体" w:eastAsia="宋体" w:cs="宋体"/>
                <w:color w:val="000000"/>
                <w:spacing w:val="0"/>
                <w:w w:val="100"/>
                <w:kern w:val="0"/>
                <w:position w:val="0"/>
                <w:sz w:val="21"/>
                <w:szCs w:val="21"/>
                <w:shd w:val="clear" w:color="auto" w:fill="auto"/>
                <w:lang w:val="en-US" w:eastAsia="zh-CN" w:bidi="en-US"/>
              </w:rPr>
              <w:t>389315508@qq.com</w:t>
            </w:r>
          </w:p>
          <w:p w14:paraId="51FE543D">
            <w:pPr>
              <w:keepNext w:val="0"/>
              <w:keepLines w:val="0"/>
              <w:pageBreakBefore w:val="0"/>
              <w:widowControl w:val="0"/>
              <w:shd w:val="clear" w:color="auto" w:fill="auto"/>
              <w:kinsoku/>
              <w:wordWrap/>
              <w:overflowPunct/>
              <w:topLinePunct w:val="0"/>
              <w:autoSpaceDE/>
              <w:autoSpaceDN/>
              <w:bidi w:val="0"/>
              <w:adjustRightInd/>
              <w:snapToGrid w:val="0"/>
              <w:spacing w:before="0" w:after="0" w:line="390" w:lineRule="exact"/>
              <w:ind w:left="0" w:leftChars="0" w:right="0" w:rightChars="0" w:firstLine="0" w:firstLineChars="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r>
      <w:tr w14:paraId="50C3C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exact"/>
        </w:trPr>
        <w:tc>
          <w:tcPr>
            <w:tcW w:w="2242" w:type="dxa"/>
            <w:noWrap w:val="0"/>
            <w:vAlign w:val="center"/>
          </w:tcPr>
          <w:p w14:paraId="011E40C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504"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采购项目类别</w:t>
            </w:r>
          </w:p>
        </w:tc>
        <w:tc>
          <w:tcPr>
            <w:tcW w:w="7328" w:type="dxa"/>
            <w:gridSpan w:val="3"/>
            <w:noWrap w:val="0"/>
            <w:vAlign w:val="center"/>
          </w:tcPr>
          <w:p w14:paraId="58C1B54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90" w:lineRule="exact"/>
              <w:ind w:left="1413" w:right="0" w:firstLine="420"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口货物</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口工程</w:t>
            </w:r>
          </w:p>
        </w:tc>
      </w:tr>
    </w:tbl>
    <w:p w14:paraId="51D02B2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SA"/>
        </w:rPr>
      </w:pPr>
      <w:r>
        <w:rPr>
          <w:rFonts w:hint="eastAsia" w:ascii="宋体" w:hAnsi="宋体" w:eastAsia="宋体" w:cs="宋体"/>
          <w:b/>
          <w:bCs/>
          <w:color w:val="000000"/>
          <w:spacing w:val="0"/>
          <w:w w:val="100"/>
          <w:kern w:val="0"/>
          <w:position w:val="0"/>
          <w:sz w:val="21"/>
          <w:szCs w:val="21"/>
          <w:shd w:val="clear" w:color="auto" w:fill="auto"/>
          <w:lang w:eastAsia="zh-CN" w:bidi="ar-SA"/>
        </w:rPr>
        <w:t>二 、需求调查情况</w:t>
      </w:r>
    </w:p>
    <w:p w14:paraId="61F49AA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属于《政府采购需求管理办法》第十一条规定情形的，应当填写本部分。第十一条对于下列采购项目，应当开展需求调查：</w:t>
      </w:r>
    </w:p>
    <w:p w14:paraId="5A245F5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(一)1000万元以上的货物、服务采购项目，3000万元以上的工程采购项目；</w:t>
      </w:r>
    </w:p>
    <w:p w14:paraId="16B5905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(二)涉及公共利益、社会关注度较高的采购项目，包括政府向社会公众提供的公共服务项目等。</w:t>
      </w:r>
    </w:p>
    <w:p w14:paraId="3527536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(三)技术复杂、专业性较强的项目，包括需定制开发的信息化建设项目、采购进口产品的项目等；</w:t>
      </w:r>
    </w:p>
    <w:p w14:paraId="0703C02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(四)主管预算单位或者采购人认为需要开展需求调查的其他采购项目。</w:t>
      </w:r>
    </w:p>
    <w:p w14:paraId="6909B78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对于应当开展需求调查的项目，但不开展需求调查的，应在此处写明不开展的具体原因。</w:t>
      </w:r>
    </w:p>
    <w:p w14:paraId="1799390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编制采购需求前一年内，采购人已就相关采购标的开展过需求调查的可以不再重复开展。</w:t>
      </w:r>
    </w:p>
    <w:p w14:paraId="29AD816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按照法律法规的规定，对采购项目开展可行性研究等前期工作，已包含《政府采购需求管理办法》规定的需求调查内容的，可以不再重复调查；对在可行性研究等前期工作中未涉及的部分，应当按照《政府采购需求管理办法》的规定开展需求调查。</w:t>
      </w:r>
    </w:p>
    <w:p w14:paraId="23AB128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(一)是否开展需求调查</w:t>
      </w:r>
    </w:p>
    <w:p w14:paraId="72299BF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t xml:space="preserve">1 . </w:t>
      </w:r>
      <w:r>
        <w:rPr>
          <w:rFonts w:hint="eastAsia" w:ascii="宋体" w:hAnsi="宋体" w:eastAsia="宋体" w:cs="宋体"/>
          <w:color w:val="000000"/>
          <w:spacing w:val="0"/>
          <w:w w:val="100"/>
          <w:kern w:val="0"/>
          <w:position w:val="0"/>
          <w:sz w:val="21"/>
          <w:szCs w:val="21"/>
          <w:shd w:val="clear" w:color="auto" w:fill="auto"/>
          <w:lang w:eastAsia="zh-CN" w:bidi="ar-SA"/>
        </w:rPr>
        <w:sym w:font="Wingdings" w:char="00A8"/>
      </w:r>
      <w:r>
        <w:rPr>
          <w:rFonts w:hint="eastAsia" w:ascii="宋体" w:hAnsi="宋体" w:eastAsia="宋体" w:cs="宋体"/>
          <w:color w:val="000000"/>
          <w:spacing w:val="0"/>
          <w:w w:val="100"/>
          <w:kern w:val="0"/>
          <w:position w:val="0"/>
          <w:sz w:val="21"/>
          <w:szCs w:val="21"/>
          <w:shd w:val="clear" w:color="auto" w:fill="auto"/>
          <w:lang w:eastAsia="zh-CN" w:bidi="ar-SA"/>
        </w:rPr>
        <w:t>是</w:t>
      </w:r>
    </w:p>
    <w:p w14:paraId="0C6F0E40">
      <w:pPr>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0"/>
          <w:position w:val="0"/>
          <w:sz w:val="21"/>
          <w:szCs w:val="21"/>
          <w:shd w:val="clear" w:color="auto" w:fill="auto"/>
          <w:lang w:eastAsia="zh-CN" w:bidi="ar-SA"/>
        </w:rPr>
        <w:t>否，理由：本项目不属于《政府采购需求管理办法》第十一条规定的情形。</w:t>
      </w:r>
    </w:p>
    <w:p w14:paraId="6C38E5E9">
      <w:pPr>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beforeAutospacing="0" w:after="0" w:afterAutospacing="0" w:line="380" w:lineRule="exact"/>
        <w:ind w:left="0" w:right="5983"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SA"/>
        </w:rPr>
      </w:pPr>
      <w:r>
        <w:rPr>
          <w:rFonts w:hint="eastAsia" w:ascii="宋体" w:hAnsi="宋体" w:eastAsia="宋体" w:cs="宋体"/>
          <w:b/>
          <w:bCs/>
          <w:color w:val="000000"/>
          <w:spacing w:val="0"/>
          <w:w w:val="100"/>
          <w:kern w:val="0"/>
          <w:position w:val="0"/>
          <w:sz w:val="21"/>
          <w:szCs w:val="21"/>
          <w:shd w:val="clear" w:color="auto" w:fill="auto"/>
          <w:lang w:eastAsia="zh-CN" w:bidi="ar-SA"/>
        </w:rPr>
        <w:t>采购需求清单</w:t>
      </w:r>
      <w:r>
        <w:rPr>
          <w:rFonts w:hint="eastAsia" w:ascii="宋体" w:hAnsi="宋体" w:eastAsia="宋体" w:cs="宋体"/>
          <w:color w:val="000000"/>
          <w:spacing w:val="0"/>
          <w:w w:val="100"/>
          <w:kern w:val="0"/>
          <w:position w:val="0"/>
          <w:sz w:val="21"/>
          <w:szCs w:val="21"/>
          <w:shd w:val="clear" w:color="auto" w:fill="auto"/>
          <w:lang w:eastAsia="zh-CN" w:bidi="ar-SA"/>
        </w:rPr>
        <w:t xml:space="preserve"> </w:t>
      </w:r>
    </w:p>
    <w:p w14:paraId="7BCC05D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color w:val="000000"/>
          <w:spacing w:val="0"/>
          <w:w w:val="100"/>
          <w:kern w:val="0"/>
          <w:position w:val="0"/>
          <w:sz w:val="21"/>
          <w:szCs w:val="21"/>
          <w:highlight w:val="none"/>
          <w:shd w:val="clear" w:color="auto" w:fill="auto"/>
          <w:lang w:eastAsia="zh-CN" w:bidi="ar-SA"/>
        </w:rPr>
      </w:pPr>
      <w:r>
        <w:rPr>
          <w:rFonts w:hint="eastAsia" w:ascii="宋体" w:hAnsi="宋体" w:eastAsia="宋体" w:cs="宋体"/>
          <w:b/>
          <w:bCs/>
          <w:color w:val="000000"/>
          <w:spacing w:val="0"/>
          <w:w w:val="100"/>
          <w:kern w:val="0"/>
          <w:position w:val="0"/>
          <w:sz w:val="21"/>
          <w:szCs w:val="21"/>
          <w:highlight w:val="none"/>
          <w:shd w:val="clear" w:color="auto" w:fill="auto"/>
          <w:lang w:val="en-US" w:eastAsia="zh-CN" w:bidi="ar-SA"/>
        </w:rPr>
        <w:t>（一）、</w:t>
      </w:r>
      <w:r>
        <w:rPr>
          <w:rFonts w:hint="eastAsia" w:ascii="宋体" w:hAnsi="宋体" w:eastAsia="宋体" w:cs="宋体"/>
          <w:b/>
          <w:bCs/>
          <w:color w:val="000000"/>
          <w:spacing w:val="0"/>
          <w:w w:val="100"/>
          <w:kern w:val="0"/>
          <w:position w:val="0"/>
          <w:sz w:val="21"/>
          <w:szCs w:val="21"/>
          <w:highlight w:val="none"/>
          <w:shd w:val="clear" w:color="auto" w:fill="auto"/>
          <w:lang w:eastAsia="zh-CN" w:bidi="ar-SA"/>
        </w:rPr>
        <w:t>采购项目预(概)算：</w:t>
      </w:r>
      <w:r>
        <w:rPr>
          <w:rFonts w:hint="eastAsia" w:ascii="宋体" w:hAnsi="宋体" w:eastAsia="宋体" w:cs="宋体"/>
          <w:b w:val="0"/>
          <w:bCs w:val="0"/>
          <w:color w:val="000000"/>
          <w:spacing w:val="0"/>
          <w:w w:val="100"/>
          <w:kern w:val="0"/>
          <w:position w:val="0"/>
          <w:sz w:val="21"/>
          <w:szCs w:val="21"/>
          <w:highlight w:val="none"/>
          <w:shd w:val="clear" w:color="auto" w:fill="auto"/>
          <w:lang w:val="en-US" w:eastAsia="zh-CN" w:bidi="ar-SA"/>
        </w:rPr>
        <w:t>人民币885408.00元</w:t>
      </w:r>
      <w:r>
        <w:rPr>
          <w:rFonts w:hint="eastAsia" w:ascii="宋体" w:hAnsi="宋体" w:eastAsia="宋体" w:cs="宋体"/>
          <w:b/>
          <w:bCs/>
          <w:color w:val="000000"/>
          <w:spacing w:val="0"/>
          <w:w w:val="100"/>
          <w:kern w:val="0"/>
          <w:position w:val="0"/>
          <w:sz w:val="21"/>
          <w:szCs w:val="21"/>
          <w:highlight w:val="none"/>
          <w:shd w:val="clear" w:color="auto" w:fill="auto"/>
          <w:lang w:val="en-US" w:eastAsia="zh-CN" w:bidi="ar-SA"/>
        </w:rPr>
        <w:t xml:space="preserve">。 </w:t>
      </w:r>
    </w:p>
    <w:p w14:paraId="5FE5750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highlight w:val="none"/>
          <w:shd w:val="clear" w:color="auto" w:fill="auto"/>
          <w:lang w:val="en-US" w:eastAsia="zh-CN" w:bidi="ar-SA"/>
        </w:rPr>
      </w:pPr>
      <w:r>
        <w:rPr>
          <w:rFonts w:hint="eastAsia" w:ascii="宋体" w:hAnsi="宋体" w:eastAsia="宋体" w:cs="宋体"/>
          <w:b/>
          <w:bCs/>
          <w:color w:val="000000"/>
          <w:spacing w:val="0"/>
          <w:w w:val="100"/>
          <w:kern w:val="0"/>
          <w:position w:val="0"/>
          <w:sz w:val="21"/>
          <w:szCs w:val="21"/>
          <w:highlight w:val="none"/>
          <w:shd w:val="clear" w:color="auto" w:fill="auto"/>
          <w:lang w:val="en-US" w:eastAsia="zh-CN" w:bidi="ar-SA"/>
        </w:rPr>
        <w:t>（二）、</w:t>
      </w:r>
      <w:r>
        <w:rPr>
          <w:rFonts w:hint="eastAsia" w:ascii="宋体" w:hAnsi="宋体" w:eastAsia="宋体" w:cs="宋体"/>
          <w:b/>
          <w:bCs/>
          <w:color w:val="000000"/>
          <w:spacing w:val="0"/>
          <w:w w:val="100"/>
          <w:kern w:val="0"/>
          <w:position w:val="0"/>
          <w:sz w:val="21"/>
          <w:szCs w:val="21"/>
          <w:highlight w:val="none"/>
          <w:shd w:val="clear" w:color="auto" w:fill="auto"/>
          <w:lang w:eastAsia="zh-CN" w:bidi="ar-SA"/>
        </w:rPr>
        <w:t>项目概况：</w:t>
      </w:r>
      <w:r>
        <w:rPr>
          <w:rFonts w:hint="eastAsia" w:ascii="宋体" w:hAnsi="宋体" w:eastAsia="宋体" w:cs="宋体"/>
          <w:b w:val="0"/>
          <w:bCs w:val="0"/>
          <w:color w:val="000000"/>
          <w:spacing w:val="0"/>
          <w:w w:val="100"/>
          <w:kern w:val="0"/>
          <w:position w:val="0"/>
          <w:sz w:val="21"/>
          <w:szCs w:val="21"/>
          <w:highlight w:val="none"/>
          <w:shd w:val="clear" w:color="auto" w:fill="auto"/>
          <w:lang w:eastAsia="zh-CN" w:bidi="ar-SA"/>
        </w:rPr>
        <w:t>本项目监理服务涵盖华容高新区纺织新材料与印染高标准厂房建设项目全</w:t>
      </w:r>
      <w:r>
        <w:rPr>
          <w:rFonts w:hint="eastAsia" w:ascii="宋体" w:hAnsi="宋体" w:eastAsia="宋体" w:cs="宋体"/>
          <w:b w:val="0"/>
          <w:bCs w:val="0"/>
          <w:color w:val="000000"/>
          <w:spacing w:val="-4"/>
          <w:w w:val="100"/>
          <w:kern w:val="2"/>
          <w:position w:val="0"/>
          <w:sz w:val="21"/>
          <w:szCs w:val="21"/>
          <w:highlight w:val="none"/>
          <w:shd w:val="clear" w:color="auto" w:fill="auto"/>
          <w:lang w:eastAsia="zh-CN" w:bidi="ar-SA"/>
        </w:rPr>
        <w:t>过程，包括施工质量、安全、进度、投资控制及合同信息管理。要求监理单位严格按国家规范实施，确保工程质量合格、工期履行合同要求，安全生产无事故。</w:t>
      </w:r>
    </w:p>
    <w:p w14:paraId="44FD657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27" w:firstLineChars="100"/>
        <w:jc w:val="both"/>
        <w:textAlignment w:val="auto"/>
        <w:rPr>
          <w:rFonts w:hint="eastAsia"/>
          <w:lang w:eastAsia="zh-CN"/>
        </w:rPr>
      </w:pPr>
      <w:r>
        <w:rPr>
          <w:rFonts w:hint="eastAsia" w:ascii="宋体" w:hAnsi="宋体" w:eastAsia="宋体" w:cs="宋体"/>
          <w:b/>
          <w:bCs/>
          <w:color w:val="000000"/>
          <w:spacing w:val="8"/>
          <w:w w:val="100"/>
          <w:kern w:val="2"/>
          <w:position w:val="0"/>
          <w:sz w:val="21"/>
          <w:szCs w:val="21"/>
          <w:highlight w:val="none"/>
          <w:shd w:val="clear" w:color="auto" w:fill="auto"/>
          <w:lang w:eastAsia="zh-CN" w:bidi="ar-SA"/>
        </w:rPr>
        <w:t>四、技术要求</w:t>
      </w:r>
    </w:p>
    <w:p w14:paraId="7EF3B61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color w:val="000000"/>
          <w:spacing w:val="-1"/>
          <w:w w:val="100"/>
          <w:kern w:val="2"/>
          <w:position w:val="13"/>
          <w:sz w:val="21"/>
          <w:szCs w:val="21"/>
          <w:shd w:val="clear" w:color="auto" w:fill="auto"/>
          <w:lang w:eastAsia="zh-CN" w:bidi="ar-SA"/>
        </w:rPr>
      </w:pPr>
      <w:r>
        <w:rPr>
          <w:rFonts w:hint="eastAsia" w:ascii="宋体" w:hAnsi="宋体" w:eastAsia="宋体" w:cs="宋体"/>
          <w:color w:val="000000"/>
          <w:spacing w:val="-1"/>
          <w:w w:val="100"/>
          <w:kern w:val="2"/>
          <w:position w:val="13"/>
          <w:sz w:val="21"/>
          <w:szCs w:val="21"/>
          <w:shd w:val="clear" w:color="auto" w:fill="auto"/>
          <w:lang w:val="en-US" w:eastAsia="zh-CN" w:bidi="ar-SA"/>
        </w:rPr>
        <w:t>(一)、</w:t>
      </w:r>
      <w:r>
        <w:rPr>
          <w:rFonts w:hint="eastAsia" w:ascii="宋体" w:hAnsi="宋体" w:eastAsia="宋体" w:cs="宋体"/>
          <w:color w:val="000000"/>
          <w:spacing w:val="-1"/>
          <w:w w:val="100"/>
          <w:kern w:val="2"/>
          <w:position w:val="13"/>
          <w:sz w:val="21"/>
          <w:szCs w:val="21"/>
          <w:shd w:val="clear" w:color="auto" w:fill="auto"/>
          <w:lang w:eastAsia="zh-CN" w:bidi="ar-SA"/>
        </w:rPr>
        <w:t>本项目必须符合国家关于建筑工程监理方面现行的标准、规范、规程、办法、以及湖南省关于建筑工程监理方面的文件、规定，以及施工图纸等。</w:t>
      </w:r>
    </w:p>
    <w:p w14:paraId="2B9AB5DE">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380" w:lineRule="exact"/>
        <w:ind w:left="0" w:right="0" w:firstLine="0"/>
        <w:jc w:val="both"/>
        <w:textAlignment w:val="auto"/>
        <w:rPr>
          <w:rFonts w:hint="eastAsia" w:ascii="宋体" w:hAnsi="宋体" w:eastAsia="宋体" w:cs="宋体"/>
          <w:color w:val="000000"/>
          <w:spacing w:val="-1"/>
          <w:w w:val="100"/>
          <w:kern w:val="2"/>
          <w:position w:val="0"/>
          <w:sz w:val="21"/>
          <w:szCs w:val="21"/>
          <w:shd w:val="clear" w:color="auto" w:fill="auto"/>
          <w:lang w:eastAsia="zh-CN" w:bidi="ar-SA"/>
        </w:rPr>
      </w:pPr>
      <w:r>
        <w:rPr>
          <w:rFonts w:hint="eastAsia" w:ascii="宋体" w:hAnsi="宋体" w:eastAsia="宋体" w:cs="宋体"/>
          <w:color w:val="000000"/>
          <w:spacing w:val="-1"/>
          <w:w w:val="100"/>
          <w:kern w:val="2"/>
          <w:position w:val="0"/>
          <w:sz w:val="21"/>
          <w:szCs w:val="21"/>
          <w:shd w:val="clear" w:color="auto" w:fill="auto"/>
          <w:lang w:eastAsia="zh-CN" w:bidi="ar-SA"/>
        </w:rPr>
        <w:t>（二）、监理公司应该按照国家标准对相关内容的要求，对监理工程采取必要和完善的监督、控制和管理措施，保证监理工程能够按时、按质、按量竣工。</w:t>
      </w:r>
    </w:p>
    <w:p w14:paraId="0F653DB4">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（三）、监理公司必须定期向项目建设单位通报工程进展情况及工程实施过程中所遇到的问题，遇紧急情况，应立即向项目建设单位通报。</w:t>
      </w:r>
    </w:p>
    <w:p w14:paraId="34CD4D4F">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五、商务要求</w:t>
      </w:r>
    </w:p>
    <w:p w14:paraId="5E3CF05B">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（一）、 主要条款：</w:t>
      </w:r>
    </w:p>
    <w:tbl>
      <w:tblPr>
        <w:tblStyle w:val="167"/>
        <w:tblpPr w:leftFromText="180" w:rightFromText="180" w:vertAnchor="text" w:horzAnchor="page" w:tblpX="909" w:tblpY="194"/>
        <w:tblOverlap w:val="never"/>
        <w:tblW w:w="102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2"/>
        <w:gridCol w:w="8475"/>
      </w:tblGrid>
      <w:tr w14:paraId="6EC77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802" w:type="dxa"/>
            <w:noWrap w:val="0"/>
            <w:vAlign w:val="center"/>
          </w:tcPr>
          <w:p w14:paraId="38240FF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54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条款名称</w:t>
            </w:r>
          </w:p>
        </w:tc>
        <w:tc>
          <w:tcPr>
            <w:tcW w:w="8475" w:type="dxa"/>
            <w:noWrap w:val="0"/>
            <w:vAlign w:val="center"/>
          </w:tcPr>
          <w:p w14:paraId="2E1A022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2052" w:right="0" w:firstLine="840" w:firstLineChars="4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编列内容规定</w:t>
            </w:r>
          </w:p>
        </w:tc>
      </w:tr>
      <w:tr w14:paraId="1DBB3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802" w:type="dxa"/>
            <w:noWrap w:val="0"/>
            <w:vAlign w:val="center"/>
          </w:tcPr>
          <w:p w14:paraId="4215A2D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534"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服务地点</w:t>
            </w:r>
          </w:p>
        </w:tc>
        <w:tc>
          <w:tcPr>
            <w:tcW w:w="8475" w:type="dxa"/>
            <w:noWrap w:val="0"/>
            <w:vAlign w:val="center"/>
          </w:tcPr>
          <w:p w14:paraId="082BE7B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1732" w:right="0" w:firstLine="1050" w:firstLineChars="5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采购人指定地点</w:t>
            </w:r>
          </w:p>
        </w:tc>
      </w:tr>
      <w:tr w14:paraId="7ED4C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802" w:type="dxa"/>
            <w:noWrap w:val="0"/>
            <w:vAlign w:val="center"/>
          </w:tcPr>
          <w:p w14:paraId="49FD980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0" w:right="0" w:firstLine="420" w:firstLineChars="200"/>
              <w:jc w:val="center"/>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服务范围</w:t>
            </w:r>
          </w:p>
        </w:tc>
        <w:tc>
          <w:tcPr>
            <w:tcW w:w="8475" w:type="dxa"/>
            <w:noWrap w:val="0"/>
            <w:vAlign w:val="center"/>
          </w:tcPr>
          <w:p w14:paraId="0758AAA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包括工程的施工前期准备阶段，施工阶段，竣工验收阶段和工程保修阶段的监理工作。</w:t>
            </w:r>
          </w:p>
        </w:tc>
      </w:tr>
      <w:tr w14:paraId="41787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exact"/>
        </w:trPr>
        <w:tc>
          <w:tcPr>
            <w:tcW w:w="1802" w:type="dxa"/>
            <w:noWrap w:val="0"/>
            <w:vAlign w:val="center"/>
          </w:tcPr>
          <w:p w14:paraId="72D9DCB4">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534" w:right="0" w:firstLine="0"/>
              <w:jc w:val="center"/>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服务期限</w:t>
            </w:r>
          </w:p>
        </w:tc>
        <w:tc>
          <w:tcPr>
            <w:tcW w:w="8475" w:type="dxa"/>
            <w:noWrap w:val="0"/>
            <w:vAlign w:val="center"/>
          </w:tcPr>
          <w:p w14:paraId="3972339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0" w:right="0" w:firstLine="0"/>
              <w:jc w:val="both"/>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本工程监理期限自合同签订之日起至监理服务范围内所有工程通过竣工验收、竣工资料完成备案、竣工结算完成且</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保修</w:t>
            </w:r>
            <w:r>
              <w:rPr>
                <w:rFonts w:hint="eastAsia" w:ascii="宋体" w:hAnsi="宋体" w:eastAsia="宋体" w:cs="宋体"/>
                <w:color w:val="000000"/>
                <w:spacing w:val="0"/>
                <w:w w:val="100"/>
                <w:kern w:val="2"/>
                <w:position w:val="0"/>
                <w:sz w:val="21"/>
                <w:szCs w:val="21"/>
                <w:highlight w:val="none"/>
                <w:shd w:val="clear" w:color="auto" w:fill="auto"/>
                <w:lang w:eastAsia="zh-CN" w:bidi="ar-SA"/>
              </w:rPr>
              <w:t>期结束之日止。</w:t>
            </w:r>
          </w:p>
        </w:tc>
      </w:tr>
      <w:tr w14:paraId="1A17A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1802" w:type="dxa"/>
            <w:noWrap w:val="0"/>
            <w:vAlign w:val="center"/>
          </w:tcPr>
          <w:p w14:paraId="0DFFEC9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54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7B2BE12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54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质量要求</w:t>
            </w:r>
          </w:p>
        </w:tc>
        <w:tc>
          <w:tcPr>
            <w:tcW w:w="8475" w:type="dxa"/>
            <w:noWrap w:val="0"/>
            <w:vAlign w:val="center"/>
          </w:tcPr>
          <w:p w14:paraId="79C070A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62"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本项目必须符合国家关于</w:t>
            </w:r>
            <w:r>
              <w:rPr>
                <w:rFonts w:hint="eastAsia" w:ascii="宋体" w:hAnsi="宋体" w:eastAsia="宋体" w:cs="宋体"/>
                <w:color w:val="000000"/>
                <w:spacing w:val="0"/>
                <w:w w:val="100"/>
                <w:kern w:val="2"/>
                <w:position w:val="0"/>
                <w:sz w:val="21"/>
                <w:szCs w:val="21"/>
                <w:shd w:val="clear" w:color="auto" w:fill="auto"/>
                <w:lang w:val="en-US" w:eastAsia="zh-CN" w:bidi="ar-SA"/>
              </w:rPr>
              <w:t>建筑</w:t>
            </w:r>
            <w:r>
              <w:rPr>
                <w:rFonts w:hint="eastAsia" w:ascii="宋体" w:hAnsi="宋体" w:eastAsia="宋体" w:cs="宋体"/>
                <w:color w:val="000000"/>
                <w:spacing w:val="0"/>
                <w:w w:val="100"/>
                <w:kern w:val="2"/>
                <w:position w:val="0"/>
                <w:sz w:val="21"/>
                <w:szCs w:val="21"/>
                <w:shd w:val="clear" w:color="auto" w:fill="auto"/>
                <w:lang w:eastAsia="zh-CN" w:bidi="ar-SA"/>
              </w:rPr>
              <w:t>工程监理方面现行的标准、规范、规程、办法、示例，以及湖南省关于</w:t>
            </w:r>
            <w:r>
              <w:rPr>
                <w:rFonts w:hint="eastAsia" w:ascii="宋体" w:hAnsi="宋体" w:eastAsia="宋体" w:cs="宋体"/>
                <w:color w:val="000000"/>
                <w:spacing w:val="0"/>
                <w:w w:val="100"/>
                <w:kern w:val="2"/>
                <w:position w:val="0"/>
                <w:sz w:val="21"/>
                <w:szCs w:val="21"/>
                <w:shd w:val="clear" w:color="auto" w:fill="auto"/>
                <w:lang w:val="en-US" w:eastAsia="zh-CN" w:bidi="ar-SA"/>
              </w:rPr>
              <w:t>建筑</w:t>
            </w:r>
            <w:r>
              <w:rPr>
                <w:rFonts w:hint="eastAsia" w:ascii="宋体" w:hAnsi="宋体" w:eastAsia="宋体" w:cs="宋体"/>
                <w:color w:val="000000"/>
                <w:spacing w:val="0"/>
                <w:w w:val="100"/>
                <w:kern w:val="2"/>
                <w:position w:val="0"/>
                <w:sz w:val="21"/>
                <w:szCs w:val="21"/>
                <w:shd w:val="clear" w:color="auto" w:fill="auto"/>
                <w:lang w:eastAsia="zh-CN" w:bidi="ar-SA"/>
              </w:rPr>
              <w:t>工程监理方面的文件、规定，以及施工图纸等。</w:t>
            </w:r>
          </w:p>
        </w:tc>
      </w:tr>
      <w:tr w14:paraId="5803B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802" w:type="dxa"/>
            <w:noWrap w:val="0"/>
            <w:vAlign w:val="center"/>
          </w:tcPr>
          <w:p w14:paraId="36482CD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0"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验收要求</w:t>
            </w:r>
          </w:p>
        </w:tc>
        <w:tc>
          <w:tcPr>
            <w:tcW w:w="8475" w:type="dxa"/>
            <w:noWrap w:val="0"/>
            <w:vAlign w:val="center"/>
          </w:tcPr>
          <w:p w14:paraId="4E512B8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62" w:right="52" w:firstLine="630" w:firstLineChars="3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符合现行国家有关工程验收规范合格标准。</w:t>
            </w:r>
          </w:p>
        </w:tc>
      </w:tr>
      <w:tr w14:paraId="5AC23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802" w:type="dxa"/>
            <w:noWrap w:val="0"/>
            <w:vAlign w:val="center"/>
          </w:tcPr>
          <w:p w14:paraId="3041437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0" w:right="0" w:firstLine="0"/>
              <w:jc w:val="center"/>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合同价款支付方式</w:t>
            </w:r>
          </w:p>
        </w:tc>
        <w:tc>
          <w:tcPr>
            <w:tcW w:w="8475" w:type="dxa"/>
            <w:noWrap w:val="0"/>
            <w:vAlign w:val="center"/>
          </w:tcPr>
          <w:p w14:paraId="6A4A7076">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64" w:right="0" w:firstLine="0"/>
              <w:jc w:val="both"/>
              <w:textAlignment w:val="auto"/>
              <w:rPr>
                <w:rFonts w:hint="default" w:ascii="宋体" w:hAnsi="宋体" w:eastAsia="宋体" w:cs="宋体"/>
                <w:color w:val="000000"/>
                <w:spacing w:val="0"/>
                <w:w w:val="100"/>
                <w:kern w:val="2"/>
                <w:position w:val="0"/>
                <w:sz w:val="21"/>
                <w:szCs w:val="21"/>
                <w:highlight w:val="none"/>
                <w:shd w:val="clear" w:color="auto" w:fill="auto"/>
                <w:lang w:val="en-US" w:eastAsia="zh-CN" w:bidi="ar-SA"/>
              </w:rPr>
            </w:pP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按月支付，金额跟据每个月工程实际完成的工程量占总工程量的比例确定。</w:t>
            </w:r>
          </w:p>
        </w:tc>
      </w:tr>
      <w:tr w14:paraId="620A5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802" w:type="dxa"/>
            <w:noWrap w:val="0"/>
            <w:vAlign w:val="center"/>
          </w:tcPr>
          <w:p w14:paraId="1AC242E6">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174"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解决争议的方式</w:t>
            </w:r>
          </w:p>
        </w:tc>
        <w:tc>
          <w:tcPr>
            <w:tcW w:w="8475" w:type="dxa"/>
            <w:noWrap w:val="0"/>
            <w:vAlign w:val="center"/>
          </w:tcPr>
          <w:p w14:paraId="2A7B67C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1371"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向甲方所在地人民法院提起诉讼。</w:t>
            </w:r>
          </w:p>
        </w:tc>
      </w:tr>
      <w:tr w14:paraId="3CAAE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802" w:type="dxa"/>
            <w:noWrap w:val="0"/>
            <w:vAlign w:val="center"/>
          </w:tcPr>
          <w:p w14:paraId="51095A6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26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合同未尽事项</w:t>
            </w:r>
          </w:p>
        </w:tc>
        <w:tc>
          <w:tcPr>
            <w:tcW w:w="8475" w:type="dxa"/>
            <w:noWrap w:val="0"/>
            <w:vAlign w:val="center"/>
          </w:tcPr>
          <w:p w14:paraId="491C82C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380" w:lineRule="exact"/>
              <w:ind w:left="2232"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另行约定。</w:t>
            </w:r>
          </w:p>
        </w:tc>
      </w:tr>
    </w:tbl>
    <w:p w14:paraId="585E290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outlineLvl w:val="1"/>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9"/>
          <w:w w:val="100"/>
          <w:kern w:val="2"/>
          <w:position w:val="0"/>
          <w:sz w:val="21"/>
          <w:szCs w:val="21"/>
          <w:shd w:val="clear" w:color="auto" w:fill="auto"/>
          <w:lang w:eastAsia="zh-CN" w:bidi="ar-SA"/>
        </w:rPr>
        <w:t>（二）、服务要求及工作内容：</w:t>
      </w:r>
    </w:p>
    <w:p w14:paraId="23EFB8F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（1）收到工程监理文件后编制监理规划，并在第一次工地会议7天前报委托人。根据有关规定和监理工作需要，编制监理实施细则；</w:t>
      </w:r>
    </w:p>
    <w:p w14:paraId="3E3D682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（2）熟悉工程监理文件，并参加由委托人主持的图纸会审和监理交底会议；</w:t>
      </w:r>
    </w:p>
    <w:p w14:paraId="14C565A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（3）参加由委托人主持的第一次工地会议；主持监理例会并根据工程需要主持或参加专题会议；</w:t>
      </w:r>
    </w:p>
    <w:p w14:paraId="793E167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（4）审查施工承包人提交的施工组织监理，重点审查其中的质量安全技术措施、专项施工方案与工程建设强制性标准的符合性；</w:t>
      </w:r>
    </w:p>
    <w:p w14:paraId="5F9C025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 xml:space="preserve">（5）检查施工承包人工程质量、安全生产管理制度及组织机构和人员资格； </w:t>
      </w:r>
    </w:p>
    <w:p w14:paraId="1E6D691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（6）检查施工承包人专职安全生产管理人员的配备情况；</w:t>
      </w:r>
    </w:p>
    <w:p w14:paraId="20F56E4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（7）审查施工承包人提交的施工进度计划，核查承包人对施工进度计划的调整；</w:t>
      </w:r>
    </w:p>
    <w:p w14:paraId="19262F3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（8）检查施工承包人的试验室；</w:t>
      </w:r>
    </w:p>
    <w:p w14:paraId="1F8AB3C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（9）审核施工分包人资质条件；</w:t>
      </w:r>
    </w:p>
    <w:p w14:paraId="62D5080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（10）查验施工承包人的施工测量放线成果；</w:t>
      </w:r>
    </w:p>
    <w:p w14:paraId="7E7D68C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（11）审查工程开工条件，对条件具备的签发开工令；</w:t>
      </w:r>
    </w:p>
    <w:p w14:paraId="0014244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（12）审查施工承包人报送的工程材料、构配件、设备质量证明文件的有效性和符合性，并按规定对用于工程的材料采取平行检验或见证取样方式进行抽检；</w:t>
      </w:r>
    </w:p>
    <w:p w14:paraId="735DD12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（13）审核施工承包人提交的工程款支付申请，签发或出具工程款支付证书，并报委托人审核、批准；</w:t>
      </w:r>
    </w:p>
    <w:p w14:paraId="71D358F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（14）在巡视、旁站和检验过程中，发现工程质量、施工安全存在事故隐患的，要求施工承包人整改并报委托人；</w:t>
      </w:r>
    </w:p>
    <w:p w14:paraId="1468148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（15）经委托人同意，签发工程暂停令和复工令；</w:t>
      </w:r>
    </w:p>
    <w:p w14:paraId="2115F1D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（16）审查施工承包人提交的采用新材料、新工艺、新技术、新设备的论证材料及相关验收标准；</w:t>
      </w:r>
    </w:p>
    <w:p w14:paraId="2A4A7B6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（17）验收隐蔽工程、分部分项工程；</w:t>
      </w:r>
    </w:p>
    <w:p w14:paraId="082741F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（18）审查施工承包人提交的工程变更申请，协调处理施工进度调整、费用索赔、合同争议等事项；</w:t>
      </w:r>
    </w:p>
    <w:p w14:paraId="2DD925F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（19）审查施工承包人提交的竣工验收申请，编写工程质量评估报告；</w:t>
      </w:r>
    </w:p>
    <w:p w14:paraId="07C217D3">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（20）参加工程竣工验收，签署竣工验收意见；</w:t>
      </w:r>
    </w:p>
    <w:p w14:paraId="0A5CDF0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（21）审查施工承包人提交的竣工结算申请并报委托人；</w:t>
      </w:r>
    </w:p>
    <w:p w14:paraId="6AE7BA8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（22）编制、整理工程监理归档文件并报委托人。</w:t>
      </w:r>
    </w:p>
    <w:p w14:paraId="1BC3C32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（23）对施工承包人的关键岗位人员的到位情况及出勤情况进行核查。</w:t>
      </w:r>
    </w:p>
    <w:p w14:paraId="0949168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本项目监理范围包括以下几项要素。投标人需要根据要素提交完整的监理计划书。</w:t>
      </w:r>
    </w:p>
    <w:p w14:paraId="46F7092C">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计划管理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00B75D04">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人员管理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2D31B929">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质量管理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022EF6F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4．成本管理</w:t>
      </w:r>
    </w:p>
    <w:p w14:paraId="0483B7B8">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进度管理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76F96374">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变更与风险管理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081F4F58">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合同管理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0740E4D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8．安全管理</w:t>
      </w:r>
    </w:p>
    <w:p w14:paraId="47ACA0CB">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外购和外包管理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7B4CF11A">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知识产权管理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1D69E92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11．沟通与协调管理</w:t>
      </w:r>
    </w:p>
    <w:p w14:paraId="59360D2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12．评估与验收管理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71EA661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13．文档管理</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4BB0583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14．数据采集及质量管理</w:t>
      </w:r>
    </w:p>
    <w:p w14:paraId="37FBC8C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监理过程要覆盖系统以下各阶段：</w:t>
      </w:r>
    </w:p>
    <w:p w14:paraId="794A2D87">
      <w:pPr>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实施准备阶段</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5926D9F8">
      <w:pPr>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实施阶段</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13F061B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leftChars="0" w:right="0" w:rightChars="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（3）预验阶段</w:t>
      </w:r>
    </w:p>
    <w:p w14:paraId="077337D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（4）项目竣工验收阶段</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 xml:space="preserve">      </w:t>
      </w:r>
    </w:p>
    <w:p w14:paraId="0C9D40A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（5）</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保修</w:t>
      </w:r>
      <w:r>
        <w:rPr>
          <w:rFonts w:hint="eastAsia" w:ascii="宋体" w:hAnsi="宋体" w:eastAsia="宋体" w:cs="宋体"/>
          <w:b w:val="0"/>
          <w:bCs w:val="0"/>
          <w:color w:val="000000"/>
          <w:spacing w:val="0"/>
          <w:w w:val="100"/>
          <w:kern w:val="2"/>
          <w:position w:val="0"/>
          <w:sz w:val="21"/>
          <w:szCs w:val="21"/>
          <w:shd w:val="clear" w:color="auto" w:fill="auto"/>
          <w:lang w:eastAsia="zh-CN" w:bidi="ar-SA"/>
        </w:rPr>
        <w:t>期。</w:t>
      </w:r>
    </w:p>
    <w:p w14:paraId="02F50D3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按照“四控制、三管理、一协调”的原则，确保项目在规定的时间内完成，并实现项目建设的目标，本项目监理工作内容包括：</w:t>
      </w:r>
    </w:p>
    <w:p w14:paraId="18CBE1B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A、项目组织及技术实施方案的把关</w:t>
      </w:r>
    </w:p>
    <w:p w14:paraId="3742F19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1）审核承建单位的总体实施方案；</w:t>
      </w:r>
    </w:p>
    <w:p w14:paraId="6546C1F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2）审核项目建设过程中各种关键技术的构建落实；</w:t>
      </w:r>
    </w:p>
    <w:p w14:paraId="49FD87F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3）审核承建单位的施工组织方案及投标人提交的《项目实施计划》；</w:t>
      </w:r>
    </w:p>
    <w:p w14:paraId="5911CB3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4）审核承建单位的质量保证计划、质量控制体系（含质量控制的关键性节点）；</w:t>
      </w:r>
    </w:p>
    <w:p w14:paraId="2BF6A28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5）审核承建单位的进度计划和进度控制节点。</w:t>
      </w:r>
    </w:p>
    <w:p w14:paraId="3AF2C60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B、人员培训的质量控制</w:t>
      </w:r>
    </w:p>
    <w:p w14:paraId="6EEE118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C、进度控制</w:t>
      </w:r>
    </w:p>
    <w:p w14:paraId="23A2FD3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1）审核承建单位的进度分解计划，确认分解计划可以保证总体计划目标；</w:t>
      </w:r>
    </w:p>
    <w:p w14:paraId="1249871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2）对项目实施进度进行实时跟踪，并要求承建单位对进度计划进行动态调整，以确保项目的阶段和总体进度目标的实现；</w:t>
      </w:r>
    </w:p>
    <w:p w14:paraId="3BB520D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3）当项目建设目标偏离时，应及时指出，并提出对策建议，同时监督承建单位采取措施进行补救。</w:t>
      </w:r>
    </w:p>
    <w:p w14:paraId="79DACC3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D、投资控制</w:t>
      </w:r>
    </w:p>
    <w:p w14:paraId="45ABC75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1）通过对工程实施过程的有效控制，确保投资效益在招标控制范围内；</w:t>
      </w:r>
    </w:p>
    <w:p w14:paraId="15332C6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2）协助建设单位做好项目支付预算的现金流量表，将付款进度与工程质量与形象进度结合起来。</w:t>
      </w:r>
    </w:p>
    <w:p w14:paraId="347F03E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E、变更控制</w:t>
      </w:r>
    </w:p>
    <w:p w14:paraId="794FF6D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1）项目实施过程中，保持对与项目有关的主客观因素的关注，发现和把握变化，对项目整体执行情况做到心中有数；</w:t>
      </w:r>
    </w:p>
    <w:p w14:paraId="4DA52FF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2）接受承建单位提出的书面工程变更申请；</w:t>
      </w:r>
    </w:p>
    <w:p w14:paraId="6254E7C3">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3）了解实际情况和收集与项目变更有关的资料，分析变更对项目预算、进度资源配置的影响与冲击，判断变更的合理性和必要性；</w:t>
      </w:r>
    </w:p>
    <w:p w14:paraId="761D5BF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4）建设单位、监理单位、承建单位进行协商和讨论，根据变更分析的结果，确定最优变更方案；</w:t>
      </w:r>
    </w:p>
    <w:p w14:paraId="24A778A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5）将变更后的内容纳入正常的监理工作范围，并密切注意其实施过程；</w:t>
      </w:r>
    </w:p>
    <w:p w14:paraId="5CD0424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6）变更结束后，对变更效果进行分析和评估。</w:t>
      </w:r>
    </w:p>
    <w:p w14:paraId="0198CA2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F、合同管理</w:t>
      </w:r>
    </w:p>
    <w:p w14:paraId="30B6F1C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1）跟踪检查合同的执行情况，确保承建单位按时履约；</w:t>
      </w:r>
    </w:p>
    <w:p w14:paraId="4161584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2）对合同工期的延误和延期进行审核申报；</w:t>
      </w:r>
    </w:p>
    <w:p w14:paraId="6943BA7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3）对合同变更、索赔等事宜进行审核并向承建单位报告；</w:t>
      </w:r>
    </w:p>
    <w:p w14:paraId="6F05C84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4）根据合同约定，审核承建单位提交的支付申请，协助报签付款凭证。</w:t>
      </w:r>
    </w:p>
    <w:p w14:paraId="7CBB95A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G、信息管理／工程文档管理</w:t>
      </w:r>
    </w:p>
    <w:p w14:paraId="459738F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1）做好监理日记及工程大事记；</w:t>
      </w:r>
    </w:p>
    <w:p w14:paraId="513935C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2）做好合同批复等各类往来文件的批复和存档；</w:t>
      </w:r>
    </w:p>
    <w:p w14:paraId="4810C0C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3）做好项目协调会、技术专题会等各项会议纪要；</w:t>
      </w:r>
    </w:p>
    <w:p w14:paraId="388026E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4）管理好实施期间的各类、各方技术文档；</w:t>
      </w:r>
    </w:p>
    <w:p w14:paraId="3138554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5）做好项目周报；</w:t>
      </w:r>
    </w:p>
    <w:p w14:paraId="7C403CA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6）做好监理建议书和监理通知书存档；</w:t>
      </w:r>
    </w:p>
    <w:p w14:paraId="5160084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7）阶段性项目总结。</w:t>
      </w:r>
    </w:p>
    <w:p w14:paraId="6FD4791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H、信息安全管理</w:t>
      </w:r>
    </w:p>
    <w:p w14:paraId="295D61E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6"/>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w:t>
      </w:r>
      <w:r>
        <w:rPr>
          <w:rFonts w:hint="eastAsia" w:ascii="宋体" w:hAnsi="宋体" w:eastAsia="宋体" w:cs="宋体"/>
          <w:b w:val="0"/>
          <w:bCs w:val="0"/>
          <w:color w:val="000000"/>
          <w:spacing w:val="-6"/>
          <w:w w:val="100"/>
          <w:kern w:val="2"/>
          <w:position w:val="0"/>
          <w:sz w:val="21"/>
          <w:szCs w:val="21"/>
          <w:shd w:val="clear" w:color="auto" w:fill="auto"/>
          <w:lang w:eastAsia="zh-CN" w:bidi="ar-SA"/>
        </w:rPr>
        <w:t>监督承建单位按照技术标准和建设方案施工，检查承建单位是否存在监理过程中的非安全隐患行为或现象等，确保整合项目建设过程中的安全建设和安全应用；</w:t>
      </w:r>
    </w:p>
    <w:p w14:paraId="44F4913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2）督促建设单位进行安全管理规划和教育；</w:t>
      </w:r>
    </w:p>
    <w:p w14:paraId="5EA4B26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3）督促建设单位的工程应用人员在安全管理制度和安全规范下严格执行安全操作和管理，建立安全意识；</w:t>
      </w:r>
    </w:p>
    <w:p w14:paraId="0A5DF77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J、经业主委托，负责协调本项目所涉及的各承建单位之间的工作关系，并协调解决项目建设过程中的各类纠纷。</w:t>
      </w:r>
    </w:p>
    <w:p w14:paraId="165ECA1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H、监理执业要求</w:t>
      </w:r>
    </w:p>
    <w:p w14:paraId="5BF34C9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 监理人员应遵守以下执业规定：</w:t>
      </w:r>
    </w:p>
    <w:p w14:paraId="11E7D7F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1）以“守法、诚信、公正、科学”的准则执业，维护建设方与承建方的合法权益；</w:t>
      </w:r>
    </w:p>
    <w:p w14:paraId="3267BE2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2）遵守并执行有关项目建设的法律、法规、规范、标准和制度；</w:t>
      </w:r>
    </w:p>
    <w:p w14:paraId="300E682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3）认真履行监理合同规定的义务和职责；</w:t>
      </w:r>
    </w:p>
    <w:p w14:paraId="718039C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4）不收受建设单位与承建单位的礼品或礼金；</w:t>
      </w:r>
    </w:p>
    <w:p w14:paraId="3C58819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5）不泄漏建设单位与承建单位的合同条款、业务资料、商业秘密以及其他需要保密的事项；</w:t>
      </w:r>
    </w:p>
    <w:p w14:paraId="34021E0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bCs w:val="0"/>
          <w:color w:val="000000"/>
          <w:spacing w:val="0"/>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6）坚持依据相关规则与规定，公正、独立地协调和处理与监理工作相关的争议问题。</w:t>
      </w:r>
    </w:p>
    <w:p w14:paraId="5CEAAD3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b/>
          <w:bCs/>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0"/>
          <w:w w:val="100"/>
          <w:kern w:val="2"/>
          <w:position w:val="0"/>
          <w:sz w:val="21"/>
          <w:szCs w:val="21"/>
          <w:shd w:val="clear" w:color="auto" w:fill="auto"/>
          <w:lang w:eastAsia="zh-CN" w:bidi="ar-SA"/>
        </w:rPr>
        <w:t>六、其他要求：</w:t>
      </w:r>
    </w:p>
    <w:p w14:paraId="16C8B86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380" w:lineRule="exact"/>
        <w:ind w:left="0" w:right="0" w:rightChars="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（一）、本项目不组织集中踏勘，供应商自行与采购人联系踏勘事</w:t>
      </w:r>
      <w:r>
        <w:rPr>
          <w:rFonts w:hint="eastAsia" w:ascii="宋体" w:hAnsi="宋体" w:eastAsia="宋体" w:cs="宋体"/>
          <w:color w:val="000000"/>
          <w:spacing w:val="0"/>
          <w:w w:val="100"/>
          <w:kern w:val="2"/>
          <w:position w:val="0"/>
          <w:sz w:val="21"/>
          <w:szCs w:val="21"/>
          <w:shd w:val="clear" w:color="auto" w:fill="auto"/>
          <w:lang w:eastAsia="zh-CN" w:bidi="ar-SA"/>
        </w:rPr>
        <w:t xml:space="preserve">宜。 </w:t>
      </w:r>
      <w:r>
        <w:rPr>
          <w:rFonts w:hint="eastAsia" w:ascii="宋体" w:hAnsi="宋体" w:eastAsia="宋体" w:cs="宋体"/>
          <w:color w:val="000000"/>
          <w:spacing w:val="1"/>
          <w:w w:val="100"/>
          <w:kern w:val="2"/>
          <w:position w:val="0"/>
          <w:sz w:val="21"/>
          <w:szCs w:val="21"/>
          <w:shd w:val="clear" w:color="auto" w:fill="auto"/>
          <w:lang w:eastAsia="zh-CN" w:bidi="ar-SA"/>
        </w:rPr>
        <w:t>自行承担踏勘中有可能发生的人员伤亡事故和财产损失的后果。现场</w:t>
      </w:r>
      <w:r>
        <w:rPr>
          <w:rFonts w:hint="eastAsia" w:ascii="宋体" w:hAnsi="宋体" w:eastAsia="宋体" w:cs="宋体"/>
          <w:color w:val="000000"/>
          <w:spacing w:val="0"/>
          <w:w w:val="100"/>
          <w:kern w:val="2"/>
          <w:position w:val="0"/>
          <w:sz w:val="21"/>
          <w:szCs w:val="21"/>
          <w:shd w:val="clear" w:color="auto" w:fill="auto"/>
          <w:lang w:eastAsia="zh-CN" w:bidi="ar-SA"/>
        </w:rPr>
        <w:t>踏勘中获取</w:t>
      </w:r>
      <w:r>
        <w:rPr>
          <w:rFonts w:hint="eastAsia" w:ascii="宋体" w:hAnsi="宋体" w:eastAsia="宋体" w:cs="宋体"/>
          <w:color w:val="000000"/>
          <w:spacing w:val="1"/>
          <w:w w:val="100"/>
          <w:kern w:val="2"/>
          <w:position w:val="0"/>
          <w:sz w:val="21"/>
          <w:szCs w:val="21"/>
          <w:shd w:val="clear" w:color="auto" w:fill="auto"/>
          <w:lang w:eastAsia="zh-CN" w:bidi="ar-SA"/>
        </w:rPr>
        <w:t>的资料和数据可作为编制响应文件时使用，采购人不对使用上述资料和数据所</w:t>
      </w:r>
      <w:r>
        <w:rPr>
          <w:rFonts w:hint="eastAsia" w:ascii="宋体" w:hAnsi="宋体" w:eastAsia="宋体" w:cs="宋体"/>
          <w:color w:val="000000"/>
          <w:spacing w:val="0"/>
          <w:w w:val="100"/>
          <w:kern w:val="2"/>
          <w:position w:val="0"/>
          <w:sz w:val="21"/>
          <w:szCs w:val="21"/>
          <w:shd w:val="clear" w:color="auto" w:fill="auto"/>
          <w:lang w:eastAsia="zh-CN" w:bidi="ar-SA"/>
        </w:rPr>
        <w:t>作</w:t>
      </w:r>
      <w:r>
        <w:rPr>
          <w:rFonts w:hint="eastAsia" w:ascii="宋体" w:hAnsi="宋体" w:eastAsia="宋体" w:cs="宋体"/>
          <w:color w:val="000000"/>
          <w:spacing w:val="-2"/>
          <w:w w:val="100"/>
          <w:kern w:val="2"/>
          <w:position w:val="0"/>
          <w:sz w:val="21"/>
          <w:szCs w:val="21"/>
          <w:shd w:val="clear" w:color="auto" w:fill="auto"/>
          <w:lang w:eastAsia="zh-CN" w:bidi="ar-SA"/>
        </w:rPr>
        <w:t>的分析判断和结论负责。供应商现场踏勘的一切费用自理。</w:t>
      </w:r>
    </w:p>
    <w:p w14:paraId="6FABBE8D">
      <w:pPr>
        <w:keepNext/>
        <w:keepLines/>
        <w:pageBreakBefore w:val="0"/>
        <w:widowControl w:val="0"/>
        <w:shd w:val="clear" w:color="auto" w:fill="auto"/>
        <w:kinsoku/>
        <w:wordWrap/>
        <w:overflowPunct/>
        <w:topLinePunct w:val="0"/>
        <w:autoSpaceDE/>
        <w:autoSpaceDN/>
        <w:bidi w:val="0"/>
        <w:adjustRightInd/>
        <w:snapToGrid/>
        <w:spacing w:before="0" w:after="0" w:line="380" w:lineRule="exact"/>
        <w:ind w:left="0" w:right="0" w:firstLine="0"/>
        <w:jc w:val="both"/>
        <w:textAlignment w:val="auto"/>
        <w:outlineLvl w:val="1"/>
        <w:rPr>
          <w:rFonts w:hint="eastAsia" w:ascii="宋体" w:hAnsi="宋体" w:eastAsia="宋体" w:cs="宋体"/>
          <w:b/>
          <w:bCs/>
          <w:color w:val="000000"/>
          <w:spacing w:val="-2"/>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2"/>
          <w:w w:val="100"/>
          <w:kern w:val="2"/>
          <w:position w:val="0"/>
          <w:sz w:val="21"/>
          <w:szCs w:val="21"/>
          <w:shd w:val="clear" w:color="auto" w:fill="auto"/>
          <w:lang w:val="en-US" w:eastAsia="zh-CN" w:bidi="ar-SA"/>
        </w:rPr>
        <w:t>（二）</w:t>
      </w:r>
      <w:r>
        <w:rPr>
          <w:rFonts w:hint="eastAsia" w:ascii="宋体" w:hAnsi="宋体" w:eastAsia="宋体" w:cs="宋体"/>
          <w:b w:val="0"/>
          <w:bCs w:val="0"/>
          <w:color w:val="000000"/>
          <w:spacing w:val="-1"/>
          <w:w w:val="100"/>
          <w:kern w:val="2"/>
          <w:position w:val="0"/>
          <w:sz w:val="21"/>
          <w:szCs w:val="21"/>
          <w:shd w:val="clear" w:color="auto" w:fill="auto"/>
          <w:lang w:val="en-US" w:eastAsia="zh-CN" w:bidi="ar-SA"/>
        </w:rPr>
        <w:t>成交供应商负责其派出的监理人员</w:t>
      </w:r>
      <w:r>
        <w:rPr>
          <w:rFonts w:hint="eastAsia" w:ascii="宋体" w:hAnsi="宋体" w:eastAsia="宋体" w:cs="宋体"/>
          <w:b w:val="0"/>
          <w:bCs w:val="0"/>
          <w:color w:val="000000"/>
          <w:spacing w:val="-2"/>
          <w:w w:val="100"/>
          <w:kern w:val="2"/>
          <w:position w:val="0"/>
          <w:sz w:val="21"/>
          <w:szCs w:val="21"/>
          <w:shd w:val="clear" w:color="auto" w:fill="auto"/>
          <w:lang w:val="en-US" w:eastAsia="zh-CN" w:bidi="ar-SA"/>
        </w:rPr>
        <w:t>的人身意外保险</w:t>
      </w:r>
      <w:r>
        <w:rPr>
          <w:rFonts w:hint="eastAsia" w:ascii="宋体" w:hAnsi="宋体" w:eastAsia="宋体" w:cs="宋体"/>
          <w:b/>
          <w:bCs/>
          <w:color w:val="000000"/>
          <w:spacing w:val="-2"/>
          <w:w w:val="100"/>
          <w:kern w:val="2"/>
          <w:position w:val="0"/>
          <w:sz w:val="21"/>
          <w:szCs w:val="21"/>
          <w:shd w:val="clear" w:color="auto" w:fill="auto"/>
          <w:lang w:val="en-US" w:eastAsia="zh-CN" w:bidi="ar-SA"/>
        </w:rPr>
        <w:t>。</w:t>
      </w:r>
    </w:p>
    <w:p w14:paraId="6E4DA46C">
      <w:pPr>
        <w:keepNext/>
        <w:keepLines/>
        <w:pageBreakBefore w:val="0"/>
        <w:widowControl w:val="0"/>
        <w:shd w:val="clear" w:color="auto" w:fill="auto"/>
        <w:kinsoku/>
        <w:wordWrap/>
        <w:overflowPunct/>
        <w:topLinePunct w:val="0"/>
        <w:autoSpaceDE/>
        <w:autoSpaceDN/>
        <w:bidi w:val="0"/>
        <w:adjustRightInd/>
        <w:snapToGrid/>
        <w:spacing w:before="0" w:after="0" w:line="380" w:lineRule="exact"/>
        <w:ind w:left="0" w:right="0" w:firstLine="0"/>
        <w:jc w:val="both"/>
        <w:textAlignment w:val="auto"/>
        <w:outlineLvl w:val="1"/>
        <w:rPr>
          <w:rFonts w:hint="eastAsia" w:ascii="宋体" w:hAnsi="宋体" w:eastAsia="宋体" w:cs="宋体"/>
          <w:b/>
          <w:bCs/>
          <w:color w:val="000000"/>
          <w:spacing w:val="0"/>
          <w:w w:val="100"/>
          <w:kern w:val="2"/>
          <w:position w:val="0"/>
          <w:sz w:val="21"/>
          <w:szCs w:val="21"/>
          <w:shd w:val="clear" w:color="auto" w:fill="auto"/>
          <w:lang w:val="en-US" w:eastAsia="zh-CN" w:bidi="ar-SA"/>
        </w:rPr>
      </w:pPr>
      <w:r>
        <w:rPr>
          <w:rFonts w:hint="eastAsia" w:ascii="宋体" w:hAnsi="宋体" w:eastAsia="宋体" w:cs="宋体"/>
          <w:b/>
          <w:bCs/>
          <w:color w:val="000000"/>
          <w:spacing w:val="-3"/>
          <w:w w:val="100"/>
          <w:kern w:val="2"/>
          <w:position w:val="0"/>
          <w:sz w:val="21"/>
          <w:szCs w:val="21"/>
          <w:shd w:val="clear" w:color="auto" w:fill="auto"/>
          <w:lang w:val="en-US" w:eastAsia="zh-CN" w:bidi="ar-SA"/>
        </w:rPr>
        <w:t>七、本项目需要提交的附件：无</w:t>
      </w:r>
      <w:r>
        <w:rPr>
          <w:rFonts w:hint="eastAsia" w:ascii="宋体" w:hAnsi="宋体" w:eastAsia="宋体" w:cs="宋体"/>
          <w:b/>
          <w:bCs/>
          <w:color w:val="000000"/>
          <w:spacing w:val="41"/>
          <w:w w:val="100"/>
          <w:kern w:val="2"/>
          <w:position w:val="0"/>
          <w:sz w:val="21"/>
          <w:szCs w:val="21"/>
          <w:shd w:val="clear" w:color="auto" w:fill="auto"/>
          <w:lang w:val="en-US" w:eastAsia="zh-CN" w:bidi="ar-SA"/>
        </w:rPr>
        <w:t xml:space="preserve"> </w:t>
      </w:r>
    </w:p>
    <w:p w14:paraId="72F5761D">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00" w:lineRule="exact"/>
        <w:ind w:left="0" w:leftChars="0" w:right="0" w:rightChars="0" w:firstLine="0"/>
        <w:jc w:val="left"/>
        <w:textAlignment w:val="auto"/>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6536FB8B">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4BC4B70F">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7968410C">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3ADC0F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sz w:val="21"/>
          <w:szCs w:val="21"/>
          <w:highlight w:val="none"/>
          <w:lang w:val="en-US" w:eastAsia="zh-CN"/>
        </w:rPr>
      </w:pPr>
    </w:p>
    <w:p w14:paraId="229D9FF2">
      <w:pPr>
        <w:pStyle w:val="5"/>
        <w:pageBreakBefore w:val="0"/>
        <w:widowControl/>
        <w:kinsoku/>
        <w:wordWrap/>
        <w:overflowPunct/>
        <w:bidi w:val="0"/>
        <w:spacing w:line="360" w:lineRule="auto"/>
        <w:jc w:val="both"/>
        <w:textAlignment w:val="auto"/>
        <w:rPr>
          <w:rFonts w:hint="eastAsia" w:ascii="宋体" w:hAnsi="宋体" w:eastAsia="宋体" w:cs="宋体"/>
          <w:b/>
          <w:bCs/>
          <w:sz w:val="28"/>
          <w:szCs w:val="28"/>
        </w:rPr>
      </w:pPr>
      <w:r>
        <w:rPr>
          <w:rFonts w:hint="eastAsia" w:ascii="宋体" w:hAnsi="宋体" w:eastAsia="宋体" w:cs="宋体"/>
          <w:sz w:val="24"/>
          <w:szCs w:val="24"/>
          <w:lang w:val="en-US" w:eastAsia="zh-CN"/>
        </w:rPr>
        <w:t xml:space="preserve">                      </w:t>
      </w:r>
      <w:r>
        <w:rPr>
          <w:rFonts w:hint="eastAsia" w:ascii="宋体" w:hAnsi="宋体" w:eastAsia="宋体" w:cs="宋体"/>
          <w:b/>
          <w:bCs/>
          <w:sz w:val="28"/>
          <w:szCs w:val="28"/>
        </w:rPr>
        <w:t>第六章</w:t>
      </w:r>
      <w:r>
        <w:rPr>
          <w:rFonts w:hint="eastAsia" w:ascii="宋体" w:hAnsi="宋体" w:cs="宋体"/>
          <w:b/>
          <w:bCs/>
          <w:sz w:val="28"/>
          <w:szCs w:val="28"/>
          <w:lang w:val="en-US" w:eastAsia="zh-CN"/>
        </w:rPr>
        <w:t xml:space="preserve"> </w:t>
      </w:r>
      <w:r>
        <w:rPr>
          <w:rFonts w:hint="eastAsia" w:ascii="宋体" w:hAnsi="宋体" w:eastAsia="宋体" w:cs="宋体"/>
          <w:b/>
          <w:bCs/>
          <w:sz w:val="28"/>
          <w:szCs w:val="28"/>
        </w:rPr>
        <w:t>响应文件组成</w:t>
      </w:r>
      <w:bookmarkEnd w:id="87"/>
    </w:p>
    <w:p w14:paraId="23D145BE">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供应商的响应文件应包含以下部分：</w:t>
      </w:r>
    </w:p>
    <w:p w14:paraId="75CF4785">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88" w:name="_Toc25383"/>
      <w:r>
        <w:rPr>
          <w:rFonts w:hint="eastAsia" w:ascii="宋体" w:hAnsi="宋体" w:eastAsia="宋体" w:cs="宋体"/>
          <w:b/>
          <w:sz w:val="21"/>
          <w:szCs w:val="21"/>
        </w:rPr>
        <w:t>一、磋商响应声明</w:t>
      </w:r>
      <w:bookmarkEnd w:id="88"/>
    </w:p>
    <w:p w14:paraId="38CA4A23">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bookmarkStart w:id="89" w:name="_Toc32334"/>
      <w:r>
        <w:rPr>
          <w:rFonts w:hint="eastAsia" w:ascii="宋体" w:hAnsi="宋体" w:eastAsia="宋体" w:cs="宋体"/>
          <w:sz w:val="21"/>
          <w:szCs w:val="21"/>
        </w:rPr>
        <w:t>附件1-1 法定代表人身份证明</w:t>
      </w:r>
      <w:bookmarkEnd w:id="89"/>
    </w:p>
    <w:p w14:paraId="6AFC4119">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bookmarkStart w:id="90" w:name="_Toc22133"/>
      <w:r>
        <w:rPr>
          <w:rFonts w:hint="eastAsia" w:ascii="宋体" w:hAnsi="宋体" w:eastAsia="宋体" w:cs="宋体"/>
          <w:sz w:val="21"/>
          <w:szCs w:val="21"/>
        </w:rPr>
        <w:t>附件1-2 法定代表人授权委托书</w:t>
      </w:r>
      <w:bookmarkEnd w:id="90"/>
    </w:p>
    <w:p w14:paraId="3D1607BA">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91" w:name="_Toc5338"/>
      <w:r>
        <w:rPr>
          <w:rFonts w:hint="eastAsia" w:ascii="宋体" w:hAnsi="宋体" w:eastAsia="宋体" w:cs="宋体"/>
          <w:b/>
          <w:sz w:val="21"/>
          <w:szCs w:val="21"/>
        </w:rPr>
        <w:t>二、保证金</w:t>
      </w:r>
      <w:bookmarkEnd w:id="91"/>
    </w:p>
    <w:p w14:paraId="3272B050">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lang w:val="en-US" w:eastAsia="zh-CN"/>
        </w:rPr>
      </w:pPr>
      <w:bookmarkStart w:id="92" w:name="_Toc31249"/>
      <w:r>
        <w:rPr>
          <w:rFonts w:hint="eastAsia" w:ascii="宋体" w:hAnsi="宋体" w:eastAsia="宋体" w:cs="宋体"/>
          <w:sz w:val="21"/>
          <w:szCs w:val="21"/>
        </w:rPr>
        <w:t>附件2</w:t>
      </w:r>
      <w:r>
        <w:rPr>
          <w:rFonts w:hint="eastAsia" w:ascii="宋体" w:hAnsi="宋体" w:eastAsia="宋体" w:cs="宋体"/>
          <w:sz w:val="21"/>
          <w:szCs w:val="21"/>
          <w:lang w:val="en-US" w:eastAsia="zh-CN"/>
        </w:rPr>
        <w:t>-1 保函</w:t>
      </w:r>
      <w:bookmarkEnd w:id="92"/>
    </w:p>
    <w:p w14:paraId="4B9C8301">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lang w:eastAsia="zh-CN"/>
        </w:rPr>
      </w:pPr>
      <w:bookmarkStart w:id="93" w:name="_Toc19047"/>
      <w:r>
        <w:rPr>
          <w:rFonts w:hint="eastAsia" w:ascii="宋体" w:hAnsi="宋体" w:eastAsia="宋体" w:cs="宋体"/>
          <w:b/>
          <w:sz w:val="21"/>
          <w:szCs w:val="21"/>
        </w:rPr>
        <w:t>三、供应商的资格证明</w:t>
      </w:r>
      <w:r>
        <w:rPr>
          <w:rFonts w:hint="eastAsia" w:ascii="宋体" w:hAnsi="宋体" w:eastAsia="宋体" w:cs="宋体"/>
          <w:b/>
          <w:sz w:val="21"/>
          <w:szCs w:val="21"/>
          <w:lang w:eastAsia="zh-CN"/>
        </w:rPr>
        <w:t>文件</w:t>
      </w:r>
      <w:bookmarkEnd w:id="93"/>
    </w:p>
    <w:p w14:paraId="27AE388C">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jc w:val="left"/>
        <w:textAlignment w:val="auto"/>
        <w:outlineLvl w:val="0"/>
        <w:rPr>
          <w:rFonts w:hint="eastAsia" w:ascii="宋体" w:hAnsi="宋体" w:eastAsia="宋体" w:cs="宋体"/>
          <w:sz w:val="21"/>
          <w:szCs w:val="21"/>
          <w:lang w:eastAsia="zh-CN"/>
        </w:rPr>
      </w:pPr>
      <w:bookmarkStart w:id="94" w:name="_Toc30178"/>
      <w:r>
        <w:rPr>
          <w:rFonts w:hint="eastAsia" w:ascii="宋体" w:hAnsi="宋体" w:eastAsia="宋体" w:cs="宋体"/>
          <w:spacing w:val="-6"/>
          <w:sz w:val="21"/>
          <w:szCs w:val="21"/>
          <w:lang w:val="en-US" w:eastAsia="zh-CN"/>
        </w:rPr>
        <w:t xml:space="preserve">附件3-1 </w:t>
      </w:r>
      <w:r>
        <w:rPr>
          <w:rFonts w:hint="eastAsia" w:ascii="宋体" w:hAnsi="宋体" w:eastAsia="宋体" w:cs="宋体"/>
          <w:sz w:val="21"/>
          <w:szCs w:val="21"/>
          <w:lang w:eastAsia="zh-CN"/>
        </w:rPr>
        <w:t>供应商资格声明</w:t>
      </w:r>
      <w:bookmarkEnd w:id="94"/>
    </w:p>
    <w:p w14:paraId="0CD7178B">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jc w:val="left"/>
        <w:textAlignment w:val="auto"/>
        <w:outlineLvl w:val="0"/>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附件3-2 法人或者其他组织的营业执照等主体资格证明文件，自然人的身份证明</w:t>
      </w:r>
    </w:p>
    <w:p w14:paraId="622DCFDF">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ascii="宋体" w:hAnsi="宋体" w:eastAsia="宋体" w:cs="宋体"/>
          <w:sz w:val="21"/>
          <w:szCs w:val="21"/>
        </w:rPr>
      </w:pPr>
      <w:bookmarkStart w:id="95" w:name="_Toc2223"/>
      <w:r>
        <w:rPr>
          <w:rFonts w:hint="eastAsia" w:ascii="宋体" w:hAnsi="宋体" w:eastAsia="宋体" w:cs="宋体"/>
          <w:spacing w:val="-6"/>
          <w:sz w:val="21"/>
          <w:szCs w:val="21"/>
          <w:lang w:val="en-US" w:eastAsia="zh-CN"/>
        </w:rPr>
        <w:t xml:space="preserve">附件3-3 </w:t>
      </w:r>
      <w:r>
        <w:rPr>
          <w:rFonts w:hint="eastAsia" w:ascii="宋体" w:hAnsi="宋体" w:eastAsia="宋体" w:cs="宋体"/>
          <w:sz w:val="21"/>
          <w:szCs w:val="21"/>
        </w:rPr>
        <w:t>湖南省政府采购供应商资格承诺函（格式）</w:t>
      </w:r>
      <w:bookmarkEnd w:id="95"/>
    </w:p>
    <w:p w14:paraId="605490F8">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rPr>
      </w:pPr>
      <w:r>
        <w:rPr>
          <w:rFonts w:hint="eastAsia" w:ascii="宋体" w:hAnsi="宋体" w:eastAsia="宋体" w:cs="宋体"/>
          <w:spacing w:val="-6"/>
          <w:sz w:val="21"/>
          <w:szCs w:val="21"/>
          <w:lang w:val="en-US" w:eastAsia="zh-CN"/>
        </w:rPr>
        <w:t xml:space="preserve">附件3-4 </w:t>
      </w:r>
      <w:r>
        <w:rPr>
          <w:rFonts w:hint="eastAsia" w:ascii="宋体" w:hAnsi="宋体" w:eastAsia="宋体" w:cs="宋体"/>
          <w:sz w:val="21"/>
          <w:szCs w:val="21"/>
        </w:rPr>
        <w:t>参加政府采购活动前三年内在经营活动中没有重大违法记录的书面声明</w:t>
      </w:r>
    </w:p>
    <w:p w14:paraId="1FDDD005">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ascii="宋体" w:hAnsi="宋体" w:eastAsia="宋体" w:cs="宋体"/>
          <w:sz w:val="21"/>
          <w:szCs w:val="21"/>
        </w:rPr>
      </w:pPr>
      <w:bookmarkStart w:id="96" w:name="_Toc4218"/>
      <w:r>
        <w:rPr>
          <w:rFonts w:hint="eastAsia" w:ascii="宋体" w:hAnsi="宋体" w:eastAsia="宋体" w:cs="宋体"/>
          <w:spacing w:val="-6"/>
          <w:sz w:val="21"/>
          <w:szCs w:val="21"/>
          <w:lang w:val="en-US" w:eastAsia="zh-CN"/>
        </w:rPr>
        <w:t xml:space="preserve">附件3-5 </w:t>
      </w:r>
      <w:r>
        <w:rPr>
          <w:rFonts w:hint="eastAsia" w:ascii="宋体" w:hAnsi="宋体" w:eastAsia="宋体" w:cs="宋体"/>
          <w:sz w:val="21"/>
          <w:szCs w:val="21"/>
        </w:rPr>
        <w:t>磋商文件规定的</w:t>
      </w:r>
      <w:r>
        <w:rPr>
          <w:rFonts w:hint="eastAsia" w:ascii="宋体" w:hAnsi="宋体" w:eastAsia="宋体" w:cs="宋体"/>
          <w:sz w:val="21"/>
          <w:szCs w:val="21"/>
          <w:lang w:val="en-US" w:eastAsia="zh-CN"/>
        </w:rPr>
        <w:t>特定</w:t>
      </w:r>
      <w:r>
        <w:rPr>
          <w:rFonts w:hint="eastAsia" w:ascii="宋体" w:hAnsi="宋体" w:eastAsia="宋体" w:cs="宋体"/>
          <w:sz w:val="21"/>
          <w:szCs w:val="21"/>
        </w:rPr>
        <w:t>资格条件证明资料</w:t>
      </w:r>
      <w:bookmarkEnd w:id="96"/>
    </w:p>
    <w:p w14:paraId="4AB4B3E6">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default" w:ascii="宋体" w:hAnsi="宋体" w:eastAsia="宋体" w:cs="宋体"/>
          <w:sz w:val="21"/>
          <w:szCs w:val="21"/>
          <w:lang w:val="en-US" w:eastAsia="zh-CN"/>
        </w:rPr>
      </w:pPr>
      <w:bookmarkStart w:id="97" w:name="_Toc30897"/>
      <w:r>
        <w:rPr>
          <w:rFonts w:hint="eastAsia" w:ascii="宋体" w:hAnsi="宋体" w:eastAsia="宋体" w:cs="宋体"/>
          <w:spacing w:val="-6"/>
          <w:sz w:val="21"/>
          <w:szCs w:val="21"/>
          <w:lang w:val="en-US" w:eastAsia="zh-CN"/>
        </w:rPr>
        <w:t>附件3-6</w:t>
      </w:r>
      <w:r>
        <w:rPr>
          <w:rFonts w:hint="eastAsia" w:ascii="宋体" w:hAnsi="宋体" w:eastAsia="宋体" w:cs="宋体"/>
          <w:sz w:val="21"/>
          <w:szCs w:val="21"/>
        </w:rPr>
        <w:t xml:space="preserve"> </w:t>
      </w:r>
      <w:r>
        <w:rPr>
          <w:rFonts w:hint="eastAsia" w:ascii="宋体" w:hAnsi="宋体" w:eastAsia="宋体" w:cs="宋体"/>
          <w:sz w:val="21"/>
          <w:szCs w:val="21"/>
          <w:highlight w:val="none"/>
        </w:rPr>
        <w:t>供应商</w:t>
      </w:r>
      <w:bookmarkEnd w:id="97"/>
      <w:r>
        <w:rPr>
          <w:rFonts w:hint="eastAsia" w:ascii="宋体" w:hAnsi="宋体" w:eastAsia="宋体" w:cs="宋体"/>
          <w:sz w:val="21"/>
          <w:szCs w:val="21"/>
          <w:highlight w:val="none"/>
          <w:lang w:val="en-US" w:eastAsia="zh-CN"/>
        </w:rPr>
        <w:t>基本情况表</w:t>
      </w:r>
    </w:p>
    <w:p w14:paraId="5B7F0C82">
      <w:pPr>
        <w:pStyle w:val="4"/>
        <w:keepLines w:val="0"/>
        <w:pageBreakBefore w:val="0"/>
        <w:widowControl w:val="0"/>
        <w:kinsoku/>
        <w:wordWrap/>
        <w:overflowPunct/>
        <w:topLinePunct w:val="0"/>
        <w:autoSpaceDE/>
        <w:autoSpaceDN/>
        <w:bidi w:val="0"/>
        <w:spacing w:beforeAutospacing="0" w:afterAutospacing="0" w:line="500" w:lineRule="exact"/>
        <w:ind w:firstLine="396" w:firstLineChars="200"/>
        <w:jc w:val="both"/>
        <w:textAlignment w:val="auto"/>
        <w:rPr>
          <w:rFonts w:hint="eastAsia" w:ascii="宋体" w:hAnsi="宋体" w:eastAsia="宋体" w:cs="宋体"/>
          <w:b w:val="0"/>
          <w:bCs w:val="0"/>
          <w:sz w:val="21"/>
          <w:szCs w:val="21"/>
          <w:lang w:val="en-US" w:eastAsia="zh-CN"/>
        </w:rPr>
      </w:pPr>
      <w:bookmarkStart w:id="98" w:name="_Toc16562"/>
      <w:r>
        <w:rPr>
          <w:rFonts w:hint="eastAsia" w:ascii="宋体" w:hAnsi="宋体" w:eastAsia="宋体" w:cs="宋体"/>
          <w:b w:val="0"/>
          <w:bCs/>
          <w:spacing w:val="-6"/>
          <w:sz w:val="21"/>
          <w:szCs w:val="21"/>
          <w:lang w:val="en-US" w:eastAsia="zh-CN"/>
        </w:rPr>
        <w:t>附件3-7</w:t>
      </w:r>
      <w:r>
        <w:rPr>
          <w:rFonts w:hint="eastAsia" w:ascii="宋体" w:hAnsi="宋体" w:eastAsia="宋体" w:cs="宋体"/>
          <w:spacing w:val="-6"/>
          <w:sz w:val="21"/>
          <w:szCs w:val="21"/>
          <w:lang w:val="en-US" w:eastAsia="zh-CN"/>
        </w:rPr>
        <w:t xml:space="preserve"> </w:t>
      </w:r>
      <w:r>
        <w:rPr>
          <w:rFonts w:hint="eastAsia" w:ascii="宋体" w:hAnsi="宋体" w:eastAsia="宋体" w:cs="宋体"/>
          <w:b w:val="0"/>
          <w:bCs w:val="0"/>
          <w:sz w:val="21"/>
          <w:szCs w:val="21"/>
          <w:lang w:val="en-US" w:eastAsia="zh-CN"/>
        </w:rPr>
        <w:t>本项目人员配备情况表</w:t>
      </w:r>
      <w:bookmarkEnd w:id="98"/>
    </w:p>
    <w:p w14:paraId="16E43C09">
      <w:pPr>
        <w:keepLines w:val="0"/>
        <w:pageBreakBefore w:val="0"/>
        <w:widowControl w:val="0"/>
        <w:kinsoku/>
        <w:wordWrap/>
        <w:overflowPunct/>
        <w:topLinePunct w:val="0"/>
        <w:autoSpaceDE/>
        <w:autoSpaceDN/>
        <w:bidi w:val="0"/>
        <w:spacing w:line="500" w:lineRule="exact"/>
        <w:textAlignment w:val="auto"/>
        <w:rPr>
          <w:rFonts w:hint="default"/>
          <w:b/>
          <w:bCs/>
          <w:lang w:val="en-US" w:eastAsia="zh-CN"/>
        </w:rPr>
      </w:pPr>
      <w:r>
        <w:rPr>
          <w:rFonts w:hint="eastAsia" w:ascii="宋体" w:hAnsi="宋体" w:eastAsia="宋体" w:cs="宋体"/>
          <w:b/>
          <w:bCs/>
          <w:sz w:val="21"/>
          <w:szCs w:val="21"/>
          <w:lang w:val="en-US" w:eastAsia="zh-CN"/>
        </w:rPr>
        <w:t>四、项目实施方案</w:t>
      </w:r>
    </w:p>
    <w:p w14:paraId="7BBA3A3C">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99" w:name="_Toc10354"/>
      <w:r>
        <w:rPr>
          <w:rFonts w:hint="eastAsia" w:ascii="宋体" w:hAnsi="宋体" w:eastAsia="宋体" w:cs="宋体"/>
          <w:b/>
          <w:sz w:val="21"/>
          <w:szCs w:val="21"/>
          <w:lang w:val="en-US" w:eastAsia="zh-CN"/>
        </w:rPr>
        <w:t>五</w:t>
      </w:r>
      <w:r>
        <w:rPr>
          <w:rFonts w:hint="eastAsia" w:ascii="宋体" w:hAnsi="宋体" w:eastAsia="宋体" w:cs="宋体"/>
          <w:b/>
          <w:sz w:val="21"/>
          <w:szCs w:val="21"/>
        </w:rPr>
        <w:t>、技术/商务响应与偏离表</w:t>
      </w:r>
      <w:bookmarkEnd w:id="99"/>
    </w:p>
    <w:p w14:paraId="47EB63A0">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00" w:name="_Toc11484"/>
      <w:r>
        <w:rPr>
          <w:rFonts w:hint="eastAsia" w:ascii="宋体" w:hAnsi="宋体" w:eastAsia="宋体" w:cs="宋体"/>
          <w:b/>
          <w:sz w:val="21"/>
          <w:szCs w:val="21"/>
          <w:lang w:val="en-US" w:eastAsia="zh-CN"/>
        </w:rPr>
        <w:t>六</w:t>
      </w:r>
      <w:r>
        <w:rPr>
          <w:rFonts w:hint="eastAsia" w:ascii="宋体" w:hAnsi="宋体" w:eastAsia="宋体" w:cs="宋体"/>
          <w:b/>
          <w:sz w:val="21"/>
          <w:szCs w:val="21"/>
        </w:rPr>
        <w:t>、提供</w:t>
      </w:r>
      <w:r>
        <w:rPr>
          <w:rFonts w:hint="eastAsia" w:ascii="宋体" w:hAnsi="宋体" w:eastAsia="宋体" w:cs="宋体"/>
          <w:b/>
          <w:sz w:val="21"/>
          <w:szCs w:val="21"/>
          <w:lang w:val="en-US" w:eastAsia="zh-CN"/>
        </w:rPr>
        <w:t>享受</w:t>
      </w:r>
      <w:r>
        <w:rPr>
          <w:rFonts w:hint="eastAsia" w:ascii="宋体" w:hAnsi="宋体" w:eastAsia="宋体" w:cs="宋体"/>
          <w:b/>
          <w:sz w:val="21"/>
          <w:szCs w:val="21"/>
        </w:rPr>
        <w:t>政府采购政策</w:t>
      </w:r>
      <w:r>
        <w:rPr>
          <w:rFonts w:hint="eastAsia" w:ascii="宋体" w:hAnsi="宋体" w:eastAsia="宋体" w:cs="宋体"/>
          <w:b/>
          <w:sz w:val="21"/>
          <w:szCs w:val="21"/>
          <w:lang w:val="en-US" w:eastAsia="zh-CN"/>
        </w:rPr>
        <w:t>的</w:t>
      </w:r>
      <w:r>
        <w:rPr>
          <w:rFonts w:hint="eastAsia" w:ascii="宋体" w:hAnsi="宋体" w:eastAsia="宋体" w:cs="宋体"/>
          <w:b/>
          <w:sz w:val="21"/>
          <w:szCs w:val="21"/>
        </w:rPr>
        <w:t>证明材料</w:t>
      </w:r>
      <w:bookmarkEnd w:id="100"/>
    </w:p>
    <w:p w14:paraId="42E635E3">
      <w:pPr>
        <w:pStyle w:val="4"/>
        <w:keepLines w:val="0"/>
        <w:pageBreakBefore w:val="0"/>
        <w:widowControl w:val="0"/>
        <w:kinsoku/>
        <w:wordWrap/>
        <w:overflowPunct/>
        <w:topLinePunct w:val="0"/>
        <w:autoSpaceDE/>
        <w:autoSpaceDN/>
        <w:bidi w:val="0"/>
        <w:spacing w:beforeAutospacing="0" w:afterAutospacing="0" w:line="500" w:lineRule="exact"/>
        <w:ind w:firstLine="420" w:firstLineChars="200"/>
        <w:jc w:val="both"/>
        <w:textAlignment w:val="auto"/>
        <w:rPr>
          <w:rFonts w:hint="eastAsia" w:ascii="宋体" w:hAnsi="宋体" w:eastAsia="宋体" w:cs="宋体"/>
          <w:b w:val="0"/>
          <w:bCs w:val="0"/>
          <w:sz w:val="21"/>
          <w:szCs w:val="21"/>
        </w:rPr>
      </w:pPr>
      <w:bookmarkStart w:id="101" w:name="_Toc15311"/>
      <w:r>
        <w:rPr>
          <w:rFonts w:hint="eastAsia" w:ascii="宋体" w:hAnsi="宋体" w:eastAsia="宋体" w:cs="宋体"/>
          <w:b w:val="0"/>
          <w:bCs w:val="0"/>
          <w:sz w:val="21"/>
          <w:szCs w:val="21"/>
        </w:rPr>
        <w:t>附件</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-1中、小企业声明函</w:t>
      </w:r>
      <w:bookmarkEnd w:id="101"/>
    </w:p>
    <w:p w14:paraId="06CA0FFC">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-2 残疾人福利性单位声明函</w:t>
      </w:r>
    </w:p>
    <w:p w14:paraId="0ECD915B">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-3 监狱企业证明资料</w:t>
      </w:r>
    </w:p>
    <w:p w14:paraId="004C2042">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-4 强制采购或者优先采购产品的证明材料</w:t>
      </w:r>
    </w:p>
    <w:p w14:paraId="183DFDE7">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02" w:name="_Toc3281"/>
      <w:r>
        <w:rPr>
          <w:rFonts w:hint="eastAsia" w:ascii="宋体" w:hAnsi="宋体" w:eastAsia="宋体" w:cs="宋体"/>
          <w:b/>
          <w:sz w:val="21"/>
          <w:szCs w:val="21"/>
          <w:lang w:val="en-US" w:eastAsia="zh-CN"/>
        </w:rPr>
        <w:t>七</w:t>
      </w:r>
      <w:r>
        <w:rPr>
          <w:rFonts w:hint="eastAsia" w:ascii="宋体" w:hAnsi="宋体" w:eastAsia="宋体" w:cs="宋体"/>
          <w:b/>
          <w:sz w:val="21"/>
          <w:szCs w:val="21"/>
        </w:rPr>
        <w:t>、报价一览表及分项价格表</w:t>
      </w:r>
      <w:bookmarkEnd w:id="102"/>
    </w:p>
    <w:p w14:paraId="241865DC">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0"/>
        <w:rPr>
          <w:rFonts w:hint="eastAsia" w:ascii="宋体" w:hAnsi="宋体" w:eastAsia="宋体" w:cs="宋体"/>
          <w:sz w:val="21"/>
          <w:szCs w:val="21"/>
        </w:rPr>
      </w:pPr>
      <w:bookmarkStart w:id="103" w:name="_Toc26861"/>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-1 报价一览表</w:t>
      </w:r>
      <w:bookmarkEnd w:id="103"/>
    </w:p>
    <w:p w14:paraId="567B56E5">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b/>
          <w:sz w:val="21"/>
          <w:szCs w:val="21"/>
          <w:lang w:eastAsia="zh-CN"/>
        </w:rPr>
      </w:pPr>
      <w:bookmarkStart w:id="104" w:name="_Toc19750"/>
      <w:r>
        <w:rPr>
          <w:rFonts w:hint="eastAsia" w:ascii="宋体" w:hAnsi="宋体" w:eastAsia="宋体" w:cs="宋体"/>
          <w:b w:val="0"/>
          <w:bCs/>
          <w:sz w:val="21"/>
          <w:szCs w:val="21"/>
          <w:lang w:eastAsia="zh-CN"/>
        </w:rPr>
        <w:t>附件</w:t>
      </w:r>
      <w:r>
        <w:rPr>
          <w:rFonts w:hint="eastAsia" w:ascii="宋体" w:hAnsi="宋体" w:eastAsia="宋体" w:cs="宋体"/>
          <w:b w:val="0"/>
          <w:bCs/>
          <w:sz w:val="21"/>
          <w:szCs w:val="21"/>
          <w:lang w:val="en-US" w:eastAsia="zh-CN"/>
        </w:rPr>
        <w:t>7</w:t>
      </w:r>
      <w:r>
        <w:rPr>
          <w:rFonts w:hint="eastAsia" w:ascii="宋体" w:hAnsi="宋体" w:eastAsia="宋体" w:cs="宋体"/>
          <w:b w:val="0"/>
          <w:bCs/>
          <w:sz w:val="21"/>
          <w:szCs w:val="21"/>
          <w:lang w:eastAsia="zh-CN"/>
        </w:rPr>
        <w:t>-2分项报价明细表</w:t>
      </w:r>
      <w:bookmarkEnd w:id="104"/>
    </w:p>
    <w:p w14:paraId="42DF9200">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05" w:name="_Toc17666"/>
      <w:r>
        <w:rPr>
          <w:rFonts w:hint="eastAsia" w:ascii="宋体" w:hAnsi="宋体" w:eastAsia="宋体" w:cs="宋体"/>
          <w:b/>
          <w:sz w:val="21"/>
          <w:szCs w:val="21"/>
          <w:lang w:val="en-US" w:eastAsia="zh-CN"/>
        </w:rPr>
        <w:t>八</w:t>
      </w:r>
      <w:r>
        <w:rPr>
          <w:rFonts w:hint="eastAsia" w:ascii="宋体" w:hAnsi="宋体" w:eastAsia="宋体" w:cs="宋体"/>
          <w:b/>
          <w:sz w:val="21"/>
          <w:szCs w:val="21"/>
        </w:rPr>
        <w:t>、供应商认为需提供的资料及说明</w:t>
      </w:r>
      <w:bookmarkEnd w:id="105"/>
    </w:p>
    <w:p w14:paraId="254486F5">
      <w:pPr>
        <w:pStyle w:val="24"/>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1"/>
          <w:szCs w:val="21"/>
          <w:lang w:eastAsia="zh-CN"/>
        </w:rPr>
      </w:pPr>
      <w:r>
        <w:rPr>
          <w:rFonts w:hint="eastAsia" w:hAnsi="宋体" w:cs="宋体"/>
          <w:b/>
          <w:sz w:val="21"/>
          <w:szCs w:val="21"/>
          <w:lang w:val="en-US" w:eastAsia="zh-CN"/>
        </w:rPr>
        <w:t>九</w:t>
      </w:r>
      <w:r>
        <w:rPr>
          <w:rFonts w:hint="eastAsia" w:ascii="宋体" w:hAnsi="宋体" w:eastAsia="宋体" w:cs="宋体"/>
          <w:b/>
          <w:sz w:val="21"/>
          <w:szCs w:val="21"/>
        </w:rPr>
        <w:t>、</w:t>
      </w:r>
      <w:r>
        <w:rPr>
          <w:rFonts w:hint="eastAsia" w:ascii="宋体" w:hAnsi="宋体" w:eastAsia="宋体" w:cs="宋体"/>
          <w:b/>
          <w:sz w:val="21"/>
          <w:szCs w:val="21"/>
          <w:lang w:eastAsia="zh-CN"/>
        </w:rPr>
        <w:t>最终报价表</w:t>
      </w:r>
    </w:p>
    <w:p w14:paraId="16DA24E9">
      <w:pPr>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color w:val="000000"/>
          <w:sz w:val="21"/>
          <w:szCs w:val="21"/>
        </w:rPr>
      </w:pPr>
    </w:p>
    <w:p w14:paraId="4567BD12">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outlineLvl w:val="0"/>
        <w:rPr>
          <w:rFonts w:hint="eastAsia" w:ascii="宋体" w:hAnsi="宋体" w:eastAsia="宋体" w:cs="宋体"/>
          <w:b/>
          <w:bCs/>
          <w:spacing w:val="113"/>
          <w:sz w:val="72"/>
          <w:szCs w:val="72"/>
        </w:rPr>
      </w:pPr>
    </w:p>
    <w:p w14:paraId="7A83C3E8">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r>
        <w:rPr>
          <w:rFonts w:hint="eastAsia" w:ascii="宋体" w:hAnsi="宋体" w:eastAsia="宋体" w:cs="宋体"/>
          <w:b/>
          <w:bCs/>
          <w:spacing w:val="113"/>
          <w:sz w:val="72"/>
          <w:szCs w:val="72"/>
        </w:rPr>
        <w:t>政府采购</w:t>
      </w:r>
      <w:bookmarkStart w:id="106" w:name="_Toc24716"/>
    </w:p>
    <w:p w14:paraId="0138BDCC">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bookmarkStart w:id="107" w:name="_Toc19597"/>
      <w:r>
        <w:rPr>
          <w:rFonts w:hint="eastAsia" w:ascii="宋体" w:hAnsi="宋体" w:eastAsia="宋体" w:cs="宋体"/>
          <w:b/>
          <w:bCs/>
          <w:spacing w:val="113"/>
          <w:sz w:val="72"/>
          <w:szCs w:val="72"/>
        </w:rPr>
        <w:t>响 应 文 件</w:t>
      </w:r>
      <w:bookmarkEnd w:id="106"/>
      <w:bookmarkEnd w:id="107"/>
    </w:p>
    <w:p w14:paraId="339291B9">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color w:val="000000"/>
          <w:sz w:val="30"/>
          <w:szCs w:val="30"/>
        </w:rPr>
      </w:pPr>
    </w:p>
    <w:p w14:paraId="14B1C852">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rPr>
      </w:pPr>
      <w:bookmarkStart w:id="108" w:name="_Toc8032"/>
      <w:bookmarkStart w:id="109" w:name="_Toc12440"/>
      <w:r>
        <w:rPr>
          <w:rFonts w:hint="eastAsia" w:ascii="宋体" w:hAnsi="宋体" w:eastAsia="宋体" w:cs="宋体"/>
          <w:b/>
          <w:bCs/>
          <w:sz w:val="30"/>
          <w:szCs w:val="30"/>
        </w:rPr>
        <w:t>采购项目名称:</w:t>
      </w:r>
      <w:bookmarkEnd w:id="108"/>
      <w:bookmarkEnd w:id="109"/>
      <w:bookmarkStart w:id="110" w:name="_Toc7569"/>
      <w:bookmarkStart w:id="111" w:name="_Toc10815"/>
    </w:p>
    <w:p w14:paraId="7E2D3225">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rPr>
      </w:pPr>
      <w:r>
        <w:rPr>
          <w:rFonts w:hint="eastAsia" w:ascii="宋体" w:hAnsi="宋体" w:eastAsia="宋体" w:cs="宋体"/>
          <w:b/>
          <w:bCs/>
          <w:sz w:val="30"/>
          <w:szCs w:val="30"/>
        </w:rPr>
        <w:t>采   购   人：</w:t>
      </w:r>
      <w:bookmarkEnd w:id="110"/>
      <w:bookmarkEnd w:id="111"/>
    </w:p>
    <w:p w14:paraId="6697FE38">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sz w:val="30"/>
          <w:szCs w:val="30"/>
        </w:rPr>
      </w:pPr>
      <w:r>
        <w:rPr>
          <w:rFonts w:hint="eastAsia" w:ascii="宋体" w:hAnsi="宋体" w:eastAsia="宋体" w:cs="宋体"/>
          <w:b/>
          <w:bCs/>
          <w:kern w:val="2"/>
          <w:sz w:val="30"/>
          <w:szCs w:val="30"/>
          <w:lang w:val="en-US" w:eastAsia="zh-CN" w:bidi="ar-SA"/>
        </w:rPr>
        <w:t>采购项目编号：</w:t>
      </w:r>
    </w:p>
    <w:p w14:paraId="3671B282">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u w:val="single"/>
        </w:rPr>
      </w:pPr>
      <w:bookmarkStart w:id="112" w:name="_Toc18444"/>
      <w:bookmarkStart w:id="113" w:name="_Toc3452"/>
      <w:r>
        <w:rPr>
          <w:rFonts w:hint="eastAsia" w:ascii="宋体" w:hAnsi="宋体" w:eastAsia="宋体" w:cs="宋体"/>
          <w:b/>
          <w:bCs/>
          <w:sz w:val="30"/>
          <w:szCs w:val="30"/>
        </w:rPr>
        <w:t>政府采购计划编号:</w:t>
      </w:r>
      <w:bookmarkEnd w:id="112"/>
      <w:bookmarkEnd w:id="113"/>
    </w:p>
    <w:p w14:paraId="106BAD1F">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u w:val="single"/>
        </w:rPr>
      </w:pPr>
      <w:bookmarkStart w:id="114" w:name="_Toc6678"/>
      <w:bookmarkStart w:id="115" w:name="_Toc28327"/>
      <w:r>
        <w:rPr>
          <w:rFonts w:hint="eastAsia" w:hAnsi="宋体" w:cs="宋体"/>
          <w:b/>
          <w:bCs/>
          <w:sz w:val="30"/>
          <w:szCs w:val="30"/>
          <w:lang w:val="en-US" w:eastAsia="zh-CN"/>
        </w:rPr>
        <w:t>委托</w:t>
      </w:r>
      <w:r>
        <w:rPr>
          <w:rFonts w:hint="eastAsia" w:ascii="宋体" w:hAnsi="宋体" w:eastAsia="宋体" w:cs="宋体"/>
          <w:b/>
          <w:bCs/>
          <w:sz w:val="30"/>
          <w:szCs w:val="30"/>
        </w:rPr>
        <w:t>代理编号:</w:t>
      </w:r>
      <w:bookmarkEnd w:id="114"/>
      <w:bookmarkEnd w:id="115"/>
    </w:p>
    <w:p w14:paraId="56DE62B2">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u w:val="single"/>
        </w:rPr>
      </w:pPr>
      <w:bookmarkStart w:id="116" w:name="_Toc11665"/>
      <w:bookmarkStart w:id="117" w:name="_Toc30738"/>
      <w:r>
        <w:rPr>
          <w:rFonts w:hint="eastAsia" w:ascii="宋体" w:hAnsi="宋体" w:eastAsia="宋体" w:cs="宋体"/>
          <w:b/>
          <w:bCs/>
          <w:sz w:val="30"/>
          <w:szCs w:val="30"/>
        </w:rPr>
        <w:t>采购代理机构：</w:t>
      </w:r>
      <w:bookmarkEnd w:id="116"/>
      <w:bookmarkEnd w:id="117"/>
    </w:p>
    <w:p w14:paraId="6683481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bCs/>
          <w:color w:val="000000"/>
          <w:sz w:val="30"/>
          <w:szCs w:val="30"/>
          <w:lang w:val="en-US" w:eastAsia="zh-CN"/>
        </w:rPr>
      </w:pPr>
      <w:r>
        <w:rPr>
          <w:rFonts w:hint="eastAsia" w:ascii="宋体" w:hAnsi="宋体" w:eastAsia="宋体" w:cs="宋体"/>
          <w:b/>
          <w:bCs/>
          <w:color w:val="000000"/>
          <w:sz w:val="30"/>
          <w:szCs w:val="30"/>
          <w:lang w:val="en-US" w:eastAsia="zh-CN"/>
        </w:rPr>
        <w:t xml:space="preserve"> </w:t>
      </w:r>
      <w:r>
        <w:rPr>
          <w:rFonts w:hint="eastAsia" w:ascii="宋体" w:hAnsi="宋体" w:eastAsia="宋体" w:cs="宋体"/>
          <w:b/>
          <w:bCs/>
          <w:color w:val="000000"/>
          <w:spacing w:val="142"/>
          <w:sz w:val="30"/>
          <w:szCs w:val="30"/>
          <w:lang w:val="en-US" w:eastAsia="zh-CN"/>
        </w:rPr>
        <w:t>供应商:</w:t>
      </w:r>
    </w:p>
    <w:p w14:paraId="1FDB15A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color w:val="000000"/>
          <w:sz w:val="30"/>
          <w:szCs w:val="30"/>
        </w:rPr>
      </w:pPr>
    </w:p>
    <w:p w14:paraId="6FE54457">
      <w:pPr>
        <w:pageBreakBefore w:val="0"/>
        <w:kinsoku/>
        <w:wordWrap/>
        <w:overflowPunct/>
        <w:bidi w:val="0"/>
        <w:spacing w:beforeAutospacing="0" w:afterAutospacing="0" w:line="560" w:lineRule="exact"/>
        <w:jc w:val="center"/>
        <w:outlineLvl w:val="0"/>
        <w:rPr>
          <w:rFonts w:hint="eastAsia" w:ascii="宋体" w:hAnsi="宋体" w:eastAsia="宋体" w:cs="宋体"/>
          <w:b/>
          <w:bCs/>
          <w:sz w:val="28"/>
          <w:szCs w:val="28"/>
        </w:rPr>
      </w:pPr>
      <w:bookmarkStart w:id="118" w:name="_Toc29317"/>
      <w:bookmarkStart w:id="119" w:name="_Toc2782"/>
      <w:r>
        <w:rPr>
          <w:rFonts w:hint="eastAsia" w:ascii="宋体" w:hAnsi="宋体" w:eastAsia="宋体" w:cs="宋体"/>
          <w:b/>
          <w:bCs/>
          <w:sz w:val="28"/>
          <w:szCs w:val="28"/>
        </w:rPr>
        <w:t>年  月  日</w:t>
      </w:r>
      <w:bookmarkEnd w:id="118"/>
      <w:bookmarkEnd w:id="119"/>
    </w:p>
    <w:p w14:paraId="57509387">
      <w:pPr>
        <w:pageBreakBefore w:val="0"/>
        <w:widowControl/>
        <w:tabs>
          <w:tab w:val="left" w:pos="753"/>
        </w:tabs>
        <w:kinsoku/>
        <w:wordWrap/>
        <w:overflowPunct/>
        <w:bidi w:val="0"/>
        <w:adjustRightInd w:val="0"/>
        <w:snapToGrid w:val="0"/>
        <w:spacing w:beforeAutospacing="0" w:afterAutospacing="0" w:line="560" w:lineRule="exact"/>
        <w:ind w:firstLine="560" w:firstLineChars="200"/>
        <w:jc w:val="center"/>
        <w:rPr>
          <w:rFonts w:hint="eastAsia" w:ascii="宋体" w:hAnsi="宋体" w:eastAsia="宋体" w:cs="宋体"/>
          <w:b/>
          <w:bCs/>
          <w:sz w:val="21"/>
          <w:szCs w:val="21"/>
        </w:rPr>
      </w:pPr>
      <w:r>
        <w:rPr>
          <w:rFonts w:hint="eastAsia" w:ascii="宋体" w:hAnsi="宋体" w:eastAsia="宋体" w:cs="宋体"/>
          <w:sz w:val="28"/>
          <w:szCs w:val="28"/>
        </w:rPr>
        <w:br w:type="page"/>
      </w:r>
    </w:p>
    <w:p w14:paraId="3D16FC00">
      <w:pPr>
        <w:pStyle w:val="5"/>
        <w:pageBreakBefore w:val="0"/>
        <w:widowControl/>
        <w:kinsoku/>
        <w:wordWrap/>
        <w:overflowPunct/>
        <w:bidi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一、磋商响应声明</w:t>
      </w:r>
    </w:p>
    <w:p w14:paraId="7CE8B497">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致 (采购人、采购代理机构)：</w:t>
      </w:r>
    </w:p>
    <w:p w14:paraId="1DDE7BCB">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根据贵方为</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的磋商邀请（政府</w:t>
      </w:r>
      <w:r>
        <w:rPr>
          <w:rFonts w:hint="eastAsia" w:ascii="宋体" w:hAnsi="宋体" w:eastAsia="宋体" w:cs="宋体"/>
          <w:iCs/>
          <w:color w:val="000000"/>
          <w:sz w:val="21"/>
          <w:szCs w:val="21"/>
        </w:rPr>
        <w:t>采购</w:t>
      </w:r>
      <w:r>
        <w:rPr>
          <w:rFonts w:hint="eastAsia" w:ascii="宋体" w:hAnsi="宋体" w:eastAsia="宋体" w:cs="宋体"/>
          <w:iCs/>
          <w:color w:val="000000"/>
          <w:sz w:val="21"/>
          <w:szCs w:val="21"/>
          <w:lang w:val="en-US" w:eastAsia="zh-CN"/>
        </w:rPr>
        <w:t>计划</w:t>
      </w:r>
      <w:r>
        <w:rPr>
          <w:rFonts w:hint="eastAsia" w:ascii="宋体" w:hAnsi="宋体" w:eastAsia="宋体" w:cs="宋体"/>
          <w:iCs/>
          <w:color w:val="000000"/>
          <w:sz w:val="21"/>
          <w:szCs w:val="21"/>
        </w:rPr>
        <w:t>编号：</w:t>
      </w:r>
      <w:r>
        <w:rPr>
          <w:rFonts w:hint="eastAsia" w:ascii="宋体" w:hAnsi="宋体" w:eastAsia="宋体" w:cs="宋体"/>
          <w:iCs/>
          <w:color w:val="000000"/>
          <w:sz w:val="21"/>
          <w:szCs w:val="21"/>
          <w:u w:val="single"/>
          <w:lang w:val="en-US" w:eastAsia="zh-CN"/>
        </w:rPr>
        <w:t xml:space="preserve">            </w:t>
      </w:r>
      <w:r>
        <w:rPr>
          <w:rFonts w:hint="eastAsia" w:ascii="宋体" w:hAnsi="宋体" w:eastAsia="宋体" w:cs="宋体"/>
          <w:iCs/>
          <w:color w:val="000000"/>
          <w:sz w:val="21"/>
          <w:szCs w:val="21"/>
        </w:rPr>
        <w:t>，采购项目编号</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rPr>
        <w:t>，签字代表</w:t>
      </w:r>
      <w:r>
        <w:rPr>
          <w:rFonts w:hint="eastAsia" w:ascii="宋体" w:hAnsi="宋体" w:eastAsia="宋体" w:cs="宋体"/>
          <w:color w:val="000000"/>
          <w:sz w:val="21"/>
          <w:szCs w:val="21"/>
          <w:u w:val="single"/>
        </w:rPr>
        <w:t>（姓名、职务）</w:t>
      </w:r>
      <w:r>
        <w:rPr>
          <w:rFonts w:hint="eastAsia" w:ascii="宋体" w:hAnsi="宋体" w:eastAsia="宋体" w:cs="宋体"/>
          <w:color w:val="000000"/>
          <w:sz w:val="21"/>
          <w:szCs w:val="21"/>
        </w:rPr>
        <w:t>经正式授权并代表供应商</w:t>
      </w:r>
      <w:r>
        <w:rPr>
          <w:rFonts w:hint="eastAsia" w:ascii="宋体" w:hAnsi="宋体" w:eastAsia="宋体" w:cs="宋体"/>
          <w:color w:val="000000"/>
          <w:sz w:val="21"/>
          <w:szCs w:val="21"/>
          <w:u w:val="single"/>
        </w:rPr>
        <w:t>（供应商名称）</w:t>
      </w:r>
      <w:r>
        <w:rPr>
          <w:rFonts w:hint="eastAsia" w:ascii="宋体" w:hAnsi="宋体" w:eastAsia="宋体" w:cs="宋体"/>
          <w:color w:val="000000"/>
          <w:sz w:val="21"/>
          <w:szCs w:val="21"/>
        </w:rPr>
        <w:t>提交响应文件正本一份,副本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份；响应文件电子文档一份，参加采购项目第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rPr>
        <w:t>包磋商，并在此声明，所递交的响应文件内容完整、真实。</w:t>
      </w:r>
    </w:p>
    <w:p w14:paraId="33B66D71">
      <w:pPr>
        <w:pStyle w:val="35"/>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一、我方已详细审查磋商文件。我们完全理解并同意放弃对这方面有不明及误解的权力。</w:t>
      </w:r>
    </w:p>
    <w:p w14:paraId="7D28331B">
      <w:pPr>
        <w:pStyle w:val="35"/>
        <w:pageBreakBefore w:val="0"/>
        <w:kinsoku/>
        <w:wordWrap/>
        <w:overflowPunct/>
        <w:bidi w:val="0"/>
        <w:spacing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二、我方愿意向贵方提供任何与本项采购有关的数据、情况和技术资料。若贵方需要，我方愿意提供我方作出的一切承诺的证明材料。</w:t>
      </w:r>
    </w:p>
    <w:p w14:paraId="50DE9953">
      <w:pPr>
        <w:pStyle w:val="35"/>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三、我方愿意按磋商文件规定和磋商小组要求重新提交响应文件和最后报价。</w:t>
      </w:r>
    </w:p>
    <w:p w14:paraId="37C3651C">
      <w:pPr>
        <w:pStyle w:val="35"/>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四、我方同意在磋商文件中规定的提交首次响应文件截止时间起</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日内(响应文件有效期)遵守本响应文件中的承诺且在此期限期满之前均具有法律约束力。</w:t>
      </w:r>
    </w:p>
    <w:p w14:paraId="2448D450">
      <w:pPr>
        <w:pStyle w:val="35"/>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五、我方承诺遵守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及实施条例、《政府采购非招标方式管理办法》（财政部第74号令）的有关规定，保证在获得成交资格后，按照磋商文件确定的事项签订政府采购合同，履行双方所签订的合同，并承担合同规定的责任和义务。</w:t>
      </w:r>
    </w:p>
    <w:p w14:paraId="173218C4">
      <w:pPr>
        <w:pStyle w:val="35"/>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六、我方承诺在参与竞争性磋商过程中，若出现</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第七十七条、《政府采购法实施条例》第七十二条和《政府采购非招标方式管理办法》第五十四条规定之情形，我方同意接受条款规定作出的处罚。</w:t>
      </w:r>
    </w:p>
    <w:p w14:paraId="227A950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七、我方的联系方式：</w:t>
      </w:r>
    </w:p>
    <w:p w14:paraId="36467D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地址：</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；邮编</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；电话：</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；电子邮箱：</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w:t>
      </w:r>
    </w:p>
    <w:p w14:paraId="05DBF6D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供应商名称(盖单位公章)：</w:t>
      </w:r>
    </w:p>
    <w:p w14:paraId="5F3F52D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sz w:val="21"/>
          <w:szCs w:val="21"/>
        </w:rPr>
        <w:t>或其授权的代理人（签字或印章）：</w:t>
      </w:r>
    </w:p>
    <w:p w14:paraId="6886EA26">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7D9A7C7E">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0729CF0A">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348C91D2">
      <w:pPr>
        <w:pStyle w:val="5"/>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0" w:name="_Toc34637791"/>
    </w:p>
    <w:p w14:paraId="3CB2DF4C">
      <w:pPr>
        <w:pStyle w:val="5"/>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39CB659">
      <w:pPr>
        <w:pStyle w:val="5"/>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54D6C2B6">
      <w:pPr>
        <w:pStyle w:val="5"/>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F99AAB8">
      <w:pPr>
        <w:rPr>
          <w:rFonts w:hint="eastAsia"/>
        </w:rPr>
      </w:pPr>
    </w:p>
    <w:p w14:paraId="513A6A49">
      <w:pPr>
        <w:pStyle w:val="5"/>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45EEDCE0">
      <w:pPr>
        <w:rPr>
          <w:rFonts w:hint="eastAsia"/>
        </w:rPr>
      </w:pPr>
    </w:p>
    <w:p w14:paraId="0FE11C03">
      <w:pPr>
        <w:pStyle w:val="5"/>
        <w:pageBreakBefore w:val="0"/>
        <w:widowControl/>
        <w:kinsoku/>
        <w:wordWrap/>
        <w:overflowPunct/>
        <w:bidi w:val="0"/>
        <w:spacing w:line="240" w:lineRule="auto"/>
        <w:jc w:val="left"/>
        <w:textAlignment w:val="auto"/>
        <w:rPr>
          <w:rFonts w:hint="eastAsia" w:ascii="宋体" w:hAnsi="宋体" w:eastAsia="宋体" w:cs="宋体"/>
          <w:b w:val="0"/>
          <w:bCs w:val="0"/>
          <w:color w:val="000000"/>
          <w:sz w:val="24"/>
          <w:szCs w:val="24"/>
        </w:rPr>
      </w:pPr>
      <w:r>
        <w:rPr>
          <w:rFonts w:hint="eastAsia" w:ascii="宋体" w:hAnsi="宋体" w:eastAsia="宋体" w:cs="宋体"/>
          <w:color w:val="000000"/>
          <w:sz w:val="24"/>
          <w:szCs w:val="24"/>
        </w:rPr>
        <w:t xml:space="preserve">附件1-1  </w:t>
      </w:r>
    </w:p>
    <w:p w14:paraId="0952E390">
      <w:pPr>
        <w:pStyle w:val="5"/>
        <w:pageBreakBefore w:val="0"/>
        <w:widowControl/>
        <w:kinsoku/>
        <w:wordWrap/>
        <w:overflowPunct/>
        <w:bidi w:val="0"/>
        <w:spacing w:line="360" w:lineRule="auto"/>
        <w:jc w:val="center"/>
        <w:textAlignment w:val="auto"/>
        <w:rPr>
          <w:rFonts w:hint="eastAsia" w:ascii="宋体" w:hAnsi="宋体" w:eastAsia="宋体" w:cs="宋体"/>
          <w:color w:val="000000"/>
          <w:kern w:val="0"/>
          <w:position w:val="-4"/>
          <w:sz w:val="24"/>
          <w:szCs w:val="24"/>
        </w:rPr>
      </w:pPr>
      <w:r>
        <w:rPr>
          <w:rFonts w:hint="eastAsia" w:ascii="宋体" w:hAnsi="宋体" w:eastAsia="宋体" w:cs="宋体"/>
          <w:color w:val="000000"/>
          <w:sz w:val="24"/>
          <w:szCs w:val="24"/>
        </w:rPr>
        <w:t>法定代表人（单位负责人）身份证明</w:t>
      </w:r>
    </w:p>
    <w:p w14:paraId="388A750B">
      <w:pPr>
        <w:pageBreakBefore w:val="0"/>
        <w:tabs>
          <w:tab w:val="left" w:pos="388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4"/>
          <w:sz w:val="21"/>
          <w:szCs w:val="21"/>
        </w:rPr>
        <w:t>供应商名</w:t>
      </w:r>
      <w:r>
        <w:rPr>
          <w:rFonts w:hint="eastAsia" w:ascii="宋体" w:hAnsi="宋体" w:eastAsia="宋体" w:cs="宋体"/>
          <w:color w:val="000000"/>
          <w:spacing w:val="-2"/>
          <w:kern w:val="0"/>
          <w:position w:val="-4"/>
          <w:sz w:val="21"/>
          <w:szCs w:val="21"/>
        </w:rPr>
        <w:t>称</w:t>
      </w:r>
      <w:r>
        <w:rPr>
          <w:rFonts w:hint="eastAsia" w:ascii="宋体" w:hAnsi="宋体" w:eastAsia="宋体" w:cs="宋体"/>
          <w:color w:val="000000"/>
          <w:kern w:val="0"/>
          <w:position w:val="-4"/>
          <w:sz w:val="21"/>
          <w:szCs w:val="21"/>
        </w:rPr>
        <w:t>：</w:t>
      </w:r>
    </w:p>
    <w:p w14:paraId="65F1F391">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统一社会信用代码：</w:t>
      </w:r>
    </w:p>
    <w:p w14:paraId="05DD7170">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注册地址：</w:t>
      </w:r>
    </w:p>
    <w:p w14:paraId="60F6BF17">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2" w:right="-23"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2"/>
          <w:sz w:val="21"/>
          <w:szCs w:val="21"/>
        </w:rPr>
        <w:t>姓名</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性别</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年</w:t>
      </w:r>
      <w:r>
        <w:rPr>
          <w:rFonts w:hint="eastAsia" w:ascii="宋体" w:hAnsi="宋体" w:eastAsia="宋体" w:cs="宋体"/>
          <w:color w:val="000000"/>
          <w:spacing w:val="-2"/>
          <w:kern w:val="0"/>
          <w:position w:val="-2"/>
          <w:sz w:val="21"/>
          <w:szCs w:val="21"/>
        </w:rPr>
        <w:t>龄</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lang w:val="en-US" w:eastAsia="zh-CN"/>
        </w:rPr>
        <w:t xml:space="preserve"> </w:t>
      </w:r>
      <w:r>
        <w:rPr>
          <w:rFonts w:hint="eastAsia" w:ascii="宋体" w:hAnsi="宋体" w:eastAsia="宋体" w:cs="宋体"/>
          <w:color w:val="000000"/>
          <w:kern w:val="0"/>
          <w:position w:val="-2"/>
          <w:sz w:val="21"/>
          <w:szCs w:val="21"/>
        </w:rPr>
        <w:t>职</w:t>
      </w:r>
      <w:r>
        <w:rPr>
          <w:rFonts w:hint="eastAsia" w:ascii="宋体" w:hAnsi="宋体" w:eastAsia="宋体" w:cs="宋体"/>
          <w:color w:val="000000"/>
          <w:spacing w:val="-2"/>
          <w:kern w:val="0"/>
          <w:position w:val="-2"/>
          <w:sz w:val="21"/>
          <w:szCs w:val="21"/>
        </w:rPr>
        <w:t>务</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系</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供应商</w:t>
      </w:r>
      <w:r>
        <w:rPr>
          <w:rFonts w:hint="eastAsia" w:ascii="宋体" w:hAnsi="宋体" w:eastAsia="宋体" w:cs="宋体"/>
          <w:color w:val="000000"/>
          <w:spacing w:val="-2"/>
          <w:kern w:val="0"/>
          <w:position w:val="-2"/>
          <w:sz w:val="21"/>
          <w:szCs w:val="21"/>
        </w:rPr>
        <w:t>名</w:t>
      </w:r>
      <w:r>
        <w:rPr>
          <w:rFonts w:hint="eastAsia" w:ascii="宋体" w:hAnsi="宋体" w:eastAsia="宋体" w:cs="宋体"/>
          <w:color w:val="000000"/>
          <w:kern w:val="0"/>
          <w:position w:val="-2"/>
          <w:sz w:val="21"/>
          <w:szCs w:val="21"/>
        </w:rPr>
        <w:t>称</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的</w:t>
      </w:r>
      <w:r>
        <w:rPr>
          <w:rFonts w:hint="eastAsia" w:ascii="宋体" w:hAnsi="宋体" w:eastAsia="宋体" w:cs="宋体"/>
          <w:color w:val="000000"/>
          <w:spacing w:val="-2"/>
          <w:kern w:val="0"/>
          <w:position w:val="-2"/>
          <w:sz w:val="21"/>
          <w:szCs w:val="21"/>
        </w:rPr>
        <w:t>法定</w:t>
      </w:r>
      <w:r>
        <w:rPr>
          <w:rFonts w:hint="eastAsia" w:ascii="宋体" w:hAnsi="宋体" w:eastAsia="宋体" w:cs="宋体"/>
          <w:color w:val="000000"/>
          <w:kern w:val="0"/>
          <w:position w:val="-2"/>
          <w:sz w:val="21"/>
          <w:szCs w:val="21"/>
        </w:rPr>
        <w:t>代表</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kern w:val="0"/>
          <w:position w:val="-2"/>
          <w:sz w:val="21"/>
          <w:szCs w:val="21"/>
        </w:rPr>
        <w:t>（</w:t>
      </w:r>
      <w:r>
        <w:rPr>
          <w:rFonts w:hint="eastAsia" w:ascii="宋体" w:hAnsi="宋体" w:eastAsia="宋体" w:cs="宋体"/>
          <w:color w:val="000000"/>
          <w:spacing w:val="-2"/>
          <w:kern w:val="0"/>
          <w:position w:val="-2"/>
          <w:sz w:val="21"/>
          <w:szCs w:val="21"/>
        </w:rPr>
        <w:t>单</w:t>
      </w:r>
      <w:r>
        <w:rPr>
          <w:rFonts w:hint="eastAsia" w:ascii="宋体" w:hAnsi="宋体" w:eastAsia="宋体" w:cs="宋体"/>
          <w:color w:val="000000"/>
          <w:kern w:val="0"/>
          <w:position w:val="-2"/>
          <w:sz w:val="21"/>
          <w:szCs w:val="21"/>
        </w:rPr>
        <w:t>位</w:t>
      </w:r>
      <w:r>
        <w:rPr>
          <w:rFonts w:hint="eastAsia" w:ascii="宋体" w:hAnsi="宋体" w:eastAsia="宋体" w:cs="宋体"/>
          <w:color w:val="000000"/>
          <w:spacing w:val="-2"/>
          <w:kern w:val="0"/>
          <w:position w:val="-2"/>
          <w:sz w:val="21"/>
          <w:szCs w:val="21"/>
        </w:rPr>
        <w:t>负</w:t>
      </w:r>
      <w:r>
        <w:rPr>
          <w:rFonts w:hint="eastAsia" w:ascii="宋体" w:hAnsi="宋体" w:eastAsia="宋体" w:cs="宋体"/>
          <w:color w:val="000000"/>
          <w:kern w:val="0"/>
          <w:position w:val="-2"/>
          <w:sz w:val="21"/>
          <w:szCs w:val="21"/>
        </w:rPr>
        <w:t>责</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spacing w:val="-106"/>
          <w:kern w:val="0"/>
          <w:position w:val="-2"/>
          <w:sz w:val="21"/>
          <w:szCs w:val="21"/>
        </w:rPr>
        <w:t>）</w:t>
      </w:r>
      <w:r>
        <w:rPr>
          <w:rFonts w:hint="eastAsia" w:ascii="宋体" w:hAnsi="宋体" w:eastAsia="宋体" w:cs="宋体"/>
          <w:color w:val="000000"/>
          <w:kern w:val="0"/>
          <w:position w:val="-2"/>
          <w:sz w:val="21"/>
          <w:szCs w:val="21"/>
        </w:rPr>
        <w:t>。</w:t>
      </w:r>
    </w:p>
    <w:p w14:paraId="1D267472">
      <w:pPr>
        <w:pageBreakBefore w:val="0"/>
        <w:kinsoku/>
        <w:wordWrap/>
        <w:overflowPunct/>
        <w:autoSpaceDE w:val="0"/>
        <w:autoSpaceDN w:val="0"/>
        <w:bidi w:val="0"/>
        <w:adjustRightInd w:val="0"/>
        <w:snapToGrid w:val="0"/>
        <w:spacing w:beforeLines="50" w:line="360" w:lineRule="auto"/>
        <w:ind w:left="52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特此</w:t>
      </w:r>
      <w:r>
        <w:rPr>
          <w:rFonts w:hint="eastAsia" w:ascii="宋体" w:hAnsi="宋体" w:eastAsia="宋体" w:cs="宋体"/>
          <w:color w:val="000000"/>
          <w:spacing w:val="-2"/>
          <w:kern w:val="0"/>
          <w:sz w:val="21"/>
          <w:szCs w:val="21"/>
        </w:rPr>
        <w:t>证</w:t>
      </w:r>
      <w:r>
        <w:rPr>
          <w:rFonts w:hint="eastAsia" w:ascii="宋体" w:hAnsi="宋体" w:eastAsia="宋体" w:cs="宋体"/>
          <w:color w:val="000000"/>
          <w:kern w:val="0"/>
          <w:sz w:val="21"/>
          <w:szCs w:val="21"/>
        </w:rPr>
        <w:t>明。</w:t>
      </w:r>
    </w:p>
    <w:p w14:paraId="27C106FA">
      <w:pPr>
        <w:pageBreakBefore w:val="0"/>
        <w:kinsoku/>
        <w:wordWrap/>
        <w:overflowPunct/>
        <w:autoSpaceDE w:val="0"/>
        <w:autoSpaceDN w:val="0"/>
        <w:bidi w:val="0"/>
        <w:adjustRightInd w:val="0"/>
        <w:snapToGrid w:val="0"/>
        <w:spacing w:beforeLines="50" w:line="360" w:lineRule="auto"/>
        <w:ind w:right="4231"/>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附：</w:t>
      </w: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身</w:t>
      </w:r>
      <w:r>
        <w:rPr>
          <w:rFonts w:hint="eastAsia" w:ascii="宋体" w:hAnsi="宋体" w:eastAsia="宋体" w:cs="宋体"/>
          <w:color w:val="000000"/>
          <w:spacing w:val="-2"/>
          <w:kern w:val="0"/>
          <w:sz w:val="21"/>
          <w:szCs w:val="21"/>
        </w:rPr>
        <w:t>份</w:t>
      </w:r>
      <w:r>
        <w:rPr>
          <w:rFonts w:hint="eastAsia" w:ascii="宋体" w:hAnsi="宋体" w:eastAsia="宋体" w:cs="宋体"/>
          <w:color w:val="000000"/>
          <w:kern w:val="0"/>
          <w:sz w:val="21"/>
          <w:szCs w:val="21"/>
        </w:rPr>
        <w:t>证</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r>
        <w:rPr>
          <w:rFonts w:hint="eastAsia" w:ascii="宋体" w:hAnsi="宋体" w:eastAsia="宋体" w:cs="宋体"/>
          <w:color w:val="000000"/>
          <w:kern w:val="0"/>
          <w:sz w:val="21"/>
          <w:szCs w:val="21"/>
        </w:rPr>
        <w:t>。</w:t>
      </w:r>
    </w:p>
    <w:tbl>
      <w:tblPr>
        <w:tblStyle w:val="4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82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AE0675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37890B4D">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2271331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15CB2C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注：供应商代表为法定代表人（单位负责人）的提供。供应商为自然人的无需提供。</w:t>
      </w:r>
    </w:p>
    <w:p w14:paraId="3F0C3D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D39E2D2">
      <w:pPr>
        <w:pStyle w:val="35"/>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724C418F">
      <w:pPr>
        <w:pageBreakBefore w:val="0"/>
        <w:kinsoku/>
        <w:wordWrap/>
        <w:overflowPunct/>
        <w:bidi w:val="0"/>
        <w:adjustRightInd w:val="0"/>
        <w:snapToGrid w:val="0"/>
        <w:spacing w:beforeLines="50" w:line="360" w:lineRule="auto"/>
        <w:ind w:right="24"/>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1A8BF04D">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6702F0E">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C1AFB65">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8FC91F7">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B117089">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3E9BE17">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0ED525B">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9ABAF13">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C302162">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E1BAC71">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EDFCDB5">
      <w:pPr>
        <w:pStyle w:val="5"/>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388212E">
      <w:pPr>
        <w:pStyle w:val="39"/>
        <w:ind w:left="0" w:leftChars="0" w:firstLine="0" w:firstLineChars="0"/>
        <w:rPr>
          <w:rFonts w:hint="eastAsia" w:ascii="宋体" w:hAnsi="宋体" w:eastAsia="宋体" w:cs="宋体"/>
          <w:b/>
          <w:bCs/>
          <w:highlight w:val="none"/>
        </w:rPr>
        <w:sectPr>
          <w:footerReference r:id="rId12" w:type="default"/>
          <w:pgSz w:w="11906" w:h="16839"/>
          <w:pgMar w:top="1431" w:right="1785" w:bottom="1152" w:left="1785" w:header="0" w:footer="987" w:gutter="0"/>
          <w:pgBorders>
            <w:top w:val="none" w:sz="0" w:space="0"/>
            <w:left w:val="none" w:sz="0" w:space="0"/>
            <w:bottom w:val="none" w:sz="0" w:space="0"/>
            <w:right w:val="none" w:sz="0" w:space="0"/>
          </w:pgBorders>
          <w:pgNumType w:fmt="decimal" w:start="48"/>
          <w:cols w:space="720" w:num="1"/>
        </w:sectPr>
      </w:pPr>
      <w:r>
        <w:rPr>
          <w:rFonts w:hint="eastAsia" w:ascii="宋体" w:hAnsi="宋体" w:eastAsia="宋体" w:cs="宋体"/>
          <w:b/>
          <w:bCs/>
          <w:spacing w:val="-11"/>
          <w:sz w:val="24"/>
          <w:szCs w:val="24"/>
          <w:highlight w:val="none"/>
          <w:lang w:val="en-US" w:eastAsia="zh-CN"/>
        </w:rPr>
        <w:t>备注：</w:t>
      </w:r>
      <w:r>
        <w:rPr>
          <w:rFonts w:hint="eastAsia" w:ascii="宋体" w:hAnsi="宋体" w:eastAsia="宋体" w:cs="宋体"/>
          <w:b/>
          <w:bCs/>
          <w:spacing w:val="-11"/>
          <w:sz w:val="24"/>
          <w:szCs w:val="24"/>
          <w:highlight w:val="none"/>
        </w:rPr>
        <w:t>本法定代表人身份证明须单独另备一份及法定代表人身份证原件</w:t>
      </w:r>
      <w:r>
        <w:rPr>
          <w:rFonts w:hint="eastAsia" w:ascii="宋体" w:hAnsi="宋体" w:cs="宋体"/>
          <w:b/>
          <w:bCs/>
          <w:spacing w:val="-11"/>
          <w:sz w:val="24"/>
          <w:szCs w:val="24"/>
          <w:highlight w:val="none"/>
          <w:lang w:val="en-US" w:eastAsia="zh-CN"/>
        </w:rPr>
        <w:t>开标</w:t>
      </w:r>
      <w:r>
        <w:rPr>
          <w:rFonts w:hint="eastAsia" w:ascii="宋体" w:hAnsi="宋体" w:eastAsia="宋体" w:cs="宋体"/>
          <w:b/>
          <w:bCs/>
          <w:spacing w:val="-11"/>
          <w:sz w:val="24"/>
          <w:szCs w:val="24"/>
          <w:highlight w:val="none"/>
        </w:rPr>
        <w:t>现场查验</w:t>
      </w:r>
      <w:r>
        <w:rPr>
          <w:rFonts w:hint="eastAsia" w:ascii="宋体" w:hAnsi="宋体" w:eastAsia="宋体" w:cs="宋体"/>
          <w:b/>
          <w:bCs/>
          <w:spacing w:val="-11"/>
          <w:sz w:val="24"/>
          <w:szCs w:val="24"/>
          <w:highlight w:val="none"/>
          <w:lang w:eastAsia="zh-CN"/>
        </w:rPr>
        <w:t>。</w:t>
      </w:r>
    </w:p>
    <w:bookmarkEnd w:id="120"/>
    <w:p w14:paraId="1BB7F44D">
      <w:pPr>
        <w:pStyle w:val="5"/>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1" w:name="_Toc34637792"/>
      <w:r>
        <w:rPr>
          <w:rFonts w:hint="eastAsia" w:ascii="宋体" w:hAnsi="宋体" w:eastAsia="宋体" w:cs="宋体"/>
          <w:color w:val="000000"/>
          <w:sz w:val="24"/>
          <w:szCs w:val="24"/>
        </w:rPr>
        <w:t xml:space="preserve">附件1-2  </w:t>
      </w:r>
    </w:p>
    <w:bookmarkEnd w:id="121"/>
    <w:p w14:paraId="69815E9A">
      <w:pPr>
        <w:pStyle w:val="5"/>
        <w:pageBreakBefore w:val="0"/>
        <w:widowControl/>
        <w:kinsoku/>
        <w:wordWrap/>
        <w:overflowPunct/>
        <w:bidi w:val="0"/>
        <w:spacing w:line="360" w:lineRule="auto"/>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法定代表人授权委托书</w:t>
      </w:r>
    </w:p>
    <w:p w14:paraId="3078291D">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本人</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系</w:t>
      </w:r>
      <w:r>
        <w:rPr>
          <w:rFonts w:hint="eastAsia" w:ascii="宋体" w:hAnsi="宋体" w:eastAsia="宋体" w:cs="宋体"/>
          <w:color w:val="000000"/>
          <w:kern w:val="0"/>
          <w:sz w:val="21"/>
          <w:szCs w:val="21"/>
          <w:u w:val="single"/>
        </w:rPr>
        <w:t>（</w:t>
      </w:r>
      <w:r>
        <w:rPr>
          <w:rFonts w:hint="eastAsia" w:ascii="宋体" w:hAnsi="宋体" w:eastAsia="宋体" w:cs="宋体"/>
          <w:color w:val="000000"/>
          <w:sz w:val="21"/>
          <w:szCs w:val="21"/>
          <w:u w:val="single"/>
        </w:rPr>
        <w:t>供应商</w:t>
      </w:r>
      <w:r>
        <w:rPr>
          <w:rFonts w:hint="eastAsia" w:ascii="宋体" w:hAnsi="宋体" w:eastAsia="宋体" w:cs="宋体"/>
          <w:color w:val="000000"/>
          <w:kern w:val="0"/>
          <w:sz w:val="21"/>
          <w:szCs w:val="21"/>
          <w:u w:val="single"/>
        </w:rPr>
        <w:t>名称）</w:t>
      </w:r>
      <w:r>
        <w:rPr>
          <w:rFonts w:hint="eastAsia" w:ascii="宋体" w:hAnsi="宋体" w:eastAsia="宋体" w:cs="宋体"/>
          <w:color w:val="000000"/>
          <w:kern w:val="0"/>
          <w:sz w:val="21"/>
          <w:szCs w:val="21"/>
        </w:rPr>
        <w:t>的法定代表人（</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，现授权</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为我方代理人。代理人根据授权，以我方名义：(1)签署、澄清、补正、修改、撤回、提交（项目名称、</w:t>
      </w:r>
      <w:r>
        <w:rPr>
          <w:rFonts w:hint="eastAsia" w:ascii="宋体" w:hAnsi="宋体" w:eastAsia="宋体" w:cs="宋体"/>
          <w:color w:val="000000"/>
          <w:sz w:val="21"/>
          <w:szCs w:val="21"/>
        </w:rPr>
        <w:t>政府</w:t>
      </w:r>
      <w:r>
        <w:rPr>
          <w:rFonts w:hint="eastAsia" w:ascii="宋体" w:hAnsi="宋体" w:eastAsia="宋体" w:cs="宋体"/>
          <w:color w:val="000000"/>
          <w:kern w:val="0"/>
          <w:sz w:val="21"/>
          <w:szCs w:val="21"/>
        </w:rPr>
        <w:t>采购</w:t>
      </w:r>
      <w:r>
        <w:rPr>
          <w:rFonts w:hint="eastAsia" w:ascii="宋体" w:hAnsi="宋体" w:eastAsia="宋体" w:cs="宋体"/>
          <w:color w:val="000000"/>
          <w:kern w:val="0"/>
          <w:sz w:val="21"/>
          <w:szCs w:val="21"/>
          <w:lang w:val="en-US" w:eastAsia="zh-CN"/>
        </w:rPr>
        <w:t>计划</w:t>
      </w:r>
      <w:r>
        <w:rPr>
          <w:rFonts w:hint="eastAsia" w:ascii="宋体" w:hAnsi="宋体" w:eastAsia="宋体" w:cs="宋体"/>
          <w:color w:val="000000"/>
          <w:kern w:val="0"/>
          <w:sz w:val="21"/>
          <w:szCs w:val="21"/>
        </w:rPr>
        <w:t>编号、</w:t>
      </w:r>
      <w:r>
        <w:rPr>
          <w:rFonts w:hint="eastAsia" w:ascii="宋体" w:hAnsi="宋体" w:eastAsia="宋体" w:cs="宋体"/>
          <w:color w:val="000000"/>
          <w:kern w:val="0"/>
          <w:sz w:val="21"/>
          <w:szCs w:val="21"/>
          <w:lang w:val="en-US" w:eastAsia="zh-CN"/>
        </w:rPr>
        <w:t>委托</w:t>
      </w:r>
      <w:r>
        <w:rPr>
          <w:rFonts w:hint="eastAsia" w:ascii="宋体" w:hAnsi="宋体" w:eastAsia="宋体" w:cs="宋体"/>
          <w:color w:val="000000"/>
          <w:kern w:val="0"/>
          <w:sz w:val="21"/>
          <w:szCs w:val="21"/>
        </w:rPr>
        <w:t>代理编号）响应文件；(2)签署并重新提交响应文件及最后报价；(3)退出</w:t>
      </w:r>
      <w:r>
        <w:rPr>
          <w:rFonts w:hint="eastAsia" w:ascii="宋体" w:hAnsi="宋体" w:eastAsia="宋体" w:cs="宋体"/>
          <w:color w:val="000000"/>
          <w:kern w:val="0"/>
          <w:sz w:val="21"/>
          <w:szCs w:val="21"/>
          <w:lang w:val="en-US" w:eastAsia="zh-CN"/>
        </w:rPr>
        <w:t>磋商</w:t>
      </w:r>
      <w:r>
        <w:rPr>
          <w:rFonts w:hint="eastAsia" w:ascii="宋体" w:hAnsi="宋体" w:eastAsia="宋体" w:cs="宋体"/>
          <w:color w:val="000000"/>
          <w:kern w:val="0"/>
          <w:sz w:val="21"/>
          <w:szCs w:val="21"/>
        </w:rPr>
        <w:t>（如可能）；(4)签订合同和处理有关事宜，其法律后果由我方承担。</w:t>
      </w:r>
    </w:p>
    <w:p w14:paraId="21AEDEE7">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委托期限：</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w:t>
      </w:r>
    </w:p>
    <w:p w14:paraId="63E73515">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w:t>
      </w:r>
    </w:p>
    <w:p w14:paraId="4C4EC8A4">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本授权书于年月日签字生效，特此声明。</w:t>
      </w:r>
    </w:p>
    <w:tbl>
      <w:tblPr>
        <w:tblStyle w:val="40"/>
        <w:tblpPr w:leftFromText="180" w:rightFromText="180" w:vertAnchor="text" w:horzAnchor="page" w:tblpX="2249" w:tblpY="460"/>
        <w:tblOverlap w:val="never"/>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9"/>
        <w:gridCol w:w="3901"/>
      </w:tblGrid>
      <w:tr w14:paraId="2CB1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7F419B23">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3B0405AA">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身份证（正面）复印件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729C695">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76E5CC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身份证（反面）复印件</w:t>
            </w:r>
          </w:p>
        </w:tc>
      </w:tr>
      <w:tr w14:paraId="080C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E06FC3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0DB8C3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A983D9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65CE015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797B47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FB87265">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99CCB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63FCEDD">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80573C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ABED74C">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4669F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CD9F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注：供应商代表不是供应商的法定代表人（单位负责人）的提供。供应商为自然人的无需提供。</w:t>
      </w:r>
    </w:p>
    <w:p w14:paraId="40DDCE0D">
      <w:pPr>
        <w:pStyle w:val="35"/>
        <w:pageBreakBefore w:val="0"/>
        <w:kinsoku/>
        <w:wordWrap/>
        <w:overflowPunct/>
        <w:bidi w:val="0"/>
        <w:spacing w:line="360" w:lineRule="auto"/>
        <w:textAlignment w:val="auto"/>
        <w:rPr>
          <w:rFonts w:hint="eastAsia" w:ascii="宋体" w:hAnsi="宋体" w:eastAsia="宋体" w:cs="宋体"/>
          <w:sz w:val="21"/>
          <w:szCs w:val="21"/>
        </w:rPr>
      </w:pPr>
    </w:p>
    <w:p w14:paraId="1C284A9E">
      <w:pPr>
        <w:pStyle w:val="35"/>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5C843848">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pacing w:val="-2"/>
          <w:kern w:val="0"/>
          <w:sz w:val="21"/>
          <w:szCs w:val="21"/>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（签字或印章</w:t>
      </w:r>
      <w:r>
        <w:rPr>
          <w:rFonts w:hint="eastAsia" w:ascii="宋体" w:hAnsi="宋体" w:eastAsia="宋体" w:cs="宋体"/>
          <w:color w:val="000000"/>
          <w:spacing w:val="-2"/>
          <w:kern w:val="0"/>
          <w:sz w:val="21"/>
          <w:szCs w:val="21"/>
        </w:rPr>
        <w:t>）:</w:t>
      </w:r>
    </w:p>
    <w:p w14:paraId="76BF11C1">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授权的代理人（</w:t>
      </w:r>
      <w:r>
        <w:rPr>
          <w:rFonts w:hint="eastAsia" w:ascii="宋体" w:hAnsi="宋体" w:eastAsia="宋体" w:cs="宋体"/>
          <w:color w:val="000000"/>
          <w:kern w:val="0"/>
          <w:sz w:val="21"/>
          <w:szCs w:val="21"/>
        </w:rPr>
        <w:t>签字或印章</w:t>
      </w:r>
      <w:r>
        <w:rPr>
          <w:rFonts w:hint="eastAsia" w:ascii="宋体" w:hAnsi="宋体" w:eastAsia="宋体" w:cs="宋体"/>
          <w:color w:val="000000"/>
          <w:sz w:val="21"/>
          <w:szCs w:val="21"/>
        </w:rPr>
        <w:t>）：</w:t>
      </w:r>
    </w:p>
    <w:p w14:paraId="494319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2808B98">
      <w:pPr>
        <w:pageBreakBefore w:val="0"/>
        <w:kinsoku/>
        <w:wordWrap/>
        <w:overflowPunct/>
        <w:bidi w:val="0"/>
        <w:spacing w:line="360" w:lineRule="auto"/>
        <w:textAlignment w:val="auto"/>
        <w:rPr>
          <w:rFonts w:hint="eastAsia" w:ascii="宋体" w:hAnsi="宋体" w:eastAsia="宋体" w:cs="宋体"/>
          <w:color w:val="000000"/>
          <w:sz w:val="21"/>
          <w:szCs w:val="21"/>
        </w:rPr>
      </w:pPr>
      <w:bookmarkStart w:id="122" w:name="_Toc11143"/>
      <w:bookmarkStart w:id="123" w:name="_Toc20702"/>
      <w:bookmarkStart w:id="124" w:name="_Toc12683"/>
      <w:bookmarkStart w:id="125" w:name="_Toc2805"/>
      <w:bookmarkStart w:id="126" w:name="_Toc1078"/>
      <w:bookmarkStart w:id="127" w:name="_Toc34637795"/>
    </w:p>
    <w:p w14:paraId="12CD2733">
      <w:pPr>
        <w:pStyle w:val="5"/>
        <w:pageBreakBefore w:val="0"/>
        <w:kinsoku/>
        <w:wordWrap/>
        <w:overflowPunct/>
        <w:bidi w:val="0"/>
        <w:spacing w:line="360" w:lineRule="auto"/>
        <w:textAlignment w:val="auto"/>
        <w:rPr>
          <w:rFonts w:hint="eastAsia" w:ascii="宋体" w:hAnsi="宋体" w:eastAsia="宋体" w:cs="宋体"/>
          <w:color w:val="000000"/>
          <w:sz w:val="21"/>
          <w:szCs w:val="21"/>
        </w:rPr>
      </w:pPr>
    </w:p>
    <w:p w14:paraId="62900D06">
      <w:pPr>
        <w:pageBreakBefore w:val="0"/>
        <w:kinsoku/>
        <w:wordWrap/>
        <w:overflowPunct/>
        <w:bidi w:val="0"/>
        <w:spacing w:line="360" w:lineRule="auto"/>
        <w:textAlignment w:val="auto"/>
        <w:rPr>
          <w:rFonts w:hint="eastAsia" w:ascii="宋体" w:hAnsi="宋体" w:eastAsia="宋体" w:cs="宋体"/>
          <w:sz w:val="21"/>
          <w:szCs w:val="21"/>
        </w:rPr>
      </w:pPr>
    </w:p>
    <w:p w14:paraId="73010C2E">
      <w:pPr>
        <w:rPr>
          <w:rFonts w:hint="eastAsia"/>
          <w:b/>
          <w:bCs/>
        </w:rPr>
      </w:pPr>
    </w:p>
    <w:p w14:paraId="5709D577">
      <w:pPr>
        <w:jc w:val="left"/>
        <w:rPr>
          <w:rFonts w:hint="eastAsia"/>
          <w:b/>
          <w:bCs/>
        </w:rPr>
      </w:pPr>
      <w:r>
        <w:rPr>
          <w:rFonts w:hint="eastAsia" w:asciiTheme="minorEastAsia" w:hAnsiTheme="minorEastAsia" w:eastAsiaTheme="minorEastAsia" w:cstheme="minorEastAsia"/>
          <w:b/>
          <w:bCs/>
          <w:snapToGrid w:val="0"/>
          <w:color w:val="000000"/>
          <w:spacing w:val="9"/>
          <w:kern w:val="0"/>
          <w:sz w:val="24"/>
          <w:szCs w:val="24"/>
          <w:highlight w:val="none"/>
          <w:lang w:eastAsia="en-US"/>
        </w:rPr>
        <w:t>备注</w:t>
      </w:r>
      <w:r>
        <w:rPr>
          <w:rFonts w:hint="eastAsia" w:asciiTheme="minorEastAsia" w:hAnsiTheme="minorEastAsia" w:eastAsiaTheme="minorEastAsia" w:cstheme="minorEastAsia"/>
          <w:b/>
          <w:bCs/>
          <w:snapToGrid w:val="0"/>
          <w:color w:val="000000"/>
          <w:spacing w:val="9"/>
          <w:kern w:val="0"/>
          <w:sz w:val="24"/>
          <w:szCs w:val="24"/>
          <w:highlight w:val="none"/>
          <w:lang w:eastAsia="zh-CN"/>
        </w:rPr>
        <w:t>：</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本授权委托书须单独另备一份及委托代理人身份证原件，并附法定代表人身份证明</w:t>
      </w:r>
      <w:r>
        <w:rPr>
          <w:rFonts w:hint="eastAsia" w:asciiTheme="minorEastAsia" w:hAnsiTheme="minorEastAsia" w:cstheme="minorEastAsia"/>
          <w:b/>
          <w:bCs/>
          <w:snapToGrid w:val="0"/>
          <w:color w:val="000000"/>
          <w:spacing w:val="9"/>
          <w:kern w:val="0"/>
          <w:sz w:val="24"/>
          <w:szCs w:val="24"/>
          <w:highlight w:val="none"/>
          <w:lang w:val="en-US" w:eastAsia="zh-CN"/>
        </w:rPr>
        <w:t>开标</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现场查验。</w:t>
      </w:r>
    </w:p>
    <w:p w14:paraId="43CDC2CD">
      <w:pPr>
        <w:pStyle w:val="5"/>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p>
    <w:p w14:paraId="639947F8">
      <w:pPr>
        <w:pStyle w:val="5"/>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二、保证金</w:t>
      </w:r>
      <w:bookmarkEnd w:id="122"/>
      <w:bookmarkEnd w:id="123"/>
      <w:bookmarkEnd w:id="124"/>
    </w:p>
    <w:p w14:paraId="1177C000">
      <w:pPr>
        <w:pageBreakBefore w:val="0"/>
        <w:kinsoku/>
        <w:wordWrap/>
        <w:overflowPunct/>
        <w:bidi w:val="0"/>
        <w:adjustRightInd w:val="0"/>
        <w:snapToGrid w:val="0"/>
        <w:spacing w:beforeAutospacing="0" w:afterAutospacing="0" w:line="360" w:lineRule="auto"/>
        <w:ind w:firstLine="482" w:firstLineChars="200"/>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备注：（本项目不提供保证金）</w:t>
      </w:r>
    </w:p>
    <w:p w14:paraId="516297D9">
      <w:pPr>
        <w:pStyle w:val="2"/>
        <w:pageBreakBefore w:val="0"/>
        <w:kinsoku/>
        <w:wordWrap/>
        <w:overflowPunct/>
        <w:bidi w:val="0"/>
        <w:spacing w:beforeAutospacing="0" w:afterAutospacing="0" w:line="360" w:lineRule="auto"/>
        <w:ind w:firstLine="0" w:firstLineChars="0"/>
        <w:textAlignment w:val="auto"/>
        <w:rPr>
          <w:rFonts w:hint="eastAsia" w:ascii="宋体" w:hAnsi="宋体" w:eastAsia="宋体" w:cs="宋体"/>
          <w:b/>
          <w:color w:val="000000"/>
          <w:sz w:val="21"/>
          <w:szCs w:val="21"/>
        </w:rPr>
      </w:pPr>
    </w:p>
    <w:p w14:paraId="1528D5EC">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如需提供：付款凭证复印件，或金融机构、担保机构出具的保函原件。</w:t>
      </w:r>
    </w:p>
    <w:p w14:paraId="6757913B">
      <w:pPr>
        <w:pStyle w:val="6"/>
        <w:pageBreakBefore w:val="0"/>
        <w:kinsoku/>
        <w:wordWrap/>
        <w:overflowPunct/>
        <w:bidi w:val="0"/>
        <w:spacing w:before="0" w:beforeAutospacing="0" w:after="0" w:afterAutospacing="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附件2-1 </w:t>
      </w:r>
      <w:bookmarkEnd w:id="125"/>
      <w:bookmarkEnd w:id="126"/>
    </w:p>
    <w:p w14:paraId="03440FB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color w:val="000000"/>
          <w:sz w:val="21"/>
          <w:szCs w:val="21"/>
          <w:u w:val="single"/>
        </w:rPr>
      </w:pPr>
      <w:r>
        <w:rPr>
          <w:rFonts w:hint="eastAsia" w:ascii="宋体" w:hAnsi="宋体" w:eastAsia="宋体" w:cs="宋体"/>
          <w:b/>
          <w:color w:val="000000"/>
          <w:sz w:val="21"/>
          <w:szCs w:val="21"/>
        </w:rPr>
        <w:t>保函</w:t>
      </w:r>
    </w:p>
    <w:p w14:paraId="17A8AB0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（金融机构、担保机构保函）</w:t>
      </w:r>
    </w:p>
    <w:p w14:paraId="379648DF">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（采购人名称）：</w:t>
      </w:r>
    </w:p>
    <w:p w14:paraId="0F2165F0">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鉴于（供应商名称）（以下称“供应商”）于  年  月  日参加（项目名称）的竞争性磋商（政府采购计划编号：，采购代理编号：），（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 </w:t>
      </w:r>
    </w:p>
    <w:p w14:paraId="7C312534">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本保函在响应文件有效期内保持有效。要求我方承担保证责任的通知应在响应文件有效期内送达我方。</w:t>
      </w:r>
    </w:p>
    <w:p w14:paraId="52EDB6D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担保人名称：（盖单位公章）</w:t>
      </w:r>
    </w:p>
    <w:p w14:paraId="1CE1BE46">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法定代表人（单位负责人）或委托代理人：（签字或印章）</w:t>
      </w:r>
    </w:p>
    <w:p w14:paraId="54F7E80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    址：</w:t>
      </w:r>
    </w:p>
    <w:p w14:paraId="1DB779DB">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p w14:paraId="70025737">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    话：</w:t>
      </w:r>
    </w:p>
    <w:p w14:paraId="7F76FE0E">
      <w:pPr>
        <w:pageBreakBefore w:val="0"/>
        <w:kinsoku/>
        <w:wordWrap/>
        <w:overflowPunct/>
        <w:bidi w:val="0"/>
        <w:adjustRightInd w:val="0"/>
        <w:snapToGrid w:val="0"/>
        <w:spacing w:beforeAutospacing="0" w:afterAutospacing="0" w:line="360" w:lineRule="auto"/>
        <w:ind w:firstLine="420" w:firstLineChars="200"/>
        <w:jc w:val="both"/>
        <w:textAlignment w:val="auto"/>
        <w:rPr>
          <w:rFonts w:hint="eastAsia" w:ascii="宋体" w:hAnsi="宋体" w:eastAsia="宋体" w:cs="宋体"/>
          <w:color w:val="000000"/>
          <w:sz w:val="21"/>
          <w:szCs w:val="21"/>
        </w:rPr>
        <w:sectPr>
          <w:headerReference r:id="rId13" w:type="default"/>
          <w:footerReference r:id="rId14" w:type="default"/>
          <w:pgSz w:w="11906" w:h="16838"/>
          <w:pgMar w:top="1134" w:right="1247" w:bottom="1134" w:left="1247" w:header="851" w:footer="992" w:gutter="0"/>
          <w:pgNumType w:fmt="decimal"/>
          <w:cols w:space="0" w:num="1"/>
          <w:rtlGutter w:val="0"/>
          <w:docGrid w:type="lines" w:linePitch="312" w:charSpace="0"/>
        </w:sectPr>
      </w:pPr>
      <w:r>
        <w:rPr>
          <w:rFonts w:hint="eastAsia" w:ascii="宋体" w:hAnsi="宋体" w:eastAsia="宋体" w:cs="宋体"/>
          <w:color w:val="000000"/>
          <w:sz w:val="21"/>
          <w:szCs w:val="21"/>
        </w:rPr>
        <w:t xml:space="preserve">日期：年   </w:t>
      </w:r>
    </w:p>
    <w:p w14:paraId="6C64077E">
      <w:pPr>
        <w:pStyle w:val="6"/>
        <w:pageBreakBefore w:val="0"/>
        <w:widowControl/>
        <w:kinsoku/>
        <w:wordWrap/>
        <w:overflowPunct/>
        <w:bidi w:val="0"/>
        <w:spacing w:line="360" w:lineRule="auto"/>
        <w:jc w:val="center"/>
        <w:textAlignment w:val="auto"/>
        <w:rPr>
          <w:rFonts w:hint="eastAsia" w:ascii="宋体" w:hAnsi="宋体" w:eastAsia="宋体" w:cs="宋体"/>
          <w:sz w:val="24"/>
          <w:szCs w:val="24"/>
        </w:rPr>
      </w:pPr>
      <w:bookmarkStart w:id="128" w:name="_Toc34637835"/>
      <w:r>
        <w:rPr>
          <w:rFonts w:hint="eastAsia" w:ascii="宋体" w:hAnsi="宋体" w:eastAsia="宋体" w:cs="宋体"/>
          <w:sz w:val="24"/>
          <w:szCs w:val="24"/>
        </w:rPr>
        <w:t>三、供应商的资格证明材料</w:t>
      </w:r>
    </w:p>
    <w:bookmarkEnd w:id="128"/>
    <w:p w14:paraId="1A1AFE1D">
      <w:pPr>
        <w:pageBreakBefore w:val="0"/>
        <w:kinsoku/>
        <w:wordWrap/>
        <w:overflowPunct/>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sz w:val="24"/>
          <w:szCs w:val="24"/>
        </w:rPr>
        <w:t>附件3-1</w:t>
      </w:r>
    </w:p>
    <w:p w14:paraId="09FB8BD7">
      <w:pPr>
        <w:pageBreakBefore w:val="0"/>
        <w:kinsoku/>
        <w:wordWrap/>
        <w:overflowPunct/>
        <w:bidi w:val="0"/>
        <w:adjustRightInd w:val="0"/>
        <w:snapToGri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供应商资格声明</w:t>
      </w:r>
    </w:p>
    <w:p w14:paraId="7FFB5E62">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致(采购人、采购代理机构)：</w:t>
      </w:r>
    </w:p>
    <w:p w14:paraId="128F07EE">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按照《中华人民共和国政府采购法》及实施条例和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(项目名称)</w:t>
      </w:r>
      <w:r>
        <w:rPr>
          <w:rFonts w:hint="eastAsia" w:ascii="宋体" w:hAnsi="宋体" w:eastAsia="宋体" w:cs="宋体"/>
          <w:sz w:val="21"/>
          <w:szCs w:val="21"/>
        </w:rPr>
        <w:t>邀请</w:t>
      </w:r>
      <w:r>
        <w:rPr>
          <w:rFonts w:hint="eastAsia" w:ascii="宋体" w:hAnsi="宋体" w:eastAsia="宋体" w:cs="宋体"/>
          <w:sz w:val="21"/>
          <w:szCs w:val="21"/>
          <w:lang w:val="en-US" w:eastAsia="zh-CN"/>
        </w:rPr>
        <w:t>公告</w:t>
      </w:r>
      <w:r>
        <w:rPr>
          <w:rFonts w:hint="eastAsia" w:ascii="宋体" w:hAnsi="宋体" w:eastAsia="宋体" w:cs="宋体"/>
          <w:sz w:val="21"/>
          <w:szCs w:val="21"/>
        </w:rPr>
        <w:t>的规定，我单位郑重声明如下：</w:t>
      </w:r>
    </w:p>
    <w:p w14:paraId="1957CD93">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一、我单位是按照中华人民共和国法律规定登记注册的，注册地点为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，全称为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，统一社会信用代码为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，法定代表人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，具有独立承担民事责任的能力。</w:t>
      </w:r>
    </w:p>
    <w:p w14:paraId="588FE94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二、我单位具有良好的商业信誉和健全的财务会计制度。</w:t>
      </w:r>
    </w:p>
    <w:p w14:paraId="4FE7D0A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三、我</w:t>
      </w:r>
      <w:r>
        <w:rPr>
          <w:rFonts w:hint="eastAsia" w:ascii="宋体" w:hAnsi="宋体" w:eastAsia="宋体" w:cs="宋体"/>
          <w:sz w:val="21"/>
          <w:szCs w:val="21"/>
        </w:rPr>
        <w:t>单位</w:t>
      </w:r>
      <w:r>
        <w:rPr>
          <w:rFonts w:hint="eastAsia" w:ascii="宋体" w:hAnsi="宋体" w:eastAsia="宋体" w:cs="宋体"/>
          <w:kern w:val="0"/>
          <w:sz w:val="21"/>
          <w:szCs w:val="21"/>
        </w:rPr>
        <w:t>依法进行纳税和社会保险申报并实际履行了义务。</w:t>
      </w:r>
    </w:p>
    <w:p w14:paraId="244B1780">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四、</w:t>
      </w:r>
      <w:r>
        <w:rPr>
          <w:rFonts w:hint="eastAsia" w:ascii="宋体" w:hAnsi="宋体" w:eastAsia="宋体" w:cs="宋体"/>
          <w:sz w:val="21"/>
          <w:szCs w:val="21"/>
        </w:rPr>
        <w:t>我单位具有履行本项目采购合同所必需的设备和专业技术能力，并具有履行合同的良好记录。</w:t>
      </w:r>
    </w:p>
    <w:p w14:paraId="58861F8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C0A3F2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供应商在参加政府采购活动前3年内因违法经营被禁止在一定期限内参加政府采购活动，期限届满的，可以参加政府采购活动。</w:t>
      </w:r>
    </w:p>
    <w:p w14:paraId="378D0EB4">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六、我单位具备法律、行政法规规定的其他条件。</w:t>
      </w:r>
    </w:p>
    <w:p w14:paraId="6362F63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七、与我单位存在“单位负责人为同一人或者存在直接控股、管理关系”的其他单位信息如下（如无，填写“无”）：</w:t>
      </w:r>
    </w:p>
    <w:p w14:paraId="343682EF">
      <w:pPr>
        <w:pageBreakBefore w:val="0"/>
        <w:kinsoku/>
        <w:wordWrap/>
        <w:overflowPunct/>
        <w:bidi w:val="0"/>
        <w:adjustRightInd w:val="0"/>
        <w:snapToGrid w:val="0"/>
        <w:spacing w:beforeLines="50" w:line="360" w:lineRule="auto"/>
        <w:ind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rPr>
        <w:t>1、与我单位的法定代表人（单位负责人）为同一人的其他单位如下：</w:t>
      </w:r>
      <w:r>
        <w:rPr>
          <w:rFonts w:hint="eastAsia" w:ascii="宋体" w:hAnsi="宋体" w:eastAsia="宋体" w:cs="宋体"/>
          <w:sz w:val="21"/>
          <w:szCs w:val="21"/>
          <w:u w:val="single"/>
          <w:lang w:val="en-US" w:eastAsia="zh-CN"/>
        </w:rPr>
        <w:t xml:space="preserve">     </w:t>
      </w:r>
    </w:p>
    <w:p w14:paraId="05CC3742">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rPr>
        <w:t>2、我单位直接控股的其他单位如下：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304BE091">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rPr>
        <w:t>3、与我单位存在管理关系的其他单位如下：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579480E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八、</w:t>
      </w:r>
      <w:r>
        <w:rPr>
          <w:rFonts w:hint="eastAsia" w:ascii="宋体" w:hAnsi="宋体" w:eastAsia="宋体" w:cs="宋体"/>
          <w:sz w:val="21"/>
          <w:szCs w:val="21"/>
        </w:rPr>
        <w:t>我单位不属于为本项目提供整体设计、规范编制或者项目管理、监理、检测等服务的供应商。</w:t>
      </w:r>
    </w:p>
    <w:p w14:paraId="2F5A5E95">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九、我单位无以下不良信用记录情形：</w:t>
      </w:r>
    </w:p>
    <w:p w14:paraId="0D9E1F31">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1、在“信用中国”网站被列入失信被执行人和重大税收违法案件当事人名单；</w:t>
      </w:r>
    </w:p>
    <w:p w14:paraId="4330458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2、在“中国政府采购网”网站被列入政府采购严重违法失信行为记录名单；</w:t>
      </w:r>
    </w:p>
    <w:p w14:paraId="6CBF2C3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3、不符合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第二十二条规定的条件。</w:t>
      </w:r>
    </w:p>
    <w:p w14:paraId="00C04679">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我单位保证上述声明的事项都是真实的，如有虚假，我单位愿意承担相应的法律责任，并承担因此所造成的一切损失。</w:t>
      </w:r>
    </w:p>
    <w:p w14:paraId="12DCF22C">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注：第三条“良好的商业信誉”是指供应商经营状况良好，无本资格声明第九条情形。</w:t>
      </w:r>
    </w:p>
    <w:p w14:paraId="19D576F7">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p>
    <w:p w14:paraId="5BC7E15F">
      <w:pPr>
        <w:pageBreakBefore w:val="0"/>
        <w:widowControl/>
        <w:kinsoku/>
        <w:wordWrap/>
        <w:overflowPunct/>
        <w:bidi w:val="0"/>
        <w:adjustRightInd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供应商名称（盖单位公章）：</w:t>
      </w:r>
    </w:p>
    <w:p w14:paraId="37668534">
      <w:pPr>
        <w:pageBreakBefore w:val="0"/>
        <w:widowControl/>
        <w:kinsoku/>
        <w:wordWrap/>
        <w:overflowPunct/>
        <w:bidi w:val="0"/>
        <w:adjustRightInd w:val="0"/>
        <w:snapToGrid w:val="0"/>
        <w:spacing w:line="360" w:lineRule="auto"/>
        <w:jc w:val="left"/>
        <w:textAlignment w:val="auto"/>
        <w:rPr>
          <w:rFonts w:hint="eastAsia" w:ascii="宋体" w:hAnsi="宋体" w:eastAsia="宋体" w:cs="宋体"/>
          <w:b/>
          <w:bCs/>
          <w:kern w:val="0"/>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或委托代理人：（签字或印章）</w:t>
      </w:r>
    </w:p>
    <w:p w14:paraId="16479529">
      <w:pPr>
        <w:pageBreakBefore w:val="0"/>
        <w:widowControl/>
        <w:kinsoku/>
        <w:wordWrap/>
        <w:overflowPunct/>
        <w:bidi w:val="0"/>
        <w:adjustRightInd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3B3D5D0E">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7D7E5F46">
      <w:pPr>
        <w:pageBreakBefore w:val="0"/>
        <w:kinsoku/>
        <w:wordWrap/>
        <w:overflowPunct/>
        <w:bidi w:val="0"/>
        <w:spacing w:line="360" w:lineRule="auto"/>
        <w:textAlignment w:val="auto"/>
        <w:rPr>
          <w:rFonts w:hint="eastAsia" w:ascii="宋体" w:hAnsi="宋体" w:eastAsia="宋体" w:cs="宋体"/>
          <w:b/>
          <w:bCs/>
          <w:sz w:val="21"/>
          <w:szCs w:val="21"/>
        </w:rPr>
      </w:pPr>
    </w:p>
    <w:p w14:paraId="5CAE679B">
      <w:pPr>
        <w:pageBreakBefore w:val="0"/>
        <w:kinsoku/>
        <w:wordWrap/>
        <w:overflowPunct/>
        <w:bidi w:val="0"/>
        <w:spacing w:line="360" w:lineRule="auto"/>
        <w:textAlignment w:val="auto"/>
        <w:rPr>
          <w:rFonts w:hint="eastAsia" w:ascii="宋体" w:hAnsi="宋体" w:eastAsia="宋体" w:cs="宋体"/>
          <w:b/>
          <w:bCs/>
          <w:sz w:val="21"/>
          <w:szCs w:val="21"/>
        </w:rPr>
      </w:pPr>
    </w:p>
    <w:p w14:paraId="3161CCA3">
      <w:pPr>
        <w:pageBreakBefore w:val="0"/>
        <w:kinsoku/>
        <w:wordWrap/>
        <w:overflowPunct/>
        <w:bidi w:val="0"/>
        <w:spacing w:line="360" w:lineRule="auto"/>
        <w:textAlignment w:val="auto"/>
        <w:rPr>
          <w:rFonts w:hint="eastAsia" w:ascii="宋体" w:hAnsi="宋体" w:eastAsia="宋体" w:cs="宋体"/>
          <w:b/>
          <w:bCs/>
          <w:sz w:val="21"/>
          <w:szCs w:val="21"/>
        </w:rPr>
      </w:pPr>
    </w:p>
    <w:p w14:paraId="3DDD4FCD">
      <w:pPr>
        <w:pageBreakBefore w:val="0"/>
        <w:kinsoku/>
        <w:wordWrap/>
        <w:overflowPunct/>
        <w:bidi w:val="0"/>
        <w:spacing w:line="360" w:lineRule="auto"/>
        <w:textAlignment w:val="auto"/>
        <w:rPr>
          <w:rFonts w:hint="eastAsia" w:ascii="宋体" w:hAnsi="宋体" w:eastAsia="宋体" w:cs="宋体"/>
          <w:b/>
          <w:bCs/>
          <w:sz w:val="21"/>
          <w:szCs w:val="21"/>
        </w:rPr>
      </w:pPr>
    </w:p>
    <w:p w14:paraId="3B544CB4">
      <w:pPr>
        <w:pageBreakBefore w:val="0"/>
        <w:kinsoku/>
        <w:wordWrap/>
        <w:overflowPunct/>
        <w:bidi w:val="0"/>
        <w:spacing w:line="360" w:lineRule="auto"/>
        <w:textAlignment w:val="auto"/>
        <w:rPr>
          <w:rFonts w:hint="eastAsia" w:ascii="宋体" w:hAnsi="宋体" w:eastAsia="宋体" w:cs="宋体"/>
          <w:b/>
          <w:bCs/>
          <w:sz w:val="21"/>
          <w:szCs w:val="21"/>
        </w:rPr>
      </w:pPr>
    </w:p>
    <w:p w14:paraId="1D487CAA">
      <w:pPr>
        <w:pageBreakBefore w:val="0"/>
        <w:kinsoku/>
        <w:wordWrap/>
        <w:overflowPunct/>
        <w:bidi w:val="0"/>
        <w:spacing w:line="360" w:lineRule="auto"/>
        <w:textAlignment w:val="auto"/>
        <w:rPr>
          <w:rFonts w:hint="eastAsia" w:ascii="宋体" w:hAnsi="宋体" w:eastAsia="宋体" w:cs="宋体"/>
          <w:b/>
          <w:bCs/>
          <w:sz w:val="21"/>
          <w:szCs w:val="21"/>
        </w:rPr>
      </w:pPr>
    </w:p>
    <w:p w14:paraId="1F329CCE">
      <w:pPr>
        <w:pageBreakBefore w:val="0"/>
        <w:kinsoku/>
        <w:wordWrap/>
        <w:overflowPunct/>
        <w:bidi w:val="0"/>
        <w:spacing w:line="360" w:lineRule="auto"/>
        <w:textAlignment w:val="auto"/>
        <w:rPr>
          <w:rFonts w:hint="eastAsia" w:ascii="宋体" w:hAnsi="宋体" w:eastAsia="宋体" w:cs="宋体"/>
          <w:b/>
          <w:bCs/>
          <w:sz w:val="21"/>
          <w:szCs w:val="21"/>
        </w:rPr>
      </w:pPr>
    </w:p>
    <w:p w14:paraId="7EC46144">
      <w:pPr>
        <w:pageBreakBefore w:val="0"/>
        <w:kinsoku/>
        <w:wordWrap/>
        <w:overflowPunct/>
        <w:bidi w:val="0"/>
        <w:spacing w:line="360" w:lineRule="auto"/>
        <w:textAlignment w:val="auto"/>
        <w:rPr>
          <w:rFonts w:hint="eastAsia" w:ascii="宋体" w:hAnsi="宋体" w:eastAsia="宋体" w:cs="宋体"/>
          <w:b/>
          <w:bCs/>
          <w:sz w:val="21"/>
          <w:szCs w:val="21"/>
        </w:rPr>
      </w:pPr>
    </w:p>
    <w:p w14:paraId="6C82F9E4">
      <w:pPr>
        <w:pStyle w:val="35"/>
        <w:pageBreakBefore w:val="0"/>
        <w:widowControl/>
        <w:kinsoku/>
        <w:wordWrap/>
        <w:overflowPunct/>
        <w:bidi w:val="0"/>
        <w:spacing w:line="360" w:lineRule="auto"/>
        <w:ind w:firstLine="420"/>
        <w:jc w:val="left"/>
        <w:textAlignment w:val="auto"/>
        <w:rPr>
          <w:rFonts w:hint="eastAsia" w:ascii="宋体" w:hAnsi="宋体" w:eastAsia="宋体" w:cs="宋体"/>
          <w:b/>
          <w:sz w:val="21"/>
          <w:szCs w:val="21"/>
        </w:rPr>
      </w:pPr>
    </w:p>
    <w:p w14:paraId="4AFA90D7">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6D6AE9C">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156C1607">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DD84FF4">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00B47078">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A0F270F">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7D233BC">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FDDB17A">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0351C54">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5B01249">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6B84E501">
      <w:pPr>
        <w:pStyle w:val="35"/>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bookmarkEnd w:id="127"/>
    <w:p w14:paraId="68D19762">
      <w:pPr>
        <w:pStyle w:val="6"/>
        <w:pageBreakBefore w:val="0"/>
        <w:kinsoku/>
        <w:wordWrap/>
        <w:overflowPunct/>
        <w:bidi w:val="0"/>
        <w:spacing w:before="0" w:beforeAutospacing="0" w:after="0" w:afterAutospacing="0" w:line="36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附件3-</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w:t>
      </w:r>
    </w:p>
    <w:p w14:paraId="445F7AE8">
      <w:pPr>
        <w:pageBreakBefore w:val="0"/>
        <w:widowControl/>
        <w:kinsoku/>
        <w:wordWrap/>
        <w:overflowPunct/>
        <w:bidi w:val="0"/>
        <w:adjustRightInd w:val="0"/>
        <w:snapToGrid w:val="0"/>
        <w:spacing w:beforeAutospacing="0" w:afterAutospacing="0" w:line="360" w:lineRule="auto"/>
        <w:jc w:val="both"/>
        <w:textAlignment w:val="auto"/>
        <w:rPr>
          <w:rFonts w:hint="eastAsia" w:ascii="宋体" w:hAnsi="宋体" w:eastAsia="宋体" w:cs="宋体"/>
          <w:b/>
          <w:sz w:val="21"/>
          <w:szCs w:val="21"/>
          <w:highlight w:val="none"/>
        </w:rPr>
      </w:pPr>
    </w:p>
    <w:p w14:paraId="4AB70FD6">
      <w:pPr>
        <w:pageBreakBefore w:val="0"/>
        <w:widowControl/>
        <w:kinsoku/>
        <w:wordWrap/>
        <w:overflowPunct/>
        <w:bidi w:val="0"/>
        <w:adjustRightInd w:val="0"/>
        <w:snapToGrid w:val="0"/>
        <w:spacing w:beforeAutospacing="0" w:afterAutospacing="0" w:line="360" w:lineRule="auto"/>
        <w:ind w:left="0" w:leftChars="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法人或者其他组织的营业执照等主体资格证明文件，自然人的身份证明</w:t>
      </w:r>
    </w:p>
    <w:p w14:paraId="5136E460">
      <w:pPr>
        <w:pageBreakBefore w:val="0"/>
        <w:widowControl/>
        <w:kinsoku/>
        <w:wordWrap/>
        <w:overflowPunct/>
        <w:bidi w:val="0"/>
        <w:adjustRightInd w:val="0"/>
        <w:snapToGrid w:val="0"/>
        <w:spacing w:beforeAutospacing="0" w:afterAutospacing="0" w:line="360" w:lineRule="auto"/>
        <w:ind w:firstLine="426" w:firstLineChars="200"/>
        <w:jc w:val="center"/>
        <w:textAlignment w:val="auto"/>
        <w:rPr>
          <w:rFonts w:hint="eastAsia" w:ascii="宋体" w:hAnsi="宋体" w:eastAsia="宋体" w:cs="宋体"/>
          <w:sz w:val="21"/>
          <w:szCs w:val="21"/>
          <w:highlight w:val="none"/>
        </w:rPr>
      </w:pPr>
    </w:p>
    <w:p w14:paraId="56918A5F">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2FDD8E84">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（1）投标人为法人的，应提交营业执照或法人登记证书的复印件；</w:t>
      </w:r>
    </w:p>
    <w:p w14:paraId="1771CEE6">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（2）投标人为非法人组织的，应提交依法登记证书复印件；</w:t>
      </w:r>
    </w:p>
    <w:p w14:paraId="14635315">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（3）投标人为个体工商户的，应提交个体工商户营业执照复印件；</w:t>
      </w:r>
    </w:p>
    <w:p w14:paraId="4D4DE80C">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（4）投标人为自然人的，应提交自然人的身份证明复印件。</w:t>
      </w:r>
    </w:p>
    <w:p w14:paraId="0B71D670">
      <w:pPr>
        <w:pStyle w:val="24"/>
        <w:pageBreakBefore w:val="0"/>
        <w:kinsoku/>
        <w:wordWrap/>
        <w:overflowPunct/>
        <w:bidi w:val="0"/>
        <w:adjustRightInd w:val="0"/>
        <w:snapToGrid w:val="0"/>
        <w:spacing w:beforeAutospacing="0" w:afterAutospacing="0" w:line="360" w:lineRule="auto"/>
        <w:ind w:left="4686" w:leftChars="2200"/>
        <w:textAlignment w:val="auto"/>
        <w:rPr>
          <w:rFonts w:hint="eastAsia" w:ascii="宋体" w:hAnsi="宋体" w:eastAsia="宋体" w:cs="宋体"/>
          <w:sz w:val="21"/>
          <w:szCs w:val="21"/>
          <w:highlight w:val="none"/>
        </w:rPr>
      </w:pPr>
    </w:p>
    <w:p w14:paraId="6EFFE9C7">
      <w:pPr>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none"/>
        </w:rPr>
      </w:pPr>
    </w:p>
    <w:p w14:paraId="4359D934">
      <w:pPr>
        <w:pStyle w:val="7"/>
        <w:pageBreakBefore w:val="0"/>
        <w:kinsoku/>
        <w:wordWrap/>
        <w:overflowPunct/>
        <w:bidi w:val="0"/>
        <w:adjustRightInd w:val="0"/>
        <w:snapToGrid w:val="0"/>
        <w:spacing w:before="0" w:beforeAutospacing="0" w:after="0" w:afterAutospacing="0" w:line="360" w:lineRule="auto"/>
        <w:textAlignment w:val="auto"/>
        <w:outlineLvl w:val="9"/>
        <w:rPr>
          <w:rFonts w:hint="eastAsia" w:ascii="宋体" w:hAnsi="宋体" w:eastAsia="宋体" w:cs="宋体"/>
          <w:b w:val="0"/>
          <w:sz w:val="21"/>
          <w:szCs w:val="21"/>
          <w:highlight w:val="none"/>
        </w:rPr>
        <w:sectPr>
          <w:type w:val="continuous"/>
          <w:pgSz w:w="11906" w:h="16838"/>
          <w:pgMar w:top="1134" w:right="1417" w:bottom="1134" w:left="1417" w:header="851" w:footer="992" w:gutter="0"/>
          <w:pgNumType w:fmt="decimal"/>
          <w:cols w:space="0" w:num="1"/>
          <w:rtlGutter w:val="0"/>
          <w:docGrid w:type="linesAndChars" w:linePitch="316" w:charSpace="738"/>
        </w:sectPr>
      </w:pPr>
    </w:p>
    <w:p w14:paraId="452B0E70">
      <w:pPr>
        <w:pageBreakBefore w:val="0"/>
        <w:kinsoku/>
        <w:wordWrap/>
        <w:overflowPunct/>
        <w:bidi w:val="0"/>
        <w:spacing w:beforeAutospacing="0" w:afterAutospacing="0" w:line="360" w:lineRule="auto"/>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 xml:space="preserve">3                  </w:t>
      </w:r>
    </w:p>
    <w:p w14:paraId="633DFF93">
      <w:pPr>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湖南省政府采购供应商资格承诺函</w:t>
      </w:r>
    </w:p>
    <w:p w14:paraId="62A9ED7E">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CCC152">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按照《政府采购促进中小企业发展管理办法》（财库〔2020〕46号），本公司企业规模为：大型□ 中型□ 小型□ 微型□</w:t>
      </w:r>
    </w:p>
    <w:p w14:paraId="0B1ACA86">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p>
    <w:p w14:paraId="18BDD58C">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公司（单位）名称（盖章） </w:t>
      </w:r>
    </w:p>
    <w:p w14:paraId="0919080C">
      <w:pPr>
        <w:pageBreakBefore w:val="0"/>
        <w:widowControl/>
        <w:kinsoku/>
        <w:wordWrap/>
        <w:overflowPunct/>
        <w:topLinePunct w:val="0"/>
        <w:bidi w:val="0"/>
        <w:spacing w:beforeAutospacing="0" w:afterAutospacing="0" w:line="360" w:lineRule="auto"/>
        <w:ind w:right="630"/>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年    月    日</w:t>
      </w:r>
    </w:p>
    <w:p w14:paraId="00CBE75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机构代码</w:t>
      </w:r>
      <w:r>
        <w:rPr>
          <w:rFonts w:hint="eastAsia" w:ascii="宋体" w:hAnsi="宋体" w:eastAsia="宋体" w:cs="宋体"/>
          <w:kern w:val="0"/>
          <w:sz w:val="21"/>
          <w:szCs w:val="21"/>
          <w:highlight w:val="none"/>
          <w:lang w:eastAsia="zh-CN"/>
        </w:rPr>
        <w:t>：</w:t>
      </w:r>
    </w:p>
    <w:p w14:paraId="767D3A0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注册登记机构</w:t>
      </w:r>
      <w:r>
        <w:rPr>
          <w:rFonts w:hint="eastAsia" w:ascii="宋体" w:hAnsi="宋体" w:eastAsia="宋体" w:cs="宋体"/>
          <w:kern w:val="0"/>
          <w:sz w:val="21"/>
          <w:szCs w:val="21"/>
          <w:highlight w:val="none"/>
          <w:lang w:eastAsia="zh-CN"/>
        </w:rPr>
        <w:t>：</w:t>
      </w:r>
    </w:p>
    <w:p w14:paraId="4C4B41D0">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日期</w:t>
      </w:r>
      <w:r>
        <w:rPr>
          <w:rFonts w:hint="eastAsia" w:ascii="宋体" w:hAnsi="宋体" w:eastAsia="宋体" w:cs="宋体"/>
          <w:kern w:val="0"/>
          <w:sz w:val="21"/>
          <w:szCs w:val="21"/>
          <w:highlight w:val="none"/>
          <w:lang w:eastAsia="zh-CN"/>
        </w:rPr>
        <w:t>：</w:t>
      </w:r>
    </w:p>
    <w:p w14:paraId="2DECD01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有效期</w:t>
      </w:r>
      <w:r>
        <w:rPr>
          <w:rFonts w:hint="eastAsia" w:ascii="宋体" w:hAnsi="宋体" w:eastAsia="宋体" w:cs="宋体"/>
          <w:kern w:val="0"/>
          <w:sz w:val="21"/>
          <w:szCs w:val="21"/>
          <w:highlight w:val="none"/>
          <w:lang w:eastAsia="zh-CN"/>
        </w:rPr>
        <w:t>：</w:t>
      </w:r>
    </w:p>
    <w:p w14:paraId="180F63E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注册资本</w:t>
      </w:r>
      <w:r>
        <w:rPr>
          <w:rFonts w:hint="eastAsia" w:ascii="宋体" w:hAnsi="宋体" w:eastAsia="宋体" w:cs="宋体"/>
          <w:kern w:val="0"/>
          <w:sz w:val="21"/>
          <w:szCs w:val="21"/>
          <w:highlight w:val="none"/>
          <w:lang w:eastAsia="zh-CN"/>
        </w:rPr>
        <w:t>：</w:t>
      </w:r>
    </w:p>
    <w:p w14:paraId="517653DA">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地址</w:t>
      </w:r>
      <w:r>
        <w:rPr>
          <w:rFonts w:hint="eastAsia" w:ascii="宋体" w:hAnsi="宋体" w:eastAsia="宋体" w:cs="宋体"/>
          <w:kern w:val="0"/>
          <w:sz w:val="21"/>
          <w:szCs w:val="21"/>
          <w:highlight w:val="none"/>
          <w:lang w:eastAsia="zh-CN"/>
        </w:rPr>
        <w:t>：</w:t>
      </w:r>
    </w:p>
    <w:p w14:paraId="6400655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经济行业</w:t>
      </w:r>
      <w:r>
        <w:rPr>
          <w:rFonts w:hint="eastAsia" w:ascii="宋体" w:hAnsi="宋体" w:eastAsia="宋体" w:cs="宋体"/>
          <w:kern w:val="0"/>
          <w:sz w:val="21"/>
          <w:szCs w:val="21"/>
          <w:highlight w:val="none"/>
          <w:lang w:eastAsia="zh-CN"/>
        </w:rPr>
        <w:t>：</w:t>
      </w:r>
    </w:p>
    <w:p w14:paraId="2958113B">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经济性质：</w:t>
      </w:r>
    </w:p>
    <w:p w14:paraId="1FB02148">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法定代表人（负责人）姓名（签字）</w:t>
      </w:r>
      <w:r>
        <w:rPr>
          <w:rFonts w:hint="eastAsia" w:ascii="宋体" w:hAnsi="宋体" w:eastAsia="宋体" w:cs="宋体"/>
          <w:kern w:val="0"/>
          <w:sz w:val="21"/>
          <w:szCs w:val="21"/>
          <w:highlight w:val="none"/>
          <w:lang w:eastAsia="zh-CN"/>
        </w:rPr>
        <w:t>：</w:t>
      </w:r>
    </w:p>
    <w:p w14:paraId="06DEDD76">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eastAsia="zh-CN"/>
        </w:rPr>
        <w:t>：</w:t>
      </w:r>
    </w:p>
    <w:p w14:paraId="75A7540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手机号： </w:t>
      </w:r>
    </w:p>
    <w:p w14:paraId="15E75C55">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授权代表人姓名（签字）</w:t>
      </w:r>
      <w:r>
        <w:rPr>
          <w:rFonts w:hint="eastAsia" w:ascii="宋体" w:hAnsi="宋体" w:eastAsia="宋体" w:cs="宋体"/>
          <w:kern w:val="0"/>
          <w:sz w:val="21"/>
          <w:szCs w:val="21"/>
          <w:highlight w:val="none"/>
          <w:lang w:eastAsia="zh-CN"/>
        </w:rPr>
        <w:t>：</w:t>
      </w:r>
    </w:p>
    <w:p w14:paraId="404A6598">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val="en-US" w:eastAsia="zh-CN"/>
        </w:rPr>
        <w:t>:</w:t>
      </w:r>
    </w:p>
    <w:p w14:paraId="4DF9988A">
      <w:pPr>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手机号：</w:t>
      </w:r>
    </w:p>
    <w:p w14:paraId="7DC4C5DE">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BD65F0B">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075B3ED8">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2ABEE391">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64D36863">
      <w:pPr>
        <w:pStyle w:val="5"/>
        <w:rPr>
          <w:rFonts w:hint="eastAsia"/>
        </w:rPr>
      </w:pPr>
    </w:p>
    <w:p w14:paraId="11738468">
      <w:pPr>
        <w:rPr>
          <w:rFonts w:hint="eastAsia"/>
        </w:rPr>
      </w:pPr>
    </w:p>
    <w:p w14:paraId="1F461E19">
      <w:pPr>
        <w:pStyle w:val="5"/>
        <w:rPr>
          <w:rFonts w:hint="eastAsia"/>
        </w:rPr>
      </w:pPr>
    </w:p>
    <w:p w14:paraId="268002B5">
      <w:pPr>
        <w:adjustRightInd w:val="0"/>
        <w:snapToGrid w:val="0"/>
        <w:spacing w:line="360" w:lineRule="auto"/>
        <w:ind w:left="0" w:leftChars="0" w:firstLine="0" w:firstLineChars="0"/>
        <w:rPr>
          <w:rFonts w:hint="default" w:ascii="黑体" w:hAnsi="宋体" w:eastAsia="黑体"/>
          <w:sz w:val="28"/>
          <w:szCs w:val="28"/>
          <w:highlight w:val="none"/>
          <w:lang w:val="en-US"/>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4</w:t>
      </w:r>
    </w:p>
    <w:p w14:paraId="1D1F3274">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67A979EA">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01542429">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参加政府采购活动前三年内在经营活动中没有重大违法记录的书面声明</w:t>
      </w:r>
    </w:p>
    <w:p w14:paraId="33F35D62">
      <w:pPr>
        <w:adjustRightInd w:val="0"/>
        <w:snapToGrid w:val="0"/>
        <w:spacing w:before="156" w:beforeLines="50" w:line="360" w:lineRule="auto"/>
        <w:ind w:firstLine="480" w:firstLineChars="200"/>
        <w:rPr>
          <w:rFonts w:ascii="宋体" w:eastAsia="宋体"/>
          <w:sz w:val="24"/>
          <w:highlight w:val="none"/>
        </w:rPr>
      </w:pPr>
    </w:p>
    <w:p w14:paraId="3A8E850B">
      <w:pPr>
        <w:adjustRightInd w:val="0"/>
        <w:snapToGrid w:val="0"/>
        <w:spacing w:before="156" w:beforeLines="50" w:line="360" w:lineRule="auto"/>
        <w:ind w:left="-88" w:leftChars="-42" w:firstLine="420" w:firstLineChars="200"/>
        <w:rPr>
          <w:rFonts w:ascii="宋体" w:eastAsia="宋体"/>
          <w:sz w:val="21"/>
          <w:szCs w:val="21"/>
          <w:highlight w:val="none"/>
        </w:rPr>
      </w:pPr>
      <w:r>
        <w:rPr>
          <w:rFonts w:hint="eastAsia" w:ascii="宋体" w:hAnsi="宋体" w:eastAsia="宋体"/>
          <w:sz w:val="21"/>
          <w:szCs w:val="21"/>
          <w:highlight w:val="none"/>
        </w:rPr>
        <w:t>致</w:t>
      </w:r>
      <w:r>
        <w:rPr>
          <w:rFonts w:ascii="宋体" w:hAnsi="宋体" w:eastAsia="宋体"/>
          <w:sz w:val="21"/>
          <w:szCs w:val="21"/>
          <w:highlight w:val="none"/>
          <w:u w:val="single"/>
        </w:rPr>
        <w:t xml:space="preserve"> </w:t>
      </w:r>
      <w:r>
        <w:rPr>
          <w:rFonts w:hint="eastAsia" w:ascii="宋体" w:hAnsi="宋体" w:eastAsia="宋体"/>
          <w:sz w:val="21"/>
          <w:szCs w:val="21"/>
          <w:highlight w:val="none"/>
          <w:u w:val="single"/>
          <w:lang w:val="en-US" w:eastAsia="zh-CN"/>
        </w:rPr>
        <w:t xml:space="preserve">                    </w:t>
      </w:r>
      <w:r>
        <w:rPr>
          <w:rFonts w:ascii="宋体" w:hAnsi="宋体" w:eastAsia="宋体"/>
          <w:sz w:val="21"/>
          <w:szCs w:val="21"/>
          <w:highlight w:val="none"/>
          <w:u w:val="single"/>
        </w:rPr>
        <w:t xml:space="preserve"> </w:t>
      </w:r>
      <w:r>
        <w:rPr>
          <w:rFonts w:ascii="宋体" w:hAnsi="宋体" w:eastAsia="宋体"/>
          <w:sz w:val="21"/>
          <w:szCs w:val="21"/>
          <w:highlight w:val="none"/>
        </w:rPr>
        <w:t>(</w:t>
      </w:r>
      <w:r>
        <w:rPr>
          <w:rFonts w:hint="eastAsia" w:ascii="宋体" w:hAnsi="宋体" w:eastAsia="宋体"/>
          <w:sz w:val="21"/>
          <w:szCs w:val="21"/>
          <w:highlight w:val="none"/>
        </w:rPr>
        <w:t>采购代理机构</w:t>
      </w:r>
      <w:r>
        <w:rPr>
          <w:rFonts w:ascii="宋体" w:hAnsi="宋体" w:eastAsia="宋体"/>
          <w:sz w:val="21"/>
          <w:szCs w:val="21"/>
          <w:highlight w:val="none"/>
        </w:rPr>
        <w:t>)</w:t>
      </w:r>
      <w:r>
        <w:rPr>
          <w:rFonts w:hint="eastAsia" w:ascii="宋体" w:hAnsi="宋体" w:eastAsia="宋体"/>
          <w:sz w:val="21"/>
          <w:szCs w:val="21"/>
          <w:highlight w:val="none"/>
        </w:rPr>
        <w:t>：</w:t>
      </w:r>
    </w:p>
    <w:p w14:paraId="58F7D7D3">
      <w:pPr>
        <w:adjustRightInd w:val="0"/>
        <w:snapToGrid w:val="0"/>
        <w:spacing w:before="156" w:beforeLines="50" w:line="360" w:lineRule="auto"/>
        <w:ind w:left="-88" w:leftChars="-42" w:firstLine="420" w:firstLineChars="200"/>
        <w:rPr>
          <w:rFonts w:ascii="宋体" w:eastAsia="宋体"/>
          <w:sz w:val="21"/>
          <w:szCs w:val="21"/>
          <w:highlight w:val="none"/>
        </w:rPr>
      </w:pPr>
    </w:p>
    <w:p w14:paraId="676AA20E">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我单位在参加采购项目政府采购活动前三年内，没有因违法经营受到刑事处罚，或者责令停产停业、吊销许可证或者执照、受到</w:t>
      </w:r>
      <w:r>
        <w:rPr>
          <w:rFonts w:hint="eastAsia" w:ascii="宋体" w:hAnsi="宋体" w:eastAsia="宋体"/>
          <w:sz w:val="21"/>
          <w:szCs w:val="21"/>
          <w:highlight w:val="none"/>
          <w:lang w:val="en-US" w:eastAsia="zh-CN"/>
        </w:rPr>
        <w:t>数额较大及</w:t>
      </w:r>
      <w:r>
        <w:rPr>
          <w:rFonts w:hint="eastAsia" w:ascii="宋体" w:hAnsi="宋体" w:eastAsia="宋体"/>
          <w:sz w:val="21"/>
          <w:szCs w:val="21"/>
          <w:highlight w:val="none"/>
        </w:rPr>
        <w:t>以上的罚款等行政处罚。</w:t>
      </w:r>
    </w:p>
    <w:p w14:paraId="7E66130C">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特此声明！</w:t>
      </w:r>
    </w:p>
    <w:p w14:paraId="2AADC093">
      <w:pPr>
        <w:widowControl/>
        <w:adjustRightInd w:val="0"/>
        <w:snapToGrid w:val="0"/>
        <w:spacing w:before="156" w:beforeLines="50" w:line="360" w:lineRule="auto"/>
        <w:ind w:firstLine="420" w:firstLineChars="200"/>
        <w:rPr>
          <w:rFonts w:ascii="宋体" w:eastAsia="宋体"/>
          <w:sz w:val="21"/>
          <w:szCs w:val="21"/>
          <w:highlight w:val="none"/>
        </w:rPr>
      </w:pPr>
    </w:p>
    <w:p w14:paraId="235BD5BB">
      <w:pPr>
        <w:widowControl/>
        <w:adjustRightInd w:val="0"/>
        <w:snapToGrid w:val="0"/>
        <w:spacing w:before="156" w:beforeLines="50" w:line="360" w:lineRule="auto"/>
        <w:ind w:firstLine="420" w:firstLineChars="200"/>
        <w:rPr>
          <w:rFonts w:ascii="宋体" w:eastAsia="宋体"/>
          <w:sz w:val="21"/>
          <w:szCs w:val="21"/>
          <w:highlight w:val="none"/>
        </w:rPr>
      </w:pPr>
    </w:p>
    <w:p w14:paraId="1F5733B4">
      <w:pPr>
        <w:widowControl/>
        <w:adjustRightInd w:val="0"/>
        <w:snapToGrid w:val="0"/>
        <w:spacing w:before="156" w:beforeLines="50" w:line="360" w:lineRule="auto"/>
        <w:ind w:firstLine="420" w:firstLineChars="200"/>
        <w:rPr>
          <w:rFonts w:ascii="宋体" w:eastAsia="宋体"/>
          <w:sz w:val="21"/>
          <w:szCs w:val="21"/>
          <w:highlight w:val="none"/>
        </w:rPr>
      </w:pPr>
    </w:p>
    <w:p w14:paraId="75D804E8">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名称（</w:t>
      </w:r>
      <w:r>
        <w:rPr>
          <w:rFonts w:hint="eastAsia" w:ascii="宋体" w:hAnsi="宋体" w:eastAsia="宋体" w:cs="宋体"/>
          <w:color w:val="auto"/>
          <w:sz w:val="21"/>
          <w:szCs w:val="21"/>
          <w:highlight w:val="none"/>
        </w:rPr>
        <w:t>盖单位章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27B27DBB">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法定代表人或其委托代理人（</w:t>
      </w:r>
      <w:r>
        <w:rPr>
          <w:rFonts w:hint="eastAsia" w:ascii="宋体" w:hAnsi="宋体" w:eastAsia="宋体" w:cs="宋体"/>
          <w:color w:val="auto"/>
          <w:sz w:val="21"/>
          <w:szCs w:val="21"/>
          <w:highlight w:val="none"/>
        </w:rPr>
        <w:t>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7B33161B">
      <w:pPr>
        <w:adjustRightInd w:val="0"/>
        <w:snapToGrid w:val="0"/>
        <w:spacing w:line="360" w:lineRule="auto"/>
        <w:ind w:right="24" w:firstLine="420" w:firstLineChars="200"/>
        <w:rPr>
          <w:rFonts w:ascii="宋体" w:eastAsia="宋体"/>
          <w:sz w:val="21"/>
          <w:szCs w:val="21"/>
          <w:highlight w:val="none"/>
        </w:rPr>
      </w:pPr>
      <w:r>
        <w:rPr>
          <w:rFonts w:hint="eastAsia" w:ascii="宋体" w:hAnsi="宋体" w:eastAsia="宋体"/>
          <w:sz w:val="21"/>
          <w:szCs w:val="21"/>
          <w:highlight w:val="none"/>
        </w:rPr>
        <w:t>日期：</w:t>
      </w:r>
      <w:r>
        <w:rPr>
          <w:rFonts w:ascii="宋体" w:hAnsi="宋体" w:eastAsia="宋体"/>
          <w:sz w:val="21"/>
          <w:szCs w:val="21"/>
          <w:highlight w:val="none"/>
        </w:rPr>
        <w:t xml:space="preserve">  </w:t>
      </w:r>
      <w:r>
        <w:rPr>
          <w:rFonts w:hint="eastAsia" w:ascii="宋体" w:hAnsi="宋体" w:eastAsia="宋体"/>
          <w:sz w:val="21"/>
          <w:szCs w:val="21"/>
          <w:highlight w:val="none"/>
        </w:rPr>
        <w:t>年</w:t>
      </w:r>
      <w:r>
        <w:rPr>
          <w:rFonts w:ascii="宋体" w:hAnsi="宋体" w:eastAsia="宋体"/>
          <w:sz w:val="21"/>
          <w:szCs w:val="21"/>
          <w:highlight w:val="none"/>
        </w:rPr>
        <w:t xml:space="preserve">   </w:t>
      </w:r>
      <w:r>
        <w:rPr>
          <w:rFonts w:hint="eastAsia" w:ascii="宋体" w:hAnsi="宋体" w:eastAsia="宋体"/>
          <w:sz w:val="21"/>
          <w:szCs w:val="21"/>
          <w:highlight w:val="none"/>
        </w:rPr>
        <w:t>月</w:t>
      </w:r>
      <w:r>
        <w:rPr>
          <w:rFonts w:ascii="宋体" w:hAnsi="宋体" w:eastAsia="宋体"/>
          <w:sz w:val="21"/>
          <w:szCs w:val="21"/>
          <w:highlight w:val="none"/>
        </w:rPr>
        <w:t xml:space="preserve">    </w:t>
      </w:r>
      <w:r>
        <w:rPr>
          <w:rFonts w:hint="eastAsia" w:ascii="宋体" w:hAnsi="宋体" w:eastAsia="宋体"/>
          <w:sz w:val="21"/>
          <w:szCs w:val="21"/>
          <w:highlight w:val="none"/>
        </w:rPr>
        <w:t>日</w:t>
      </w:r>
    </w:p>
    <w:p w14:paraId="2880EB70">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16E1FE7">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32FFB19">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416EB44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77BAFAF0">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8C089FB">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1D855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70472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0BCC89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D9D81E">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ADB163">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9A8F36D">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7C8167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35AA291">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附件3-</w:t>
      </w:r>
      <w:r>
        <w:rPr>
          <w:rFonts w:hint="eastAsia" w:ascii="宋体" w:hAnsi="宋体" w:eastAsia="宋体" w:cs="宋体"/>
          <w:b/>
          <w:bCs/>
          <w:sz w:val="24"/>
          <w:szCs w:val="24"/>
          <w:lang w:val="en-US" w:eastAsia="zh-CN"/>
        </w:rPr>
        <w:t>5</w:t>
      </w:r>
    </w:p>
    <w:p w14:paraId="2BD662C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color w:val="000000"/>
          <w:kern w:val="36"/>
          <w:sz w:val="24"/>
          <w:szCs w:val="24"/>
          <w:highlight w:val="none"/>
        </w:rPr>
      </w:pPr>
      <w:r>
        <w:rPr>
          <w:rFonts w:hint="eastAsia" w:ascii="宋体" w:hAnsi="宋体" w:eastAsia="宋体" w:cs="宋体"/>
          <w:b/>
          <w:color w:val="000000"/>
          <w:kern w:val="36"/>
          <w:sz w:val="24"/>
          <w:szCs w:val="24"/>
          <w:highlight w:val="none"/>
        </w:rPr>
        <w:t>磋商文件规定的特定资格条件证明资料</w:t>
      </w:r>
    </w:p>
    <w:p w14:paraId="0F08ED90">
      <w:pPr>
        <w:pStyle w:val="13"/>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yellow"/>
        </w:rPr>
      </w:pPr>
    </w:p>
    <w:p w14:paraId="5202C31E">
      <w:pPr>
        <w:pStyle w:val="13"/>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备注：提供第二章磋商须知第3.1款供应商特定资格条件证明资料的复印件。</w:t>
      </w:r>
    </w:p>
    <w:p w14:paraId="08C47417">
      <w:pPr>
        <w:pStyle w:val="13"/>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09639FCF">
      <w:pPr>
        <w:pStyle w:val="13"/>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5" w:type="default"/>
          <w:pgSz w:w="11906" w:h="16838"/>
          <w:pgMar w:top="1134" w:right="1417" w:bottom="1134" w:left="1417" w:header="851" w:footer="992" w:gutter="0"/>
          <w:pgNumType w:fmt="decimal"/>
          <w:cols w:space="720" w:num="1"/>
          <w:rtlGutter w:val="0"/>
          <w:docGrid w:type="lines" w:linePitch="312" w:charSpace="0"/>
        </w:sectPr>
      </w:pPr>
    </w:p>
    <w:p w14:paraId="4968408F">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附件3-</w:t>
      </w:r>
      <w:bookmarkStart w:id="129" w:name="_Toc29574"/>
      <w:r>
        <w:rPr>
          <w:rFonts w:hint="eastAsia" w:ascii="宋体" w:hAnsi="宋体" w:eastAsia="宋体" w:cs="宋体"/>
          <w:b/>
          <w:bCs/>
          <w:sz w:val="21"/>
          <w:szCs w:val="21"/>
          <w:lang w:val="en-US" w:eastAsia="zh-CN"/>
        </w:rPr>
        <w:t xml:space="preserve">6                    </w:t>
      </w:r>
    </w:p>
    <w:p w14:paraId="1EF3E0F6">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供应商基本情况表</w:t>
      </w:r>
      <w:bookmarkEnd w:id="129"/>
    </w:p>
    <w:tbl>
      <w:tblPr>
        <w:tblStyle w:val="4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629"/>
        <w:gridCol w:w="876"/>
        <w:gridCol w:w="850"/>
        <w:gridCol w:w="590"/>
        <w:gridCol w:w="294"/>
        <w:gridCol w:w="1083"/>
        <w:gridCol w:w="1552"/>
        <w:gridCol w:w="1799"/>
      </w:tblGrid>
      <w:tr w14:paraId="7C7D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87" w:type="dxa"/>
            <w:gridSpan w:val="3"/>
            <w:tcBorders>
              <w:top w:val="double" w:color="auto" w:sz="4" w:space="0"/>
              <w:left w:val="double" w:color="auto" w:sz="4" w:space="0"/>
              <w:bottom w:val="single" w:color="auto" w:sz="6" w:space="0"/>
              <w:right w:val="single" w:color="auto" w:sz="6" w:space="0"/>
            </w:tcBorders>
            <w:vAlign w:val="center"/>
          </w:tcPr>
          <w:p w14:paraId="754A87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供应商名称</w:t>
            </w:r>
          </w:p>
        </w:tc>
        <w:tc>
          <w:tcPr>
            <w:tcW w:w="3693" w:type="dxa"/>
            <w:gridSpan w:val="5"/>
            <w:tcBorders>
              <w:top w:val="double" w:color="auto" w:sz="4" w:space="0"/>
              <w:left w:val="single" w:color="auto" w:sz="6" w:space="0"/>
              <w:bottom w:val="single" w:color="auto" w:sz="6" w:space="0"/>
              <w:right w:val="single" w:color="auto" w:sz="6" w:space="0"/>
            </w:tcBorders>
            <w:vAlign w:val="center"/>
          </w:tcPr>
          <w:p w14:paraId="09E791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double" w:color="auto" w:sz="4" w:space="0"/>
              <w:left w:val="single" w:color="auto" w:sz="6" w:space="0"/>
              <w:bottom w:val="single" w:color="auto" w:sz="6" w:space="0"/>
              <w:right w:val="single" w:color="auto" w:sz="6" w:space="0"/>
            </w:tcBorders>
            <w:vAlign w:val="center"/>
          </w:tcPr>
          <w:p w14:paraId="33F71FF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法定代表人</w:t>
            </w:r>
          </w:p>
        </w:tc>
        <w:tc>
          <w:tcPr>
            <w:tcW w:w="1799" w:type="dxa"/>
            <w:tcBorders>
              <w:top w:val="double" w:color="auto" w:sz="4" w:space="0"/>
              <w:left w:val="single" w:color="auto" w:sz="6" w:space="0"/>
              <w:bottom w:val="single" w:color="auto" w:sz="6" w:space="0"/>
              <w:right w:val="double" w:color="auto" w:sz="4" w:space="0"/>
            </w:tcBorders>
            <w:vAlign w:val="center"/>
          </w:tcPr>
          <w:p w14:paraId="4F9E461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141F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642C4F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组织机构代码</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1F7E433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7046D6E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邮政编码</w:t>
            </w:r>
          </w:p>
        </w:tc>
        <w:tc>
          <w:tcPr>
            <w:tcW w:w="1799" w:type="dxa"/>
            <w:tcBorders>
              <w:top w:val="single" w:color="auto" w:sz="6" w:space="0"/>
              <w:left w:val="single" w:color="auto" w:sz="6" w:space="0"/>
              <w:bottom w:val="single" w:color="auto" w:sz="6" w:space="0"/>
              <w:right w:val="double" w:color="auto" w:sz="4" w:space="0"/>
            </w:tcBorders>
            <w:vAlign w:val="center"/>
          </w:tcPr>
          <w:p w14:paraId="44159D9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6C5AE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0E3A0FB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委托代理人</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7E3CF9A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54A54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电子邮箱</w:t>
            </w:r>
          </w:p>
        </w:tc>
        <w:tc>
          <w:tcPr>
            <w:tcW w:w="1799" w:type="dxa"/>
            <w:tcBorders>
              <w:top w:val="single" w:color="auto" w:sz="6" w:space="0"/>
              <w:left w:val="single" w:color="auto" w:sz="6" w:space="0"/>
              <w:bottom w:val="single" w:color="auto" w:sz="6" w:space="0"/>
              <w:right w:val="double" w:color="auto" w:sz="4" w:space="0"/>
            </w:tcBorders>
            <w:vAlign w:val="center"/>
          </w:tcPr>
          <w:p w14:paraId="5DBCBFC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71F8D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2D6BA47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上年营业收入</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4B72DCE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1EFD30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员工总人数</w:t>
            </w:r>
          </w:p>
        </w:tc>
        <w:tc>
          <w:tcPr>
            <w:tcW w:w="1799" w:type="dxa"/>
            <w:tcBorders>
              <w:top w:val="single" w:color="auto" w:sz="6" w:space="0"/>
              <w:left w:val="single" w:color="auto" w:sz="6" w:space="0"/>
              <w:bottom w:val="single" w:color="auto" w:sz="6" w:space="0"/>
              <w:right w:val="double" w:color="auto" w:sz="4" w:space="0"/>
            </w:tcBorders>
            <w:vAlign w:val="center"/>
          </w:tcPr>
          <w:p w14:paraId="3A97F4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7BE4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A5BECF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E973B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E233535">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685B742">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05F2187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4A68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1E636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99BDB3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6347F8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534133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11B65D2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F7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4C8ADD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FCAC84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006CCA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4EC2E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6E54DD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520944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4E0F215D">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76C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D1D3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基本账户开户行及帐号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025EB17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5C64F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5CB24E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D9F684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8DA4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B6C94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7D9C59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1408A45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2DF666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有效期</w:t>
            </w:r>
          </w:p>
        </w:tc>
      </w:tr>
      <w:tr w14:paraId="0EA4F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7180B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A6AEBB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C2D7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425184F">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FEA8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7856A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B430E3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2E9D16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9659C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01D5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51ADB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237C00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9D1161E">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E249B02">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82C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44EA8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E930F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EB9DD8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A8866D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25F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565C711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0746A245">
            <w:pPr>
              <w:pageBreakBefore w:val="0"/>
              <w:kinsoku/>
              <w:wordWrap/>
              <w:overflowPunct/>
              <w:topLine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提供营业执照(副本复印件)</w:t>
            </w:r>
          </w:p>
        </w:tc>
      </w:tr>
    </w:tbl>
    <w:p w14:paraId="2F3E126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3C20A195">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6D6DEEB">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13A80D55">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5B16B38A">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20AD5C80">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lang w:val="en-US" w:eastAsia="zh-CN"/>
        </w:rPr>
      </w:pPr>
      <w:r>
        <w:rPr>
          <w:rFonts w:hint="eastAsia" w:ascii="宋体" w:hAnsi="宋体" w:eastAsia="宋体" w:cs="宋体"/>
          <w:b/>
          <w:sz w:val="21"/>
          <w:szCs w:val="21"/>
        </w:rPr>
        <w:t>附件</w:t>
      </w:r>
      <w:r>
        <w:rPr>
          <w:rFonts w:hint="eastAsia" w:ascii="宋体" w:hAnsi="宋体" w:eastAsia="宋体" w:cs="宋体"/>
          <w:b/>
          <w:sz w:val="21"/>
          <w:szCs w:val="21"/>
          <w:lang w:val="en-US" w:eastAsia="zh-CN"/>
        </w:rPr>
        <w:t>3-7</w:t>
      </w:r>
    </w:p>
    <w:p w14:paraId="170B6826">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758CD8A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0139AF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本项目</w:t>
      </w:r>
      <w:r>
        <w:rPr>
          <w:rFonts w:hint="eastAsia" w:ascii="宋体" w:hAnsi="宋体" w:eastAsia="宋体" w:cs="宋体"/>
          <w:b/>
          <w:bCs/>
          <w:sz w:val="24"/>
          <w:szCs w:val="24"/>
        </w:rPr>
        <w:t>人员配备情况表</w:t>
      </w:r>
    </w:p>
    <w:p w14:paraId="5BCE8B2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160C370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项目名称：                           </w:t>
      </w:r>
    </w:p>
    <w:tbl>
      <w:tblPr>
        <w:tblStyle w:val="4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240"/>
        <w:gridCol w:w="1013"/>
        <w:gridCol w:w="2106"/>
        <w:gridCol w:w="1812"/>
        <w:gridCol w:w="1044"/>
      </w:tblGrid>
      <w:tr w14:paraId="23855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63" w:type="dxa"/>
            <w:tcBorders>
              <w:bottom w:val="single" w:color="auto" w:sz="4" w:space="0"/>
              <w:right w:val="single" w:color="auto" w:sz="4" w:space="0"/>
            </w:tcBorders>
            <w:vAlign w:val="center"/>
          </w:tcPr>
          <w:p w14:paraId="3A83DBE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序号</w:t>
            </w:r>
          </w:p>
        </w:tc>
        <w:tc>
          <w:tcPr>
            <w:tcW w:w="2240" w:type="dxa"/>
            <w:tcBorders>
              <w:left w:val="single" w:color="auto" w:sz="4" w:space="0"/>
              <w:bottom w:val="single" w:color="auto" w:sz="4" w:space="0"/>
              <w:right w:val="single" w:color="auto" w:sz="4" w:space="0"/>
            </w:tcBorders>
            <w:vAlign w:val="center"/>
          </w:tcPr>
          <w:p w14:paraId="559B09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拟投本项目人员姓名</w:t>
            </w:r>
          </w:p>
        </w:tc>
        <w:tc>
          <w:tcPr>
            <w:tcW w:w="1013" w:type="dxa"/>
            <w:tcBorders>
              <w:left w:val="single" w:color="auto" w:sz="4" w:space="0"/>
              <w:bottom w:val="single" w:color="auto" w:sz="4" w:space="0"/>
              <w:right w:val="single" w:color="auto" w:sz="4" w:space="0"/>
            </w:tcBorders>
            <w:vAlign w:val="center"/>
          </w:tcPr>
          <w:p w14:paraId="0E08D1D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职称</w:t>
            </w:r>
          </w:p>
        </w:tc>
        <w:tc>
          <w:tcPr>
            <w:tcW w:w="2106" w:type="dxa"/>
            <w:tcBorders>
              <w:left w:val="single" w:color="auto" w:sz="4" w:space="0"/>
              <w:bottom w:val="single" w:color="auto" w:sz="4" w:space="0"/>
              <w:right w:val="single" w:color="auto" w:sz="4" w:space="0"/>
            </w:tcBorders>
            <w:vAlign w:val="center"/>
          </w:tcPr>
          <w:p w14:paraId="233FCDA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在本项目中</w:t>
            </w:r>
          </w:p>
          <w:p w14:paraId="7F63CAA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的工作职责</w:t>
            </w:r>
          </w:p>
        </w:tc>
        <w:tc>
          <w:tcPr>
            <w:tcW w:w="1812" w:type="dxa"/>
            <w:tcBorders>
              <w:left w:val="single" w:color="auto" w:sz="4" w:space="0"/>
              <w:bottom w:val="single" w:color="auto" w:sz="4" w:space="0"/>
              <w:right w:val="single" w:color="auto" w:sz="4" w:space="0"/>
            </w:tcBorders>
            <w:vAlign w:val="center"/>
          </w:tcPr>
          <w:p w14:paraId="5BF35660">
            <w:pPr>
              <w:pageBreakBefore w:val="0"/>
              <w:kinsoku/>
              <w:wordWrap/>
              <w:overflowPunct/>
              <w:bidi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相关证书名称</w:t>
            </w:r>
          </w:p>
        </w:tc>
        <w:tc>
          <w:tcPr>
            <w:tcW w:w="1044" w:type="dxa"/>
            <w:tcBorders>
              <w:left w:val="single" w:color="auto" w:sz="4" w:space="0"/>
              <w:bottom w:val="single" w:color="auto" w:sz="4" w:space="0"/>
            </w:tcBorders>
            <w:vAlign w:val="center"/>
          </w:tcPr>
          <w:p w14:paraId="12BA3E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备注</w:t>
            </w:r>
          </w:p>
        </w:tc>
      </w:tr>
      <w:tr w14:paraId="6A939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5A004E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5B8BFA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6BD674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0D18BF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763EAE8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5385523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37807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336FEC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1889A2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B897F6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571951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6019093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3C862C1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56F72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B0C20D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DFE4A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727797D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D6A74F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3D3EE881">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7A5ED2B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70142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4FEE8A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57F31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12EBF0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7B8080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17575B8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4E6ADFB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03957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right w:val="single" w:color="auto" w:sz="4" w:space="0"/>
            </w:tcBorders>
            <w:vAlign w:val="center"/>
          </w:tcPr>
          <w:p w14:paraId="77FBC8E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right w:val="single" w:color="auto" w:sz="4" w:space="0"/>
            </w:tcBorders>
            <w:vAlign w:val="center"/>
          </w:tcPr>
          <w:p w14:paraId="5BBAF2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right w:val="single" w:color="auto" w:sz="4" w:space="0"/>
            </w:tcBorders>
            <w:vAlign w:val="center"/>
          </w:tcPr>
          <w:p w14:paraId="3959173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right w:val="single" w:color="auto" w:sz="4" w:space="0"/>
            </w:tcBorders>
            <w:vAlign w:val="center"/>
          </w:tcPr>
          <w:p w14:paraId="1D86E3FD">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right w:val="single" w:color="auto" w:sz="4" w:space="0"/>
            </w:tcBorders>
            <w:vAlign w:val="center"/>
          </w:tcPr>
          <w:p w14:paraId="3417C0B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tcBorders>
            <w:vAlign w:val="center"/>
          </w:tcPr>
          <w:p w14:paraId="53E436C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bl>
    <w:p w14:paraId="35F46691">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注：1、供应商根据本项目实际需求配备人员。</w:t>
      </w:r>
    </w:p>
    <w:p w14:paraId="104220FA">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6C527F94">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7E6D7573">
      <w:pPr>
        <w:pStyle w:val="39"/>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p w14:paraId="52792718">
      <w:pPr>
        <w:pStyle w:val="13"/>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144105E">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4552F94D">
      <w:pPr>
        <w:pStyle w:val="25"/>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供应商名称：</w:t>
      </w:r>
    </w:p>
    <w:p w14:paraId="6E3A650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p>
    <w:p w14:paraId="03F4161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A01CFBE">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p>
    <w:p w14:paraId="63E24056">
      <w:pPr>
        <w:pStyle w:val="13"/>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6" w:type="default"/>
          <w:pgSz w:w="11906" w:h="16838"/>
          <w:pgMar w:top="1134" w:right="1417" w:bottom="1134" w:left="1417" w:header="851" w:footer="992" w:gutter="0"/>
          <w:pgNumType w:fmt="decimal"/>
          <w:cols w:space="720" w:num="1"/>
          <w:rtlGutter w:val="0"/>
          <w:docGrid w:type="lines" w:linePitch="312" w:charSpace="0"/>
        </w:sectPr>
      </w:pPr>
    </w:p>
    <w:p w14:paraId="1CB64068">
      <w:pPr>
        <w:pageBreakBefore w:val="0"/>
        <w:numPr>
          <w:ilvl w:val="0"/>
          <w:numId w:val="11"/>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bookmarkStart w:id="130" w:name="_Toc4335"/>
      <w:bookmarkStart w:id="131" w:name="_Toc17403"/>
      <w:bookmarkStart w:id="132" w:name="_Toc8086"/>
      <w:r>
        <w:rPr>
          <w:rFonts w:hint="eastAsia" w:ascii="宋体" w:hAnsi="宋体" w:eastAsia="宋体" w:cs="宋体"/>
          <w:b/>
          <w:sz w:val="24"/>
          <w:szCs w:val="24"/>
          <w:lang w:val="en-US" w:eastAsia="zh-CN"/>
        </w:rPr>
        <w:t>项目实施方案</w:t>
      </w:r>
    </w:p>
    <w:p w14:paraId="3A3F0C80">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r>
        <w:rPr>
          <w:rFonts w:hint="eastAsia" w:ascii="宋体" w:hAnsi="宋体" w:eastAsia="宋体" w:cs="宋体"/>
          <w:b w:val="0"/>
          <w:bCs/>
          <w:sz w:val="21"/>
          <w:szCs w:val="21"/>
          <w:highlight w:val="none"/>
          <w:lang w:val="en-US" w:eastAsia="zh-CN"/>
        </w:rPr>
        <w:t>说明：跟据第三章评审因素编定具体项目实施方案，格式自拟。</w:t>
      </w:r>
    </w:p>
    <w:p w14:paraId="4197AEB4">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BAABA6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B47014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01513D">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A41CBF1">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722A7B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2A3DE3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AE1DED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870842C">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A50E113">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AE7023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08B96B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30A597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540599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135636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9EE070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282F5A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19958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FEE6B7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E885D0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7EC04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0B32B2E6">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33FC4DB2">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F9B5AD1">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D918597">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1CB1C78D">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827A14A">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494C009B">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60B3E94">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6536B4A">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、技术/商务响应与偏离表</w:t>
      </w:r>
      <w:bookmarkEnd w:id="130"/>
      <w:bookmarkEnd w:id="131"/>
      <w:bookmarkEnd w:id="132"/>
    </w:p>
    <w:p w14:paraId="3CD5BBC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4"/>
          <w:szCs w:val="24"/>
          <w:u w:val="single"/>
        </w:rPr>
      </w:pPr>
    </w:p>
    <w:tbl>
      <w:tblPr>
        <w:tblStyle w:val="4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1788"/>
        <w:gridCol w:w="2067"/>
        <w:gridCol w:w="2760"/>
        <w:gridCol w:w="1288"/>
        <w:gridCol w:w="701"/>
      </w:tblGrid>
      <w:tr w14:paraId="286323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2" w:hRule="atLeast"/>
          <w:jc w:val="center"/>
        </w:trPr>
        <w:tc>
          <w:tcPr>
            <w:tcW w:w="872" w:type="dxa"/>
            <w:vAlign w:val="center"/>
          </w:tcPr>
          <w:p w14:paraId="3516675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bCs/>
                <w:sz w:val="21"/>
                <w:szCs w:val="21"/>
              </w:rPr>
            </w:pPr>
            <w:r>
              <w:rPr>
                <w:rFonts w:hint="eastAsia" w:ascii="宋体" w:hAnsi="宋体" w:eastAsia="宋体" w:cs="宋体"/>
                <w:bCs/>
                <w:sz w:val="21"/>
                <w:szCs w:val="21"/>
              </w:rPr>
              <w:t>序号</w:t>
            </w:r>
          </w:p>
        </w:tc>
        <w:tc>
          <w:tcPr>
            <w:tcW w:w="1788" w:type="dxa"/>
            <w:vAlign w:val="center"/>
          </w:tcPr>
          <w:p w14:paraId="0873BB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磋商文件条目号</w:t>
            </w:r>
          </w:p>
        </w:tc>
        <w:tc>
          <w:tcPr>
            <w:tcW w:w="2067" w:type="dxa"/>
            <w:vAlign w:val="center"/>
          </w:tcPr>
          <w:p w14:paraId="0FC2C85E">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采购规格/技术条款</w:t>
            </w:r>
          </w:p>
        </w:tc>
        <w:tc>
          <w:tcPr>
            <w:tcW w:w="2760" w:type="dxa"/>
            <w:vAlign w:val="center"/>
          </w:tcPr>
          <w:p w14:paraId="1953A94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响应文件的规格/技术条款</w:t>
            </w:r>
          </w:p>
        </w:tc>
        <w:tc>
          <w:tcPr>
            <w:tcW w:w="1288" w:type="dxa"/>
            <w:vAlign w:val="center"/>
          </w:tcPr>
          <w:p w14:paraId="65FE57F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响应与偏离</w:t>
            </w:r>
          </w:p>
        </w:tc>
        <w:tc>
          <w:tcPr>
            <w:tcW w:w="701" w:type="dxa"/>
            <w:vAlign w:val="center"/>
          </w:tcPr>
          <w:p w14:paraId="51985F1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说明</w:t>
            </w:r>
          </w:p>
        </w:tc>
      </w:tr>
      <w:tr w14:paraId="2EB5F4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36EECE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428CDBB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2B26594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16AFF30">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09AA14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2408E2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10E309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6542870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2845B85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55A44B6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6F62DC3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77EDB77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3222EC9A">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F56C3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B3937C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56A122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20898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7165593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8BD5AF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9D7A83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60263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2D58DE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6D547D4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64C1DC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4F59115">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0A194CC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0742319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5EA7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1C7F2CB2">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3E88D1D9">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C8B518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0C695C2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4B35DAD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21F7963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bl>
    <w:p w14:paraId="38E77C4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u w:val="single"/>
        </w:rPr>
      </w:pPr>
    </w:p>
    <w:p w14:paraId="690D9316">
      <w:pPr>
        <w:pageBreakBefore w:val="0"/>
        <w:kinsoku/>
        <w:wordWrap/>
        <w:overflowPunct/>
        <w:bidi w:val="0"/>
        <w:adjustRightInd w:val="0"/>
        <w:snapToGrid w:val="0"/>
        <w:spacing w:beforeAutospacing="0" w:afterAutospacing="0" w:line="360" w:lineRule="auto"/>
        <w:ind w:left="-88" w:leftChars="-42"/>
        <w:textAlignment w:val="auto"/>
        <w:rPr>
          <w:rFonts w:hint="eastAsia" w:ascii="宋体" w:hAnsi="宋体" w:eastAsia="宋体" w:cs="宋体"/>
          <w:sz w:val="21"/>
          <w:szCs w:val="21"/>
        </w:rPr>
      </w:pPr>
      <w:r>
        <w:rPr>
          <w:rFonts w:hint="eastAsia" w:ascii="宋体" w:hAnsi="宋体" w:eastAsia="宋体" w:cs="宋体"/>
          <w:sz w:val="21"/>
          <w:szCs w:val="21"/>
        </w:rPr>
        <w:t>说明：</w:t>
      </w:r>
    </w:p>
    <w:p w14:paraId="18AF952E">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1、“响应与偏离”应注明“响应”或“偏离”。</w:t>
      </w:r>
    </w:p>
    <w:p w14:paraId="25F4BE10">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2、属磋商文件规定可能变动的内容在“说明”栏中注明。</w:t>
      </w:r>
    </w:p>
    <w:p w14:paraId="32B3A63F">
      <w:pPr>
        <w:pStyle w:val="25"/>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60539495">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5FD9576">
      <w:pPr>
        <w:pStyle w:val="25"/>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u w:val="single"/>
        </w:rPr>
      </w:pPr>
      <w:r>
        <w:rPr>
          <w:rFonts w:hint="eastAsia" w:ascii="宋体" w:hAnsi="宋体" w:eastAsia="宋体" w:cs="宋体"/>
          <w:sz w:val="21"/>
          <w:szCs w:val="21"/>
        </w:rPr>
        <w:t>供应商名称（盖单位章）：</w:t>
      </w:r>
    </w:p>
    <w:p w14:paraId="5118658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法定代表人或其委托代理人（签字）： </w:t>
      </w:r>
    </w:p>
    <w:p w14:paraId="55290B22">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55D5981D">
      <w:pPr>
        <w:pStyle w:val="39"/>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footerReference r:id="rId17" w:type="default"/>
          <w:pgSz w:w="11906" w:h="16838"/>
          <w:pgMar w:top="1134" w:right="1417" w:bottom="1134" w:left="1417" w:header="851" w:footer="992" w:gutter="0"/>
          <w:pgNumType w:fmt="decimal"/>
          <w:cols w:space="720" w:num="1"/>
          <w:rtlGutter w:val="0"/>
          <w:docGrid w:type="linesAndChars" w:linePitch="312" w:charSpace="0"/>
        </w:sectPr>
      </w:pPr>
    </w:p>
    <w:p w14:paraId="6BC69CC4">
      <w:pPr>
        <w:pStyle w:val="5"/>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sz w:val="24"/>
          <w:szCs w:val="24"/>
        </w:rPr>
      </w:pPr>
      <w:bookmarkStart w:id="133" w:name="_Toc22201164"/>
      <w:bookmarkStart w:id="134" w:name="_Toc34637806"/>
      <w:r>
        <w:rPr>
          <w:rFonts w:hint="eastAsia" w:ascii="宋体" w:hAnsi="宋体" w:cs="宋体"/>
          <w:sz w:val="24"/>
          <w:szCs w:val="24"/>
          <w:lang w:val="en-US" w:eastAsia="zh-CN"/>
        </w:rPr>
        <w:t>六</w:t>
      </w:r>
      <w:r>
        <w:rPr>
          <w:rFonts w:hint="eastAsia" w:ascii="宋体" w:hAnsi="宋体" w:eastAsia="宋体" w:cs="宋体"/>
          <w:sz w:val="24"/>
          <w:szCs w:val="24"/>
          <w:lang w:eastAsia="zh-CN"/>
        </w:rPr>
        <w:t>、</w:t>
      </w:r>
      <w:r>
        <w:rPr>
          <w:rFonts w:hint="eastAsia" w:ascii="宋体" w:hAnsi="宋体" w:eastAsia="宋体" w:cs="宋体"/>
          <w:sz w:val="24"/>
          <w:szCs w:val="24"/>
        </w:rPr>
        <w:t>提供享受政府采购政策的证明资料</w:t>
      </w:r>
      <w:bookmarkStart w:id="135" w:name="_Toc22201162"/>
      <w:bookmarkStart w:id="136" w:name="_Toc34637805"/>
    </w:p>
    <w:p w14:paraId="5B00FA6A">
      <w:pPr>
        <w:pStyle w:val="5"/>
        <w:pageBreakBefore w:val="0"/>
        <w:numPr>
          <w:ilvl w:val="0"/>
          <w:numId w:val="0"/>
        </w:numPr>
        <w:kinsoku/>
        <w:wordWrap/>
        <w:overflowPunct/>
        <w:bidi w:val="0"/>
        <w:spacing w:beforeAutospacing="0" w:afterAutospacing="0" w:line="360" w:lineRule="auto"/>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6</w:t>
      </w:r>
      <w:r>
        <w:rPr>
          <w:rFonts w:hint="eastAsia" w:ascii="宋体" w:hAnsi="宋体" w:eastAsia="宋体" w:cs="宋体"/>
          <w:sz w:val="21"/>
          <w:szCs w:val="21"/>
        </w:rPr>
        <w:t>-1</w:t>
      </w:r>
      <w:bookmarkEnd w:id="135"/>
      <w:bookmarkEnd w:id="136"/>
      <w:r>
        <w:rPr>
          <w:rFonts w:hint="eastAsia" w:ascii="宋体" w:hAnsi="宋体" w:eastAsia="宋体" w:cs="宋体"/>
          <w:sz w:val="21"/>
          <w:szCs w:val="21"/>
          <w:lang w:val="en-US" w:eastAsia="zh-CN"/>
        </w:rPr>
        <w:t xml:space="preserve">      </w:t>
      </w:r>
    </w:p>
    <w:p w14:paraId="6A105D24">
      <w:pPr>
        <w:pStyle w:val="5"/>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b/>
          <w:spacing w:val="6"/>
          <w:kern w:val="0"/>
          <w:sz w:val="21"/>
          <w:szCs w:val="21"/>
        </w:rPr>
      </w:pPr>
      <w:r>
        <w:rPr>
          <w:rFonts w:hint="eastAsia" w:ascii="宋体" w:hAnsi="宋体" w:eastAsia="宋体" w:cs="宋体"/>
          <w:b/>
          <w:bCs/>
          <w:spacing w:val="6"/>
          <w:kern w:val="0"/>
          <w:sz w:val="21"/>
          <w:szCs w:val="21"/>
        </w:rPr>
        <w:t>中小企业声明函（工程、服务）</w:t>
      </w:r>
      <w:r>
        <w:rPr>
          <w:rFonts w:hint="eastAsia" w:ascii="宋体" w:hAnsi="宋体" w:eastAsia="宋体" w:cs="宋体"/>
          <w:b/>
          <w:spacing w:val="6"/>
          <w:kern w:val="0"/>
          <w:sz w:val="21"/>
          <w:szCs w:val="21"/>
        </w:rPr>
        <w:t>(不满足以下条件的无需填写)</w:t>
      </w:r>
    </w:p>
    <w:p w14:paraId="4F6B12D5">
      <w:pPr>
        <w:pStyle w:val="13"/>
        <w:pageBreakBefore w:val="0"/>
        <w:kinsoku/>
        <w:wordWrap/>
        <w:overflowPunct/>
        <w:bidi w:val="0"/>
        <w:spacing w:beforeAutospacing="0" w:afterAutospacing="0" w:line="360" w:lineRule="auto"/>
        <w:ind w:left="0" w:leftChars="0" w:firstLine="630" w:firstLineChars="300"/>
        <w:textAlignment w:val="auto"/>
        <w:rPr>
          <w:rFonts w:hint="eastAsia" w:ascii="宋体" w:hAnsi="宋体" w:eastAsia="宋体" w:cs="宋体"/>
          <w:kern w:val="2"/>
          <w:sz w:val="21"/>
          <w:szCs w:val="21"/>
        </w:rPr>
      </w:pPr>
      <w:r>
        <w:rPr>
          <w:rFonts w:hint="eastAsia" w:ascii="宋体" w:hAnsi="宋体" w:eastAsia="宋体" w:cs="宋体"/>
          <w:kern w:val="2"/>
          <w:sz w:val="21"/>
          <w:szCs w:val="2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00325D26">
      <w:pPr>
        <w:pStyle w:val="13"/>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 xml:space="preserve">1. （标的名称），属于（采购文件中明确的所属行业）；承建（承接）企业为（企业名称），从业人员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人，营业收入为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万元，属于（中型企业、小型企业、微型企业）；</w:t>
      </w:r>
    </w:p>
    <w:p w14:paraId="12EF47D3">
      <w:pPr>
        <w:pStyle w:val="13"/>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 （标的名称），属于（采购文件中明确的所属行业）；承建（承接）企业为（企业名称），从业人员</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人，营业收入为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万元，属于（中型企业、小型企业、微型企业）；</w:t>
      </w:r>
    </w:p>
    <w:p w14:paraId="5B83433C">
      <w:pPr>
        <w:pStyle w:val="13"/>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w:t>
      </w:r>
    </w:p>
    <w:p w14:paraId="507A3FD2">
      <w:pPr>
        <w:pStyle w:val="13"/>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kern w:val="2"/>
          <w:sz w:val="21"/>
          <w:szCs w:val="21"/>
        </w:rPr>
      </w:pPr>
      <w:r>
        <w:rPr>
          <w:rFonts w:hint="eastAsia" w:ascii="宋体" w:hAnsi="宋体" w:eastAsia="宋体" w:cs="宋体"/>
          <w:kern w:val="2"/>
          <w:sz w:val="21"/>
          <w:szCs w:val="21"/>
        </w:rPr>
        <w:t>以上企业，不属于大企业的分支机构，不存在控股股东为大企业的情形，也不存在与大企业的负责人为同一人的情形。</w:t>
      </w:r>
    </w:p>
    <w:p w14:paraId="1FE69F6D">
      <w:pPr>
        <w:pStyle w:val="13"/>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本企业对上述声明内容的真实性负责。如有虚假，将依法承担相应责任。</w:t>
      </w:r>
    </w:p>
    <w:p w14:paraId="601EC92E">
      <w:pPr>
        <w:pStyle w:val="13"/>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8F2FF4A">
      <w:pPr>
        <w:pStyle w:val="13"/>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F37AD63">
      <w:pPr>
        <w:pStyle w:val="13"/>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企业名称（盖章）：</w:t>
      </w:r>
    </w:p>
    <w:p w14:paraId="48C73851">
      <w:pPr>
        <w:pStyle w:val="13"/>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5582EF34">
      <w:pPr>
        <w:pStyle w:val="13"/>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日 期：</w:t>
      </w:r>
    </w:p>
    <w:p w14:paraId="625407E7">
      <w:pPr>
        <w:pStyle w:val="13"/>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eastAsia="zh-CN"/>
        </w:rPr>
        <w:t>注：</w:t>
      </w:r>
      <w:r>
        <w:rPr>
          <w:rFonts w:hint="eastAsia" w:ascii="宋体" w:hAnsi="宋体" w:eastAsia="宋体" w:cs="宋体"/>
          <w:b w:val="0"/>
          <w:bCs w:val="0"/>
          <w:kern w:val="2"/>
          <w:sz w:val="21"/>
          <w:szCs w:val="21"/>
          <w:lang w:val="en-US" w:eastAsia="zh-CN"/>
        </w:rPr>
        <w:t>1、</w:t>
      </w:r>
      <w:r>
        <w:rPr>
          <w:rFonts w:hint="eastAsia" w:ascii="宋体" w:hAnsi="宋体" w:eastAsia="宋体" w:cs="宋体"/>
          <w:b w:val="0"/>
          <w:bCs w:val="0"/>
          <w:kern w:val="2"/>
          <w:sz w:val="21"/>
          <w:szCs w:val="21"/>
        </w:rPr>
        <w:t>从业人员、营业收入、资产总额填报上一年度数据，无上一年度数据的新成立企业可不填报。</w:t>
      </w:r>
    </w:p>
    <w:p w14:paraId="5B54E1A3">
      <w:pPr>
        <w:pStyle w:val="13"/>
        <w:pageBreakBefore w:val="0"/>
        <w:numPr>
          <w:ilvl w:val="0"/>
          <w:numId w:val="12"/>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rPr>
      </w:pPr>
      <w:r>
        <w:rPr>
          <w:rFonts w:hint="eastAsia" w:ascii="宋体" w:hAnsi="宋体" w:eastAsia="宋体" w:cs="宋体"/>
          <w:b w:val="0"/>
          <w:bCs w:val="0"/>
          <w:spacing w:val="6"/>
          <w:kern w:val="0"/>
          <w:sz w:val="21"/>
          <w:szCs w:val="21"/>
        </w:rPr>
        <w:t>本项目为专门面向中小企业采购。中小企业必须提供《中小企业声明函》，否则视为无效响应。</w:t>
      </w:r>
    </w:p>
    <w:p w14:paraId="3BDC0557">
      <w:pPr>
        <w:pStyle w:val="13"/>
        <w:pageBreakBefore w:val="0"/>
        <w:numPr>
          <w:ilvl w:val="0"/>
          <w:numId w:val="12"/>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eastAsia="zh-CN"/>
        </w:rPr>
        <w:t>本项目</w:t>
      </w:r>
      <w:r>
        <w:rPr>
          <w:rFonts w:hint="eastAsia" w:ascii="宋体" w:hAnsi="宋体" w:eastAsia="宋体" w:cs="宋体"/>
          <w:b w:val="0"/>
          <w:bCs w:val="0"/>
          <w:spacing w:val="6"/>
          <w:kern w:val="0"/>
          <w:sz w:val="21"/>
          <w:szCs w:val="21"/>
        </w:rPr>
        <w:t>划分标准所属行业：</w:t>
      </w:r>
      <w:r>
        <w:rPr>
          <w:rFonts w:hint="eastAsia" w:ascii="宋体" w:hAnsi="宋体" w:cs="宋体"/>
          <w:b w:val="0"/>
          <w:bCs w:val="0"/>
          <w:spacing w:val="6"/>
          <w:kern w:val="0"/>
          <w:sz w:val="21"/>
          <w:szCs w:val="21"/>
          <w:lang w:val="en-US" w:eastAsia="zh-CN"/>
        </w:rPr>
        <w:t>其他未列明行业</w:t>
      </w:r>
      <w:r>
        <w:rPr>
          <w:rFonts w:hint="eastAsia" w:ascii="宋体" w:hAnsi="宋体" w:eastAsia="宋体" w:cs="宋体"/>
          <w:b w:val="0"/>
          <w:bCs w:val="0"/>
          <w:spacing w:val="6"/>
          <w:kern w:val="0"/>
          <w:sz w:val="21"/>
          <w:szCs w:val="21"/>
          <w:lang w:val="en-US" w:eastAsia="zh-CN"/>
        </w:rPr>
        <w:t>。</w:t>
      </w:r>
    </w:p>
    <w:p w14:paraId="65C71528">
      <w:pPr>
        <w:pStyle w:val="13"/>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val="en-US" w:eastAsia="zh-CN"/>
        </w:rPr>
        <w:t>其他未列明行业中小企业划分标准为：从业人员300人以下的为中小微型企业。其中，从业</w:t>
      </w:r>
    </w:p>
    <w:p w14:paraId="7D972143">
      <w:pPr>
        <w:pStyle w:val="13"/>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spacing w:val="6"/>
          <w:kern w:val="0"/>
          <w:sz w:val="21"/>
          <w:szCs w:val="21"/>
        </w:rPr>
      </w:pPr>
      <w:r>
        <w:rPr>
          <w:rFonts w:hint="eastAsia" w:ascii="宋体" w:hAnsi="宋体" w:eastAsia="宋体" w:cs="宋体"/>
          <w:b w:val="0"/>
          <w:bCs w:val="0"/>
          <w:spacing w:val="6"/>
          <w:kern w:val="0"/>
          <w:sz w:val="21"/>
          <w:szCs w:val="21"/>
          <w:lang w:val="en-US" w:eastAsia="zh-CN"/>
        </w:rPr>
        <w:t>人员100人及以上的为中型企业；从业人员10人及以上的为小型企业；从业人员10人以下的为微型企业。</w:t>
      </w:r>
    </w:p>
    <w:p w14:paraId="19E02F60">
      <w:pPr>
        <w:rPr>
          <w:rFonts w:hint="eastAsia"/>
        </w:rPr>
      </w:pPr>
    </w:p>
    <w:p w14:paraId="15262143">
      <w:pPr>
        <w:pStyle w:val="6"/>
        <w:pageBreakBefore w:val="0"/>
        <w:kinsoku/>
        <w:wordWrap/>
        <w:overflowPunct/>
        <w:bidi w:val="0"/>
        <w:spacing w:before="0" w:beforeAutospacing="0" w:after="0" w:afterAutospacing="0" w:line="360" w:lineRule="auto"/>
        <w:textAlignment w:val="auto"/>
        <w:rPr>
          <w:rFonts w:hint="eastAsia" w:ascii="宋体" w:hAnsi="宋体" w:eastAsia="宋体" w:cs="宋体"/>
          <w:spacing w:val="6"/>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-2 </w:t>
      </w:r>
      <w:bookmarkEnd w:id="133"/>
      <w:bookmarkEnd w:id="134"/>
    </w:p>
    <w:p w14:paraId="58729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残疾人福利性单位声明函</w:t>
      </w:r>
    </w:p>
    <w:p w14:paraId="42F62A3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(不属于残疾人福利性单位的无需填写)</w:t>
      </w:r>
    </w:p>
    <w:p w14:paraId="3200DF5A">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50923347">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本单位郑重声明，根据《财政部 民政部 中国残疾人联合会关于促进残疾人就业政府采购政策的通知》（财库</w:t>
      </w:r>
      <w:r>
        <w:rPr>
          <w:rFonts w:hint="eastAsia" w:ascii="宋体" w:hAnsi="宋体" w:eastAsia="宋体" w:cs="宋体"/>
          <w:sz w:val="21"/>
          <w:szCs w:val="21"/>
        </w:rPr>
        <w:t>〔2017〕141</w:t>
      </w:r>
      <w:r>
        <w:rPr>
          <w:rFonts w:hint="eastAsia" w:ascii="宋体" w:hAnsi="宋体" w:eastAsia="宋体" w:cs="宋体"/>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214215">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本单位对上述声明的真实性负责。如有虚假，将依法承担相应责任。</w:t>
      </w:r>
    </w:p>
    <w:p w14:paraId="2AD6E57F">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FC8A303">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7D77AE7">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单位名称（盖章）：</w:t>
      </w:r>
    </w:p>
    <w:p w14:paraId="76556BE1">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日  期：</w:t>
      </w:r>
    </w:p>
    <w:p w14:paraId="3A111817">
      <w:pPr>
        <w:pageBreakBefore w:val="0"/>
        <w:tabs>
          <w:tab w:val="left" w:pos="3600"/>
        </w:tabs>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p w14:paraId="238D9A6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5854403">
      <w:pPr>
        <w:pageBreakBefore w:val="0"/>
        <w:tabs>
          <w:tab w:val="left" w:pos="4860"/>
        </w:tabs>
        <w:kinsoku/>
        <w:wordWrap/>
        <w:overflowPunct/>
        <w:bidi w:val="0"/>
        <w:adjustRightInd w:val="0"/>
        <w:snapToGrid w:val="0"/>
        <w:spacing w:beforeAutospacing="0" w:afterAutospacing="0" w:line="360" w:lineRule="auto"/>
        <w:ind w:right="1560"/>
        <w:textAlignment w:val="auto"/>
        <w:rPr>
          <w:rFonts w:hint="eastAsia" w:ascii="宋体" w:hAnsi="宋体" w:eastAsia="宋体" w:cs="宋体"/>
          <w:b/>
          <w:bCs/>
          <w:sz w:val="24"/>
          <w:szCs w:val="24"/>
        </w:rPr>
      </w:pPr>
      <w:bookmarkStart w:id="137" w:name="_Toc34637807"/>
      <w:bookmarkStart w:id="138" w:name="_Toc22201165"/>
      <w:r>
        <w:rPr>
          <w:rFonts w:hint="eastAsia" w:ascii="宋体" w:hAnsi="宋体" w:eastAsia="宋体" w:cs="宋体"/>
          <w:b/>
          <w:bCs/>
          <w:kern w:val="0"/>
          <w:sz w:val="24"/>
          <w:szCs w:val="24"/>
        </w:rPr>
        <w:t>附件</w:t>
      </w:r>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rPr>
        <w:t xml:space="preserve">-3 </w:t>
      </w:r>
      <w:bookmarkEnd w:id="137"/>
      <w:bookmarkEnd w:id="138"/>
    </w:p>
    <w:p w14:paraId="13231B6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监狱企业证明资料</w:t>
      </w:r>
    </w:p>
    <w:p w14:paraId="0D778A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(不属于监狱企业的无需提供)</w:t>
      </w:r>
    </w:p>
    <w:p w14:paraId="5C2C8A7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FB9AFCC">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z w:val="21"/>
          <w:szCs w:val="21"/>
        </w:rPr>
      </w:pPr>
      <w:r>
        <w:rPr>
          <w:rFonts w:hint="eastAsia" w:ascii="宋体" w:hAnsi="宋体" w:eastAsia="宋体" w:cs="宋体"/>
          <w:bCs/>
          <w:spacing w:val="6"/>
          <w:kern w:val="0"/>
          <w:sz w:val="21"/>
          <w:szCs w:val="21"/>
        </w:rPr>
        <w:t>备注：</w:t>
      </w:r>
      <w:r>
        <w:rPr>
          <w:rFonts w:hint="eastAsia" w:ascii="宋体" w:hAnsi="宋体" w:eastAsia="宋体" w:cs="宋体"/>
          <w:sz w:val="21"/>
          <w:szCs w:val="21"/>
        </w:rPr>
        <w:t>按</w:t>
      </w:r>
      <w:r>
        <w:rPr>
          <w:rFonts w:hint="eastAsia" w:ascii="宋体" w:hAnsi="宋体" w:eastAsia="宋体" w:cs="宋体"/>
          <w:spacing w:val="6"/>
          <w:sz w:val="21"/>
          <w:szCs w:val="21"/>
        </w:rPr>
        <w:t>《</w:t>
      </w:r>
      <w:r>
        <w:rPr>
          <w:rFonts w:hint="eastAsia" w:ascii="宋体" w:hAnsi="宋体" w:eastAsia="宋体" w:cs="宋体"/>
          <w:sz w:val="21"/>
          <w:szCs w:val="21"/>
        </w:rPr>
        <w:t>财政部司法部关于政府采购支持监狱企业发展有关问题的通知</w:t>
      </w:r>
      <w:r>
        <w:rPr>
          <w:rFonts w:hint="eastAsia" w:ascii="宋体" w:hAnsi="宋体" w:eastAsia="宋体" w:cs="宋体"/>
          <w:spacing w:val="6"/>
          <w:sz w:val="21"/>
          <w:szCs w:val="21"/>
        </w:rPr>
        <w:t>》</w:t>
      </w:r>
      <w:r>
        <w:rPr>
          <w:rFonts w:hint="eastAsia" w:ascii="宋体" w:hAnsi="宋体" w:eastAsia="宋体" w:cs="宋体"/>
          <w:sz w:val="21"/>
          <w:szCs w:val="21"/>
        </w:rPr>
        <w:t>(财库〔2014〕68号)文件规定提供证明文件（复印件）。</w:t>
      </w:r>
    </w:p>
    <w:p w14:paraId="1D88DA93">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1839DF7">
      <w:pPr>
        <w:pStyle w:val="6"/>
        <w:pageBreakBefore w:val="0"/>
        <w:kinsoku/>
        <w:wordWrap/>
        <w:overflowPunct/>
        <w:bidi w:val="0"/>
        <w:spacing w:before="0" w:beforeAutospacing="0" w:after="0" w:afterAutospacing="0" w:line="360" w:lineRule="auto"/>
        <w:textAlignment w:val="auto"/>
        <w:rPr>
          <w:rFonts w:hint="eastAsia" w:ascii="宋体" w:hAnsi="宋体" w:eastAsia="宋体" w:cs="宋体"/>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-4 </w:t>
      </w:r>
    </w:p>
    <w:p w14:paraId="46D5B3B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强制采购或者优先采购产品</w:t>
      </w:r>
      <w:r>
        <w:rPr>
          <w:rFonts w:hint="eastAsia" w:ascii="宋体" w:hAnsi="宋体" w:eastAsia="宋体" w:cs="宋体"/>
          <w:b/>
          <w:bCs/>
          <w:sz w:val="24"/>
          <w:szCs w:val="24"/>
        </w:rPr>
        <w:t>的</w:t>
      </w:r>
      <w:r>
        <w:rPr>
          <w:rFonts w:hint="eastAsia" w:ascii="宋体" w:hAnsi="宋体" w:eastAsia="宋体" w:cs="宋体"/>
          <w:b/>
          <w:sz w:val="24"/>
          <w:szCs w:val="24"/>
        </w:rPr>
        <w:t>证明材料</w:t>
      </w:r>
    </w:p>
    <w:p w14:paraId="2914FD3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4"/>
          <w:szCs w:val="24"/>
        </w:rPr>
      </w:pPr>
      <w:r>
        <w:rPr>
          <w:rFonts w:hint="eastAsia" w:ascii="宋体" w:hAnsi="宋体" w:eastAsia="宋体" w:cs="宋体"/>
          <w:b/>
          <w:spacing w:val="6"/>
          <w:sz w:val="24"/>
          <w:szCs w:val="24"/>
        </w:rPr>
        <w:t>(不属于强制采购或者优先采购产品的无需提供)</w:t>
      </w:r>
    </w:p>
    <w:p w14:paraId="638A2371">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sz w:val="21"/>
          <w:szCs w:val="21"/>
        </w:rPr>
      </w:pPr>
    </w:p>
    <w:p w14:paraId="764E7339">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说明：1、供应商提供的产品</w:t>
      </w:r>
      <w:r>
        <w:rPr>
          <w:rFonts w:hint="eastAsia" w:ascii="宋体" w:hAnsi="宋体" w:eastAsia="宋体" w:cs="宋体"/>
          <w:bCs/>
          <w:sz w:val="21"/>
          <w:szCs w:val="21"/>
        </w:rPr>
        <w:t>属于强制采购或者优先采购的</w:t>
      </w:r>
      <w:r>
        <w:rPr>
          <w:rFonts w:hint="eastAsia" w:ascii="宋体" w:hAnsi="宋体" w:eastAsia="宋体" w:cs="宋体"/>
          <w:sz w:val="21"/>
          <w:szCs w:val="21"/>
        </w:rPr>
        <w:t>，应按第二章第九节规定提供证明材料和本章本节附页1“优先采购产品清单”，并加盖供应商单位公章。</w:t>
      </w:r>
    </w:p>
    <w:p w14:paraId="146A769E">
      <w:pPr>
        <w:keepNext w:val="0"/>
        <w:keepLines w:val="0"/>
        <w:pageBreakBefore w:val="0"/>
        <w:widowControl w:val="0"/>
        <w:numPr>
          <w:ilvl w:val="0"/>
          <w:numId w:val="13"/>
        </w:numPr>
        <w:kinsoku/>
        <w:wordWrap/>
        <w:overflowPunct/>
        <w:topLinePunct w:val="0"/>
        <w:autoSpaceDE/>
        <w:autoSpaceDN/>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节能产品、环境标志产品(强制采购或者优先采购产品)认证证书内容注明“详见证书附件”的，应提供其附件，以证明认证证书与响应文件一致。</w:t>
      </w:r>
    </w:p>
    <w:p w14:paraId="04EFB72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9EB4EE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89E638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F18624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60322B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317A8F3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835C5E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59D62A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F23EE6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DA0A55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866A4B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436DA1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2B608EF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E7FBE2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591D3FE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BF7BBA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4E4F01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97AC51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2ABFB0D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1BC99B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081C889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43CF2E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84464DD">
      <w:pPr>
        <w:pStyle w:val="5"/>
        <w:rPr>
          <w:rFonts w:hint="eastAsia"/>
        </w:rPr>
      </w:pPr>
    </w:p>
    <w:p w14:paraId="11A8A57E">
      <w:pPr>
        <w:rPr>
          <w:rFonts w:hint="eastAsia"/>
        </w:rPr>
      </w:pPr>
    </w:p>
    <w:p w14:paraId="68FDABC3">
      <w:pPr>
        <w:pStyle w:val="5"/>
        <w:rPr>
          <w:rFonts w:hint="eastAsia"/>
        </w:rPr>
      </w:pPr>
    </w:p>
    <w:p w14:paraId="6B1B6757">
      <w:pPr>
        <w:pStyle w:val="5"/>
        <w:rPr>
          <w:rFonts w:hint="eastAsia"/>
        </w:rPr>
      </w:pPr>
    </w:p>
    <w:p w14:paraId="7F93D6B6">
      <w:pPr>
        <w:rPr>
          <w:rFonts w:hint="eastAsia"/>
        </w:rPr>
      </w:pPr>
    </w:p>
    <w:p w14:paraId="4C8F602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lang w:val="en-US"/>
        </w:rPr>
      </w:pPr>
      <w:r>
        <w:rPr>
          <w:rFonts w:hint="eastAsia" w:ascii="宋体" w:hAnsi="宋体" w:eastAsia="宋体" w:cs="宋体"/>
          <w:b/>
          <w:bCs/>
          <w:spacing w:val="6"/>
          <w:kern w:val="0"/>
          <w:sz w:val="24"/>
          <w:szCs w:val="24"/>
        </w:rPr>
        <w:t>附页1</w:t>
      </w:r>
      <w:r>
        <w:rPr>
          <w:rFonts w:hint="eastAsia" w:ascii="宋体" w:hAnsi="宋体" w:eastAsia="宋体" w:cs="宋体"/>
          <w:b/>
          <w:bCs/>
          <w:spacing w:val="6"/>
          <w:kern w:val="0"/>
          <w:sz w:val="24"/>
          <w:szCs w:val="24"/>
          <w:lang w:val="en-US"/>
        </w:rPr>
        <w:t xml:space="preserve"> </w:t>
      </w:r>
      <w:r>
        <w:rPr>
          <w:rFonts w:hint="eastAsia" w:ascii="宋体" w:hAnsi="宋体" w:eastAsia="宋体" w:cs="宋体"/>
          <w:b/>
          <w:bCs/>
          <w:spacing w:val="6"/>
          <w:kern w:val="0"/>
          <w:sz w:val="21"/>
          <w:szCs w:val="21"/>
          <w:lang w:val="en-US"/>
        </w:rPr>
        <w:t xml:space="preserve">                  </w:t>
      </w:r>
      <w:r>
        <w:rPr>
          <w:rFonts w:hint="eastAsia" w:ascii="宋体" w:hAnsi="宋体" w:eastAsia="宋体" w:cs="宋体"/>
          <w:b/>
          <w:bCs/>
          <w:spacing w:val="6"/>
          <w:kern w:val="0"/>
          <w:sz w:val="21"/>
          <w:szCs w:val="21"/>
          <w:lang w:val="en-US" w:eastAsia="zh-CN"/>
        </w:rPr>
        <w:t xml:space="preserve"> </w:t>
      </w:r>
      <w:r>
        <w:rPr>
          <w:rFonts w:hint="eastAsia" w:ascii="宋体" w:hAnsi="宋体" w:eastAsia="宋体" w:cs="宋体"/>
          <w:b/>
          <w:bCs/>
          <w:spacing w:val="6"/>
          <w:kern w:val="0"/>
          <w:sz w:val="21"/>
          <w:szCs w:val="21"/>
          <w:lang w:val="en-US"/>
        </w:rPr>
        <w:t xml:space="preserve"> </w:t>
      </w:r>
    </w:p>
    <w:p w14:paraId="7944315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center"/>
        <w:textAlignment w:val="auto"/>
        <w:rPr>
          <w:rFonts w:hint="eastAsia" w:ascii="宋体" w:hAnsi="宋体" w:eastAsia="宋体" w:cs="宋体"/>
          <w:b/>
          <w:spacing w:val="6"/>
          <w:sz w:val="24"/>
          <w:szCs w:val="24"/>
        </w:rPr>
      </w:pPr>
      <w:r>
        <w:rPr>
          <w:rFonts w:hint="eastAsia" w:ascii="宋体" w:hAnsi="宋体" w:eastAsia="宋体" w:cs="宋体"/>
          <w:b/>
          <w:sz w:val="24"/>
          <w:szCs w:val="24"/>
        </w:rPr>
        <w:t>优先采购产品清单</w:t>
      </w:r>
    </w:p>
    <w:p w14:paraId="2EDAD403">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项目名称：</w:t>
      </w:r>
    </w:p>
    <w:p w14:paraId="304F8FDB">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包       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包名称：</w:t>
      </w:r>
    </w:p>
    <w:tbl>
      <w:tblPr>
        <w:tblStyle w:val="40"/>
        <w:tblW w:w="10156" w:type="dxa"/>
        <w:tblInd w:w="-11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8"/>
        <w:gridCol w:w="1559"/>
        <w:gridCol w:w="1276"/>
        <w:gridCol w:w="1276"/>
        <w:gridCol w:w="1984"/>
        <w:gridCol w:w="2983"/>
      </w:tblGrid>
      <w:tr w14:paraId="6ADF3C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exact"/>
        </w:trPr>
        <w:tc>
          <w:tcPr>
            <w:tcW w:w="10156" w:type="dxa"/>
            <w:gridSpan w:val="6"/>
            <w:vAlign w:val="center"/>
          </w:tcPr>
          <w:p w14:paraId="47D5E6CC">
            <w:pPr>
              <w:keepNext w:val="0"/>
              <w:keepLines w:val="0"/>
              <w:pageBreakBefore w:val="0"/>
              <w:widowControl/>
              <w:kinsoku/>
              <w:wordWrap/>
              <w:overflowPunct/>
              <w:topLinePunct w:val="0"/>
              <w:bidi w:val="0"/>
              <w:adjustRightInd w:val="0"/>
              <w:snapToGrid w:val="0"/>
              <w:spacing w:beforeAutospacing="0" w:afterAutospacing="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以下为供应商提供的政府采购优先采购产品，供应商对本表的真实性负责。如有虚假，将依法承担相应责任。</w:t>
            </w:r>
          </w:p>
        </w:tc>
      </w:tr>
      <w:tr w14:paraId="13376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exact"/>
        </w:trPr>
        <w:tc>
          <w:tcPr>
            <w:tcW w:w="1078" w:type="dxa"/>
            <w:vAlign w:val="center"/>
          </w:tcPr>
          <w:p w14:paraId="05D1D05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559" w:type="dxa"/>
            <w:vAlign w:val="center"/>
          </w:tcPr>
          <w:p w14:paraId="4FB3323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276" w:type="dxa"/>
            <w:tcBorders>
              <w:right w:val="single" w:color="auto" w:sz="4" w:space="0"/>
            </w:tcBorders>
            <w:vAlign w:val="center"/>
          </w:tcPr>
          <w:p w14:paraId="63A2207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276" w:type="dxa"/>
            <w:tcBorders>
              <w:left w:val="single" w:color="auto" w:sz="4" w:space="0"/>
            </w:tcBorders>
            <w:vAlign w:val="center"/>
          </w:tcPr>
          <w:p w14:paraId="79F918FE">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984" w:type="dxa"/>
            <w:vAlign w:val="center"/>
          </w:tcPr>
          <w:p w14:paraId="06B11C7A">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983" w:type="dxa"/>
            <w:vAlign w:val="center"/>
          </w:tcPr>
          <w:p w14:paraId="6BEEBB5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r>
      <w:tr w14:paraId="36616F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EEE5632">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559" w:type="dxa"/>
            <w:vAlign w:val="center"/>
          </w:tcPr>
          <w:p w14:paraId="50AE29D5">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货物名称</w:t>
            </w:r>
          </w:p>
        </w:tc>
        <w:tc>
          <w:tcPr>
            <w:tcW w:w="1276" w:type="dxa"/>
            <w:tcBorders>
              <w:right w:val="single" w:color="auto" w:sz="4" w:space="0"/>
            </w:tcBorders>
            <w:vAlign w:val="center"/>
          </w:tcPr>
          <w:p w14:paraId="3F2A0DB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1276" w:type="dxa"/>
            <w:tcBorders>
              <w:left w:val="single" w:color="auto" w:sz="4" w:space="0"/>
            </w:tcBorders>
            <w:vAlign w:val="center"/>
          </w:tcPr>
          <w:p w14:paraId="24138C3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价格（元）</w:t>
            </w:r>
          </w:p>
        </w:tc>
        <w:tc>
          <w:tcPr>
            <w:tcW w:w="1984" w:type="dxa"/>
            <w:vAlign w:val="center"/>
          </w:tcPr>
          <w:p w14:paraId="7A74A88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货物制造商名称</w:t>
            </w:r>
          </w:p>
        </w:tc>
        <w:tc>
          <w:tcPr>
            <w:tcW w:w="2983" w:type="dxa"/>
            <w:vAlign w:val="center"/>
          </w:tcPr>
          <w:p w14:paraId="5EB49ACC">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政策功能编码</w:t>
            </w:r>
          </w:p>
        </w:tc>
      </w:tr>
      <w:tr w14:paraId="2B008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exact"/>
        </w:trPr>
        <w:tc>
          <w:tcPr>
            <w:tcW w:w="10156" w:type="dxa"/>
            <w:gridSpan w:val="6"/>
            <w:vAlign w:val="center"/>
          </w:tcPr>
          <w:p w14:paraId="5D3C954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节能产品</w:t>
            </w:r>
          </w:p>
        </w:tc>
      </w:tr>
      <w:tr w14:paraId="3B22D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exact"/>
        </w:trPr>
        <w:tc>
          <w:tcPr>
            <w:tcW w:w="1078" w:type="dxa"/>
            <w:vAlign w:val="center"/>
          </w:tcPr>
          <w:p w14:paraId="6383B235">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0A817EE2">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6548A32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01FAF70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1BA424E3">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7B7993E9">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2E1A00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0C284D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6B97DC0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23D855F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CD95C8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7122630">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0ECE6F9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r w14:paraId="4B2A1E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exact"/>
        </w:trPr>
        <w:tc>
          <w:tcPr>
            <w:tcW w:w="10156" w:type="dxa"/>
            <w:gridSpan w:val="6"/>
            <w:vAlign w:val="center"/>
          </w:tcPr>
          <w:p w14:paraId="6F15B6C6">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环境标志产品</w:t>
            </w:r>
          </w:p>
        </w:tc>
      </w:tr>
      <w:tr w14:paraId="67730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909A58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1444487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349D709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2E0B2AD1">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879C6FD">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087FB4DA">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398AE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C86C73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3731ADDF">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162D3DA0">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A3C49F2">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27278144">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593EE71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bl>
    <w:p w14:paraId="13A7485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w:t>
      </w:r>
      <w:r>
        <w:rPr>
          <w:rFonts w:hint="eastAsia" w:ascii="宋体" w:hAnsi="宋体" w:eastAsia="宋体" w:cs="宋体"/>
          <w:bCs/>
          <w:sz w:val="21"/>
          <w:szCs w:val="21"/>
        </w:rPr>
        <w:t>1、</w:t>
      </w:r>
      <w:r>
        <w:rPr>
          <w:rFonts w:hint="eastAsia" w:ascii="宋体" w:hAnsi="宋体" w:eastAsia="宋体" w:cs="宋体"/>
          <w:sz w:val="21"/>
          <w:szCs w:val="21"/>
        </w:rPr>
        <w:t>本表用于计算政府采购优先采购产品（节能产品或环境标志产品）的政府采购政策价格扣除。</w:t>
      </w:r>
    </w:p>
    <w:p w14:paraId="6818342E">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2、栏目4“价格”为综合单价，包含货物所有隐含的内容，如运输费、保险费、管理费和利润等。</w:t>
      </w:r>
    </w:p>
    <w:p w14:paraId="59A690E3">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3、栏目6“政策功能编码”是指货物的中国环境标志认证证书编号、中国节能标志认证证书号（货物同时属于节能产品、环境标志产品只须填写一种）。</w:t>
      </w:r>
    </w:p>
    <w:p w14:paraId="65B3CAF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23EF06E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或其委托代理人（签字或印章）：</w:t>
      </w:r>
    </w:p>
    <w:p w14:paraId="4EAA9E6D">
      <w:pPr>
        <w:keepNext w:val="0"/>
        <w:keepLines w:val="0"/>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8701E9C">
      <w:pPr>
        <w:pStyle w:val="5"/>
        <w:pageBreakBefore w:val="0"/>
        <w:kinsoku/>
        <w:wordWrap/>
        <w:overflowPunct/>
        <w:bidi w:val="0"/>
        <w:spacing w:beforeAutospacing="0" w:afterAutospacing="0" w:line="360" w:lineRule="auto"/>
        <w:jc w:val="both"/>
        <w:textAlignment w:val="auto"/>
        <w:rPr>
          <w:rFonts w:hint="eastAsia" w:ascii="宋体" w:hAnsi="宋体" w:eastAsia="宋体" w:cs="宋体"/>
          <w:sz w:val="24"/>
          <w:szCs w:val="24"/>
          <w:lang w:eastAsia="zh-CN"/>
        </w:rPr>
      </w:pPr>
      <w:bookmarkStart w:id="139" w:name="_Toc18359"/>
      <w:bookmarkStart w:id="140" w:name="_Toc15463"/>
      <w:bookmarkStart w:id="141" w:name="_Toc17657"/>
    </w:p>
    <w:p w14:paraId="35DC0DB8">
      <w:pPr>
        <w:rPr>
          <w:rFonts w:hint="eastAsia" w:ascii="宋体" w:hAnsi="宋体" w:eastAsia="宋体" w:cs="宋体"/>
          <w:sz w:val="24"/>
          <w:szCs w:val="24"/>
          <w:lang w:eastAsia="zh-CN"/>
        </w:rPr>
      </w:pPr>
    </w:p>
    <w:p w14:paraId="5B0FBB24">
      <w:pPr>
        <w:pStyle w:val="5"/>
        <w:rPr>
          <w:rFonts w:hint="eastAsia" w:ascii="宋体" w:hAnsi="宋体" w:eastAsia="宋体" w:cs="宋体"/>
          <w:sz w:val="24"/>
          <w:szCs w:val="24"/>
          <w:lang w:eastAsia="zh-CN"/>
        </w:rPr>
      </w:pPr>
    </w:p>
    <w:p w14:paraId="4899D08D">
      <w:pPr>
        <w:rPr>
          <w:rFonts w:hint="eastAsia" w:ascii="宋体" w:hAnsi="宋体" w:eastAsia="宋体" w:cs="宋体"/>
          <w:sz w:val="24"/>
          <w:szCs w:val="24"/>
          <w:lang w:eastAsia="zh-CN"/>
        </w:rPr>
      </w:pPr>
    </w:p>
    <w:p w14:paraId="33FE79AE">
      <w:pPr>
        <w:pStyle w:val="5"/>
        <w:rPr>
          <w:rFonts w:hint="eastAsia" w:ascii="宋体" w:hAnsi="宋体" w:eastAsia="宋体" w:cs="宋体"/>
          <w:sz w:val="24"/>
          <w:szCs w:val="24"/>
          <w:lang w:eastAsia="zh-CN"/>
        </w:rPr>
      </w:pPr>
    </w:p>
    <w:p w14:paraId="2185172E">
      <w:pPr>
        <w:rPr>
          <w:rFonts w:hint="eastAsia" w:ascii="宋体" w:hAnsi="宋体" w:eastAsia="宋体" w:cs="宋体"/>
          <w:sz w:val="24"/>
          <w:szCs w:val="24"/>
          <w:lang w:eastAsia="zh-CN"/>
        </w:rPr>
      </w:pPr>
    </w:p>
    <w:p w14:paraId="4674552E">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七</w:t>
      </w:r>
      <w:r>
        <w:rPr>
          <w:rFonts w:hint="eastAsia" w:ascii="宋体" w:hAnsi="宋体" w:eastAsia="宋体" w:cs="宋体"/>
          <w:sz w:val="24"/>
          <w:szCs w:val="24"/>
        </w:rPr>
        <w:t>、报价一览表及报价文件</w:t>
      </w:r>
      <w:bookmarkEnd w:id="139"/>
      <w:bookmarkEnd w:id="140"/>
      <w:bookmarkEnd w:id="141"/>
    </w:p>
    <w:p w14:paraId="6B221106">
      <w:pPr>
        <w:pStyle w:val="6"/>
        <w:pageBreakBefore w:val="0"/>
        <w:kinsoku/>
        <w:wordWrap/>
        <w:overflowPunct/>
        <w:bidi w:val="0"/>
        <w:spacing w:before="0" w:beforeAutospacing="0" w:after="0" w:afterAutospacing="0" w:line="360" w:lineRule="auto"/>
        <w:textAlignment w:val="auto"/>
        <w:rPr>
          <w:rFonts w:hint="eastAsia" w:ascii="宋体" w:hAnsi="宋体" w:eastAsia="宋体" w:cs="宋体"/>
          <w:sz w:val="24"/>
          <w:szCs w:val="24"/>
        </w:rPr>
      </w:pPr>
      <w:bookmarkStart w:id="142" w:name="_Toc12462"/>
      <w:bookmarkStart w:id="143" w:name="_Toc12687"/>
      <w:r>
        <w:rPr>
          <w:rFonts w:hint="eastAsia" w:ascii="宋体" w:hAnsi="宋体" w:eastAsia="宋体" w:cs="宋体"/>
          <w:sz w:val="24"/>
          <w:szCs w:val="24"/>
        </w:rPr>
        <w:t>附件</w:t>
      </w:r>
      <w:r>
        <w:rPr>
          <w:rFonts w:hint="eastAsia" w:ascii="宋体" w:hAnsi="宋体" w:cs="宋体"/>
          <w:sz w:val="24"/>
          <w:szCs w:val="24"/>
          <w:lang w:val="en-US" w:eastAsia="zh-CN"/>
        </w:rPr>
        <w:t>7</w:t>
      </w:r>
      <w:r>
        <w:rPr>
          <w:rFonts w:hint="eastAsia" w:ascii="宋体" w:hAnsi="宋体" w:eastAsia="宋体" w:cs="宋体"/>
          <w:sz w:val="24"/>
          <w:szCs w:val="24"/>
        </w:rPr>
        <w:t xml:space="preserve">-1 </w:t>
      </w:r>
      <w:bookmarkEnd w:id="142"/>
      <w:bookmarkEnd w:id="143"/>
    </w:p>
    <w:p w14:paraId="559B6E93">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报价表</w:t>
      </w:r>
    </w:p>
    <w:p w14:paraId="597B32A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color w:val="000000"/>
          <w:sz w:val="21"/>
          <w:szCs w:val="21"/>
        </w:rPr>
      </w:pPr>
    </w:p>
    <w:p w14:paraId="46DFFDF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项目名称：</w:t>
      </w:r>
    </w:p>
    <w:p w14:paraId="26B3BBE6">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4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254A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55FF92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796FFE9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B1B1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2" w:hRule="atLeast"/>
        </w:trPr>
        <w:tc>
          <w:tcPr>
            <w:tcW w:w="5670" w:type="dxa"/>
            <w:vAlign w:val="center"/>
          </w:tcPr>
          <w:p w14:paraId="27F78B5C">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51AFABB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u w:val="none"/>
              </w:rPr>
              <w:t>（</w:t>
            </w:r>
            <w:r>
              <w:rPr>
                <w:rFonts w:hint="eastAsia" w:ascii="宋体" w:hAnsi="宋体" w:eastAsia="宋体" w:cs="宋体"/>
                <w:kern w:val="0"/>
                <w:sz w:val="21"/>
                <w:szCs w:val="21"/>
              </w:rPr>
              <w:t>人民币元）</w:t>
            </w:r>
          </w:p>
          <w:p w14:paraId="1214602A">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106D5F50">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4B834E9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661D0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4F7AC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5E3510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p>
    <w:p w14:paraId="0802054F">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008AC2CF">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80B3D61">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2B9C76D8">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0E24AB2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3D22278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5975325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pacing w:val="-2"/>
          <w:kern w:val="0"/>
          <w:sz w:val="21"/>
          <w:szCs w:val="21"/>
        </w:rPr>
      </w:pPr>
    </w:p>
    <w:p w14:paraId="4C0476B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54DA3B5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BC8A8F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bookmarkStart w:id="144" w:name="_Toc840"/>
      <w:bookmarkStart w:id="145" w:name="_Toc27340"/>
    </w:p>
    <w:p w14:paraId="3263B88E">
      <w:pPr>
        <w:pStyle w:val="5"/>
        <w:rPr>
          <w:rFonts w:hint="eastAsia" w:ascii="宋体" w:hAnsi="宋体" w:eastAsia="宋体" w:cs="宋体"/>
          <w:sz w:val="21"/>
          <w:szCs w:val="21"/>
        </w:rPr>
      </w:pPr>
    </w:p>
    <w:p w14:paraId="66E2C5F0">
      <w:pPr>
        <w:rPr>
          <w:rFonts w:hint="eastAsia" w:ascii="宋体" w:hAnsi="宋体" w:eastAsia="宋体" w:cs="宋体"/>
          <w:sz w:val="21"/>
          <w:szCs w:val="21"/>
        </w:rPr>
      </w:pPr>
    </w:p>
    <w:p w14:paraId="5CAF1182">
      <w:pPr>
        <w:pStyle w:val="5"/>
        <w:rPr>
          <w:rFonts w:hint="eastAsia" w:ascii="宋体" w:hAnsi="宋体" w:eastAsia="宋体" w:cs="宋体"/>
          <w:sz w:val="21"/>
          <w:szCs w:val="21"/>
        </w:rPr>
      </w:pPr>
    </w:p>
    <w:p w14:paraId="0367C6FA">
      <w:pPr>
        <w:rPr>
          <w:rFonts w:hint="eastAsia" w:ascii="宋体" w:hAnsi="宋体" w:eastAsia="宋体" w:cs="宋体"/>
          <w:sz w:val="21"/>
          <w:szCs w:val="21"/>
        </w:rPr>
      </w:pPr>
    </w:p>
    <w:p w14:paraId="2053866D">
      <w:pPr>
        <w:pStyle w:val="5"/>
        <w:rPr>
          <w:rFonts w:hint="eastAsia" w:ascii="宋体" w:hAnsi="宋体" w:eastAsia="宋体" w:cs="宋体"/>
          <w:sz w:val="21"/>
          <w:szCs w:val="21"/>
        </w:rPr>
      </w:pPr>
    </w:p>
    <w:p w14:paraId="07606C81">
      <w:pPr>
        <w:rPr>
          <w:rFonts w:hint="eastAsia" w:ascii="宋体" w:hAnsi="宋体" w:eastAsia="宋体" w:cs="宋体"/>
          <w:sz w:val="21"/>
          <w:szCs w:val="21"/>
        </w:rPr>
      </w:pPr>
    </w:p>
    <w:p w14:paraId="0FFE7EB8">
      <w:pPr>
        <w:pStyle w:val="6"/>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387E7905">
      <w:pPr>
        <w:pStyle w:val="6"/>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178ED532">
      <w:pPr>
        <w:pStyle w:val="6"/>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sz w:val="21"/>
          <w:szCs w:val="21"/>
        </w:rPr>
      </w:pPr>
    </w:p>
    <w:p w14:paraId="42B10529">
      <w:pPr>
        <w:rPr>
          <w:rFonts w:hint="eastAsia"/>
        </w:rPr>
      </w:pPr>
    </w:p>
    <w:p w14:paraId="2F156FE4">
      <w:pPr>
        <w:pStyle w:val="6"/>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b/>
          <w:spacing w:val="-2"/>
          <w:kern w:val="0"/>
          <w:position w:val="-3"/>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7</w:t>
      </w:r>
      <w:r>
        <w:rPr>
          <w:rFonts w:hint="eastAsia" w:ascii="宋体" w:hAnsi="宋体" w:eastAsia="宋体" w:cs="宋体"/>
          <w:sz w:val="21"/>
          <w:szCs w:val="21"/>
        </w:rPr>
        <w:t>-2</w:t>
      </w:r>
      <w:bookmarkEnd w:id="144"/>
      <w:bookmarkEnd w:id="145"/>
    </w:p>
    <w:p w14:paraId="34C9146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position w:val="-3"/>
          <w:sz w:val="24"/>
          <w:szCs w:val="24"/>
        </w:rPr>
      </w:pPr>
      <w:r>
        <w:rPr>
          <w:rFonts w:hint="eastAsia" w:ascii="宋体" w:hAnsi="宋体" w:eastAsia="宋体" w:cs="宋体"/>
          <w:b/>
          <w:spacing w:val="-2"/>
          <w:kern w:val="0"/>
          <w:position w:val="-3"/>
          <w:sz w:val="24"/>
          <w:szCs w:val="24"/>
        </w:rPr>
        <w:t>分</w:t>
      </w:r>
      <w:r>
        <w:rPr>
          <w:rFonts w:hint="eastAsia" w:ascii="宋体" w:hAnsi="宋体" w:eastAsia="宋体" w:cs="宋体"/>
          <w:b/>
          <w:kern w:val="0"/>
          <w:position w:val="-3"/>
          <w:sz w:val="24"/>
          <w:szCs w:val="24"/>
        </w:rPr>
        <w:t>项</w:t>
      </w:r>
      <w:r>
        <w:rPr>
          <w:rFonts w:hint="eastAsia" w:ascii="宋体" w:hAnsi="宋体" w:eastAsia="宋体" w:cs="宋体"/>
          <w:b/>
          <w:spacing w:val="-2"/>
          <w:kern w:val="0"/>
          <w:position w:val="-3"/>
          <w:sz w:val="24"/>
          <w:szCs w:val="24"/>
        </w:rPr>
        <w:t>报</w:t>
      </w:r>
      <w:r>
        <w:rPr>
          <w:rFonts w:hint="eastAsia" w:ascii="宋体" w:hAnsi="宋体" w:eastAsia="宋体" w:cs="宋体"/>
          <w:b/>
          <w:kern w:val="0"/>
          <w:position w:val="-3"/>
          <w:sz w:val="24"/>
          <w:szCs w:val="24"/>
        </w:rPr>
        <w:t>价明细表</w:t>
      </w:r>
    </w:p>
    <w:p w14:paraId="30F1BEC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项目名称：</w:t>
      </w:r>
    </w:p>
    <w:p w14:paraId="1A2851F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40"/>
        <w:tblW w:w="9342" w:type="dxa"/>
        <w:tblInd w:w="0" w:type="dxa"/>
        <w:tblLayout w:type="fixed"/>
        <w:tblCellMar>
          <w:top w:w="0" w:type="dxa"/>
          <w:left w:w="0" w:type="dxa"/>
          <w:bottom w:w="0" w:type="dxa"/>
          <w:right w:w="0" w:type="dxa"/>
        </w:tblCellMar>
      </w:tblPr>
      <w:tblGrid>
        <w:gridCol w:w="333"/>
        <w:gridCol w:w="1383"/>
        <w:gridCol w:w="2126"/>
        <w:gridCol w:w="1396"/>
        <w:gridCol w:w="1159"/>
        <w:gridCol w:w="1036"/>
        <w:gridCol w:w="1037"/>
        <w:gridCol w:w="872"/>
      </w:tblGrid>
      <w:tr w14:paraId="68A02A65">
        <w:tblPrEx>
          <w:tblCellMar>
            <w:top w:w="0" w:type="dxa"/>
            <w:left w:w="0" w:type="dxa"/>
            <w:bottom w:w="0" w:type="dxa"/>
            <w:right w:w="0" w:type="dxa"/>
          </w:tblCellMar>
        </w:tblPrEx>
        <w:trPr>
          <w:trHeight w:val="550" w:hRule="exact"/>
        </w:trPr>
        <w:tc>
          <w:tcPr>
            <w:tcW w:w="1716" w:type="dxa"/>
            <w:gridSpan w:val="2"/>
            <w:vMerge w:val="restart"/>
            <w:tcBorders>
              <w:top w:val="double" w:color="auto" w:sz="4" w:space="0"/>
              <w:left w:val="double" w:color="auto" w:sz="4" w:space="0"/>
              <w:right w:val="single" w:color="auto" w:sz="6" w:space="0"/>
            </w:tcBorders>
            <w:vAlign w:val="center"/>
          </w:tcPr>
          <w:p w14:paraId="7B531A23">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4DDD78B">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规格型号</w:t>
            </w:r>
          </w:p>
          <w:p w14:paraId="0A0B29F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（或项目特征描述）</w:t>
            </w:r>
          </w:p>
        </w:tc>
        <w:tc>
          <w:tcPr>
            <w:tcW w:w="1396" w:type="dxa"/>
            <w:vMerge w:val="restart"/>
            <w:tcBorders>
              <w:top w:val="double" w:color="auto" w:sz="4" w:space="0"/>
              <w:left w:val="single" w:color="auto" w:sz="4" w:space="0"/>
              <w:bottom w:val="single" w:color="auto" w:sz="6" w:space="0"/>
              <w:right w:val="single" w:color="auto" w:sz="6" w:space="0"/>
            </w:tcBorders>
            <w:vAlign w:val="center"/>
          </w:tcPr>
          <w:p w14:paraId="29AB354D">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品牌/产地</w:t>
            </w:r>
          </w:p>
        </w:tc>
        <w:tc>
          <w:tcPr>
            <w:tcW w:w="1159" w:type="dxa"/>
            <w:vMerge w:val="restart"/>
            <w:tcBorders>
              <w:top w:val="double" w:color="auto" w:sz="4" w:space="0"/>
              <w:left w:val="single" w:color="auto" w:sz="6" w:space="0"/>
              <w:right w:val="single" w:color="auto" w:sz="4" w:space="0"/>
            </w:tcBorders>
            <w:vAlign w:val="center"/>
          </w:tcPr>
          <w:p w14:paraId="75EB86F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sz w:val="21"/>
                <w:szCs w:val="21"/>
              </w:rPr>
              <w:t>数量/单位</w:t>
            </w:r>
          </w:p>
        </w:tc>
        <w:tc>
          <w:tcPr>
            <w:tcW w:w="2073" w:type="dxa"/>
            <w:gridSpan w:val="2"/>
            <w:tcBorders>
              <w:top w:val="double" w:color="auto" w:sz="4" w:space="0"/>
              <w:left w:val="single" w:color="auto" w:sz="4" w:space="0"/>
              <w:bottom w:val="single" w:color="auto" w:sz="6" w:space="0"/>
              <w:right w:val="single" w:color="auto" w:sz="6" w:space="0"/>
            </w:tcBorders>
            <w:vAlign w:val="center"/>
          </w:tcPr>
          <w:p w14:paraId="79E6861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金额（元）</w:t>
            </w:r>
          </w:p>
        </w:tc>
        <w:tc>
          <w:tcPr>
            <w:tcW w:w="872" w:type="dxa"/>
            <w:vMerge w:val="restart"/>
            <w:tcBorders>
              <w:top w:val="double" w:color="auto" w:sz="4" w:space="0"/>
              <w:left w:val="single" w:color="auto" w:sz="6" w:space="0"/>
              <w:bottom w:val="single" w:color="auto" w:sz="6" w:space="0"/>
              <w:right w:val="double" w:color="auto" w:sz="4" w:space="0"/>
            </w:tcBorders>
            <w:vAlign w:val="center"/>
          </w:tcPr>
          <w:p w14:paraId="0749D3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备注</w:t>
            </w:r>
          </w:p>
        </w:tc>
      </w:tr>
      <w:tr w14:paraId="56F1F36C">
        <w:tblPrEx>
          <w:tblCellMar>
            <w:top w:w="0" w:type="dxa"/>
            <w:left w:w="0" w:type="dxa"/>
            <w:bottom w:w="0" w:type="dxa"/>
            <w:right w:w="0" w:type="dxa"/>
          </w:tblCellMar>
        </w:tblPrEx>
        <w:trPr>
          <w:trHeight w:val="805" w:hRule="exact"/>
        </w:trPr>
        <w:tc>
          <w:tcPr>
            <w:tcW w:w="1716" w:type="dxa"/>
            <w:gridSpan w:val="2"/>
            <w:vMerge w:val="continue"/>
            <w:tcBorders>
              <w:left w:val="double" w:color="auto" w:sz="4" w:space="0"/>
              <w:bottom w:val="single" w:color="auto" w:sz="6" w:space="0"/>
              <w:right w:val="single" w:color="auto" w:sz="6" w:space="0"/>
            </w:tcBorders>
          </w:tcPr>
          <w:p w14:paraId="73B8A16C">
            <w:pPr>
              <w:pageBreakBefore w:val="0"/>
              <w:kinsoku/>
              <w:wordWrap/>
              <w:overflowPunct/>
              <w:autoSpaceDE w:val="0"/>
              <w:autoSpaceDN w:val="0"/>
              <w:bidi w:val="0"/>
              <w:adjustRightInd w:val="0"/>
              <w:snapToGrid w:val="0"/>
              <w:spacing w:beforeAutospacing="0" w:afterAutospacing="0" w:line="360" w:lineRule="auto"/>
              <w:ind w:left="352" w:right="-20"/>
              <w:jc w:val="left"/>
              <w:textAlignment w:val="auto"/>
              <w:rPr>
                <w:rFonts w:hint="eastAsia" w:ascii="宋体" w:hAnsi="宋体" w:eastAsia="宋体" w:cs="宋体"/>
                <w:kern w:val="0"/>
                <w:sz w:val="21"/>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48DCEE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396" w:type="dxa"/>
            <w:vMerge w:val="continue"/>
            <w:tcBorders>
              <w:top w:val="single" w:color="auto" w:sz="6" w:space="0"/>
              <w:left w:val="single" w:color="auto" w:sz="4" w:space="0"/>
              <w:bottom w:val="single" w:color="auto" w:sz="6" w:space="0"/>
              <w:right w:val="single" w:color="auto" w:sz="6" w:space="0"/>
            </w:tcBorders>
            <w:vAlign w:val="center"/>
          </w:tcPr>
          <w:p w14:paraId="6B353904">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159" w:type="dxa"/>
            <w:vMerge w:val="continue"/>
            <w:tcBorders>
              <w:left w:val="single" w:color="auto" w:sz="6" w:space="0"/>
              <w:bottom w:val="single" w:color="auto" w:sz="6" w:space="0"/>
              <w:right w:val="single" w:color="auto" w:sz="4" w:space="0"/>
            </w:tcBorders>
            <w:vAlign w:val="center"/>
          </w:tcPr>
          <w:p w14:paraId="0CED190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4" w:space="0"/>
            </w:tcBorders>
            <w:vAlign w:val="center"/>
          </w:tcPr>
          <w:p w14:paraId="5D3DE257">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单价</w:t>
            </w:r>
          </w:p>
        </w:tc>
        <w:tc>
          <w:tcPr>
            <w:tcW w:w="1037" w:type="dxa"/>
            <w:tcBorders>
              <w:top w:val="single" w:color="auto" w:sz="6" w:space="0"/>
              <w:left w:val="single" w:color="auto" w:sz="4" w:space="0"/>
              <w:bottom w:val="single" w:color="auto" w:sz="6" w:space="0"/>
              <w:right w:val="single" w:color="auto" w:sz="6" w:space="0"/>
            </w:tcBorders>
            <w:vAlign w:val="center"/>
          </w:tcPr>
          <w:p w14:paraId="027EC6A5">
            <w:pPr>
              <w:pageBreakBefore w:val="0"/>
              <w:kinsoku/>
              <w:wordWrap/>
              <w:overflowPunct/>
              <w:autoSpaceDE w:val="0"/>
              <w:autoSpaceDN w:val="0"/>
              <w:bidi w:val="0"/>
              <w:adjustRightInd w:val="0"/>
              <w:snapToGrid w:val="0"/>
              <w:spacing w:beforeAutospacing="0" w:afterAutospacing="0" w:line="360" w:lineRule="auto"/>
              <w:ind w:left="70" w:right="-2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小计</w:t>
            </w:r>
          </w:p>
        </w:tc>
        <w:tc>
          <w:tcPr>
            <w:tcW w:w="872" w:type="dxa"/>
            <w:vMerge w:val="continue"/>
            <w:tcBorders>
              <w:top w:val="single" w:color="auto" w:sz="6" w:space="0"/>
              <w:left w:val="single" w:color="auto" w:sz="6" w:space="0"/>
              <w:bottom w:val="single" w:color="auto" w:sz="6" w:space="0"/>
              <w:right w:val="double" w:color="auto" w:sz="4" w:space="0"/>
            </w:tcBorders>
          </w:tcPr>
          <w:p w14:paraId="64CC27E2">
            <w:pPr>
              <w:pageBreakBefore w:val="0"/>
              <w:kinsoku/>
              <w:wordWrap/>
              <w:overflowPunct/>
              <w:autoSpaceDE w:val="0"/>
              <w:autoSpaceDN w:val="0"/>
              <w:bidi w:val="0"/>
              <w:adjustRightInd w:val="0"/>
              <w:snapToGrid w:val="0"/>
              <w:spacing w:beforeAutospacing="0" w:afterAutospacing="0" w:line="360" w:lineRule="auto"/>
              <w:ind w:left="422" w:right="-20"/>
              <w:jc w:val="left"/>
              <w:textAlignment w:val="auto"/>
              <w:rPr>
                <w:rFonts w:hint="eastAsia" w:ascii="宋体" w:hAnsi="宋体" w:eastAsia="宋体" w:cs="宋体"/>
                <w:kern w:val="0"/>
                <w:sz w:val="21"/>
                <w:szCs w:val="21"/>
              </w:rPr>
            </w:pPr>
          </w:p>
        </w:tc>
      </w:tr>
      <w:tr w14:paraId="2E63A413">
        <w:tblPrEx>
          <w:tblCellMar>
            <w:top w:w="0" w:type="dxa"/>
            <w:left w:w="0" w:type="dxa"/>
            <w:bottom w:w="0" w:type="dxa"/>
            <w:right w:w="0" w:type="dxa"/>
          </w:tblCellMar>
        </w:tblPrEx>
        <w:trPr>
          <w:trHeight w:val="493" w:hRule="exact"/>
        </w:trPr>
        <w:tc>
          <w:tcPr>
            <w:tcW w:w="333" w:type="dxa"/>
            <w:tcBorders>
              <w:top w:val="single" w:color="auto" w:sz="6" w:space="0"/>
              <w:left w:val="double" w:color="auto" w:sz="4" w:space="0"/>
              <w:bottom w:val="single" w:color="auto" w:sz="6" w:space="0"/>
              <w:right w:val="single" w:color="auto" w:sz="6" w:space="0"/>
            </w:tcBorders>
            <w:vAlign w:val="center"/>
          </w:tcPr>
          <w:p w14:paraId="1A9F2D19">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383" w:type="dxa"/>
            <w:tcBorders>
              <w:top w:val="single" w:color="auto" w:sz="6" w:space="0"/>
              <w:left w:val="single" w:color="auto" w:sz="6" w:space="0"/>
              <w:bottom w:val="single" w:color="auto" w:sz="6" w:space="0"/>
              <w:right w:val="single" w:color="auto" w:sz="6" w:space="0"/>
            </w:tcBorders>
            <w:vAlign w:val="center"/>
          </w:tcPr>
          <w:p w14:paraId="72B1158E">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3EA09B6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0EA2F21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911368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3203810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05DF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69090AF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09A614A">
        <w:tblPrEx>
          <w:tblCellMar>
            <w:top w:w="0" w:type="dxa"/>
            <w:left w:w="0" w:type="dxa"/>
            <w:bottom w:w="0" w:type="dxa"/>
            <w:right w:w="0" w:type="dxa"/>
          </w:tblCellMar>
        </w:tblPrEx>
        <w:trPr>
          <w:trHeight w:val="548" w:hRule="exact"/>
        </w:trPr>
        <w:tc>
          <w:tcPr>
            <w:tcW w:w="333" w:type="dxa"/>
            <w:tcBorders>
              <w:top w:val="single" w:color="auto" w:sz="6" w:space="0"/>
              <w:left w:val="double" w:color="auto" w:sz="4" w:space="0"/>
              <w:bottom w:val="single" w:color="auto" w:sz="6" w:space="0"/>
              <w:right w:val="single" w:color="auto" w:sz="6" w:space="0"/>
            </w:tcBorders>
            <w:vAlign w:val="center"/>
          </w:tcPr>
          <w:p w14:paraId="15DD850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383" w:type="dxa"/>
            <w:tcBorders>
              <w:top w:val="single" w:color="auto" w:sz="6" w:space="0"/>
              <w:left w:val="single" w:color="auto" w:sz="6" w:space="0"/>
              <w:bottom w:val="single" w:color="auto" w:sz="6" w:space="0"/>
              <w:right w:val="single" w:color="auto" w:sz="6" w:space="0"/>
            </w:tcBorders>
            <w:vAlign w:val="center"/>
          </w:tcPr>
          <w:p w14:paraId="00942E54">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4497C53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193BF05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3D12B13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6CFA6D3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27C869F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9C32B5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28E87997">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13D2F2E0">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383" w:type="dxa"/>
            <w:tcBorders>
              <w:top w:val="single" w:color="auto" w:sz="6" w:space="0"/>
              <w:left w:val="single" w:color="auto" w:sz="6" w:space="0"/>
              <w:bottom w:val="single" w:color="auto" w:sz="6" w:space="0"/>
              <w:right w:val="single" w:color="auto" w:sz="6" w:space="0"/>
            </w:tcBorders>
            <w:vAlign w:val="center"/>
          </w:tcPr>
          <w:p w14:paraId="54CC4F26">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3018E2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3D76852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022ECB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2E90CA2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89464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24D9072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13FAE72">
        <w:tblPrEx>
          <w:tblCellMar>
            <w:top w:w="0" w:type="dxa"/>
            <w:left w:w="0" w:type="dxa"/>
            <w:bottom w:w="0" w:type="dxa"/>
            <w:right w:w="0" w:type="dxa"/>
          </w:tblCellMar>
        </w:tblPrEx>
        <w:trPr>
          <w:trHeight w:val="575" w:hRule="exact"/>
        </w:trPr>
        <w:tc>
          <w:tcPr>
            <w:tcW w:w="333" w:type="dxa"/>
            <w:tcBorders>
              <w:top w:val="single" w:color="auto" w:sz="6" w:space="0"/>
              <w:left w:val="double" w:color="auto" w:sz="4" w:space="0"/>
              <w:bottom w:val="single" w:color="auto" w:sz="6" w:space="0"/>
              <w:right w:val="single" w:color="auto" w:sz="6" w:space="0"/>
            </w:tcBorders>
            <w:vAlign w:val="center"/>
          </w:tcPr>
          <w:p w14:paraId="3150A378">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383" w:type="dxa"/>
            <w:tcBorders>
              <w:top w:val="single" w:color="auto" w:sz="6" w:space="0"/>
              <w:left w:val="single" w:color="auto" w:sz="6" w:space="0"/>
              <w:bottom w:val="single" w:color="auto" w:sz="6" w:space="0"/>
              <w:right w:val="single" w:color="auto" w:sz="6" w:space="0"/>
            </w:tcBorders>
            <w:vAlign w:val="center"/>
          </w:tcPr>
          <w:p w14:paraId="109ED40F">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0E41BE4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304E60D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1FA31F78">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74401ED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6346DD7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375F381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794C9E2">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578AF272">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383" w:type="dxa"/>
            <w:tcBorders>
              <w:top w:val="single" w:color="auto" w:sz="6" w:space="0"/>
              <w:left w:val="single" w:color="auto" w:sz="6" w:space="0"/>
              <w:bottom w:val="single" w:color="auto" w:sz="6" w:space="0"/>
              <w:right w:val="single" w:color="auto" w:sz="6" w:space="0"/>
            </w:tcBorders>
            <w:vAlign w:val="center"/>
          </w:tcPr>
          <w:p w14:paraId="058A85BA">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5CF13ABF">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336DAA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4F020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428C0D5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14170A1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43CC1C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17E63FF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F8598A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1383" w:type="dxa"/>
            <w:tcBorders>
              <w:top w:val="single" w:color="auto" w:sz="6" w:space="0"/>
              <w:left w:val="single" w:color="auto" w:sz="6" w:space="0"/>
              <w:bottom w:val="single" w:color="auto" w:sz="6" w:space="0"/>
              <w:right w:val="single" w:color="auto" w:sz="6" w:space="0"/>
            </w:tcBorders>
          </w:tcPr>
          <w:p w14:paraId="63CFCD14">
            <w:pPr>
              <w:pageBreakBefore w:val="0"/>
              <w:kinsoku/>
              <w:wordWrap/>
              <w:overflowPunct/>
              <w:autoSpaceDE w:val="0"/>
              <w:autoSpaceDN w:val="0"/>
              <w:bidi w:val="0"/>
              <w:adjustRightInd w:val="0"/>
              <w:snapToGrid w:val="0"/>
              <w:spacing w:beforeAutospacing="0" w:afterAutospacing="0" w:line="360" w:lineRule="auto"/>
              <w:ind w:left="527" w:right="507"/>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7AF37D5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0FDEB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6D52D38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5B87E46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7E9DCD1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7CA77D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25729E5">
        <w:tblPrEx>
          <w:tblCellMar>
            <w:top w:w="0" w:type="dxa"/>
            <w:left w:w="0" w:type="dxa"/>
            <w:bottom w:w="0" w:type="dxa"/>
            <w:right w:w="0" w:type="dxa"/>
          </w:tblCellMar>
        </w:tblPrEx>
        <w:trPr>
          <w:trHeight w:val="625" w:hRule="exact"/>
        </w:trPr>
        <w:tc>
          <w:tcPr>
            <w:tcW w:w="7433" w:type="dxa"/>
            <w:gridSpan w:val="6"/>
            <w:tcBorders>
              <w:top w:val="single" w:color="auto" w:sz="6" w:space="0"/>
              <w:left w:val="double" w:color="auto" w:sz="4" w:space="0"/>
              <w:bottom w:val="double" w:color="auto" w:sz="4" w:space="0"/>
              <w:right w:val="single" w:color="auto" w:sz="6" w:space="0"/>
            </w:tcBorders>
            <w:vAlign w:val="center"/>
          </w:tcPr>
          <w:p w14:paraId="6C75C667">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报价（元）：</w:t>
            </w:r>
          </w:p>
        </w:tc>
        <w:tc>
          <w:tcPr>
            <w:tcW w:w="1037" w:type="dxa"/>
            <w:tcBorders>
              <w:top w:val="single" w:color="auto" w:sz="6" w:space="0"/>
              <w:left w:val="single" w:color="auto" w:sz="6" w:space="0"/>
              <w:bottom w:val="double" w:color="auto" w:sz="4" w:space="0"/>
              <w:right w:val="single" w:color="auto" w:sz="6" w:space="0"/>
            </w:tcBorders>
          </w:tcPr>
          <w:p w14:paraId="7B75F3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double" w:color="auto" w:sz="4" w:space="0"/>
              <w:right w:val="double" w:color="auto" w:sz="4" w:space="0"/>
            </w:tcBorders>
          </w:tcPr>
          <w:p w14:paraId="4A5499A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bl>
    <w:p w14:paraId="4C5340F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备注：（1）</w:t>
      </w:r>
      <w:r>
        <w:rPr>
          <w:rFonts w:hint="eastAsia" w:ascii="宋体" w:hAnsi="宋体" w:eastAsia="宋体" w:cs="宋体"/>
          <w:b/>
          <w:sz w:val="21"/>
          <w:szCs w:val="21"/>
        </w:rPr>
        <w:t>本表应对应</w:t>
      </w:r>
      <w:r>
        <w:rPr>
          <w:rFonts w:hint="eastAsia" w:ascii="宋体" w:hAnsi="宋体" w:eastAsia="宋体" w:cs="宋体"/>
          <w:sz w:val="21"/>
          <w:szCs w:val="21"/>
        </w:rPr>
        <w:t>“</w:t>
      </w:r>
      <w:r>
        <w:rPr>
          <w:rFonts w:hint="eastAsia" w:ascii="宋体" w:hAnsi="宋体" w:eastAsia="宋体" w:cs="宋体"/>
          <w:b/>
          <w:sz w:val="21"/>
          <w:szCs w:val="21"/>
        </w:rPr>
        <w:t>报价表</w:t>
      </w:r>
      <w:r>
        <w:rPr>
          <w:rFonts w:hint="eastAsia" w:ascii="宋体" w:hAnsi="宋体" w:eastAsia="宋体" w:cs="宋体"/>
          <w:sz w:val="21"/>
          <w:szCs w:val="21"/>
        </w:rPr>
        <w:t>”</w:t>
      </w:r>
      <w:r>
        <w:rPr>
          <w:rFonts w:hint="eastAsia" w:ascii="宋体" w:hAnsi="宋体" w:eastAsia="宋体" w:cs="宋体"/>
          <w:b/>
          <w:sz w:val="21"/>
          <w:szCs w:val="21"/>
        </w:rPr>
        <w:t>，按包填写</w:t>
      </w:r>
      <w:r>
        <w:rPr>
          <w:rFonts w:hint="eastAsia" w:ascii="宋体" w:hAnsi="宋体" w:eastAsia="宋体" w:cs="宋体"/>
          <w:sz w:val="21"/>
          <w:szCs w:val="21"/>
        </w:rPr>
        <w:t>。供应商如果不提供分项报价明细表，其</w:t>
      </w:r>
      <w:r>
        <w:rPr>
          <w:rFonts w:hint="eastAsia" w:ascii="宋体" w:hAnsi="宋体" w:eastAsia="宋体" w:cs="宋体"/>
          <w:b/>
          <w:sz w:val="21"/>
          <w:szCs w:val="21"/>
        </w:rPr>
        <w:t>响应无效</w:t>
      </w:r>
      <w:r>
        <w:rPr>
          <w:rFonts w:hint="eastAsia" w:ascii="宋体" w:hAnsi="宋体" w:eastAsia="宋体" w:cs="宋体"/>
          <w:sz w:val="21"/>
          <w:szCs w:val="21"/>
        </w:rPr>
        <w:t>。</w:t>
      </w:r>
    </w:p>
    <w:p w14:paraId="3A7B5EDD">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（2）不得填写“免费”或“赠与”，也不得进行“零”报价，否则</w:t>
      </w:r>
      <w:r>
        <w:rPr>
          <w:rFonts w:hint="eastAsia" w:ascii="宋体" w:hAnsi="宋体" w:eastAsia="宋体" w:cs="宋体"/>
          <w:b/>
          <w:sz w:val="21"/>
          <w:szCs w:val="21"/>
        </w:rPr>
        <w:t>响应无效</w:t>
      </w:r>
      <w:r>
        <w:rPr>
          <w:rFonts w:hint="eastAsia" w:ascii="宋体" w:hAnsi="宋体" w:eastAsia="宋体" w:cs="宋体"/>
          <w:sz w:val="21"/>
          <w:szCs w:val="21"/>
        </w:rPr>
        <w:t>。</w:t>
      </w:r>
    </w:p>
    <w:p w14:paraId="0D26E5FD">
      <w:pPr>
        <w:pStyle w:val="18"/>
        <w:pageBreakBefore w:val="0"/>
        <w:kinsoku/>
        <w:wordWrap/>
        <w:overflowPunct/>
        <w:bidi w:val="0"/>
        <w:spacing w:beforeAutospacing="0" w:after="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（3）本表可以根据项目实际情况编制。</w:t>
      </w:r>
    </w:p>
    <w:p w14:paraId="2785BBC8">
      <w:pPr>
        <w:pageBreakBefore w:val="0"/>
        <w:kinsoku/>
        <w:wordWrap/>
        <w:overflowPunct/>
        <w:bidi w:val="0"/>
        <w:adjustRightInd w:val="0"/>
        <w:snapToGrid w:val="0"/>
        <w:spacing w:beforeAutospacing="0" w:afterAutospacing="0" w:line="360" w:lineRule="auto"/>
        <w:ind w:firstLine="422" w:firstLineChars="200"/>
        <w:textAlignment w:val="auto"/>
        <w:rPr>
          <w:rFonts w:hint="eastAsia" w:ascii="宋体" w:hAnsi="宋体" w:eastAsia="宋体" w:cs="宋体"/>
          <w:b/>
          <w:sz w:val="21"/>
          <w:szCs w:val="21"/>
        </w:rPr>
      </w:pPr>
    </w:p>
    <w:p w14:paraId="349248C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15919E5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86A784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F69760E">
      <w:pPr>
        <w:pStyle w:val="39"/>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 w:linePitch="312" w:charSpace="0"/>
        </w:sectPr>
      </w:pPr>
    </w:p>
    <w:p w14:paraId="2D875F10">
      <w:pPr>
        <w:pStyle w:val="13"/>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7A6C0BB8">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46" w:name="_Toc34637800"/>
      <w:bookmarkStart w:id="147" w:name="_Toc22201157"/>
      <w:bookmarkStart w:id="148" w:name="_Toc15375"/>
    </w:p>
    <w:p w14:paraId="1FC04784">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4FBE28AA">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eastAsia="zh-CN"/>
        </w:rPr>
      </w:pPr>
    </w:p>
    <w:p w14:paraId="7200FACA">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eastAsia="zh-CN"/>
        </w:rPr>
      </w:pPr>
    </w:p>
    <w:p w14:paraId="7DCA341A">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eastAsia="zh-CN"/>
        </w:rPr>
      </w:pPr>
    </w:p>
    <w:p w14:paraId="3A938595">
      <w:pPr>
        <w:pStyle w:val="5"/>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lang w:eastAsia="zh-CN"/>
        </w:rPr>
      </w:pPr>
    </w:p>
    <w:p w14:paraId="524453C7">
      <w:pPr>
        <w:rPr>
          <w:rFonts w:hint="eastAsia" w:ascii="宋体" w:hAnsi="宋体" w:eastAsia="宋体" w:cs="宋体"/>
          <w:sz w:val="21"/>
          <w:szCs w:val="21"/>
          <w:lang w:eastAsia="zh-CN"/>
        </w:rPr>
      </w:pPr>
    </w:p>
    <w:p w14:paraId="5B227C55">
      <w:pPr>
        <w:pStyle w:val="5"/>
        <w:pageBreakBefore w:val="0"/>
        <w:kinsoku/>
        <w:wordWrap/>
        <w:overflowPunct/>
        <w:bidi w:val="0"/>
        <w:spacing w:beforeAutospacing="0" w:afterAutospacing="0" w:line="360" w:lineRule="auto"/>
        <w:jc w:val="center"/>
        <w:textAlignment w:val="auto"/>
        <w:rPr>
          <w:rFonts w:hint="eastAsia" w:ascii="宋体" w:hAnsi="宋体" w:cs="宋体"/>
          <w:sz w:val="24"/>
          <w:szCs w:val="24"/>
          <w:lang w:val="en-US" w:eastAsia="zh-CN"/>
        </w:rPr>
      </w:pPr>
    </w:p>
    <w:p w14:paraId="08D62505">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八</w:t>
      </w:r>
      <w:r>
        <w:rPr>
          <w:rFonts w:hint="eastAsia" w:ascii="宋体" w:hAnsi="宋体" w:eastAsia="宋体" w:cs="宋体"/>
          <w:sz w:val="24"/>
          <w:szCs w:val="24"/>
        </w:rPr>
        <w:t>、</w:t>
      </w:r>
      <w:bookmarkEnd w:id="146"/>
      <w:bookmarkEnd w:id="147"/>
      <w:r>
        <w:rPr>
          <w:rFonts w:hint="eastAsia" w:ascii="宋体" w:hAnsi="宋体" w:eastAsia="宋体" w:cs="宋体"/>
          <w:sz w:val="24"/>
          <w:szCs w:val="24"/>
        </w:rPr>
        <w:t>供应商认为需要提供的其它资料</w:t>
      </w:r>
      <w:bookmarkEnd w:id="148"/>
    </w:p>
    <w:p w14:paraId="66F95E4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30"/>
          <w:szCs w:val="30"/>
        </w:rPr>
      </w:pPr>
    </w:p>
    <w:p w14:paraId="3B5D4AB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bCs/>
          <w:sz w:val="21"/>
          <w:szCs w:val="21"/>
        </w:rPr>
        <w:t>说明：提供磋商文件或评分标准需要提供的其他相关资料。</w:t>
      </w:r>
    </w:p>
    <w:p w14:paraId="66BED308">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49" w:name="_Toc21471"/>
      <w:bookmarkStart w:id="150" w:name="_Toc16598"/>
    </w:p>
    <w:p w14:paraId="2CCBC13D">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1E1BADC8">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057F5D0D">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34EEBB08">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51DC1D02">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22BF28C1">
      <w:pPr>
        <w:rPr>
          <w:rFonts w:hint="eastAsia" w:ascii="宋体" w:hAnsi="宋体" w:eastAsia="宋体" w:cs="宋体"/>
          <w:sz w:val="21"/>
          <w:szCs w:val="21"/>
        </w:rPr>
      </w:pPr>
    </w:p>
    <w:p w14:paraId="76B7746D">
      <w:pPr>
        <w:pStyle w:val="5"/>
        <w:rPr>
          <w:rFonts w:hint="eastAsia" w:ascii="宋体" w:hAnsi="宋体" w:eastAsia="宋体" w:cs="宋体"/>
          <w:sz w:val="21"/>
          <w:szCs w:val="21"/>
        </w:rPr>
      </w:pPr>
    </w:p>
    <w:p w14:paraId="473E0A01">
      <w:pPr>
        <w:rPr>
          <w:rFonts w:hint="eastAsia" w:ascii="宋体" w:hAnsi="宋体" w:eastAsia="宋体" w:cs="宋体"/>
          <w:sz w:val="21"/>
          <w:szCs w:val="21"/>
        </w:rPr>
      </w:pPr>
    </w:p>
    <w:p w14:paraId="62E2746B">
      <w:pPr>
        <w:pStyle w:val="5"/>
        <w:rPr>
          <w:rFonts w:hint="eastAsia" w:ascii="宋体" w:hAnsi="宋体" w:eastAsia="宋体" w:cs="宋体"/>
          <w:sz w:val="21"/>
          <w:szCs w:val="21"/>
        </w:rPr>
      </w:pPr>
    </w:p>
    <w:p w14:paraId="39018BBD">
      <w:pPr>
        <w:rPr>
          <w:rFonts w:hint="eastAsia" w:ascii="宋体" w:hAnsi="宋体" w:eastAsia="宋体" w:cs="宋体"/>
          <w:sz w:val="21"/>
          <w:szCs w:val="21"/>
        </w:rPr>
      </w:pPr>
    </w:p>
    <w:p w14:paraId="31C2106D">
      <w:pPr>
        <w:pStyle w:val="5"/>
        <w:rPr>
          <w:rFonts w:hint="eastAsia" w:ascii="宋体" w:hAnsi="宋体" w:eastAsia="宋体" w:cs="宋体"/>
          <w:sz w:val="21"/>
          <w:szCs w:val="21"/>
        </w:rPr>
      </w:pPr>
    </w:p>
    <w:p w14:paraId="0535C65D">
      <w:pPr>
        <w:rPr>
          <w:rFonts w:hint="eastAsia" w:ascii="宋体" w:hAnsi="宋体" w:eastAsia="宋体" w:cs="宋体"/>
          <w:sz w:val="21"/>
          <w:szCs w:val="21"/>
        </w:rPr>
      </w:pPr>
    </w:p>
    <w:p w14:paraId="30C0206F">
      <w:pPr>
        <w:pStyle w:val="5"/>
        <w:rPr>
          <w:rFonts w:hint="eastAsia" w:ascii="宋体" w:hAnsi="宋体" w:eastAsia="宋体" w:cs="宋体"/>
          <w:sz w:val="21"/>
          <w:szCs w:val="21"/>
        </w:rPr>
      </w:pPr>
    </w:p>
    <w:p w14:paraId="41E17DF8">
      <w:pPr>
        <w:rPr>
          <w:rFonts w:hint="eastAsia" w:ascii="宋体" w:hAnsi="宋体" w:eastAsia="宋体" w:cs="宋体"/>
          <w:sz w:val="21"/>
          <w:szCs w:val="21"/>
        </w:rPr>
      </w:pPr>
    </w:p>
    <w:p w14:paraId="0282F65D">
      <w:pPr>
        <w:pStyle w:val="5"/>
        <w:rPr>
          <w:rFonts w:hint="eastAsia" w:ascii="宋体" w:hAnsi="宋体" w:eastAsia="宋体" w:cs="宋体"/>
          <w:sz w:val="21"/>
          <w:szCs w:val="21"/>
        </w:rPr>
      </w:pPr>
    </w:p>
    <w:p w14:paraId="40CD6A2E">
      <w:pPr>
        <w:rPr>
          <w:rFonts w:hint="eastAsia" w:ascii="宋体" w:hAnsi="宋体" w:eastAsia="宋体" w:cs="宋体"/>
          <w:sz w:val="21"/>
          <w:szCs w:val="21"/>
        </w:rPr>
      </w:pPr>
    </w:p>
    <w:p w14:paraId="63C36836">
      <w:pPr>
        <w:pStyle w:val="5"/>
        <w:rPr>
          <w:rFonts w:hint="eastAsia" w:ascii="宋体" w:hAnsi="宋体" w:eastAsia="宋体" w:cs="宋体"/>
          <w:sz w:val="21"/>
          <w:szCs w:val="21"/>
        </w:rPr>
      </w:pPr>
    </w:p>
    <w:p w14:paraId="50DBB7C9">
      <w:pPr>
        <w:rPr>
          <w:rFonts w:hint="eastAsia" w:ascii="宋体" w:hAnsi="宋体" w:eastAsia="宋体" w:cs="宋体"/>
          <w:sz w:val="21"/>
          <w:szCs w:val="21"/>
        </w:rPr>
      </w:pPr>
    </w:p>
    <w:p w14:paraId="2B287FCE">
      <w:pPr>
        <w:pStyle w:val="5"/>
        <w:rPr>
          <w:rFonts w:hint="eastAsia" w:ascii="宋体" w:hAnsi="宋体" w:eastAsia="宋体" w:cs="宋体"/>
          <w:sz w:val="21"/>
          <w:szCs w:val="21"/>
        </w:rPr>
      </w:pPr>
    </w:p>
    <w:p w14:paraId="0C98C1DE">
      <w:pPr>
        <w:rPr>
          <w:rFonts w:hint="eastAsia" w:ascii="宋体" w:hAnsi="宋体" w:eastAsia="宋体" w:cs="宋体"/>
          <w:sz w:val="21"/>
          <w:szCs w:val="21"/>
        </w:rPr>
      </w:pPr>
    </w:p>
    <w:p w14:paraId="12A70C6D">
      <w:pPr>
        <w:pStyle w:val="5"/>
        <w:rPr>
          <w:rFonts w:hint="eastAsia" w:ascii="宋体" w:hAnsi="宋体" w:eastAsia="宋体" w:cs="宋体"/>
          <w:sz w:val="21"/>
          <w:szCs w:val="21"/>
        </w:rPr>
      </w:pPr>
    </w:p>
    <w:p w14:paraId="1BC3044B">
      <w:pPr>
        <w:rPr>
          <w:rFonts w:hint="eastAsia" w:ascii="宋体" w:hAnsi="宋体" w:eastAsia="宋体" w:cs="宋体"/>
          <w:sz w:val="21"/>
          <w:szCs w:val="21"/>
        </w:rPr>
      </w:pPr>
    </w:p>
    <w:p w14:paraId="09B5F99F">
      <w:pPr>
        <w:pStyle w:val="5"/>
        <w:rPr>
          <w:rFonts w:hint="eastAsia" w:ascii="宋体" w:hAnsi="宋体" w:eastAsia="宋体" w:cs="宋体"/>
          <w:sz w:val="21"/>
          <w:szCs w:val="21"/>
        </w:rPr>
      </w:pPr>
    </w:p>
    <w:p w14:paraId="2A029022">
      <w:pPr>
        <w:rPr>
          <w:rFonts w:hint="eastAsia" w:ascii="宋体" w:hAnsi="宋体" w:eastAsia="宋体" w:cs="宋体"/>
          <w:sz w:val="21"/>
          <w:szCs w:val="21"/>
        </w:rPr>
      </w:pPr>
    </w:p>
    <w:p w14:paraId="1E3EA5CA">
      <w:pPr>
        <w:pStyle w:val="5"/>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rPr>
      </w:pPr>
    </w:p>
    <w:p w14:paraId="3893C557">
      <w:pPr>
        <w:rPr>
          <w:rFonts w:hint="eastAsia" w:ascii="宋体" w:hAnsi="宋体" w:eastAsia="宋体" w:cs="宋体"/>
          <w:sz w:val="21"/>
          <w:szCs w:val="21"/>
        </w:rPr>
      </w:pPr>
    </w:p>
    <w:p w14:paraId="10CB4A02">
      <w:pPr>
        <w:pStyle w:val="5"/>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lang w:eastAsia="zh-CN"/>
        </w:rPr>
      </w:pPr>
    </w:p>
    <w:p w14:paraId="6B56CE95">
      <w:pPr>
        <w:rPr>
          <w:rFonts w:hint="eastAsia"/>
          <w:lang w:eastAsia="zh-CN"/>
        </w:rPr>
      </w:pPr>
    </w:p>
    <w:p w14:paraId="717413FF">
      <w:pPr>
        <w:pStyle w:val="5"/>
        <w:pageBreakBefore w:val="0"/>
        <w:kinsoku/>
        <w:wordWrap/>
        <w:overflowPunct/>
        <w:bidi w:val="0"/>
        <w:spacing w:beforeAutospacing="0" w:afterAutospacing="0" w:line="360" w:lineRule="auto"/>
        <w:jc w:val="center"/>
        <w:textAlignment w:val="auto"/>
        <w:rPr>
          <w:rFonts w:hint="eastAsia" w:ascii="宋体" w:hAnsi="宋体" w:cs="宋体"/>
          <w:sz w:val="24"/>
          <w:szCs w:val="24"/>
          <w:lang w:val="en-US" w:eastAsia="zh-CN"/>
        </w:rPr>
      </w:pPr>
    </w:p>
    <w:p w14:paraId="5BCF3C08">
      <w:pPr>
        <w:rPr>
          <w:rFonts w:hint="eastAsia"/>
          <w:lang w:val="en-US" w:eastAsia="zh-CN"/>
        </w:rPr>
      </w:pPr>
    </w:p>
    <w:p w14:paraId="4978AFFA">
      <w:pPr>
        <w:pStyle w:val="5"/>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九</w:t>
      </w:r>
      <w:r>
        <w:rPr>
          <w:rFonts w:hint="eastAsia" w:ascii="宋体" w:hAnsi="宋体" w:eastAsia="宋体" w:cs="宋体"/>
          <w:sz w:val="24"/>
          <w:szCs w:val="24"/>
        </w:rPr>
        <w:t>、最终报价表</w:t>
      </w:r>
      <w:bookmarkEnd w:id="149"/>
      <w:bookmarkEnd w:id="150"/>
    </w:p>
    <w:p w14:paraId="463CE4F9">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color w:val="000000"/>
          <w:sz w:val="21"/>
          <w:szCs w:val="21"/>
        </w:rPr>
      </w:pPr>
    </w:p>
    <w:p w14:paraId="1D30F12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项目名称：</w:t>
      </w:r>
    </w:p>
    <w:p w14:paraId="3BB12D2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4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7B3E8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vAlign w:val="center"/>
          </w:tcPr>
          <w:p w14:paraId="343C5BC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2F1E408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6B0B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29FC1E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081459F5">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38E71068">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787E34DB">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none"/>
              </w:rPr>
              <w:t>：</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11E064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1A9B871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92B7F9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0E4CF7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17F922D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符合磋商文件规定的实质性要求和条件的供应商在磋商小组规定时间内提交最后报价。</w:t>
      </w:r>
    </w:p>
    <w:p w14:paraId="21627D66">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EA03977">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7E50C84B">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3C135E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44F082D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62A65A1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7B4649D">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AB2BDB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25FC4F85">
      <w:pPr>
        <w:pageBreakBefore w:val="0"/>
        <w:kinsoku/>
        <w:wordWrap/>
        <w:overflowPunct/>
        <w:bidi w:val="0"/>
        <w:spacing w:beforeAutospacing="0" w:afterAutospacing="0" w:line="360" w:lineRule="auto"/>
        <w:ind w:left="482" w:hanging="422" w:hangingChars="200"/>
        <w:textAlignment w:val="auto"/>
        <w:rPr>
          <w:rFonts w:hint="eastAsia" w:ascii="宋体" w:hAnsi="宋体" w:eastAsia="宋体" w:cs="宋体"/>
          <w:b/>
          <w:sz w:val="21"/>
          <w:szCs w:val="21"/>
        </w:rPr>
      </w:pPr>
      <w:r>
        <w:rPr>
          <w:rFonts w:hint="eastAsia" w:ascii="宋体" w:hAnsi="宋体" w:eastAsia="宋体" w:cs="宋体"/>
          <w:b/>
          <w:sz w:val="21"/>
          <w:szCs w:val="21"/>
        </w:rPr>
        <w:t>注：本表不需要装订到响应文件中，可由委托代理人携带到开标现场，按磋商小组的要求密封报价。</w:t>
      </w:r>
    </w:p>
    <w:p w14:paraId="3BB9E588">
      <w:pPr>
        <w:pageBreakBefore w:val="0"/>
        <w:kinsoku/>
        <w:wordWrap/>
        <w:overflowPunct/>
        <w:bidi w:val="0"/>
        <w:spacing w:beforeAutospacing="0" w:afterAutospacing="0" w:line="360" w:lineRule="auto"/>
        <w:textAlignment w:val="auto"/>
        <w:rPr>
          <w:rFonts w:hint="eastAsia" w:ascii="宋体" w:hAnsi="宋体" w:eastAsia="宋体" w:cs="宋体"/>
          <w:b/>
          <w:sz w:val="21"/>
          <w:szCs w:val="21"/>
        </w:rPr>
      </w:pPr>
    </w:p>
    <w:p w14:paraId="0B3E2BD0">
      <w:pPr>
        <w:pStyle w:val="39"/>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sectPr>
      <w:type w:val="continuous"/>
      <w:pgSz w:w="11906" w:h="16838"/>
      <w:pgMar w:top="1134" w:right="1417" w:bottom="1134" w:left="141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ail">
    <w:altName w:val="Times New Roman"/>
    <w:panose1 w:val="00000000000000000000"/>
    <w:charset w:val="00"/>
    <w:family w:val="auto"/>
    <w:pitch w:val="default"/>
    <w:sig w:usb0="00000000" w:usb1="0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3273">
    <w:pPr>
      <w:widowControl w:val="0"/>
      <w:tabs>
        <w:tab w:val="center" w:pos="4153"/>
        <w:tab w:val="right" w:pos="8306"/>
      </w:tabs>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5" o:spid="_x0000_s411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6ED92D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9747E">
    <w:pPr>
      <w:pStyle w:val="27"/>
    </w:pPr>
    <w:r>
      <w:rPr>
        <w:sz w:val="18"/>
      </w:rPr>
      <w:pict>
        <v:shape id="_x0000_s4110" o:spid="_x0000_s4110"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20D80774">
                <w:pPr>
                  <w:pStyle w:val="27"/>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3D86">
    <w:pPr>
      <w:pStyle w:val="27"/>
    </w:pPr>
    <w:r>
      <w:rPr>
        <w:sz w:val="18"/>
      </w:rPr>
      <w:pict>
        <v:shape id="_x0000_s4111" o:spid="_x0000_s4111"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EB6923A">
                <w:pPr>
                  <w:pStyle w:val="27"/>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FC13F">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A5958">
    <w:pPr>
      <w:pStyle w:val="2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8139A6F">
                <w:pPr>
                  <w:pStyle w:val="27"/>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C172">
    <w:pPr>
      <w:widowControl w:val="0"/>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sz w:val="18"/>
      </w:rPr>
      <w:pict>
        <v:shape id="_x0000_s4114" o:spid="_x0000_s411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507250C">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3</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p w14:paraId="11854DC1">
    <w:pPr>
      <w:widowControl w:val="0"/>
      <w:snapToGrid w:val="0"/>
      <w:ind w:right="24"/>
      <w:jc w:val="center"/>
      <w:rPr>
        <w:rFonts w:ascii="Times New Roman" w:hAnsi="Times New Roman" w:eastAsia="宋体" w:cs="Times New Roman"/>
        <w:kern w:val="2"/>
        <w:sz w:val="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A03F">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3" o:spid="_x0000_s4113"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52312A1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49C3D">
    <w:pPr>
      <w:spacing w:line="14" w:lineRule="auto"/>
      <w:rPr>
        <w:rFonts w:ascii="Arial"/>
        <w:sz w:val="2"/>
      </w:rPr>
    </w:pPr>
    <w:r>
      <w:rPr>
        <w:sz w:val="2"/>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D1938BA">
                <w:pPr>
                  <w:pStyle w:val="2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6C730">
    <w:pPr>
      <w:widowControl/>
      <w:kinsoku w:val="0"/>
      <w:autoSpaceDE w:val="0"/>
      <w:autoSpaceDN w:val="0"/>
      <w:adjustRightInd w:val="0"/>
      <w:snapToGrid w:val="0"/>
      <w:spacing w:line="169" w:lineRule="auto"/>
      <w:ind w:left="4084"/>
      <w:jc w:val="left"/>
      <w:textAlignment w:val="baseline"/>
      <w:rPr>
        <w:rFonts w:ascii="Calibri" w:hAnsi="Calibri" w:eastAsia="Calibri" w:cs="Calibri"/>
        <w:snapToGrid w:val="0"/>
        <w:color w:val="000000"/>
        <w:kern w:val="0"/>
        <w:sz w:val="18"/>
        <w:szCs w:val="18"/>
        <w:lang w:eastAsia="en-US"/>
      </w:rPr>
    </w:pPr>
    <w:r>
      <w:rPr>
        <w:sz w:val="18"/>
      </w:rPr>
      <w:pict>
        <v:shape id="_x0000_s4107" o:spid="_x0000_s410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DE571E2">
                <w:pPr>
                  <w:pStyle w:val="27"/>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B1FC2">
    <w:pPr>
      <w:spacing w:line="14" w:lineRule="auto"/>
      <w:rPr>
        <w:rFonts w:ascii="Arial"/>
        <w:sz w:val="2"/>
      </w:rPr>
    </w:pPr>
    <w:r>
      <w:rPr>
        <w:sz w:val="2"/>
      </w:rPr>
      <w:pict>
        <v:shape id="_x0000_s4108" o:spid="_x0000_s410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32DD557">
                <w:pPr>
                  <w:pStyle w:val="27"/>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63BB2">
    <w:pPr>
      <w:pStyle w:val="27"/>
    </w:pPr>
    <w:r>
      <w:rPr>
        <w:sz w:val="18"/>
      </w:rPr>
      <w:pict>
        <v:shape id="_x0000_s4109" o:spid="_x0000_s4109"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6F0CF48A">
                <w:pPr>
                  <w:pStyle w:val="27"/>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5E27">
    <w:pPr>
      <w:widowControl w:val="0"/>
      <w:pBdr>
        <w:bottom w:val="none" w:color="auto" w:sz="0" w:space="0"/>
      </w:pBdr>
      <w:tabs>
        <w:tab w:val="center" w:pos="4153"/>
        <w:tab w:val="right" w:pos="8306"/>
      </w:tabs>
      <w:snapToGrid w:val="0"/>
      <w:jc w:val="center"/>
      <w:rPr>
        <w:rFonts w:ascii="宋体" w:hAnsi="宋体" w:eastAsia="宋体" w:cs="宋体"/>
        <w:kern w:val="2"/>
        <w:sz w:val="18"/>
        <w:szCs w:val="18"/>
        <w:u w:val="single"/>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0F8D">
    <w:pPr>
      <w:widowControl w:val="0"/>
      <w:pBdr>
        <w:bottom w:val="none" w:color="auto" w:sz="0" w:space="1"/>
      </w:pBdr>
      <w:tabs>
        <w:tab w:val="center" w:pos="4153"/>
        <w:tab w:val="right" w:pos="8306"/>
      </w:tabs>
      <w:snapToGrid w:val="0"/>
      <w:jc w:val="center"/>
      <w:rPr>
        <w:rFonts w:hint="eastAsia"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F124">
    <w:pPr>
      <w:widowControl w:val="0"/>
      <w:pBdr>
        <w:bottom w:val="none" w:color="auto" w:sz="0"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A074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FC275"/>
    <w:multiLevelType w:val="singleLevel"/>
    <w:tmpl w:val="8E5FC275"/>
    <w:lvl w:ilvl="0" w:tentative="0">
      <w:start w:val="6"/>
      <w:numFmt w:val="decimal"/>
      <w:lvlText w:val="%1、"/>
      <w:lvlJc w:val="left"/>
    </w:lvl>
  </w:abstractNum>
  <w:abstractNum w:abstractNumId="1">
    <w:nsid w:val="9FDF983E"/>
    <w:multiLevelType w:val="singleLevel"/>
    <w:tmpl w:val="9FDF983E"/>
    <w:lvl w:ilvl="0" w:tentative="0">
      <w:start w:val="5"/>
      <w:numFmt w:val="decimal"/>
      <w:suff w:val="nothing"/>
      <w:lvlText w:val="%1．"/>
      <w:lvlJc w:val="left"/>
    </w:lvl>
  </w:abstractNum>
  <w:abstractNum w:abstractNumId="2">
    <w:nsid w:val="ADB10ED2"/>
    <w:multiLevelType w:val="singleLevel"/>
    <w:tmpl w:val="ADB10ED2"/>
    <w:lvl w:ilvl="0" w:tentative="0">
      <w:start w:val="2"/>
      <w:numFmt w:val="decimal"/>
      <w:suff w:val="nothing"/>
      <w:lvlText w:val="%1、"/>
      <w:lvlJc w:val="left"/>
    </w:lvl>
  </w:abstractNum>
  <w:abstractNum w:abstractNumId="3">
    <w:nsid w:val="B37CEA51"/>
    <w:multiLevelType w:val="singleLevel"/>
    <w:tmpl w:val="B37CEA51"/>
    <w:lvl w:ilvl="0" w:tentative="0">
      <w:start w:val="2"/>
      <w:numFmt w:val="decimal"/>
      <w:suff w:val="space"/>
      <w:lvlText w:val="%1."/>
      <w:lvlJc w:val="left"/>
    </w:lvl>
  </w:abstractNum>
  <w:abstractNum w:abstractNumId="4">
    <w:nsid w:val="DCF57C31"/>
    <w:multiLevelType w:val="singleLevel"/>
    <w:tmpl w:val="DCF57C31"/>
    <w:lvl w:ilvl="0" w:tentative="0">
      <w:start w:val="1"/>
      <w:numFmt w:val="decimal"/>
      <w:suff w:val="nothing"/>
      <w:lvlText w:val="（%1）"/>
      <w:lvlJc w:val="left"/>
    </w:lvl>
  </w:abstractNum>
  <w:abstractNum w:abstractNumId="5">
    <w:nsid w:val="DE7DCA7B"/>
    <w:multiLevelType w:val="singleLevel"/>
    <w:tmpl w:val="DE7DCA7B"/>
    <w:lvl w:ilvl="0" w:tentative="0">
      <w:start w:val="2"/>
      <w:numFmt w:val="decimal"/>
      <w:suff w:val="nothing"/>
      <w:lvlText w:val="（%1）"/>
      <w:lvlJc w:val="left"/>
      <w:rPr>
        <w:rFonts w:hint="default"/>
        <w:b w:val="0"/>
        <w:bCs w:val="0"/>
      </w:rPr>
    </w:lvl>
  </w:abstractNum>
  <w:abstractNum w:abstractNumId="6">
    <w:nsid w:val="F7274232"/>
    <w:multiLevelType w:val="singleLevel"/>
    <w:tmpl w:val="F7274232"/>
    <w:lvl w:ilvl="0" w:tentative="0">
      <w:start w:val="2"/>
      <w:numFmt w:val="decimal"/>
      <w:suff w:val="nothing"/>
      <w:lvlText w:val="%1、"/>
      <w:lvlJc w:val="left"/>
    </w:lvl>
  </w:abstractNum>
  <w:abstractNum w:abstractNumId="7">
    <w:nsid w:val="024F975C"/>
    <w:multiLevelType w:val="singleLevel"/>
    <w:tmpl w:val="024F975C"/>
    <w:lvl w:ilvl="0" w:tentative="0">
      <w:start w:val="9"/>
      <w:numFmt w:val="decimal"/>
      <w:suff w:val="nothing"/>
      <w:lvlText w:val="%1．"/>
      <w:lvlJc w:val="left"/>
    </w:lvl>
  </w:abstractNum>
  <w:abstractNum w:abstractNumId="8">
    <w:nsid w:val="1C3B1630"/>
    <w:multiLevelType w:val="singleLevel"/>
    <w:tmpl w:val="1C3B1630"/>
    <w:lvl w:ilvl="0" w:tentative="0">
      <w:start w:val="1"/>
      <w:numFmt w:val="chineseCounting"/>
      <w:suff w:val="space"/>
      <w:lvlText w:val="第%1章"/>
      <w:lvlJc w:val="left"/>
      <w:rPr>
        <w:rFonts w:hint="eastAsia"/>
      </w:rPr>
    </w:lvl>
  </w:abstractNum>
  <w:abstractNum w:abstractNumId="9">
    <w:nsid w:val="2B857CDE"/>
    <w:multiLevelType w:val="singleLevel"/>
    <w:tmpl w:val="2B857CDE"/>
    <w:lvl w:ilvl="0" w:tentative="0">
      <w:start w:val="4"/>
      <w:numFmt w:val="chineseCounting"/>
      <w:suff w:val="nothing"/>
      <w:lvlText w:val="%1、"/>
      <w:lvlJc w:val="left"/>
      <w:rPr>
        <w:rFonts w:hint="eastAsia"/>
      </w:rPr>
    </w:lvl>
  </w:abstractNum>
  <w:abstractNum w:abstractNumId="10">
    <w:nsid w:val="2E6AE852"/>
    <w:multiLevelType w:val="singleLevel"/>
    <w:tmpl w:val="2E6AE852"/>
    <w:lvl w:ilvl="0" w:tentative="0">
      <w:start w:val="1"/>
      <w:numFmt w:val="decimal"/>
      <w:lvlText w:val="%1."/>
      <w:lvlJc w:val="left"/>
      <w:pPr>
        <w:tabs>
          <w:tab w:val="left" w:pos="312"/>
        </w:tabs>
      </w:pPr>
    </w:lvl>
  </w:abstractNum>
  <w:abstractNum w:abstractNumId="11">
    <w:nsid w:val="58837107"/>
    <w:multiLevelType w:val="singleLevel"/>
    <w:tmpl w:val="58837107"/>
    <w:lvl w:ilvl="0" w:tentative="0">
      <w:start w:val="3"/>
      <w:numFmt w:val="decimal"/>
      <w:suff w:val="nothing"/>
      <w:lvlText w:val="%1、"/>
      <w:lvlJc w:val="left"/>
    </w:lvl>
  </w:abstractNum>
  <w:abstractNum w:abstractNumId="12">
    <w:nsid w:val="608C7B27"/>
    <w:multiLevelType w:val="singleLevel"/>
    <w:tmpl w:val="608C7B27"/>
    <w:lvl w:ilvl="0" w:tentative="0">
      <w:start w:val="3"/>
      <w:numFmt w:val="chineseCounting"/>
      <w:suff w:val="space"/>
      <w:lvlText w:val="%1、"/>
      <w:lvlJc w:val="left"/>
      <w:rPr>
        <w:rFonts w:hint="eastAsia"/>
      </w:rPr>
    </w:lvl>
  </w:abstractNum>
  <w:num w:numId="1">
    <w:abstractNumId w:val="8"/>
  </w:num>
  <w:num w:numId="2">
    <w:abstractNumId w:val="11"/>
  </w:num>
  <w:num w:numId="3">
    <w:abstractNumId w:val="5"/>
  </w:num>
  <w:num w:numId="4">
    <w:abstractNumId w:val="0"/>
  </w:num>
  <w:num w:numId="5">
    <w:abstractNumId w:val="3"/>
  </w:num>
  <w:num w:numId="6">
    <w:abstractNumId w:val="12"/>
  </w:num>
  <w:num w:numId="7">
    <w:abstractNumId w:val="10"/>
  </w:num>
  <w:num w:numId="8">
    <w:abstractNumId w:val="1"/>
  </w:num>
  <w:num w:numId="9">
    <w:abstractNumId w:val="7"/>
  </w:num>
  <w:num w:numId="10">
    <w:abstractNumId w:val="4"/>
  </w:num>
  <w:num w:numId="11">
    <w:abstractNumId w:val="9"/>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I0OGIzNDgyMTc0MTRhZGU5YWU3MGQ3YmVmOGQyMTgifQ=="/>
  </w:docVars>
  <w:rsids>
    <w:rsidRoot w:val="00172A27"/>
    <w:rsid w:val="00075084"/>
    <w:rsid w:val="000A347C"/>
    <w:rsid w:val="00121831"/>
    <w:rsid w:val="00263FD0"/>
    <w:rsid w:val="002E6868"/>
    <w:rsid w:val="0032593C"/>
    <w:rsid w:val="00484D8E"/>
    <w:rsid w:val="00521F75"/>
    <w:rsid w:val="006914CE"/>
    <w:rsid w:val="006A6368"/>
    <w:rsid w:val="00775716"/>
    <w:rsid w:val="00782AB9"/>
    <w:rsid w:val="007B734A"/>
    <w:rsid w:val="008915A1"/>
    <w:rsid w:val="008E0C60"/>
    <w:rsid w:val="009A0670"/>
    <w:rsid w:val="00B35587"/>
    <w:rsid w:val="00CB1C02"/>
    <w:rsid w:val="00D871BD"/>
    <w:rsid w:val="00E058D5"/>
    <w:rsid w:val="00EC7AA5"/>
    <w:rsid w:val="00ED6033"/>
    <w:rsid w:val="00F42630"/>
    <w:rsid w:val="00F73A25"/>
    <w:rsid w:val="00F86AAB"/>
    <w:rsid w:val="017B7436"/>
    <w:rsid w:val="018E53BB"/>
    <w:rsid w:val="01F77F95"/>
    <w:rsid w:val="025D08EA"/>
    <w:rsid w:val="035D5C1E"/>
    <w:rsid w:val="035E0DBD"/>
    <w:rsid w:val="035F1E46"/>
    <w:rsid w:val="03885BF9"/>
    <w:rsid w:val="03B90805"/>
    <w:rsid w:val="03FE7EAB"/>
    <w:rsid w:val="040C6A6B"/>
    <w:rsid w:val="044A47B4"/>
    <w:rsid w:val="045E6793"/>
    <w:rsid w:val="04800661"/>
    <w:rsid w:val="04DA0918"/>
    <w:rsid w:val="0543026B"/>
    <w:rsid w:val="0560706F"/>
    <w:rsid w:val="05860158"/>
    <w:rsid w:val="05922FA0"/>
    <w:rsid w:val="05985AF0"/>
    <w:rsid w:val="05A52CD4"/>
    <w:rsid w:val="05E25CD6"/>
    <w:rsid w:val="060770C1"/>
    <w:rsid w:val="06B50CF4"/>
    <w:rsid w:val="06B5320C"/>
    <w:rsid w:val="06E710CA"/>
    <w:rsid w:val="075A189C"/>
    <w:rsid w:val="07630750"/>
    <w:rsid w:val="081B54CF"/>
    <w:rsid w:val="082A79CB"/>
    <w:rsid w:val="08316AA1"/>
    <w:rsid w:val="08344773"/>
    <w:rsid w:val="085D2D0B"/>
    <w:rsid w:val="08852948"/>
    <w:rsid w:val="08892439"/>
    <w:rsid w:val="08BA0261"/>
    <w:rsid w:val="08F024B8"/>
    <w:rsid w:val="09440A55"/>
    <w:rsid w:val="09A60DC8"/>
    <w:rsid w:val="0A9D65EF"/>
    <w:rsid w:val="0AD119B0"/>
    <w:rsid w:val="0ADC2637"/>
    <w:rsid w:val="0AF2503A"/>
    <w:rsid w:val="0AF67B2D"/>
    <w:rsid w:val="0B536D2E"/>
    <w:rsid w:val="0BF70001"/>
    <w:rsid w:val="0C0B7609"/>
    <w:rsid w:val="0C443DDF"/>
    <w:rsid w:val="0C547201"/>
    <w:rsid w:val="0CBD5B3E"/>
    <w:rsid w:val="0CFC1BE3"/>
    <w:rsid w:val="0DA67783"/>
    <w:rsid w:val="0EFA3A2B"/>
    <w:rsid w:val="0FC81CD8"/>
    <w:rsid w:val="0FEB1C2B"/>
    <w:rsid w:val="108160EB"/>
    <w:rsid w:val="10A64AC7"/>
    <w:rsid w:val="110F1881"/>
    <w:rsid w:val="113A4C18"/>
    <w:rsid w:val="11BE7BEC"/>
    <w:rsid w:val="11CC15E8"/>
    <w:rsid w:val="11DF69C6"/>
    <w:rsid w:val="121A2353"/>
    <w:rsid w:val="124243FD"/>
    <w:rsid w:val="12476A3E"/>
    <w:rsid w:val="127A48D3"/>
    <w:rsid w:val="12C41B11"/>
    <w:rsid w:val="12D6271E"/>
    <w:rsid w:val="138E2FF9"/>
    <w:rsid w:val="139D62CF"/>
    <w:rsid w:val="13F331FC"/>
    <w:rsid w:val="14304CEF"/>
    <w:rsid w:val="14741FA9"/>
    <w:rsid w:val="14C404D0"/>
    <w:rsid w:val="14CF0760"/>
    <w:rsid w:val="151457AE"/>
    <w:rsid w:val="160A26DF"/>
    <w:rsid w:val="166B1554"/>
    <w:rsid w:val="169A6CAC"/>
    <w:rsid w:val="16CB00C0"/>
    <w:rsid w:val="17504CDA"/>
    <w:rsid w:val="175574C1"/>
    <w:rsid w:val="1763654B"/>
    <w:rsid w:val="1783099B"/>
    <w:rsid w:val="17A80401"/>
    <w:rsid w:val="18B621AE"/>
    <w:rsid w:val="18CE3E98"/>
    <w:rsid w:val="18D55226"/>
    <w:rsid w:val="190B2D72"/>
    <w:rsid w:val="192341E3"/>
    <w:rsid w:val="19B030B5"/>
    <w:rsid w:val="19DE010A"/>
    <w:rsid w:val="1A097878"/>
    <w:rsid w:val="1A383CBF"/>
    <w:rsid w:val="1A3F3AE4"/>
    <w:rsid w:val="1AC83294"/>
    <w:rsid w:val="1ADA61CC"/>
    <w:rsid w:val="1AE3240E"/>
    <w:rsid w:val="1B2D061A"/>
    <w:rsid w:val="1B3721C8"/>
    <w:rsid w:val="1B852F33"/>
    <w:rsid w:val="1C1918CE"/>
    <w:rsid w:val="1C3D380E"/>
    <w:rsid w:val="1C3E1334"/>
    <w:rsid w:val="1C9E2545"/>
    <w:rsid w:val="1CB33AD0"/>
    <w:rsid w:val="1D1117A0"/>
    <w:rsid w:val="1D1125A5"/>
    <w:rsid w:val="1D2616DA"/>
    <w:rsid w:val="1D7F1C04"/>
    <w:rsid w:val="1DA24769"/>
    <w:rsid w:val="1DEA1774"/>
    <w:rsid w:val="1E4B7669"/>
    <w:rsid w:val="1EBA7398"/>
    <w:rsid w:val="1EBD4792"/>
    <w:rsid w:val="1F260F41"/>
    <w:rsid w:val="20140D2A"/>
    <w:rsid w:val="202110DB"/>
    <w:rsid w:val="2091095B"/>
    <w:rsid w:val="20C8251E"/>
    <w:rsid w:val="21157E5B"/>
    <w:rsid w:val="21893DF4"/>
    <w:rsid w:val="21E46FC7"/>
    <w:rsid w:val="223D6116"/>
    <w:rsid w:val="22873A35"/>
    <w:rsid w:val="23151041"/>
    <w:rsid w:val="231C3E9C"/>
    <w:rsid w:val="237A2295"/>
    <w:rsid w:val="23841E03"/>
    <w:rsid w:val="23871813"/>
    <w:rsid w:val="23DA7D93"/>
    <w:rsid w:val="243C25FD"/>
    <w:rsid w:val="24632CC1"/>
    <w:rsid w:val="25634B79"/>
    <w:rsid w:val="25AC3281"/>
    <w:rsid w:val="2661634B"/>
    <w:rsid w:val="269A5AA4"/>
    <w:rsid w:val="26AB5818"/>
    <w:rsid w:val="26F23447"/>
    <w:rsid w:val="270311B0"/>
    <w:rsid w:val="27035654"/>
    <w:rsid w:val="27A110F5"/>
    <w:rsid w:val="282B0278"/>
    <w:rsid w:val="28386BE0"/>
    <w:rsid w:val="283C7070"/>
    <w:rsid w:val="28567553"/>
    <w:rsid w:val="28864EB2"/>
    <w:rsid w:val="28EC1A62"/>
    <w:rsid w:val="28EF41A5"/>
    <w:rsid w:val="2902069D"/>
    <w:rsid w:val="290A540B"/>
    <w:rsid w:val="2A4E1779"/>
    <w:rsid w:val="2AD73080"/>
    <w:rsid w:val="2ADB376E"/>
    <w:rsid w:val="2AEA2DB3"/>
    <w:rsid w:val="2BF043F9"/>
    <w:rsid w:val="2BF10171"/>
    <w:rsid w:val="2C7E2617"/>
    <w:rsid w:val="2CCB2770"/>
    <w:rsid w:val="2CD750AA"/>
    <w:rsid w:val="2CED3AD0"/>
    <w:rsid w:val="2D0637A8"/>
    <w:rsid w:val="2D07243F"/>
    <w:rsid w:val="2D157E8F"/>
    <w:rsid w:val="2D255269"/>
    <w:rsid w:val="2D2931A2"/>
    <w:rsid w:val="2D524C40"/>
    <w:rsid w:val="2D834DF9"/>
    <w:rsid w:val="2DBD47AF"/>
    <w:rsid w:val="2DD438A6"/>
    <w:rsid w:val="2E534C57"/>
    <w:rsid w:val="2E6F7878"/>
    <w:rsid w:val="2E7B1BE8"/>
    <w:rsid w:val="2E81758A"/>
    <w:rsid w:val="2F1877C3"/>
    <w:rsid w:val="2F45680A"/>
    <w:rsid w:val="2F4F47F1"/>
    <w:rsid w:val="2F5E5921"/>
    <w:rsid w:val="2F6B5E7A"/>
    <w:rsid w:val="2F8B61E7"/>
    <w:rsid w:val="2F9A0360"/>
    <w:rsid w:val="300F506A"/>
    <w:rsid w:val="30112B90"/>
    <w:rsid w:val="30217DA6"/>
    <w:rsid w:val="302D405A"/>
    <w:rsid w:val="30322A82"/>
    <w:rsid w:val="30FA3624"/>
    <w:rsid w:val="30FE2706"/>
    <w:rsid w:val="312B1A2F"/>
    <w:rsid w:val="31903F88"/>
    <w:rsid w:val="32313075"/>
    <w:rsid w:val="323F1E74"/>
    <w:rsid w:val="32711639"/>
    <w:rsid w:val="32F87086"/>
    <w:rsid w:val="335F00B6"/>
    <w:rsid w:val="3390201E"/>
    <w:rsid w:val="33A904D9"/>
    <w:rsid w:val="33B201E6"/>
    <w:rsid w:val="33E94429"/>
    <w:rsid w:val="33F7221B"/>
    <w:rsid w:val="34160775"/>
    <w:rsid w:val="34482D34"/>
    <w:rsid w:val="349A13A6"/>
    <w:rsid w:val="349D49F2"/>
    <w:rsid w:val="359E4EC6"/>
    <w:rsid w:val="35D37B7A"/>
    <w:rsid w:val="36617CA1"/>
    <w:rsid w:val="366F0610"/>
    <w:rsid w:val="3671332B"/>
    <w:rsid w:val="36A149B1"/>
    <w:rsid w:val="36A706D6"/>
    <w:rsid w:val="36D913FC"/>
    <w:rsid w:val="36E32C2C"/>
    <w:rsid w:val="373C4EC6"/>
    <w:rsid w:val="37AF33BA"/>
    <w:rsid w:val="38303DCF"/>
    <w:rsid w:val="38C47F22"/>
    <w:rsid w:val="38CC7030"/>
    <w:rsid w:val="38F11218"/>
    <w:rsid w:val="39194863"/>
    <w:rsid w:val="39475874"/>
    <w:rsid w:val="395B4E7C"/>
    <w:rsid w:val="39D32C64"/>
    <w:rsid w:val="3A5D01C8"/>
    <w:rsid w:val="3A7461F5"/>
    <w:rsid w:val="3AC94BB8"/>
    <w:rsid w:val="3AFB6916"/>
    <w:rsid w:val="3B380969"/>
    <w:rsid w:val="3BA13C6F"/>
    <w:rsid w:val="3BAB20EB"/>
    <w:rsid w:val="3BB0325D"/>
    <w:rsid w:val="3BF515B8"/>
    <w:rsid w:val="3C2A66D5"/>
    <w:rsid w:val="3C563230"/>
    <w:rsid w:val="3C706E90"/>
    <w:rsid w:val="3CC33464"/>
    <w:rsid w:val="3D0F66A9"/>
    <w:rsid w:val="3D7824A0"/>
    <w:rsid w:val="3DE72488"/>
    <w:rsid w:val="3F1909AD"/>
    <w:rsid w:val="3FB911DC"/>
    <w:rsid w:val="4050500F"/>
    <w:rsid w:val="40556AC9"/>
    <w:rsid w:val="40BC79FD"/>
    <w:rsid w:val="41456B3D"/>
    <w:rsid w:val="416C142E"/>
    <w:rsid w:val="41970A1B"/>
    <w:rsid w:val="41F36F4B"/>
    <w:rsid w:val="42010CB6"/>
    <w:rsid w:val="42673723"/>
    <w:rsid w:val="42A76F80"/>
    <w:rsid w:val="42C83582"/>
    <w:rsid w:val="430921DC"/>
    <w:rsid w:val="434276E8"/>
    <w:rsid w:val="4375437C"/>
    <w:rsid w:val="43C006FD"/>
    <w:rsid w:val="43D45F4C"/>
    <w:rsid w:val="43F62371"/>
    <w:rsid w:val="4450382F"/>
    <w:rsid w:val="44CD3356"/>
    <w:rsid w:val="44D00F4B"/>
    <w:rsid w:val="44D74953"/>
    <w:rsid w:val="44DA6C3A"/>
    <w:rsid w:val="45097701"/>
    <w:rsid w:val="454B2248"/>
    <w:rsid w:val="45F07491"/>
    <w:rsid w:val="45F36B68"/>
    <w:rsid w:val="46176ABD"/>
    <w:rsid w:val="475A3E61"/>
    <w:rsid w:val="47A824CD"/>
    <w:rsid w:val="47B0471D"/>
    <w:rsid w:val="47CD163B"/>
    <w:rsid w:val="480E5EDB"/>
    <w:rsid w:val="4895343D"/>
    <w:rsid w:val="48BF488B"/>
    <w:rsid w:val="4909290D"/>
    <w:rsid w:val="49180694"/>
    <w:rsid w:val="4953791E"/>
    <w:rsid w:val="49576579"/>
    <w:rsid w:val="498B2BE2"/>
    <w:rsid w:val="49DC1E6F"/>
    <w:rsid w:val="49FA008C"/>
    <w:rsid w:val="49FB423D"/>
    <w:rsid w:val="4A1B18AC"/>
    <w:rsid w:val="4A4C0075"/>
    <w:rsid w:val="4A6C4828"/>
    <w:rsid w:val="4AE90539"/>
    <w:rsid w:val="4B736055"/>
    <w:rsid w:val="4B7A3887"/>
    <w:rsid w:val="4BD05255"/>
    <w:rsid w:val="4BDF193C"/>
    <w:rsid w:val="4BE920CC"/>
    <w:rsid w:val="4C6864D4"/>
    <w:rsid w:val="4CBD1C7E"/>
    <w:rsid w:val="4CF443DB"/>
    <w:rsid w:val="4D0F7FFF"/>
    <w:rsid w:val="4DE7546F"/>
    <w:rsid w:val="4EDD2163"/>
    <w:rsid w:val="4FEC63D6"/>
    <w:rsid w:val="500E459E"/>
    <w:rsid w:val="5023004A"/>
    <w:rsid w:val="511314A3"/>
    <w:rsid w:val="514705FA"/>
    <w:rsid w:val="51E2596D"/>
    <w:rsid w:val="5254412B"/>
    <w:rsid w:val="52D66BBF"/>
    <w:rsid w:val="52DE46FC"/>
    <w:rsid w:val="5362532D"/>
    <w:rsid w:val="53B37216"/>
    <w:rsid w:val="540218AF"/>
    <w:rsid w:val="5423646A"/>
    <w:rsid w:val="543317E7"/>
    <w:rsid w:val="551656A7"/>
    <w:rsid w:val="552E1137"/>
    <w:rsid w:val="558B4E58"/>
    <w:rsid w:val="5596306C"/>
    <w:rsid w:val="559E390F"/>
    <w:rsid w:val="55AC7905"/>
    <w:rsid w:val="55F02ED0"/>
    <w:rsid w:val="56F42740"/>
    <w:rsid w:val="56FE7A1E"/>
    <w:rsid w:val="57181687"/>
    <w:rsid w:val="575256B8"/>
    <w:rsid w:val="57DE08ED"/>
    <w:rsid w:val="5851771E"/>
    <w:rsid w:val="5874555D"/>
    <w:rsid w:val="58C223CA"/>
    <w:rsid w:val="58E6780D"/>
    <w:rsid w:val="59701E26"/>
    <w:rsid w:val="59883613"/>
    <w:rsid w:val="59D86349"/>
    <w:rsid w:val="59D979CB"/>
    <w:rsid w:val="5AC474BB"/>
    <w:rsid w:val="5B022012"/>
    <w:rsid w:val="5B5F03A4"/>
    <w:rsid w:val="5B6E19CE"/>
    <w:rsid w:val="5B812D51"/>
    <w:rsid w:val="5BD82630"/>
    <w:rsid w:val="5BDC37A3"/>
    <w:rsid w:val="5C9E3955"/>
    <w:rsid w:val="5CC7477B"/>
    <w:rsid w:val="5D4B3ED8"/>
    <w:rsid w:val="5D752101"/>
    <w:rsid w:val="5E0302A0"/>
    <w:rsid w:val="5F0279C4"/>
    <w:rsid w:val="5F1F2324"/>
    <w:rsid w:val="5F48659A"/>
    <w:rsid w:val="5FBF7663"/>
    <w:rsid w:val="5FC66C44"/>
    <w:rsid w:val="5FF26B44"/>
    <w:rsid w:val="61C62F2B"/>
    <w:rsid w:val="61F569EA"/>
    <w:rsid w:val="622D6B06"/>
    <w:rsid w:val="628137EA"/>
    <w:rsid w:val="62B66AFB"/>
    <w:rsid w:val="62BC571C"/>
    <w:rsid w:val="62C31218"/>
    <w:rsid w:val="63400ABB"/>
    <w:rsid w:val="635A725B"/>
    <w:rsid w:val="63620970"/>
    <w:rsid w:val="63664A91"/>
    <w:rsid w:val="64151614"/>
    <w:rsid w:val="64AA07E9"/>
    <w:rsid w:val="64DD4813"/>
    <w:rsid w:val="65355DF9"/>
    <w:rsid w:val="659D0447"/>
    <w:rsid w:val="66C97511"/>
    <w:rsid w:val="66D878AE"/>
    <w:rsid w:val="670A5668"/>
    <w:rsid w:val="67484DA3"/>
    <w:rsid w:val="676A4B31"/>
    <w:rsid w:val="67C25F42"/>
    <w:rsid w:val="67C3078A"/>
    <w:rsid w:val="67CF069A"/>
    <w:rsid w:val="67F72090"/>
    <w:rsid w:val="694035C3"/>
    <w:rsid w:val="69506585"/>
    <w:rsid w:val="695F5B21"/>
    <w:rsid w:val="69D87C9F"/>
    <w:rsid w:val="6A0171F6"/>
    <w:rsid w:val="6A266C5C"/>
    <w:rsid w:val="6A8B2D0B"/>
    <w:rsid w:val="6B0005A4"/>
    <w:rsid w:val="6B0D2DCF"/>
    <w:rsid w:val="6B4355EC"/>
    <w:rsid w:val="6B946927"/>
    <w:rsid w:val="6BAF4A30"/>
    <w:rsid w:val="6BBD0EFB"/>
    <w:rsid w:val="6C9627A2"/>
    <w:rsid w:val="6CAB51F7"/>
    <w:rsid w:val="6CE30E35"/>
    <w:rsid w:val="6CE45D81"/>
    <w:rsid w:val="6CFC3CA5"/>
    <w:rsid w:val="6D392803"/>
    <w:rsid w:val="6D7952F5"/>
    <w:rsid w:val="6DB22B2F"/>
    <w:rsid w:val="6DCD4272"/>
    <w:rsid w:val="6EA91C0A"/>
    <w:rsid w:val="6EE449F0"/>
    <w:rsid w:val="6F0137F4"/>
    <w:rsid w:val="6F286FD3"/>
    <w:rsid w:val="6FD6129B"/>
    <w:rsid w:val="70AB6DA9"/>
    <w:rsid w:val="71946BA2"/>
    <w:rsid w:val="71E849EB"/>
    <w:rsid w:val="71F33365"/>
    <w:rsid w:val="720930EC"/>
    <w:rsid w:val="72161365"/>
    <w:rsid w:val="722A76BC"/>
    <w:rsid w:val="72367553"/>
    <w:rsid w:val="72604CD6"/>
    <w:rsid w:val="72677E12"/>
    <w:rsid w:val="7300452F"/>
    <w:rsid w:val="7319600E"/>
    <w:rsid w:val="735A1A70"/>
    <w:rsid w:val="73687171"/>
    <w:rsid w:val="73BC418E"/>
    <w:rsid w:val="73E7745D"/>
    <w:rsid w:val="74081181"/>
    <w:rsid w:val="74806D71"/>
    <w:rsid w:val="749333D5"/>
    <w:rsid w:val="74B530B7"/>
    <w:rsid w:val="74D6127F"/>
    <w:rsid w:val="74DC4AE7"/>
    <w:rsid w:val="75116FDD"/>
    <w:rsid w:val="754937FF"/>
    <w:rsid w:val="755676B5"/>
    <w:rsid w:val="75644ADD"/>
    <w:rsid w:val="75EF084A"/>
    <w:rsid w:val="75F47C0F"/>
    <w:rsid w:val="76711A4C"/>
    <w:rsid w:val="76875EB9"/>
    <w:rsid w:val="76C23869"/>
    <w:rsid w:val="76E81A30"/>
    <w:rsid w:val="770245AD"/>
    <w:rsid w:val="776675F3"/>
    <w:rsid w:val="776F38A5"/>
    <w:rsid w:val="7777294F"/>
    <w:rsid w:val="780B5900"/>
    <w:rsid w:val="78136298"/>
    <w:rsid w:val="78A829E5"/>
    <w:rsid w:val="78AF42C1"/>
    <w:rsid w:val="78B13B95"/>
    <w:rsid w:val="78DD711E"/>
    <w:rsid w:val="79330A4E"/>
    <w:rsid w:val="79BC6160"/>
    <w:rsid w:val="79E93803"/>
    <w:rsid w:val="7AE71AF0"/>
    <w:rsid w:val="7AED10D1"/>
    <w:rsid w:val="7AF64429"/>
    <w:rsid w:val="7AFB559C"/>
    <w:rsid w:val="7AFD18AC"/>
    <w:rsid w:val="7B637D31"/>
    <w:rsid w:val="7B7A2964"/>
    <w:rsid w:val="7C583360"/>
    <w:rsid w:val="7CE64029"/>
    <w:rsid w:val="7CF84488"/>
    <w:rsid w:val="7D8228F3"/>
    <w:rsid w:val="7DC425BD"/>
    <w:rsid w:val="7DEB7B49"/>
    <w:rsid w:val="7E7823B6"/>
    <w:rsid w:val="7E8F2BCB"/>
    <w:rsid w:val="7EC860DC"/>
    <w:rsid w:val="7F2B2C8A"/>
    <w:rsid w:val="7F431CAA"/>
    <w:rsid w:val="7F56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11"/>
    <w:qFormat/>
    <w:uiPriority w:val="0"/>
    <w:pPr>
      <w:keepNext/>
      <w:keepLines/>
      <w:spacing w:line="576" w:lineRule="auto"/>
      <w:outlineLvl w:val="0"/>
    </w:pPr>
    <w:rPr>
      <w:b/>
      <w:kern w:val="44"/>
      <w:sz w:val="44"/>
    </w:rPr>
  </w:style>
  <w:style w:type="paragraph" w:styleId="5">
    <w:name w:val="heading 2"/>
    <w:basedOn w:val="1"/>
    <w:next w:val="1"/>
    <w:link w:val="112"/>
    <w:unhideWhenUsed/>
    <w:qFormat/>
    <w:uiPriority w:val="0"/>
    <w:pPr>
      <w:keepNext/>
      <w:keepLines/>
      <w:spacing w:line="360" w:lineRule="auto"/>
      <w:outlineLvl w:val="1"/>
    </w:pPr>
    <w:rPr>
      <w:rFonts w:ascii="Arial" w:hAnsi="Arial" w:eastAsia="宋体" w:cs="Times New Roman"/>
      <w:b/>
      <w:bCs/>
      <w:sz w:val="24"/>
      <w:szCs w:val="32"/>
    </w:rPr>
  </w:style>
  <w:style w:type="paragraph" w:styleId="6">
    <w:name w:val="heading 3"/>
    <w:basedOn w:val="1"/>
    <w:next w:val="1"/>
    <w:link w:val="113"/>
    <w:unhideWhenUsed/>
    <w:qFormat/>
    <w:uiPriority w:val="0"/>
    <w:pPr>
      <w:keepNext/>
      <w:keepLines/>
      <w:spacing w:before="260" w:after="260" w:line="415" w:lineRule="auto"/>
      <w:outlineLvl w:val="2"/>
    </w:pPr>
    <w:rPr>
      <w:rFonts w:ascii="Times New Roman" w:hAnsi="Times New Roman" w:eastAsia="宋体" w:cs="Times New Roman"/>
      <w:b/>
      <w:bCs/>
      <w:sz w:val="32"/>
      <w:szCs w:val="32"/>
    </w:rPr>
  </w:style>
  <w:style w:type="paragraph" w:styleId="7">
    <w:name w:val="heading 4"/>
    <w:basedOn w:val="1"/>
    <w:next w:val="1"/>
    <w:link w:val="114"/>
    <w:semiHidden/>
    <w:unhideWhenUsed/>
    <w:qFormat/>
    <w:uiPriority w:val="0"/>
    <w:pPr>
      <w:keepNext/>
      <w:keepLines/>
      <w:spacing w:before="280" w:after="290" w:line="374" w:lineRule="auto"/>
      <w:outlineLvl w:val="3"/>
    </w:pPr>
    <w:rPr>
      <w:rFonts w:ascii="Arial" w:hAnsi="Arial" w:eastAsia="黑体" w:cs="Times New Roman"/>
      <w:b/>
      <w:bCs/>
      <w:sz w:val="28"/>
      <w:szCs w:val="28"/>
    </w:rPr>
  </w:style>
  <w:style w:type="paragraph" w:styleId="8">
    <w:name w:val="heading 5"/>
    <w:basedOn w:val="1"/>
    <w:next w:val="1"/>
    <w:link w:val="115"/>
    <w:semiHidden/>
    <w:unhideWhenUsed/>
    <w:qFormat/>
    <w:uiPriority w:val="0"/>
    <w:pPr>
      <w:keepNext/>
      <w:keepLines/>
      <w:spacing w:line="372" w:lineRule="auto"/>
      <w:outlineLvl w:val="4"/>
    </w:pPr>
    <w:rPr>
      <w:b/>
      <w:sz w:val="28"/>
    </w:rPr>
  </w:style>
  <w:style w:type="paragraph" w:styleId="9">
    <w:name w:val="heading 6"/>
    <w:basedOn w:val="1"/>
    <w:next w:val="1"/>
    <w:link w:val="116"/>
    <w:semiHidden/>
    <w:unhideWhenUsed/>
    <w:qFormat/>
    <w:uiPriority w:val="0"/>
    <w:pPr>
      <w:keepNext/>
      <w:keepLines/>
      <w:spacing w:line="317" w:lineRule="auto"/>
      <w:outlineLvl w:val="5"/>
    </w:pPr>
    <w:rPr>
      <w:rFonts w:ascii="Arial" w:hAnsi="Arial" w:eastAsia="黑体"/>
      <w:b/>
      <w:sz w:val="24"/>
    </w:rPr>
  </w:style>
  <w:style w:type="paragraph" w:styleId="10">
    <w:name w:val="heading 7"/>
    <w:basedOn w:val="1"/>
    <w:next w:val="1"/>
    <w:link w:val="94"/>
    <w:semiHidden/>
    <w:unhideWhenUsed/>
    <w:qFormat/>
    <w:uiPriority w:val="0"/>
    <w:pPr>
      <w:keepNext/>
      <w:keepLines/>
      <w:spacing w:line="317" w:lineRule="auto"/>
      <w:outlineLvl w:val="6"/>
    </w:pPr>
    <w:rPr>
      <w:b/>
      <w:sz w:val="24"/>
    </w:rPr>
  </w:style>
  <w:style w:type="paragraph" w:styleId="11">
    <w:name w:val="heading 8"/>
    <w:basedOn w:val="1"/>
    <w:next w:val="1"/>
    <w:link w:val="117"/>
    <w:semiHidden/>
    <w:unhideWhenUsed/>
    <w:qFormat/>
    <w:uiPriority w:val="0"/>
    <w:pPr>
      <w:keepNext/>
      <w:keepLines/>
      <w:spacing w:line="317" w:lineRule="auto"/>
      <w:outlineLvl w:val="7"/>
    </w:pPr>
    <w:rPr>
      <w:rFonts w:ascii="Arial" w:hAnsi="Arial" w:eastAsia="黑体"/>
      <w:sz w:val="24"/>
    </w:rPr>
  </w:style>
  <w:style w:type="paragraph" w:styleId="12">
    <w:name w:val="heading 9"/>
    <w:basedOn w:val="1"/>
    <w:next w:val="1"/>
    <w:link w:val="78"/>
    <w:semiHidden/>
    <w:unhideWhenUsed/>
    <w:qFormat/>
    <w:uiPriority w:val="0"/>
    <w:pPr>
      <w:keepNext/>
      <w:keepLines/>
      <w:spacing w:line="317" w:lineRule="auto"/>
      <w:outlineLvl w:val="8"/>
    </w:pPr>
    <w:rPr>
      <w:rFonts w:ascii="Arial" w:hAnsi="Arial" w:eastAsia="黑体"/>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next w:val="3"/>
    <w:qFormat/>
    <w:uiPriority w:val="0"/>
    <w:pPr>
      <w:ind w:firstLine="480" w:firstLineChars="200"/>
    </w:pPr>
    <w:rPr>
      <w:rFonts w:ascii="Times New Roman" w:hAnsi="Times New Roman" w:eastAsia="宋体" w:cs="Times New Roman"/>
      <w:kern w:val="0"/>
      <w:szCs w:val="20"/>
    </w:rPr>
  </w:style>
  <w:style w:type="paragraph" w:styleId="3">
    <w:name w:val="toc 4"/>
    <w:basedOn w:val="1"/>
    <w:next w:val="1"/>
    <w:qFormat/>
    <w:uiPriority w:val="0"/>
    <w:pPr>
      <w:ind w:left="1260" w:leftChars="600"/>
    </w:pPr>
  </w:style>
  <w:style w:type="paragraph" w:styleId="13">
    <w:name w:val="Normal Indent"/>
    <w:basedOn w:val="1"/>
    <w:qFormat/>
    <w:uiPriority w:val="0"/>
    <w:pPr>
      <w:widowControl/>
      <w:ind w:firstLine="420"/>
      <w:jc w:val="left"/>
    </w:pPr>
    <w:rPr>
      <w:rFonts w:ascii="Times New Roman" w:hAnsi="Times New Roman" w:eastAsia="宋体" w:cs="Times New Roman"/>
      <w:kern w:val="0"/>
      <w:sz w:val="20"/>
      <w:szCs w:val="20"/>
    </w:rPr>
  </w:style>
  <w:style w:type="paragraph" w:styleId="14">
    <w:name w:val="Document Map"/>
    <w:basedOn w:val="1"/>
    <w:link w:val="96"/>
    <w:qFormat/>
    <w:uiPriority w:val="0"/>
    <w:pPr>
      <w:shd w:val="clear" w:color="auto" w:fill="000080"/>
    </w:pPr>
  </w:style>
  <w:style w:type="paragraph" w:styleId="15">
    <w:name w:val="annotation text"/>
    <w:basedOn w:val="1"/>
    <w:link w:val="80"/>
    <w:qFormat/>
    <w:uiPriority w:val="0"/>
    <w:pPr>
      <w:jc w:val="left"/>
    </w:pPr>
  </w:style>
  <w:style w:type="paragraph" w:styleId="16">
    <w:name w:val="Salutation"/>
    <w:basedOn w:val="1"/>
    <w:next w:val="1"/>
    <w:link w:val="97"/>
    <w:qFormat/>
    <w:uiPriority w:val="0"/>
  </w:style>
  <w:style w:type="paragraph" w:styleId="17">
    <w:name w:val="Body Text 3"/>
    <w:basedOn w:val="1"/>
    <w:link w:val="98"/>
    <w:qFormat/>
    <w:uiPriority w:val="0"/>
    <w:rPr>
      <w:sz w:val="16"/>
    </w:rPr>
  </w:style>
  <w:style w:type="paragraph" w:styleId="18">
    <w:name w:val="Body Text"/>
    <w:basedOn w:val="1"/>
    <w:next w:val="19"/>
    <w:link w:val="99"/>
    <w:qFormat/>
    <w:uiPriority w:val="0"/>
    <w:pPr>
      <w:spacing w:after="120"/>
    </w:pPr>
    <w:rPr>
      <w:rFonts w:ascii="Times New Roman" w:hAnsi="Times New Roman" w:eastAsia="宋体" w:cs="Times New Roman"/>
    </w:rPr>
  </w:style>
  <w:style w:type="paragraph" w:customStyle="1" w:styleId="19">
    <w:name w:val="一级条标题"/>
    <w:basedOn w:val="20"/>
    <w:next w:val="21"/>
    <w:qFormat/>
    <w:uiPriority w:val="0"/>
    <w:pPr>
      <w:spacing w:line="240" w:lineRule="auto"/>
      <w:ind w:left="420"/>
      <w:outlineLvl w:val="2"/>
    </w:pPr>
  </w:style>
  <w:style w:type="paragraph" w:customStyle="1" w:styleId="20">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21">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styleId="22">
    <w:name w:val="Body Text Indent"/>
    <w:basedOn w:val="1"/>
    <w:next w:val="23"/>
    <w:link w:val="101"/>
    <w:qFormat/>
    <w:uiPriority w:val="0"/>
    <w:pPr>
      <w:spacing w:after="120"/>
      <w:ind w:left="420" w:leftChars="200"/>
    </w:pPr>
    <w:rPr>
      <w:rFonts w:ascii="Times New Roman" w:hAnsi="Times New Roman" w:eastAsia="宋体" w:cs="Times New Roman"/>
    </w:rPr>
  </w:style>
  <w:style w:type="paragraph" w:styleId="23">
    <w:name w:val="Body Text Indent 2"/>
    <w:basedOn w:val="1"/>
    <w:link w:val="103"/>
    <w:qFormat/>
    <w:uiPriority w:val="0"/>
    <w:pPr>
      <w:spacing w:line="480" w:lineRule="auto"/>
      <w:ind w:left="420" w:leftChars="200"/>
    </w:pPr>
  </w:style>
  <w:style w:type="paragraph" w:styleId="24">
    <w:name w:val="Plain Text"/>
    <w:basedOn w:val="1"/>
    <w:next w:val="1"/>
    <w:link w:val="63"/>
    <w:qFormat/>
    <w:uiPriority w:val="0"/>
    <w:rPr>
      <w:rFonts w:hint="eastAsia" w:ascii="宋体" w:hAnsi="Courier New" w:eastAsia="宋体" w:cs="Times New Roman"/>
      <w:szCs w:val="21"/>
    </w:rPr>
  </w:style>
  <w:style w:type="paragraph" w:styleId="25">
    <w:name w:val="Date"/>
    <w:basedOn w:val="1"/>
    <w:next w:val="1"/>
    <w:link w:val="118"/>
    <w:qFormat/>
    <w:uiPriority w:val="0"/>
    <w:rPr>
      <w:rFonts w:ascii="Times New Roman" w:hAnsi="Times New Roman" w:eastAsia="宋体" w:cs="Times New Roman"/>
      <w:sz w:val="24"/>
      <w:szCs w:val="20"/>
    </w:rPr>
  </w:style>
  <w:style w:type="paragraph" w:styleId="26">
    <w:name w:val="Balloon Text"/>
    <w:basedOn w:val="1"/>
    <w:link w:val="119"/>
    <w:qFormat/>
    <w:uiPriority w:val="0"/>
    <w:rPr>
      <w:sz w:val="18"/>
    </w:rPr>
  </w:style>
  <w:style w:type="paragraph" w:styleId="27">
    <w:name w:val="footer"/>
    <w:basedOn w:val="1"/>
    <w:link w:val="104"/>
    <w:qFormat/>
    <w:uiPriority w:val="0"/>
    <w:pPr>
      <w:tabs>
        <w:tab w:val="center" w:pos="4153"/>
        <w:tab w:val="right" w:pos="8306"/>
      </w:tabs>
      <w:snapToGrid w:val="0"/>
      <w:jc w:val="left"/>
    </w:pPr>
    <w:rPr>
      <w:sz w:val="18"/>
    </w:rPr>
  </w:style>
  <w:style w:type="paragraph" w:styleId="28">
    <w:name w:val="envelope return"/>
    <w:basedOn w:val="1"/>
    <w:qFormat/>
    <w:uiPriority w:val="0"/>
    <w:pPr>
      <w:snapToGrid w:val="0"/>
    </w:pPr>
    <w:rPr>
      <w:rFonts w:ascii="Arial" w:hAnsi="Arial"/>
    </w:rPr>
  </w:style>
  <w:style w:type="paragraph" w:styleId="29">
    <w:name w:val="header"/>
    <w:basedOn w:val="1"/>
    <w:link w:val="1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0">
    <w:name w:val="footnote text"/>
    <w:basedOn w:val="1"/>
    <w:link w:val="105"/>
    <w:qFormat/>
    <w:uiPriority w:val="0"/>
    <w:pPr>
      <w:snapToGrid w:val="0"/>
      <w:jc w:val="left"/>
    </w:pPr>
    <w:rPr>
      <w:rFonts w:ascii="Arial" w:hAnsi="Arial" w:eastAsia="宋体" w:cs="Times New Roman"/>
      <w:spacing w:val="80"/>
      <w:sz w:val="40"/>
      <w:szCs w:val="20"/>
    </w:rPr>
  </w:style>
  <w:style w:type="paragraph" w:styleId="31">
    <w:name w:val="Body Text Indent 3"/>
    <w:basedOn w:val="1"/>
    <w:link w:val="106"/>
    <w:qFormat/>
    <w:uiPriority w:val="0"/>
    <w:pPr>
      <w:ind w:left="420" w:leftChars="200"/>
    </w:pPr>
    <w:rPr>
      <w:sz w:val="16"/>
    </w:rPr>
  </w:style>
  <w:style w:type="paragraph" w:styleId="32">
    <w:name w:val="toc 2"/>
    <w:basedOn w:val="1"/>
    <w:next w:val="1"/>
    <w:qFormat/>
    <w:uiPriority w:val="0"/>
    <w:pPr>
      <w:ind w:left="420" w:leftChars="200"/>
    </w:pPr>
  </w:style>
  <w:style w:type="paragraph" w:styleId="33">
    <w:name w:val="Body Text 2"/>
    <w:basedOn w:val="1"/>
    <w:link w:val="107"/>
    <w:qFormat/>
    <w:uiPriority w:val="0"/>
    <w:pPr>
      <w:spacing w:line="480" w:lineRule="auto"/>
    </w:pPr>
  </w:style>
  <w:style w:type="paragraph" w:styleId="34">
    <w:name w:val="HTML Preformatted"/>
    <w:basedOn w:val="1"/>
    <w:link w:val="65"/>
    <w:qFormat/>
    <w:uiPriority w:val="0"/>
    <w:rPr>
      <w:rFonts w:ascii="Courier New" w:hAnsi="Courier New"/>
      <w:sz w:val="20"/>
    </w:rPr>
  </w:style>
  <w:style w:type="paragraph" w:styleId="35">
    <w:name w:val="Normal (Web)"/>
    <w:basedOn w:val="1"/>
    <w:qFormat/>
    <w:uiPriority w:val="0"/>
    <w:rPr>
      <w:sz w:val="24"/>
    </w:rPr>
  </w:style>
  <w:style w:type="paragraph" w:styleId="36">
    <w:name w:val="Title"/>
    <w:basedOn w:val="1"/>
    <w:link w:val="64"/>
    <w:qFormat/>
    <w:uiPriority w:val="0"/>
    <w:pPr>
      <w:jc w:val="center"/>
      <w:outlineLvl w:val="0"/>
    </w:pPr>
    <w:rPr>
      <w:rFonts w:ascii="Arial" w:hAnsi="Arial"/>
      <w:b/>
      <w:sz w:val="32"/>
    </w:rPr>
  </w:style>
  <w:style w:type="paragraph" w:styleId="37">
    <w:name w:val="annotation subject"/>
    <w:basedOn w:val="15"/>
    <w:next w:val="1"/>
    <w:link w:val="68"/>
    <w:qFormat/>
    <w:uiPriority w:val="0"/>
    <w:rPr>
      <w:b/>
    </w:rPr>
  </w:style>
  <w:style w:type="paragraph" w:styleId="38">
    <w:name w:val="Body Text First Indent"/>
    <w:basedOn w:val="18"/>
    <w:link w:val="108"/>
    <w:qFormat/>
    <w:uiPriority w:val="0"/>
    <w:pPr>
      <w:ind w:firstLine="420" w:firstLineChars="100"/>
    </w:pPr>
  </w:style>
  <w:style w:type="paragraph" w:styleId="39">
    <w:name w:val="Body Text First Indent 2"/>
    <w:basedOn w:val="22"/>
    <w:next w:val="13"/>
    <w:link w:val="110"/>
    <w:qFormat/>
    <w:uiPriority w:val="0"/>
    <w:pPr>
      <w:autoSpaceDE w:val="0"/>
      <w:autoSpaceDN w:val="0"/>
      <w:adjustRightInd w:val="0"/>
      <w:jc w:val="left"/>
    </w:pPr>
    <w:rPr>
      <w:kern w:val="0"/>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43">
    <w:name w:val="Strong"/>
    <w:basedOn w:val="42"/>
    <w:qFormat/>
    <w:uiPriority w:val="0"/>
    <w:rPr>
      <w:b/>
    </w:rPr>
  </w:style>
  <w:style w:type="character" w:styleId="44">
    <w:name w:val="page number"/>
    <w:basedOn w:val="42"/>
    <w:qFormat/>
    <w:uiPriority w:val="0"/>
  </w:style>
  <w:style w:type="character" w:styleId="45">
    <w:name w:val="FollowedHyperlink"/>
    <w:basedOn w:val="42"/>
    <w:qFormat/>
    <w:uiPriority w:val="0"/>
    <w:rPr>
      <w:color w:val="800080"/>
      <w:u w:val="single"/>
    </w:rPr>
  </w:style>
  <w:style w:type="character" w:styleId="46">
    <w:name w:val="Emphasis"/>
    <w:basedOn w:val="42"/>
    <w:qFormat/>
    <w:uiPriority w:val="0"/>
    <w:rPr>
      <w:rFonts w:hint="default" w:ascii="Times New Roman" w:hAnsi="Times New Roman" w:eastAsia="宋体" w:cs="Times New Roman"/>
    </w:rPr>
  </w:style>
  <w:style w:type="character" w:styleId="47">
    <w:name w:val="HTML Definition"/>
    <w:basedOn w:val="42"/>
    <w:qFormat/>
    <w:uiPriority w:val="0"/>
    <w:rPr>
      <w:rFonts w:hint="default" w:ascii="Times New Roman" w:hAnsi="Times New Roman" w:eastAsia="宋体" w:cs="Times New Roman"/>
    </w:rPr>
  </w:style>
  <w:style w:type="character" w:styleId="48">
    <w:name w:val="HTML Variable"/>
    <w:basedOn w:val="42"/>
    <w:qFormat/>
    <w:uiPriority w:val="0"/>
    <w:rPr>
      <w:rFonts w:hint="default" w:ascii="Times New Roman" w:hAnsi="Times New Roman" w:eastAsia="宋体" w:cs="Times New Roman"/>
    </w:rPr>
  </w:style>
  <w:style w:type="character" w:styleId="49">
    <w:name w:val="Hyperlink"/>
    <w:basedOn w:val="42"/>
    <w:qFormat/>
    <w:uiPriority w:val="0"/>
    <w:rPr>
      <w:color w:val="136EC2"/>
      <w:u w:val="single"/>
    </w:rPr>
  </w:style>
  <w:style w:type="character" w:styleId="50">
    <w:name w:val="HTML Code"/>
    <w:basedOn w:val="42"/>
    <w:qFormat/>
    <w:uiPriority w:val="0"/>
    <w:rPr>
      <w:rFonts w:ascii="Courier New" w:hAnsi="Courier New" w:eastAsia="Courier New" w:cs="Courier New"/>
      <w:sz w:val="20"/>
    </w:rPr>
  </w:style>
  <w:style w:type="character" w:styleId="51">
    <w:name w:val="annotation reference"/>
    <w:basedOn w:val="42"/>
    <w:qFormat/>
    <w:uiPriority w:val="0"/>
    <w:rPr>
      <w:sz w:val="21"/>
      <w:szCs w:val="21"/>
    </w:rPr>
  </w:style>
  <w:style w:type="character" w:styleId="52">
    <w:name w:val="HTML Cite"/>
    <w:basedOn w:val="42"/>
    <w:qFormat/>
    <w:uiPriority w:val="0"/>
    <w:rPr>
      <w:rFonts w:hint="default" w:ascii="Times New Roman" w:hAnsi="Times New Roman" w:eastAsia="宋体" w:cs="Times New Roman"/>
    </w:rPr>
  </w:style>
  <w:style w:type="character" w:styleId="53">
    <w:name w:val="HTML Keyboard"/>
    <w:basedOn w:val="42"/>
    <w:qFormat/>
    <w:uiPriority w:val="0"/>
    <w:rPr>
      <w:rFonts w:hint="default" w:ascii="Courier New" w:hAnsi="Courier New" w:eastAsia="Courier New" w:cs="Courier New"/>
      <w:sz w:val="20"/>
    </w:rPr>
  </w:style>
  <w:style w:type="character" w:styleId="54">
    <w:name w:val="HTML Sample"/>
    <w:basedOn w:val="42"/>
    <w:qFormat/>
    <w:uiPriority w:val="0"/>
    <w:rPr>
      <w:rFonts w:hint="default" w:ascii="Courier New" w:hAnsi="Courier New" w:eastAsia="Courier New" w:cs="Courier New"/>
    </w:rPr>
  </w:style>
  <w:style w:type="paragraph" w:customStyle="1" w:styleId="55">
    <w:name w:val="Default"/>
    <w:basedOn w:val="1"/>
    <w:qFormat/>
    <w:uiPriority w:val="0"/>
    <w:pPr>
      <w:autoSpaceDE w:val="0"/>
      <w:autoSpaceDN w:val="0"/>
      <w:adjustRightInd w:val="0"/>
      <w:jc w:val="left"/>
    </w:pPr>
    <w:rPr>
      <w:rFonts w:hint="eastAsia" w:ascii="黑体" w:hAnsi="Times New Roman" w:eastAsia="黑体" w:cs="Times New Roman"/>
      <w:kern w:val="0"/>
      <w:sz w:val="20"/>
      <w:szCs w:val="20"/>
    </w:rPr>
  </w:style>
  <w:style w:type="paragraph" w:customStyle="1" w:styleId="56">
    <w:name w:val="font5"/>
    <w:basedOn w:val="1"/>
    <w:qFormat/>
    <w:uiPriority w:val="0"/>
    <w:pPr>
      <w:widowControl/>
      <w:spacing w:beforeAutospacing="1" w:afterAutospacing="1"/>
      <w:jc w:val="left"/>
    </w:pPr>
    <w:rPr>
      <w:rFonts w:ascii="宋体"/>
      <w:kern w:val="0"/>
      <w:sz w:val="18"/>
      <w:szCs w:val="18"/>
    </w:rPr>
  </w:style>
  <w:style w:type="character" w:customStyle="1" w:styleId="57">
    <w:name w:val="标题 4 Char"/>
    <w:basedOn w:val="42"/>
    <w:link w:val="7"/>
    <w:qFormat/>
    <w:uiPriority w:val="0"/>
    <w:rPr>
      <w:rFonts w:hint="default" w:ascii="Cambria" w:hAnsi="Cambria" w:eastAsia="宋体" w:cs="Times New Roman"/>
      <w:b/>
      <w:bCs/>
      <w:kern w:val="2"/>
      <w:sz w:val="28"/>
      <w:szCs w:val="28"/>
    </w:rPr>
  </w:style>
  <w:style w:type="character" w:customStyle="1" w:styleId="58">
    <w:name w:val="批注主题 Char1"/>
    <w:basedOn w:val="42"/>
    <w:link w:val="37"/>
    <w:qFormat/>
    <w:uiPriority w:val="0"/>
    <w:rPr>
      <w:b/>
      <w:bCs/>
      <w:kern w:val="2"/>
      <w:sz w:val="21"/>
      <w:szCs w:val="24"/>
    </w:rPr>
  </w:style>
  <w:style w:type="character" w:customStyle="1" w:styleId="59">
    <w:name w:val="标题 7 Char1"/>
    <w:basedOn w:val="42"/>
    <w:link w:val="10"/>
    <w:qFormat/>
    <w:uiPriority w:val="0"/>
    <w:rPr>
      <w:b/>
      <w:bCs/>
      <w:sz w:val="24"/>
      <w:szCs w:val="24"/>
    </w:rPr>
  </w:style>
  <w:style w:type="character" w:customStyle="1" w:styleId="60">
    <w:name w:val="Font Style131"/>
    <w:basedOn w:val="42"/>
    <w:qFormat/>
    <w:uiPriority w:val="0"/>
    <w:rPr>
      <w:rFonts w:hint="default" w:ascii="Times New Roman" w:hAnsi="Times New Roman" w:eastAsia="Times New Roman" w:cs="Times New Roman"/>
      <w:sz w:val="18"/>
    </w:rPr>
  </w:style>
  <w:style w:type="character" w:customStyle="1" w:styleId="61">
    <w:name w:val="标题 9 Char1"/>
    <w:basedOn w:val="42"/>
    <w:link w:val="12"/>
    <w:qFormat/>
    <w:uiPriority w:val="0"/>
    <w:rPr>
      <w:rFonts w:hint="default" w:ascii="Arial" w:hAnsi="Arial" w:eastAsia="黑体" w:cs="Arial"/>
      <w:sz w:val="21"/>
      <w:szCs w:val="21"/>
    </w:rPr>
  </w:style>
  <w:style w:type="character" w:customStyle="1" w:styleId="62">
    <w:name w:val="页眉 Char"/>
    <w:basedOn w:val="42"/>
    <w:link w:val="29"/>
    <w:qFormat/>
    <w:uiPriority w:val="0"/>
    <w:rPr>
      <w:kern w:val="2"/>
      <w:sz w:val="18"/>
      <w:szCs w:val="18"/>
    </w:rPr>
  </w:style>
  <w:style w:type="character" w:customStyle="1" w:styleId="63">
    <w:name w:val="纯文本 Char"/>
    <w:basedOn w:val="42"/>
    <w:link w:val="24"/>
    <w:qFormat/>
    <w:uiPriority w:val="0"/>
    <w:rPr>
      <w:rFonts w:hint="eastAsia" w:ascii="宋体" w:hAnsi="Courier New" w:eastAsia="宋体" w:cs="Courier New"/>
      <w:kern w:val="2"/>
      <w:sz w:val="21"/>
      <w:szCs w:val="21"/>
    </w:rPr>
  </w:style>
  <w:style w:type="character" w:customStyle="1" w:styleId="64">
    <w:name w:val="标题 Char"/>
    <w:basedOn w:val="42"/>
    <w:link w:val="36"/>
    <w:qFormat/>
    <w:uiPriority w:val="0"/>
    <w:rPr>
      <w:rFonts w:hint="default" w:ascii="Cambria" w:hAnsi="Cambria" w:eastAsia="Cambria" w:cs="Cambria"/>
      <w:b/>
      <w:kern w:val="2"/>
      <w:sz w:val="32"/>
      <w:szCs w:val="24"/>
    </w:rPr>
  </w:style>
  <w:style w:type="character" w:customStyle="1" w:styleId="65">
    <w:name w:val="HTML 预设格式 Char"/>
    <w:basedOn w:val="42"/>
    <w:link w:val="34"/>
    <w:qFormat/>
    <w:uiPriority w:val="0"/>
    <w:rPr>
      <w:rFonts w:hint="default" w:ascii="Arial" w:hAnsi="Arial" w:cs="Arial"/>
      <w:sz w:val="24"/>
      <w:szCs w:val="24"/>
    </w:rPr>
  </w:style>
  <w:style w:type="character" w:customStyle="1" w:styleId="66">
    <w:name w:val="页脚 Char1"/>
    <w:basedOn w:val="42"/>
    <w:link w:val="27"/>
    <w:qFormat/>
    <w:uiPriority w:val="0"/>
    <w:rPr>
      <w:kern w:val="2"/>
      <w:sz w:val="18"/>
      <w:szCs w:val="18"/>
    </w:rPr>
  </w:style>
  <w:style w:type="paragraph" w:customStyle="1" w:styleId="67">
    <w:name w:val="Definition Term"/>
    <w:basedOn w:val="1"/>
    <w:next w:val="1"/>
    <w:qFormat/>
    <w:uiPriority w:val="0"/>
    <w:pPr>
      <w:spacing w:line="288" w:lineRule="auto"/>
    </w:pPr>
    <w:rPr>
      <w:rFonts w:ascii="Calibri" w:hAnsi="Calibri" w:eastAsia="宋体" w:cs="Times New Roman"/>
    </w:rPr>
  </w:style>
  <w:style w:type="character" w:customStyle="1" w:styleId="68">
    <w:name w:val="批注主题 Char"/>
    <w:basedOn w:val="69"/>
    <w:link w:val="37"/>
    <w:qFormat/>
    <w:uiPriority w:val="0"/>
    <w:rPr>
      <w:b/>
      <w:bCs/>
      <w:kern w:val="2"/>
      <w:sz w:val="21"/>
      <w:szCs w:val="24"/>
    </w:rPr>
  </w:style>
  <w:style w:type="character" w:customStyle="1" w:styleId="69">
    <w:name w:val="批注文字 Char"/>
    <w:basedOn w:val="42"/>
    <w:link w:val="15"/>
    <w:qFormat/>
    <w:uiPriority w:val="0"/>
    <w:rPr>
      <w:kern w:val="2"/>
      <w:sz w:val="21"/>
      <w:szCs w:val="24"/>
    </w:rPr>
  </w:style>
  <w:style w:type="paragraph" w:customStyle="1" w:styleId="70">
    <w:name w:val="Table Paragraph"/>
    <w:basedOn w:val="1"/>
    <w:qFormat/>
    <w:uiPriority w:val="0"/>
    <w:pPr>
      <w:autoSpaceDE w:val="0"/>
      <w:autoSpaceDN w:val="0"/>
      <w:jc w:val="left"/>
    </w:pPr>
    <w:rPr>
      <w:rFonts w:hint="eastAsia" w:ascii="宋体" w:hAnsi="宋体" w:eastAsia="宋体" w:cs="Times New Roman"/>
      <w:kern w:val="0"/>
      <w:sz w:val="22"/>
      <w:szCs w:val="22"/>
    </w:rPr>
  </w:style>
  <w:style w:type="character" w:customStyle="1" w:styleId="71">
    <w:name w:val="bds_more10"/>
    <w:basedOn w:val="42"/>
    <w:qFormat/>
    <w:uiPriority w:val="0"/>
    <w:rPr>
      <w:rFonts w:hint="default" w:ascii="Times New Roman" w:hAnsi="Times New Roman" w:eastAsia="宋体" w:cs="Times New Roman"/>
    </w:rPr>
  </w:style>
  <w:style w:type="paragraph" w:customStyle="1" w:styleId="72">
    <w:name w:val="p0"/>
    <w:basedOn w:val="1"/>
    <w:link w:val="100"/>
    <w:qFormat/>
    <w:uiPriority w:val="0"/>
    <w:pPr>
      <w:widowControl/>
    </w:pPr>
    <w:rPr>
      <w:rFonts w:ascii="Times New Roman" w:hAnsi="Times New Roman" w:eastAsia="宋体" w:cs="Times New Roman"/>
      <w:kern w:val="0"/>
      <w:szCs w:val="21"/>
    </w:rPr>
  </w:style>
  <w:style w:type="character" w:customStyle="1" w:styleId="73">
    <w:name w:val="Font Style115"/>
    <w:basedOn w:val="42"/>
    <w:qFormat/>
    <w:uiPriority w:val="0"/>
    <w:rPr>
      <w:rFonts w:hint="default" w:ascii="Times New Roman" w:hAnsi="Times New Roman" w:eastAsia="Times New Roman" w:cs="Times New Roman"/>
      <w:sz w:val="16"/>
    </w:rPr>
  </w:style>
  <w:style w:type="character" w:customStyle="1" w:styleId="74">
    <w:name w:val="Font Style124"/>
    <w:basedOn w:val="42"/>
    <w:qFormat/>
    <w:uiPriority w:val="0"/>
    <w:rPr>
      <w:rFonts w:hint="eastAsia" w:ascii="宋体" w:hAnsi="宋体" w:eastAsia="宋体" w:cs="宋体"/>
      <w:spacing w:val="30"/>
      <w:sz w:val="24"/>
    </w:rPr>
  </w:style>
  <w:style w:type="character" w:customStyle="1" w:styleId="75">
    <w:name w:val="标题 2 Char"/>
    <w:basedOn w:val="42"/>
    <w:link w:val="5"/>
    <w:qFormat/>
    <w:uiPriority w:val="0"/>
    <w:rPr>
      <w:rFonts w:hint="default" w:ascii="Cambria" w:hAnsi="Cambria" w:eastAsia="宋体" w:cs="Times New Roman"/>
      <w:b/>
      <w:bCs/>
      <w:kern w:val="2"/>
      <w:sz w:val="32"/>
      <w:szCs w:val="32"/>
    </w:rPr>
  </w:style>
  <w:style w:type="character" w:customStyle="1" w:styleId="76">
    <w:name w:val="bds_more9"/>
    <w:basedOn w:val="42"/>
    <w:qFormat/>
    <w:uiPriority w:val="0"/>
    <w:rPr>
      <w:rFonts w:hint="default" w:ascii="Times New Roman" w:hAnsi="Times New Roman" w:eastAsia="宋体" w:cs="Times New Roman"/>
    </w:rPr>
  </w:style>
  <w:style w:type="character" w:customStyle="1" w:styleId="77">
    <w:name w:val="Font Style119"/>
    <w:basedOn w:val="42"/>
    <w:qFormat/>
    <w:uiPriority w:val="0"/>
    <w:rPr>
      <w:rFonts w:hint="eastAsia" w:ascii="宋体" w:hAnsi="宋体" w:eastAsia="宋体" w:cs="宋体"/>
      <w:sz w:val="24"/>
    </w:rPr>
  </w:style>
  <w:style w:type="character" w:customStyle="1" w:styleId="78">
    <w:name w:val="标题 9 Char"/>
    <w:basedOn w:val="42"/>
    <w:link w:val="12"/>
    <w:qFormat/>
    <w:uiPriority w:val="0"/>
    <w:rPr>
      <w:rFonts w:hint="default" w:ascii="Cambria" w:hAnsi="Cambria" w:eastAsia="宋体" w:cs="Times New Roman"/>
      <w:kern w:val="2"/>
      <w:sz w:val="21"/>
      <w:szCs w:val="21"/>
    </w:rPr>
  </w:style>
  <w:style w:type="character" w:customStyle="1" w:styleId="79">
    <w:name w:val="sort1"/>
    <w:basedOn w:val="42"/>
    <w:qFormat/>
    <w:uiPriority w:val="0"/>
    <w:rPr>
      <w:rFonts w:hint="default" w:ascii="Times New Roman" w:hAnsi="Times New Roman" w:eastAsia="宋体" w:cs="Times New Roman"/>
    </w:rPr>
  </w:style>
  <w:style w:type="character" w:customStyle="1" w:styleId="80">
    <w:name w:val="批注文字 Char1"/>
    <w:basedOn w:val="42"/>
    <w:link w:val="15"/>
    <w:qFormat/>
    <w:uiPriority w:val="0"/>
    <w:rPr>
      <w:kern w:val="2"/>
      <w:sz w:val="21"/>
      <w:szCs w:val="24"/>
    </w:rPr>
  </w:style>
  <w:style w:type="character" w:customStyle="1" w:styleId="81">
    <w:name w:val="Font Style127"/>
    <w:basedOn w:val="42"/>
    <w:qFormat/>
    <w:uiPriority w:val="0"/>
    <w:rPr>
      <w:rFonts w:hint="default" w:ascii="Times New Roman" w:hAnsi="Times New Roman" w:eastAsia="Times New Roman" w:cs="Times New Roman"/>
      <w:sz w:val="20"/>
    </w:rPr>
  </w:style>
  <w:style w:type="character" w:customStyle="1" w:styleId="82">
    <w:name w:val="Font Style104"/>
    <w:basedOn w:val="42"/>
    <w:qFormat/>
    <w:uiPriority w:val="0"/>
    <w:rPr>
      <w:rFonts w:hint="eastAsia" w:ascii="宋体" w:hAnsi="宋体" w:eastAsia="宋体" w:cs="宋体"/>
      <w:spacing w:val="30"/>
      <w:sz w:val="18"/>
    </w:rPr>
  </w:style>
  <w:style w:type="character" w:customStyle="1" w:styleId="83">
    <w:name w:val="Font Style125"/>
    <w:basedOn w:val="42"/>
    <w:qFormat/>
    <w:uiPriority w:val="0"/>
    <w:rPr>
      <w:rFonts w:hint="eastAsia" w:ascii="宋体" w:hAnsi="宋体" w:eastAsia="宋体" w:cs="宋体"/>
      <w:b/>
      <w:sz w:val="26"/>
    </w:rPr>
  </w:style>
  <w:style w:type="character" w:customStyle="1" w:styleId="84">
    <w:name w:val="批注框文本 Char"/>
    <w:basedOn w:val="42"/>
    <w:link w:val="26"/>
    <w:qFormat/>
    <w:uiPriority w:val="0"/>
    <w:rPr>
      <w:kern w:val="2"/>
      <w:sz w:val="18"/>
      <w:szCs w:val="18"/>
    </w:rPr>
  </w:style>
  <w:style w:type="character" w:customStyle="1" w:styleId="85">
    <w:name w:val="bds_nopic2"/>
    <w:basedOn w:val="42"/>
    <w:qFormat/>
    <w:uiPriority w:val="0"/>
    <w:rPr>
      <w:rFonts w:hint="default" w:ascii="Times New Roman" w:hAnsi="Times New Roman" w:eastAsia="宋体" w:cs="Times New Roman"/>
    </w:rPr>
  </w:style>
  <w:style w:type="character" w:customStyle="1" w:styleId="86">
    <w:name w:val="Char Char16"/>
    <w:basedOn w:val="42"/>
    <w:qFormat/>
    <w:uiPriority w:val="0"/>
    <w:rPr>
      <w:rFonts w:hint="eastAsia" w:ascii="宋体" w:hAnsi="Times New Roman" w:eastAsia="宋体" w:cs="宋体"/>
      <w:b/>
      <w:sz w:val="24"/>
      <w:lang w:val="en-US" w:eastAsia="zh-CN"/>
    </w:rPr>
  </w:style>
  <w:style w:type="character" w:customStyle="1" w:styleId="87">
    <w:name w:val="正文文本缩进 3 Char1"/>
    <w:basedOn w:val="42"/>
    <w:link w:val="31"/>
    <w:qFormat/>
    <w:uiPriority w:val="0"/>
    <w:rPr>
      <w:kern w:val="2"/>
      <w:sz w:val="16"/>
      <w:szCs w:val="16"/>
    </w:rPr>
  </w:style>
  <w:style w:type="character" w:customStyle="1" w:styleId="88">
    <w:name w:val="日期 Char"/>
    <w:basedOn w:val="42"/>
    <w:link w:val="25"/>
    <w:qFormat/>
    <w:uiPriority w:val="0"/>
    <w:rPr>
      <w:kern w:val="2"/>
      <w:sz w:val="21"/>
      <w:szCs w:val="24"/>
    </w:rPr>
  </w:style>
  <w:style w:type="character" w:customStyle="1" w:styleId="89">
    <w:name w:val="标题 1 Char"/>
    <w:basedOn w:val="42"/>
    <w:link w:val="4"/>
    <w:qFormat/>
    <w:uiPriority w:val="0"/>
    <w:rPr>
      <w:b/>
      <w:bCs/>
      <w:kern w:val="44"/>
      <w:sz w:val="44"/>
      <w:szCs w:val="44"/>
    </w:rPr>
  </w:style>
  <w:style w:type="character" w:customStyle="1" w:styleId="90">
    <w:name w:val="标题 3 Char"/>
    <w:basedOn w:val="42"/>
    <w:link w:val="6"/>
    <w:qFormat/>
    <w:uiPriority w:val="0"/>
    <w:rPr>
      <w:b/>
      <w:bCs/>
      <w:kern w:val="2"/>
      <w:sz w:val="32"/>
      <w:szCs w:val="32"/>
    </w:rPr>
  </w:style>
  <w:style w:type="character" w:customStyle="1" w:styleId="91">
    <w:name w:val="标题 5 Char"/>
    <w:basedOn w:val="42"/>
    <w:link w:val="8"/>
    <w:qFormat/>
    <w:uiPriority w:val="0"/>
    <w:rPr>
      <w:b/>
      <w:bCs/>
      <w:kern w:val="2"/>
      <w:sz w:val="28"/>
      <w:szCs w:val="28"/>
    </w:rPr>
  </w:style>
  <w:style w:type="character" w:customStyle="1" w:styleId="92">
    <w:name w:val="标题 6 Char"/>
    <w:basedOn w:val="42"/>
    <w:link w:val="9"/>
    <w:qFormat/>
    <w:uiPriority w:val="0"/>
    <w:rPr>
      <w:rFonts w:hint="default" w:ascii="Cambria" w:hAnsi="Cambria" w:eastAsia="宋体" w:cs="Times New Roman"/>
      <w:b/>
      <w:bCs/>
      <w:kern w:val="2"/>
      <w:sz w:val="24"/>
      <w:szCs w:val="24"/>
    </w:rPr>
  </w:style>
  <w:style w:type="paragraph" w:customStyle="1" w:styleId="93">
    <w:name w:val="Body text|1"/>
    <w:basedOn w:val="1"/>
    <w:qFormat/>
    <w:uiPriority w:val="0"/>
    <w:pPr>
      <w:spacing w:line="432" w:lineRule="auto"/>
      <w:ind w:firstLine="400"/>
    </w:pPr>
    <w:rPr>
      <w:rFonts w:hint="eastAsia" w:ascii="宋体" w:hAnsi="宋体" w:eastAsia="宋体" w:cs="Times New Roman"/>
      <w:sz w:val="22"/>
      <w:szCs w:val="22"/>
    </w:rPr>
  </w:style>
  <w:style w:type="character" w:customStyle="1" w:styleId="94">
    <w:name w:val="标题 7 Char"/>
    <w:basedOn w:val="42"/>
    <w:link w:val="10"/>
    <w:qFormat/>
    <w:uiPriority w:val="0"/>
    <w:rPr>
      <w:b/>
      <w:bCs/>
      <w:kern w:val="2"/>
      <w:sz w:val="24"/>
      <w:szCs w:val="24"/>
    </w:rPr>
  </w:style>
  <w:style w:type="character" w:customStyle="1" w:styleId="95">
    <w:name w:val="标题 8 Char"/>
    <w:basedOn w:val="42"/>
    <w:link w:val="11"/>
    <w:qFormat/>
    <w:uiPriority w:val="0"/>
    <w:rPr>
      <w:rFonts w:hint="default" w:ascii="Cambria" w:hAnsi="Cambria" w:eastAsia="宋体" w:cs="Times New Roman"/>
      <w:kern w:val="2"/>
      <w:sz w:val="24"/>
      <w:szCs w:val="24"/>
    </w:rPr>
  </w:style>
  <w:style w:type="character" w:customStyle="1" w:styleId="96">
    <w:name w:val="文档结构图 Char"/>
    <w:basedOn w:val="42"/>
    <w:link w:val="14"/>
    <w:qFormat/>
    <w:uiPriority w:val="0"/>
    <w:rPr>
      <w:kern w:val="2"/>
      <w:sz w:val="21"/>
      <w:szCs w:val="24"/>
      <w:shd w:val="clear" w:color="auto" w:fill="000080"/>
    </w:rPr>
  </w:style>
  <w:style w:type="character" w:customStyle="1" w:styleId="97">
    <w:name w:val="称呼 Char"/>
    <w:basedOn w:val="42"/>
    <w:link w:val="16"/>
    <w:qFormat/>
    <w:uiPriority w:val="0"/>
    <w:rPr>
      <w:rFonts w:hint="eastAsia" w:ascii="仿宋_GB2312" w:eastAsia="仿宋_GB2312" w:cs="仿宋_GB2312"/>
      <w:kern w:val="2"/>
      <w:sz w:val="24"/>
      <w:szCs w:val="24"/>
    </w:rPr>
  </w:style>
  <w:style w:type="character" w:customStyle="1" w:styleId="98">
    <w:name w:val="正文文本 3 Char"/>
    <w:basedOn w:val="42"/>
    <w:link w:val="17"/>
    <w:qFormat/>
    <w:uiPriority w:val="0"/>
    <w:rPr>
      <w:rFonts w:hint="eastAsia" w:ascii="宋体" w:hAnsi="宋体" w:eastAsia="宋体" w:cs="宋体"/>
      <w:color w:val="000000"/>
      <w:sz w:val="24"/>
    </w:rPr>
  </w:style>
  <w:style w:type="character" w:customStyle="1" w:styleId="99">
    <w:name w:val="正文文本 Char"/>
    <w:basedOn w:val="42"/>
    <w:link w:val="18"/>
    <w:qFormat/>
    <w:uiPriority w:val="0"/>
    <w:rPr>
      <w:kern w:val="2"/>
      <w:sz w:val="21"/>
      <w:szCs w:val="24"/>
    </w:rPr>
  </w:style>
  <w:style w:type="character" w:customStyle="1" w:styleId="100">
    <w:name w:val="p0 Char"/>
    <w:basedOn w:val="42"/>
    <w:link w:val="72"/>
    <w:qFormat/>
    <w:uiPriority w:val="0"/>
    <w:rPr>
      <w:sz w:val="21"/>
      <w:szCs w:val="21"/>
    </w:rPr>
  </w:style>
  <w:style w:type="character" w:customStyle="1" w:styleId="101">
    <w:name w:val="正文文本缩进 Char"/>
    <w:basedOn w:val="42"/>
    <w:link w:val="22"/>
    <w:qFormat/>
    <w:uiPriority w:val="0"/>
    <w:rPr>
      <w:kern w:val="2"/>
      <w:sz w:val="21"/>
      <w:szCs w:val="24"/>
    </w:rPr>
  </w:style>
  <w:style w:type="character" w:customStyle="1" w:styleId="102">
    <w:name w:val="Font Style121"/>
    <w:basedOn w:val="42"/>
    <w:qFormat/>
    <w:uiPriority w:val="0"/>
    <w:rPr>
      <w:rFonts w:hint="eastAsia" w:ascii="宋体" w:hAnsi="宋体" w:eastAsia="宋体" w:cs="宋体"/>
      <w:spacing w:val="-10"/>
      <w:sz w:val="30"/>
    </w:rPr>
  </w:style>
  <w:style w:type="character" w:customStyle="1" w:styleId="103">
    <w:name w:val="正文文本缩进 2 Char"/>
    <w:basedOn w:val="42"/>
    <w:link w:val="23"/>
    <w:qFormat/>
    <w:uiPriority w:val="0"/>
    <w:rPr>
      <w:kern w:val="2"/>
      <w:sz w:val="21"/>
      <w:szCs w:val="24"/>
    </w:rPr>
  </w:style>
  <w:style w:type="character" w:customStyle="1" w:styleId="104">
    <w:name w:val="页脚 Char"/>
    <w:basedOn w:val="42"/>
    <w:link w:val="27"/>
    <w:qFormat/>
    <w:uiPriority w:val="0"/>
    <w:rPr>
      <w:kern w:val="2"/>
      <w:sz w:val="18"/>
      <w:szCs w:val="18"/>
    </w:rPr>
  </w:style>
  <w:style w:type="character" w:customStyle="1" w:styleId="105">
    <w:name w:val="脚注文本 Char"/>
    <w:basedOn w:val="42"/>
    <w:link w:val="30"/>
    <w:qFormat/>
    <w:uiPriority w:val="0"/>
    <w:rPr>
      <w:rFonts w:hint="default" w:ascii="Arial" w:hAnsi="Arial" w:cs="Arial"/>
      <w:spacing w:val="80"/>
      <w:kern w:val="2"/>
      <w:sz w:val="40"/>
      <w:lang w:eastAsia="en-US"/>
    </w:rPr>
  </w:style>
  <w:style w:type="character" w:customStyle="1" w:styleId="106">
    <w:name w:val="正文文本缩进 3 Char"/>
    <w:basedOn w:val="42"/>
    <w:link w:val="31"/>
    <w:qFormat/>
    <w:uiPriority w:val="0"/>
    <w:rPr>
      <w:kern w:val="2"/>
      <w:sz w:val="16"/>
      <w:szCs w:val="16"/>
    </w:rPr>
  </w:style>
  <w:style w:type="character" w:customStyle="1" w:styleId="107">
    <w:name w:val="正文文本 2 Char"/>
    <w:basedOn w:val="42"/>
    <w:link w:val="33"/>
    <w:qFormat/>
    <w:uiPriority w:val="0"/>
    <w:rPr>
      <w:kern w:val="2"/>
      <w:sz w:val="21"/>
      <w:szCs w:val="24"/>
    </w:rPr>
  </w:style>
  <w:style w:type="character" w:customStyle="1" w:styleId="108">
    <w:name w:val="正文首行缩进 Char"/>
    <w:basedOn w:val="99"/>
    <w:link w:val="38"/>
    <w:qFormat/>
    <w:uiPriority w:val="0"/>
    <w:rPr>
      <w:bCs/>
      <w:color w:val="000000"/>
      <w:kern w:val="28"/>
      <w:sz w:val="21"/>
      <w:szCs w:val="21"/>
    </w:rPr>
  </w:style>
  <w:style w:type="character" w:customStyle="1" w:styleId="109">
    <w:name w:val="Char Char17"/>
    <w:basedOn w:val="42"/>
    <w:qFormat/>
    <w:uiPriority w:val="0"/>
    <w:rPr>
      <w:rFonts w:hint="eastAsia" w:ascii="宋体" w:hAnsi="Times New Roman" w:eastAsia="宋体" w:cs="宋体"/>
      <w:b/>
      <w:sz w:val="28"/>
      <w:lang w:val="en-US" w:eastAsia="zh-CN"/>
    </w:rPr>
  </w:style>
  <w:style w:type="character" w:customStyle="1" w:styleId="110">
    <w:name w:val="正文首行缩进 2 Char"/>
    <w:basedOn w:val="101"/>
    <w:link w:val="39"/>
    <w:qFormat/>
    <w:uiPriority w:val="0"/>
    <w:rPr>
      <w:kern w:val="2"/>
      <w:sz w:val="21"/>
      <w:szCs w:val="24"/>
    </w:rPr>
  </w:style>
  <w:style w:type="character" w:customStyle="1" w:styleId="111">
    <w:name w:val="标题 1 Char1"/>
    <w:basedOn w:val="42"/>
    <w:link w:val="4"/>
    <w:qFormat/>
    <w:uiPriority w:val="0"/>
    <w:rPr>
      <w:b/>
      <w:bCs/>
      <w:kern w:val="2"/>
      <w:sz w:val="24"/>
    </w:rPr>
  </w:style>
  <w:style w:type="character" w:customStyle="1" w:styleId="112">
    <w:name w:val="标题 2 Char1"/>
    <w:basedOn w:val="42"/>
    <w:link w:val="5"/>
    <w:qFormat/>
    <w:uiPriority w:val="0"/>
    <w:rPr>
      <w:rFonts w:hint="default" w:ascii="Arial" w:hAnsi="Arial" w:cs="Arial"/>
      <w:b/>
      <w:bCs/>
      <w:kern w:val="2"/>
      <w:sz w:val="24"/>
      <w:szCs w:val="32"/>
    </w:rPr>
  </w:style>
  <w:style w:type="character" w:customStyle="1" w:styleId="113">
    <w:name w:val="标题 3 Char1"/>
    <w:basedOn w:val="42"/>
    <w:link w:val="6"/>
    <w:qFormat/>
    <w:uiPriority w:val="0"/>
    <w:rPr>
      <w:b/>
      <w:bCs/>
      <w:kern w:val="2"/>
      <w:sz w:val="32"/>
      <w:szCs w:val="32"/>
    </w:rPr>
  </w:style>
  <w:style w:type="character" w:customStyle="1" w:styleId="114">
    <w:name w:val="标题 4 Char1"/>
    <w:basedOn w:val="42"/>
    <w:link w:val="7"/>
    <w:qFormat/>
    <w:uiPriority w:val="0"/>
    <w:rPr>
      <w:rFonts w:hint="default" w:ascii="Arial" w:hAnsi="Arial" w:eastAsia="黑体" w:cs="Arial"/>
      <w:b/>
      <w:bCs/>
      <w:kern w:val="2"/>
      <w:sz w:val="28"/>
      <w:szCs w:val="28"/>
    </w:rPr>
  </w:style>
  <w:style w:type="character" w:customStyle="1" w:styleId="115">
    <w:name w:val="标题 5 Char1"/>
    <w:basedOn w:val="42"/>
    <w:link w:val="8"/>
    <w:qFormat/>
    <w:uiPriority w:val="0"/>
    <w:rPr>
      <w:b/>
      <w:bCs/>
      <w:sz w:val="28"/>
      <w:szCs w:val="28"/>
    </w:rPr>
  </w:style>
  <w:style w:type="character" w:customStyle="1" w:styleId="116">
    <w:name w:val="标题 6 Char1"/>
    <w:basedOn w:val="42"/>
    <w:link w:val="9"/>
    <w:qFormat/>
    <w:uiPriority w:val="0"/>
    <w:rPr>
      <w:rFonts w:hint="default" w:ascii="Arial" w:hAnsi="Arial" w:eastAsia="黑体" w:cs="Arial"/>
      <w:b/>
      <w:bCs/>
      <w:sz w:val="24"/>
      <w:szCs w:val="24"/>
    </w:rPr>
  </w:style>
  <w:style w:type="character" w:customStyle="1" w:styleId="117">
    <w:name w:val="标题 8 Char1"/>
    <w:basedOn w:val="42"/>
    <w:link w:val="11"/>
    <w:qFormat/>
    <w:uiPriority w:val="0"/>
    <w:rPr>
      <w:rFonts w:hint="default" w:ascii="Arial" w:hAnsi="Arial" w:eastAsia="黑体" w:cs="Arial"/>
      <w:sz w:val="24"/>
      <w:szCs w:val="24"/>
    </w:rPr>
  </w:style>
  <w:style w:type="character" w:customStyle="1" w:styleId="118">
    <w:name w:val="日期 Char1"/>
    <w:basedOn w:val="42"/>
    <w:link w:val="25"/>
    <w:qFormat/>
    <w:uiPriority w:val="0"/>
    <w:rPr>
      <w:kern w:val="2"/>
      <w:sz w:val="24"/>
    </w:rPr>
  </w:style>
  <w:style w:type="character" w:customStyle="1" w:styleId="119">
    <w:name w:val="批注框文本 Char1"/>
    <w:basedOn w:val="42"/>
    <w:link w:val="26"/>
    <w:qFormat/>
    <w:uiPriority w:val="0"/>
    <w:rPr>
      <w:rFonts w:hint="default" w:ascii="Calibri" w:hAnsi="Calibri" w:cs="Calibri"/>
      <w:kern w:val="2"/>
      <w:sz w:val="18"/>
      <w:szCs w:val="18"/>
    </w:rPr>
  </w:style>
  <w:style w:type="character" w:customStyle="1" w:styleId="120">
    <w:name w:val="页眉 Char1"/>
    <w:basedOn w:val="42"/>
    <w:link w:val="29"/>
    <w:qFormat/>
    <w:uiPriority w:val="0"/>
    <w:rPr>
      <w:kern w:val="2"/>
      <w:sz w:val="18"/>
      <w:szCs w:val="18"/>
    </w:rPr>
  </w:style>
  <w:style w:type="paragraph" w:customStyle="1" w:styleId="121">
    <w:name w:val="正文格式"/>
    <w:basedOn w:val="18"/>
    <w:next w:val="18"/>
    <w:qFormat/>
    <w:uiPriority w:val="0"/>
    <w:pPr>
      <w:widowControl/>
      <w:adjustRightInd w:val="0"/>
      <w:snapToGrid w:val="0"/>
      <w:spacing w:line="400" w:lineRule="atLeast"/>
      <w:ind w:firstLine="482"/>
    </w:pPr>
    <w:rPr>
      <w:kern w:val="0"/>
      <w:sz w:val="24"/>
    </w:rPr>
  </w:style>
  <w:style w:type="character" w:customStyle="1" w:styleId="122">
    <w:name w:val="polysemyexp"/>
    <w:basedOn w:val="42"/>
    <w:qFormat/>
    <w:uiPriority w:val="0"/>
    <w:rPr>
      <w:rFonts w:hint="default" w:ascii="Times New Roman" w:hAnsi="Times New Roman" w:eastAsia="宋体" w:cs="Times New Roman"/>
      <w:color w:val="AAAAAA"/>
      <w:sz w:val="18"/>
      <w:szCs w:val="18"/>
    </w:rPr>
  </w:style>
  <w:style w:type="character" w:customStyle="1" w:styleId="123">
    <w:name w:val="bds_more6"/>
    <w:basedOn w:val="42"/>
    <w:qFormat/>
    <w:uiPriority w:val="0"/>
    <w:rPr>
      <w:rFonts w:hint="eastAsia" w:ascii="宋体" w:hAnsi="宋体" w:eastAsia="宋体" w:cs="宋体"/>
    </w:rPr>
  </w:style>
  <w:style w:type="character" w:customStyle="1" w:styleId="124">
    <w:name w:val="sidecatalog-dot"/>
    <w:basedOn w:val="42"/>
    <w:qFormat/>
    <w:uiPriority w:val="0"/>
    <w:rPr>
      <w:rFonts w:hint="default" w:ascii="Times New Roman" w:hAnsi="Times New Roman" w:eastAsia="宋体" w:cs="Times New Roman"/>
    </w:rPr>
  </w:style>
  <w:style w:type="character" w:customStyle="1" w:styleId="125">
    <w:name w:val="Font Style117"/>
    <w:basedOn w:val="42"/>
    <w:qFormat/>
    <w:uiPriority w:val="0"/>
    <w:rPr>
      <w:rFonts w:hint="eastAsia" w:ascii="宋体" w:hAnsi="宋体" w:eastAsia="宋体" w:cs="宋体"/>
      <w:spacing w:val="20"/>
      <w:sz w:val="24"/>
    </w:rPr>
  </w:style>
  <w:style w:type="character" w:customStyle="1" w:styleId="126">
    <w:name w:val="NormalCharacter"/>
    <w:basedOn w:val="42"/>
    <w:qFormat/>
    <w:uiPriority w:val="0"/>
    <w:rPr>
      <w:kern w:val="2"/>
      <w:sz w:val="21"/>
      <w:szCs w:val="24"/>
      <w:lang w:val="en-US" w:eastAsia="zh-CN"/>
    </w:rPr>
  </w:style>
  <w:style w:type="character" w:customStyle="1" w:styleId="127">
    <w:name w:val="bds_more7"/>
    <w:basedOn w:val="42"/>
    <w:qFormat/>
    <w:uiPriority w:val="0"/>
    <w:rPr>
      <w:rFonts w:hint="default" w:ascii="Times New Roman" w:hAnsi="Times New Roman" w:eastAsia="宋体" w:cs="Times New Roman"/>
    </w:rPr>
  </w:style>
  <w:style w:type="character" w:customStyle="1" w:styleId="128">
    <w:name w:val="Font Style122"/>
    <w:basedOn w:val="42"/>
    <w:qFormat/>
    <w:uiPriority w:val="0"/>
    <w:rPr>
      <w:rFonts w:hint="eastAsia" w:ascii="宋体" w:hAnsi="宋体" w:eastAsia="宋体" w:cs="宋体"/>
      <w:spacing w:val="20"/>
      <w:sz w:val="24"/>
    </w:rPr>
  </w:style>
  <w:style w:type="character" w:customStyle="1" w:styleId="129">
    <w:name w:val="content_1"/>
    <w:basedOn w:val="42"/>
    <w:qFormat/>
    <w:uiPriority w:val="0"/>
    <w:rPr>
      <w:sz w:val="19"/>
      <w:szCs w:val="19"/>
    </w:rPr>
  </w:style>
  <w:style w:type="character" w:customStyle="1" w:styleId="130">
    <w:name w:val="Font Style86"/>
    <w:basedOn w:val="42"/>
    <w:qFormat/>
    <w:uiPriority w:val="0"/>
    <w:rPr>
      <w:rFonts w:hint="eastAsia" w:ascii="黑体" w:hAnsi="宋体" w:eastAsia="黑体" w:cs="黑体"/>
      <w:spacing w:val="10"/>
      <w:sz w:val="30"/>
    </w:rPr>
  </w:style>
  <w:style w:type="character" w:customStyle="1" w:styleId="131">
    <w:name w:val="lemmatitleh12"/>
    <w:basedOn w:val="42"/>
    <w:qFormat/>
    <w:uiPriority w:val="0"/>
    <w:rPr>
      <w:rFonts w:hint="default" w:ascii="Times New Roman" w:hAnsi="Times New Roman" w:eastAsia="宋体" w:cs="Times New Roman"/>
    </w:rPr>
  </w:style>
  <w:style w:type="character" w:customStyle="1" w:styleId="132">
    <w:name w:val="desc"/>
    <w:basedOn w:val="42"/>
    <w:qFormat/>
    <w:uiPriority w:val="0"/>
    <w:rPr>
      <w:rFonts w:hint="default" w:ascii="Times New Roman" w:hAnsi="Times New Roman" w:eastAsia="宋体" w:cs="Times New Roman"/>
      <w:color w:val="000000"/>
      <w:sz w:val="18"/>
      <w:szCs w:val="18"/>
    </w:rPr>
  </w:style>
  <w:style w:type="character" w:customStyle="1" w:styleId="133">
    <w:name w:val="bds_more8"/>
    <w:basedOn w:val="42"/>
    <w:qFormat/>
    <w:uiPriority w:val="0"/>
    <w:rPr>
      <w:rFonts w:hint="default" w:ascii="Times New Roman" w:hAnsi="Times New Roman" w:eastAsia="宋体" w:cs="Times New Roman"/>
    </w:rPr>
  </w:style>
  <w:style w:type="character" w:customStyle="1" w:styleId="134">
    <w:name w:val="Font Style126"/>
    <w:basedOn w:val="42"/>
    <w:qFormat/>
    <w:uiPriority w:val="0"/>
    <w:rPr>
      <w:rFonts w:hint="eastAsia" w:ascii="宋体" w:hAnsi="宋体" w:eastAsia="宋体" w:cs="宋体"/>
      <w:b/>
      <w:spacing w:val="-30"/>
      <w:sz w:val="28"/>
    </w:rPr>
  </w:style>
  <w:style w:type="character" w:customStyle="1" w:styleId="135">
    <w:name w:val="Char Char15"/>
    <w:basedOn w:val="42"/>
    <w:qFormat/>
    <w:uiPriority w:val="0"/>
    <w:rPr>
      <w:b/>
      <w:bCs/>
      <w:sz w:val="24"/>
      <w:szCs w:val="24"/>
    </w:rPr>
  </w:style>
  <w:style w:type="character" w:customStyle="1" w:styleId="136">
    <w:name w:val="Char Char14"/>
    <w:basedOn w:val="42"/>
    <w:qFormat/>
    <w:uiPriority w:val="0"/>
    <w:rPr>
      <w:rFonts w:hint="default" w:ascii="Arial" w:hAnsi="Arial" w:eastAsia="黑体" w:cs="Arial"/>
      <w:b/>
      <w:bCs/>
      <w:sz w:val="28"/>
      <w:szCs w:val="28"/>
      <w:lang w:val="en-US" w:eastAsia="zh-CN"/>
    </w:rPr>
  </w:style>
  <w:style w:type="character" w:customStyle="1" w:styleId="137">
    <w:name w:val="Font Style105"/>
    <w:basedOn w:val="42"/>
    <w:qFormat/>
    <w:uiPriority w:val="0"/>
    <w:rPr>
      <w:rFonts w:hint="default" w:ascii="Times New Roman" w:hAnsi="Times New Roman" w:eastAsia="Times New Roman" w:cs="Times New Roman"/>
      <w:w w:val="60"/>
      <w:sz w:val="26"/>
    </w:rPr>
  </w:style>
  <w:style w:type="character" w:customStyle="1" w:styleId="138">
    <w:name w:val="bds_nopic1"/>
    <w:basedOn w:val="42"/>
    <w:qFormat/>
    <w:uiPriority w:val="0"/>
    <w:rPr>
      <w:rFonts w:hint="default" w:ascii="Times New Roman" w:hAnsi="Times New Roman" w:eastAsia="宋体" w:cs="Times New Roman"/>
    </w:rPr>
  </w:style>
  <w:style w:type="character" w:customStyle="1" w:styleId="139">
    <w:name w:val="sort"/>
    <w:basedOn w:val="42"/>
    <w:qFormat/>
    <w:uiPriority w:val="0"/>
    <w:rPr>
      <w:rFonts w:hint="default" w:ascii="Times New Roman" w:hAnsi="Times New Roman" w:eastAsia="宋体" w:cs="Times New Roman"/>
      <w:color w:val="FFFFFF"/>
      <w:bdr w:val="single" w:color="auto" w:sz="24" w:space="0"/>
    </w:rPr>
  </w:style>
  <w:style w:type="character" w:customStyle="1" w:styleId="140">
    <w:name w:val="morelink-item"/>
    <w:basedOn w:val="42"/>
    <w:qFormat/>
    <w:uiPriority w:val="0"/>
    <w:rPr>
      <w:rFonts w:hint="default" w:ascii="Times New Roman" w:hAnsi="Times New Roman" w:eastAsia="宋体" w:cs="Times New Roman"/>
    </w:rPr>
  </w:style>
  <w:style w:type="character" w:customStyle="1" w:styleId="141">
    <w:name w:val="标题 4 Char Char"/>
    <w:basedOn w:val="42"/>
    <w:qFormat/>
    <w:uiPriority w:val="0"/>
    <w:rPr>
      <w:rFonts w:hint="default" w:ascii="Arial" w:hAnsi="Arial" w:eastAsia="宋体" w:cs="Arial"/>
      <w:b/>
      <w:bCs/>
      <w:kern w:val="2"/>
      <w:sz w:val="21"/>
      <w:szCs w:val="28"/>
      <w:lang w:val="en-US" w:eastAsia="zh-CN"/>
    </w:rPr>
  </w:style>
  <w:style w:type="character" w:customStyle="1" w:styleId="142">
    <w:name w:val="Font Style134"/>
    <w:basedOn w:val="42"/>
    <w:qFormat/>
    <w:uiPriority w:val="0"/>
    <w:rPr>
      <w:rFonts w:hint="eastAsia" w:ascii="宋体" w:hAnsi="宋体" w:eastAsia="宋体" w:cs="宋体"/>
      <w:spacing w:val="20"/>
      <w:sz w:val="22"/>
    </w:rPr>
  </w:style>
  <w:style w:type="character" w:customStyle="1" w:styleId="143">
    <w:name w:val="polysemyred"/>
    <w:basedOn w:val="42"/>
    <w:qFormat/>
    <w:uiPriority w:val="0"/>
    <w:rPr>
      <w:rFonts w:hint="default" w:ascii="Times New Roman" w:hAnsi="Times New Roman" w:eastAsia="宋体" w:cs="Times New Roman"/>
      <w:color w:val="FF6666"/>
      <w:sz w:val="18"/>
      <w:szCs w:val="18"/>
    </w:rPr>
  </w:style>
  <w:style w:type="character" w:customStyle="1" w:styleId="144">
    <w:name w:val="Font Style123"/>
    <w:basedOn w:val="42"/>
    <w:qFormat/>
    <w:uiPriority w:val="0"/>
    <w:rPr>
      <w:rFonts w:hint="eastAsia" w:ascii="宋体" w:hAnsi="宋体" w:eastAsia="宋体" w:cs="宋体"/>
      <w:b/>
      <w:sz w:val="32"/>
    </w:rPr>
  </w:style>
  <w:style w:type="character" w:customStyle="1" w:styleId="145">
    <w:name w:val="Font Style90"/>
    <w:basedOn w:val="42"/>
    <w:qFormat/>
    <w:uiPriority w:val="0"/>
    <w:rPr>
      <w:rFonts w:hint="eastAsia" w:ascii="宋体" w:hAnsi="宋体" w:eastAsia="宋体" w:cs="宋体"/>
      <w:b/>
      <w:spacing w:val="-20"/>
      <w:sz w:val="40"/>
    </w:rPr>
  </w:style>
  <w:style w:type="character" w:customStyle="1" w:styleId="146">
    <w:name w:val="apple-converted-space"/>
    <w:basedOn w:val="42"/>
    <w:qFormat/>
    <w:uiPriority w:val="0"/>
  </w:style>
  <w:style w:type="character" w:customStyle="1" w:styleId="147">
    <w:name w:val="15"/>
    <w:basedOn w:val="42"/>
    <w:qFormat/>
    <w:uiPriority w:val="0"/>
    <w:rPr>
      <w:rFonts w:hint="default" w:ascii="Times New Roman" w:hAnsi="Times New Roman" w:cs="Times New Roman"/>
      <w:color w:val="0563C1"/>
      <w:sz w:val="20"/>
      <w:szCs w:val="20"/>
      <w:u w:val="single"/>
    </w:rPr>
  </w:style>
  <w:style w:type="character" w:customStyle="1" w:styleId="148">
    <w:name w:val="Font Style128"/>
    <w:basedOn w:val="42"/>
    <w:qFormat/>
    <w:uiPriority w:val="0"/>
    <w:rPr>
      <w:rFonts w:hint="default" w:ascii="Times New Roman" w:hAnsi="Times New Roman" w:eastAsia="Times New Roman" w:cs="Times New Roman"/>
      <w:sz w:val="16"/>
    </w:rPr>
  </w:style>
  <w:style w:type="character" w:customStyle="1" w:styleId="149">
    <w:name w:val="纯文本 Char2"/>
    <w:basedOn w:val="42"/>
    <w:qFormat/>
    <w:uiPriority w:val="0"/>
    <w:rPr>
      <w:rFonts w:hint="eastAsia" w:ascii="宋体" w:hAnsi="Courier New" w:eastAsia="宋体" w:cs="宋体"/>
      <w:kern w:val="2"/>
      <w:sz w:val="21"/>
      <w:szCs w:val="21"/>
      <w:lang w:val="en-US" w:eastAsia="zh-CN"/>
    </w:rPr>
  </w:style>
  <w:style w:type="character" w:customStyle="1" w:styleId="150">
    <w:name w:val="Font Style116"/>
    <w:basedOn w:val="42"/>
    <w:qFormat/>
    <w:uiPriority w:val="0"/>
    <w:rPr>
      <w:rFonts w:hint="eastAsia" w:ascii="宋体" w:hAnsi="宋体" w:eastAsia="宋体" w:cs="宋体"/>
      <w:spacing w:val="-20"/>
      <w:sz w:val="24"/>
    </w:rPr>
  </w:style>
  <w:style w:type="character" w:customStyle="1" w:styleId="151">
    <w:name w:val="Font Style94"/>
    <w:basedOn w:val="42"/>
    <w:qFormat/>
    <w:uiPriority w:val="0"/>
    <w:rPr>
      <w:rFonts w:hint="default" w:ascii="Times New Roman" w:hAnsi="Times New Roman" w:eastAsia="Times New Roman" w:cs="Times New Roman"/>
      <w:sz w:val="28"/>
    </w:rPr>
  </w:style>
  <w:style w:type="character" w:customStyle="1" w:styleId="152">
    <w:name w:val="sidecatalog-index1"/>
    <w:basedOn w:val="42"/>
    <w:qFormat/>
    <w:uiPriority w:val="0"/>
    <w:rPr>
      <w:rFonts w:hint="default" w:ascii="Arial" w:hAnsi="Arial" w:eastAsia="宋体" w:cs="Arial"/>
      <w:b/>
      <w:color w:val="999999"/>
      <w:sz w:val="21"/>
      <w:szCs w:val="21"/>
    </w:rPr>
  </w:style>
  <w:style w:type="character" w:customStyle="1" w:styleId="153">
    <w:name w:val="bds_nopic"/>
    <w:basedOn w:val="42"/>
    <w:qFormat/>
    <w:uiPriority w:val="0"/>
    <w:rPr>
      <w:rFonts w:hint="default" w:ascii="Times New Roman" w:hAnsi="Times New Roman" w:eastAsia="宋体" w:cs="Times New Roman"/>
    </w:rPr>
  </w:style>
  <w:style w:type="character" w:customStyle="1" w:styleId="154">
    <w:name w:val="p0 Char Char"/>
    <w:basedOn w:val="42"/>
    <w:qFormat/>
    <w:uiPriority w:val="0"/>
    <w:rPr>
      <w:rFonts w:hint="eastAsia" w:ascii="宋体" w:hAnsi="宋体" w:eastAsia="宋体" w:cs="宋体"/>
      <w:kern w:val="2"/>
      <w:sz w:val="21"/>
      <w:szCs w:val="21"/>
      <w:lang w:val="en-US" w:eastAsia="zh-CN"/>
    </w:rPr>
  </w:style>
  <w:style w:type="character" w:customStyle="1" w:styleId="155">
    <w:name w:val="Font Style133"/>
    <w:basedOn w:val="42"/>
    <w:qFormat/>
    <w:uiPriority w:val="0"/>
    <w:rPr>
      <w:rFonts w:hint="eastAsia" w:ascii="宋体" w:hAnsi="宋体" w:eastAsia="宋体" w:cs="宋体"/>
      <w:spacing w:val="30"/>
      <w:sz w:val="24"/>
    </w:rPr>
  </w:style>
  <w:style w:type="character" w:customStyle="1" w:styleId="156">
    <w:name w:val="Char Char6"/>
    <w:basedOn w:val="42"/>
    <w:qFormat/>
    <w:uiPriority w:val="0"/>
    <w:rPr>
      <w:rFonts w:hint="default" w:ascii="Arial" w:hAnsi="Arial" w:eastAsia="黑体" w:cs="Arial"/>
      <w:sz w:val="24"/>
      <w:szCs w:val="24"/>
      <w:lang w:val="en-US" w:eastAsia="zh-CN"/>
    </w:rPr>
  </w:style>
  <w:style w:type="character" w:customStyle="1" w:styleId="157">
    <w:name w:val="样式2 Char Char"/>
    <w:basedOn w:val="42"/>
    <w:qFormat/>
    <w:uiPriority w:val="0"/>
    <w:rPr>
      <w:rFonts w:hint="eastAsia" w:ascii="宋体" w:hAnsi="宋体" w:eastAsia="宋体" w:cs="宋体"/>
      <w:kern w:val="2"/>
      <w:sz w:val="18"/>
      <w:szCs w:val="18"/>
      <w:lang w:val="en-US" w:eastAsia="zh-CN"/>
    </w:rPr>
  </w:style>
  <w:style w:type="character" w:customStyle="1" w:styleId="158">
    <w:name w:val="标题 Char1"/>
    <w:basedOn w:val="42"/>
    <w:qFormat/>
    <w:uiPriority w:val="0"/>
    <w:rPr>
      <w:rFonts w:hint="default" w:ascii="Cambria" w:hAnsi="Cambria" w:eastAsia="宋体" w:cs="Times New Roman"/>
      <w:b/>
      <w:bCs/>
      <w:sz w:val="32"/>
      <w:szCs w:val="32"/>
    </w:rPr>
  </w:style>
  <w:style w:type="character" w:customStyle="1" w:styleId="159">
    <w:name w:val="plus"/>
    <w:basedOn w:val="42"/>
    <w:qFormat/>
    <w:uiPriority w:val="0"/>
    <w:rPr>
      <w:rFonts w:hint="default" w:ascii="Times New Roman" w:hAnsi="Times New Roman" w:eastAsia="宋体" w:cs="Times New Roman"/>
      <w:b/>
      <w:vanish/>
      <w:color w:val="1F8DEF"/>
      <w:sz w:val="24"/>
      <w:szCs w:val="24"/>
    </w:rPr>
  </w:style>
  <w:style w:type="character" w:customStyle="1" w:styleId="160">
    <w:name w:val="content"/>
    <w:basedOn w:val="42"/>
    <w:qFormat/>
    <w:uiPriority w:val="0"/>
    <w:rPr>
      <w:sz w:val="19"/>
      <w:szCs w:val="19"/>
    </w:rPr>
  </w:style>
  <w:style w:type="character" w:customStyle="1" w:styleId="161">
    <w:name w:val="sidecatalog-index2"/>
    <w:basedOn w:val="42"/>
    <w:qFormat/>
    <w:uiPriority w:val="0"/>
    <w:rPr>
      <w:rFonts w:hint="default" w:ascii="Arail" w:hAnsi="Arail" w:eastAsia="Arail" w:cs="Arail"/>
      <w:color w:val="999999"/>
      <w:sz w:val="21"/>
      <w:szCs w:val="21"/>
    </w:rPr>
  </w:style>
  <w:style w:type="character" w:customStyle="1" w:styleId="162">
    <w:name w:val="批注文字 Char Char"/>
    <w:basedOn w:val="42"/>
    <w:qFormat/>
    <w:uiPriority w:val="0"/>
    <w:rPr>
      <w:kern w:val="2"/>
      <w:sz w:val="21"/>
      <w:szCs w:val="24"/>
    </w:rPr>
  </w:style>
  <w:style w:type="character" w:customStyle="1" w:styleId="163">
    <w:name w:val="sidecatalog-dot1"/>
    <w:basedOn w:val="42"/>
    <w:qFormat/>
    <w:uiPriority w:val="0"/>
    <w:rPr>
      <w:rFonts w:hint="default" w:ascii="Times New Roman" w:hAnsi="Times New Roman" w:eastAsia="宋体" w:cs="Times New Roman"/>
    </w:rPr>
  </w:style>
  <w:style w:type="paragraph" w:customStyle="1" w:styleId="164">
    <w:name w:val="WPSOffice手动目录 1"/>
    <w:basedOn w:val="1"/>
    <w:qFormat/>
    <w:uiPriority w:val="0"/>
    <w:pPr>
      <w:widowControl/>
      <w:jc w:val="left"/>
    </w:pPr>
    <w:rPr>
      <w:rFonts w:ascii="Times New Roman" w:hAnsi="Times New Roman" w:eastAsia="宋体" w:cs="Times New Roman"/>
      <w:kern w:val="0"/>
      <w:sz w:val="20"/>
      <w:szCs w:val="20"/>
    </w:rPr>
  </w:style>
  <w:style w:type="paragraph" w:customStyle="1" w:styleId="165">
    <w:name w:val="正文1"/>
    <w:basedOn w:val="1"/>
    <w:next w:val="39"/>
    <w:qFormat/>
    <w:uiPriority w:val="0"/>
    <w:pPr>
      <w:spacing w:line="360" w:lineRule="auto"/>
      <w:ind w:firstLine="480" w:firstLineChars="200"/>
    </w:pPr>
    <w:rPr>
      <w:rFonts w:ascii="Times New Roman" w:hAnsi="Times New Roman" w:eastAsia="宋体" w:cs="Times New Roman"/>
      <w:sz w:val="24"/>
    </w:rPr>
  </w:style>
  <w:style w:type="paragraph" w:customStyle="1" w:styleId="166">
    <w:name w:val="Normal_0_1"/>
    <w:basedOn w:val="1"/>
    <w:qFormat/>
    <w:uiPriority w:val="0"/>
    <w:pPr>
      <w:widowControl/>
      <w:jc w:val="left"/>
    </w:pPr>
    <w:rPr>
      <w:rFonts w:ascii="Times New Roman" w:hAnsi="Times New Roman" w:eastAsia="Times New Roman" w:cs="Times New Roman"/>
      <w:kern w:val="0"/>
      <w:sz w:val="24"/>
    </w:rPr>
  </w:style>
  <w:style w:type="table" w:customStyle="1" w:styleId="167">
    <w:name w:val="Table Normal"/>
    <w:basedOn w:val="40"/>
    <w:semiHidden/>
    <w:qFormat/>
    <w:uiPriority w:val="0"/>
    <w:pPr>
      <w:snapToGrid w:val="0"/>
    </w:pPr>
    <w:rPr>
      <w:rFonts w:ascii="Arial" w:hAnsi="Arial" w:cs="Arial"/>
      <w:color w:val="000000"/>
      <w:sz w:val="21"/>
      <w:szCs w:val="21"/>
    </w:rPr>
    <w:tblPr>
      <w:tblCellMar>
        <w:top w:w="0" w:type="dxa"/>
        <w:left w:w="0" w:type="dxa"/>
        <w:bottom w:w="0" w:type="dxa"/>
        <w:right w:w="0" w:type="dxa"/>
      </w:tblCellMar>
    </w:tblPr>
  </w:style>
  <w:style w:type="paragraph" w:customStyle="1" w:styleId="168">
    <w:name w:val="Table Text"/>
    <w:basedOn w:val="1"/>
    <w:semiHidden/>
    <w:qFormat/>
    <w:uiPriority w:val="0"/>
    <w:rPr>
      <w:rFonts w:ascii="仿宋" w:hAnsi="仿宋" w:eastAsia="仿宋" w:cs="仿宋"/>
      <w:sz w:val="28"/>
      <w:szCs w:val="28"/>
      <w:lang w:val="en-US" w:eastAsia="en-US" w:bidi="ar-SA"/>
    </w:rPr>
  </w:style>
  <w:style w:type="paragraph" w:customStyle="1" w:styleId="169">
    <w:name w:val="BodyText1I2"/>
    <w:basedOn w:val="170"/>
    <w:qFormat/>
    <w:uiPriority w:val="99"/>
    <w:pPr>
      <w:spacing w:before="100" w:beforeAutospacing="1" w:after="0"/>
      <w:ind w:left="0" w:firstLine="420" w:firstLineChars="200"/>
    </w:pPr>
  </w:style>
  <w:style w:type="paragraph" w:customStyle="1" w:styleId="170">
    <w:name w:val="BodyTextIndent"/>
    <w:basedOn w:val="1"/>
    <w:qFormat/>
    <w:uiPriority w:val="99"/>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5" textRotate="1"/>
    <customShpInfo spid="_x0000_s4097" textRotate="1"/>
    <customShpInfo spid="_x0000_s4114" textRotate="1"/>
    <customShpInfo spid="_x0000_s4113" textRotate="1"/>
    <customShpInfo spid="_x0000_s4098" textRotate="1"/>
    <customShpInfo spid="_x0000_s4107" textRotate="1"/>
    <customShpInfo spid="_x0000_s4108" textRotate="1"/>
    <customShpInfo spid="_x0000_s4109" textRotate="1"/>
    <customShpInfo spid="_x0000_s4110" textRotate="1"/>
    <customShpInfo spid="_x0000_s411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77</Pages>
  <Words>2997</Words>
  <Characters>3270</Characters>
  <Lines>1</Lines>
  <Paragraphs>1</Paragraphs>
  <TotalTime>15</TotalTime>
  <ScaleCrop>false</ScaleCrop>
  <LinksUpToDate>false</LinksUpToDate>
  <CharactersWithSpaces>3321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2022-12-27T08:31:00Z</dcterms:created>
  <dc:creator>姣</dc:creator>
  <cp:lastModifiedBy>Administrator</cp:lastModifiedBy>
  <cp:lastPrinted>2025-12-05T00:42:00Z</cp:lastPrinted>
  <dcterms:modified xsi:type="dcterms:W3CDTF">2026-08-27T06:46:56Z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A2A3E353E9374942B79801366D688B79_13</vt:lpwstr>
  </property>
  <property fmtid="{D5CDD505-2E9C-101B-9397-08002B2CF9AE}" pid="4" name="KSOTemplateDocerSaveRecord">
    <vt:lpwstr>eyJoZGlkIjoiZjQ2ODI1YTk1M2VhMThhZDkxNmJjZDFkNTk2OWFjZjIiLCJ1c2VySWQiOiIyMzM5NDgxOTgifQ==</vt:lpwstr>
  </property>
</Properties>
</file>