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580EB8">
      <w:pPr>
        <w:numPr>
          <w:ilvl w:val="0"/>
          <w:numId w:val="0"/>
        </w:numPr>
        <w:adjustRightInd w:val="0"/>
        <w:snapToGrid w:val="0"/>
        <w:spacing w:line="360" w:lineRule="auto"/>
        <w:jc w:val="center"/>
        <w:outlineLvl w:val="0"/>
        <w:rPr>
          <w:rFonts w:hint="eastAsia" w:ascii="宋体" w:hAnsi="宋体" w:cs="宋体"/>
          <w:b/>
          <w:sz w:val="32"/>
          <w:szCs w:val="32"/>
        </w:rPr>
      </w:pPr>
      <w:r>
        <w:rPr>
          <w:rFonts w:hint="eastAsia" w:ascii="宋体" w:hAnsi="宋体" w:cs="宋体"/>
          <w:b/>
          <w:sz w:val="32"/>
          <w:szCs w:val="32"/>
        </w:rPr>
        <w:t>采购需求</w:t>
      </w:r>
    </w:p>
    <w:p w14:paraId="11D13DA6">
      <w:pPr>
        <w:spacing w:line="360" w:lineRule="auto"/>
        <w:jc w:val="left"/>
        <w:rPr>
          <w:rFonts w:hint="default" w:ascii="宋体" w:hAnsi="宋体" w:eastAsia="宋体" w:cs="宋体"/>
          <w:b/>
          <w:bCs/>
          <w:color w:val="auto"/>
          <w:kern w:val="0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1"/>
          <w:szCs w:val="21"/>
          <w:lang w:val="en-US" w:eastAsia="zh-CN" w:bidi="ar-SA"/>
        </w:rPr>
        <w:t>一、项目背景</w:t>
      </w:r>
    </w:p>
    <w:p w14:paraId="5693931A">
      <w:pPr>
        <w:pStyle w:val="2"/>
        <w:spacing w:line="360" w:lineRule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为贯彻习近平总书记“守护好一江碧水”的指示精神，认真落实上级关于东洞庭湖生态保护的要求，持续改善水环境，东洞庭湖事务中心决定对东洞庭湖水面垃圾及漂浮物持续打捞，特制订如下方案:</w:t>
      </w:r>
    </w:p>
    <w:p w14:paraId="18BAE566">
      <w:pPr>
        <w:pStyle w:val="2"/>
        <w:spacing w:line="360" w:lineRule="auto"/>
        <w:rPr>
          <w:rFonts w:hint="eastAsia" w:ascii="宋体" w:hAnsi="宋体" w:eastAsia="宋体" w:cs="宋体"/>
          <w:b/>
          <w:bCs/>
          <w:lang w:val="en-US" w:eastAsia="zh-CN"/>
        </w:rPr>
      </w:pPr>
      <w:r>
        <w:rPr>
          <w:rFonts w:hint="eastAsia" w:ascii="宋体" w:hAnsi="宋体" w:eastAsia="宋体" w:cs="宋体"/>
          <w:b/>
          <w:bCs/>
          <w:lang w:val="en-US" w:eastAsia="zh-CN"/>
        </w:rPr>
        <w:t>二、水面垃圾及漂浮物打捞地段</w:t>
      </w:r>
    </w:p>
    <w:p w14:paraId="7AE72065">
      <w:pPr>
        <w:pStyle w:val="2"/>
        <w:spacing w:line="360" w:lineRule="auto"/>
        <w:rPr>
          <w:rFonts w:hint="eastAsia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中洲岳汩界一秀花园一煤炭湾一扁山一城陵矶三江口水域，长约39公里。</w:t>
      </w:r>
    </w:p>
    <w:p w14:paraId="1F3F7E74">
      <w:pPr>
        <w:pStyle w:val="2"/>
        <w:spacing w:line="360" w:lineRule="auto"/>
        <w:rPr>
          <w:rFonts w:hint="eastAsia" w:ascii="宋体" w:hAnsi="宋体" w:eastAsia="宋体" w:cs="宋体"/>
          <w:b/>
          <w:bCs/>
          <w:lang w:val="en-US" w:eastAsia="zh-CN"/>
        </w:rPr>
      </w:pPr>
      <w:r>
        <w:rPr>
          <w:rFonts w:hint="eastAsia" w:ascii="宋体" w:hAnsi="宋体" w:eastAsia="宋体" w:cs="宋体"/>
          <w:b/>
          <w:bCs/>
          <w:lang w:val="en-US" w:eastAsia="zh-CN"/>
        </w:rPr>
        <w:t>三、水面垃圾及漂浮物打捞内容</w:t>
      </w:r>
    </w:p>
    <w:p w14:paraId="1B8536F4">
      <w:pPr>
        <w:pStyle w:val="2"/>
        <w:spacing w:line="360" w:lineRule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在水面垃圾及漂浮物打捞地段范围内，常态化打捞水面垃圾漂浮物(包括生活垃圾、动物尸体、水草浮萍、腐植物等)，并运输垃圾漂浮物至垃圾回收点处置。每周至少巡查并打捞水面漂浮物3次以上，确保水面清洁。如发现湖面有油污类等不明特殊污染物，应立即向东洞庭湖事务中心报告，以便及时处置。</w:t>
      </w:r>
    </w:p>
    <w:p w14:paraId="3578A0E9">
      <w:pPr>
        <w:pStyle w:val="2"/>
        <w:spacing w:line="360" w:lineRule="auto"/>
        <w:rPr>
          <w:rFonts w:hint="eastAsia" w:ascii="宋体" w:hAnsi="宋体" w:eastAsia="宋体" w:cs="宋体"/>
          <w:b/>
          <w:bCs/>
          <w:lang w:val="en-US" w:eastAsia="zh-CN"/>
        </w:rPr>
      </w:pPr>
      <w:r>
        <w:rPr>
          <w:rFonts w:hint="eastAsia" w:ascii="宋体" w:hAnsi="宋体" w:eastAsia="宋体" w:cs="宋体"/>
          <w:b/>
          <w:bCs/>
          <w:lang w:val="en-US" w:eastAsia="zh-CN"/>
        </w:rPr>
        <w:t>四、打捞时间</w:t>
      </w:r>
    </w:p>
    <w:p w14:paraId="0D79A109">
      <w:pPr>
        <w:pStyle w:val="2"/>
        <w:spacing w:line="360" w:lineRule="auto"/>
        <w:rPr>
          <w:rFonts w:hint="default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打捞期限为1个年度。（12个月，365天）</w:t>
      </w:r>
    </w:p>
    <w:p w14:paraId="24A6F797">
      <w:pPr>
        <w:pStyle w:val="2"/>
        <w:spacing w:line="360" w:lineRule="auto"/>
        <w:rPr>
          <w:rFonts w:hint="eastAsia" w:ascii="宋体" w:hAnsi="宋体" w:eastAsia="宋体" w:cs="宋体"/>
          <w:b/>
          <w:bCs/>
          <w:lang w:val="en-US" w:eastAsia="zh-CN"/>
        </w:rPr>
      </w:pPr>
      <w:r>
        <w:rPr>
          <w:rFonts w:hint="eastAsia" w:ascii="宋体" w:hAnsi="宋体" w:eastAsia="宋体" w:cs="宋体"/>
          <w:b/>
          <w:bCs/>
          <w:lang w:val="en-US" w:eastAsia="zh-CN"/>
        </w:rPr>
        <w:t>五、水面垃圾及漂浮物打捞费用</w:t>
      </w:r>
    </w:p>
    <w:p w14:paraId="3D518AFC">
      <w:pPr>
        <w:pStyle w:val="2"/>
        <w:spacing w:line="360" w:lineRule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含用工人员劳务费及保险、船舶及运输工具、劳保用品等一切费用包干，费用参照往年情况，确保水面保洁效果。</w:t>
      </w:r>
    </w:p>
    <w:p w14:paraId="78EB9C95">
      <w:pPr>
        <w:pStyle w:val="2"/>
        <w:spacing w:line="360" w:lineRule="auto"/>
        <w:rPr>
          <w:rFonts w:hint="eastAsia" w:ascii="宋体" w:hAnsi="宋体" w:eastAsia="宋体" w:cs="宋体"/>
          <w:b/>
          <w:bCs/>
          <w:lang w:val="en-US" w:eastAsia="zh-CN"/>
        </w:rPr>
      </w:pPr>
      <w:r>
        <w:rPr>
          <w:rFonts w:hint="eastAsia" w:ascii="宋体" w:hAnsi="宋体" w:eastAsia="宋体" w:cs="宋体"/>
          <w:b/>
          <w:bCs/>
          <w:lang w:val="en-US" w:eastAsia="zh-CN"/>
        </w:rPr>
        <w:t>六、工作要求</w:t>
      </w:r>
    </w:p>
    <w:p w14:paraId="52AFCF1D">
      <w:pPr>
        <w:pStyle w:val="2"/>
        <w:spacing w:line="360" w:lineRule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1、垃圾打捞方须自行准备好实施本工程所需的工具，包括合法打捞船只、运输及打捞工具、救生设施等。</w:t>
      </w:r>
    </w:p>
    <w:p w14:paraId="6C8948FA">
      <w:pPr>
        <w:pStyle w:val="2"/>
        <w:spacing w:line="360" w:lineRule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2、垃圾打捞方必须按甲方要求进行安全作业，作业中必须全程穿戴好救生衣，对于违反安全操作规程出现人身意外的，垃圾打捞方必须承担全部责任，我方概不负责。</w:t>
      </w:r>
    </w:p>
    <w:p w14:paraId="5BE91DF6">
      <w:pPr>
        <w:pStyle w:val="2"/>
        <w:spacing w:line="360" w:lineRule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3、垃圾打捞方不得在作业时进行捕捞、垂钓等活动，一旦发现，我方将依法追究责任。</w:t>
      </w:r>
    </w:p>
    <w:p w14:paraId="4BD3DB8E">
      <w:pPr>
        <w:pStyle w:val="2"/>
        <w:spacing w:line="360" w:lineRule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4、所有打捞的垃圾漂浮物运上岸，并运到指定的回收点统一收集处理，不得造成二次污染。</w:t>
      </w:r>
    </w:p>
    <w:p w14:paraId="6D862F9F">
      <w:pPr>
        <w:jc w:val="both"/>
        <w:rPr>
          <w:rFonts w:hint="eastAsia" w:ascii="黑体" w:hAnsi="黑体" w:eastAsia="黑体" w:cs="Times New Roman"/>
          <w:b/>
          <w:bCs/>
          <w:color w:val="auto"/>
          <w:kern w:val="0"/>
          <w:sz w:val="24"/>
          <w:szCs w:val="24"/>
          <w:lang w:val="en-US" w:eastAsia="zh-CN" w:bidi="ar-SA"/>
        </w:rPr>
      </w:pPr>
    </w:p>
    <w:p w14:paraId="08FB0FCA">
      <w:pPr>
        <w:jc w:val="center"/>
        <w:rPr>
          <w:rFonts w:hint="eastAsia" w:ascii="黑体" w:hAnsi="黑体" w:eastAsia="黑体" w:cs="Times New Roman"/>
          <w:b/>
          <w:bCs/>
          <w:color w:val="auto"/>
          <w:kern w:val="0"/>
          <w:sz w:val="24"/>
          <w:szCs w:val="24"/>
          <w:lang w:val="en-US" w:eastAsia="zh-CN" w:bidi="ar-SA"/>
        </w:rPr>
      </w:pPr>
    </w:p>
    <w:p w14:paraId="0CB1DABE">
      <w:pPr>
        <w:spacing w:before="0" w:after="0" w:line="360" w:lineRule="auto"/>
        <w:ind w:right="160"/>
        <w:jc w:val="left"/>
        <w:rPr>
          <w:rFonts w:hint="eastAsia" w:ascii="宋体" w:hAnsi="宋体" w:eastAsia="宋体" w:cs="宋体"/>
          <w:b/>
          <w:bCs/>
          <w:color w:val="auto"/>
          <w:kern w:val="0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1"/>
          <w:szCs w:val="21"/>
          <w:lang w:val="en-US" w:eastAsia="zh-CN" w:bidi="ar-SA"/>
        </w:rPr>
        <w:t>七、 质保期及售后服务</w:t>
      </w:r>
    </w:p>
    <w:p w14:paraId="74D2A434">
      <w:pPr>
        <w:spacing w:before="0" w:after="0" w:line="360" w:lineRule="auto"/>
        <w:ind w:right="160" w:firstLine="420" w:firstLineChars="200"/>
        <w:jc w:val="left"/>
        <w:rPr>
          <w:rFonts w:hint="eastAsia" w:ascii="宋体" w:hAnsi="宋体" w:eastAsia="宋体" w:cs="宋体"/>
          <w:b w:val="0"/>
          <w:bCs w:val="0"/>
          <w:color w:val="auto"/>
          <w:kern w:val="0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1"/>
          <w:szCs w:val="21"/>
          <w:lang w:val="en-US" w:eastAsia="zh-CN" w:bidi="ar-SA"/>
        </w:rPr>
        <w:t>1．地点： 岳阳县</w:t>
      </w:r>
    </w:p>
    <w:p w14:paraId="68AF91CE">
      <w:pPr>
        <w:spacing w:before="0" w:after="0" w:line="360" w:lineRule="auto"/>
        <w:ind w:right="160" w:firstLine="420" w:firstLineChars="200"/>
        <w:jc w:val="left"/>
        <w:rPr>
          <w:rFonts w:hint="eastAsia" w:ascii="宋体" w:hAnsi="宋体" w:eastAsia="宋体" w:cs="宋体"/>
          <w:b w:val="0"/>
          <w:bCs w:val="0"/>
          <w:color w:val="auto"/>
          <w:kern w:val="0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1"/>
          <w:szCs w:val="21"/>
          <w:lang w:val="en-US" w:eastAsia="zh-CN" w:bidi="ar-SA"/>
        </w:rPr>
        <w:t>2．结算方法</w:t>
      </w:r>
    </w:p>
    <w:p w14:paraId="18BC9269">
      <w:pPr>
        <w:spacing w:before="0" w:after="0" w:line="360" w:lineRule="auto"/>
        <w:ind w:right="160" w:firstLine="420" w:firstLineChars="200"/>
        <w:jc w:val="left"/>
        <w:rPr>
          <w:rFonts w:hint="eastAsia" w:ascii="宋体" w:hAnsi="宋体" w:eastAsia="宋体" w:cs="宋体"/>
          <w:b w:val="0"/>
          <w:bCs w:val="0"/>
          <w:color w:val="auto"/>
          <w:kern w:val="0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1"/>
          <w:szCs w:val="21"/>
          <w:lang w:val="en-US" w:eastAsia="zh-CN" w:bidi="ar-SA"/>
        </w:rPr>
        <w:t>2.1</w:t>
      </w: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1"/>
          <w:szCs w:val="21"/>
          <w:lang w:val="en-US" w:eastAsia="zh-CN" w:bidi="ar-SA"/>
        </w:rPr>
        <w:tab/>
      </w: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1"/>
          <w:szCs w:val="21"/>
          <w:lang w:val="en-US" w:eastAsia="zh-CN" w:bidi="ar-SA"/>
        </w:rPr>
        <w:t>付 款 人：岳阳县东洞庭湖事务中心</w:t>
      </w:r>
    </w:p>
    <w:p w14:paraId="1A42A481">
      <w:pPr>
        <w:spacing w:before="0" w:after="0" w:line="360" w:lineRule="auto"/>
        <w:ind w:right="160" w:firstLine="420" w:firstLineChars="200"/>
        <w:jc w:val="left"/>
        <w:rPr>
          <w:rFonts w:hint="default" w:ascii="宋体" w:hAnsi="宋体" w:eastAsia="宋体" w:cs="宋体"/>
          <w:b w:val="0"/>
          <w:bCs w:val="0"/>
          <w:color w:val="auto"/>
          <w:kern w:val="0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1"/>
          <w:szCs w:val="21"/>
          <w:lang w:val="en-US" w:eastAsia="zh-CN" w:bidi="ar-SA"/>
        </w:rPr>
        <w:t>2.2</w:t>
      </w: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1"/>
          <w:szCs w:val="21"/>
          <w:lang w:val="en-US" w:eastAsia="zh-CN" w:bidi="ar-SA"/>
        </w:rPr>
        <w:tab/>
      </w: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1"/>
          <w:szCs w:val="21"/>
          <w:lang w:val="en-US" w:eastAsia="zh-CN" w:bidi="ar-SA"/>
        </w:rPr>
        <w:t>付款方式：完成验收后，对公开发票，一次性付款</w:t>
      </w:r>
    </w:p>
    <w:p w14:paraId="6CCB30FB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02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4D30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iPriority w:val="0"/>
    <w:pPr>
      <w:spacing w:after="120"/>
    </w:pPr>
  </w:style>
  <w:style w:type="paragraph" w:styleId="3">
    <w:name w:val="Body Text First Indent"/>
    <w:basedOn w:val="2"/>
    <w:next w:val="1"/>
    <w:qFormat/>
    <w:uiPriority w:val="0"/>
    <w:pPr>
      <w:ind w:firstLine="420" w:firstLineChars="1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2026-09-20T08:12:16Z</dcterms:created>
  <dc:creator>Administrator</dc:creator>
  <cp:lastModifiedBy>鹿汲</cp:lastModifiedBy>
  <dcterms:modified xsi:type="dcterms:W3CDTF">2026-09-20T08:12:31Z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eyJoZGlkIjoiYjIyN2E5MzFkOGU3ZmIwZmUwMGJjZmIxNWNjN2E3ZjMiLCJ1c2VySWQiOiIzMDc4NDY0OTAifQ==</vt:lpwstr>
  </property>
  <property fmtid="{D5CDD505-2E9C-101B-9397-08002B2CF9AE}" pid="4" name="ICV">
    <vt:lpwstr>8CB98A890581453291496309623ED4E4_12</vt:lpwstr>
  </property>
</Properties>
</file>