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E35DE">
      <w:pPr>
        <w:adjustRightInd w:val="0"/>
        <w:snapToGrid w:val="0"/>
        <w:spacing w:before="156" w:beforeLines="50" w:line="360" w:lineRule="auto"/>
        <w:jc w:val="center"/>
        <w:outlineLvl w:val="0"/>
        <w:rPr>
          <w:rFonts w:hint="eastAsia" w:ascii="宋体" w:hAnsi="宋体" w:cs="宋体"/>
          <w:b/>
          <w:bCs/>
          <w:color w:val="auto"/>
          <w:sz w:val="32"/>
          <w:szCs w:val="32"/>
        </w:rPr>
      </w:pPr>
      <w:bookmarkStart w:id="0" w:name="_Toc26705"/>
      <w:r>
        <w:rPr>
          <w:rFonts w:hint="eastAsia" w:ascii="宋体" w:hAnsi="宋体" w:cs="宋体"/>
          <w:b/>
          <w:color w:val="auto"/>
          <w:sz w:val="32"/>
          <w:szCs w:val="32"/>
        </w:rPr>
        <w:t xml:space="preserve">第四章  </w:t>
      </w:r>
      <w:r>
        <w:rPr>
          <w:rFonts w:hint="eastAsia" w:ascii="宋体" w:hAnsi="宋体" w:cs="宋体"/>
          <w:b/>
          <w:bCs/>
          <w:color w:val="auto"/>
          <w:sz w:val="32"/>
          <w:szCs w:val="32"/>
        </w:rPr>
        <w:t>政府采购合同格式</w:t>
      </w:r>
      <w:bookmarkEnd w:id="0"/>
    </w:p>
    <w:p w14:paraId="1750D396">
      <w:pPr>
        <w:tabs>
          <w:tab w:val="left" w:pos="8820"/>
          <w:tab w:val="left" w:pos="9345"/>
          <w:tab w:val="left" w:pos="9765"/>
        </w:tabs>
        <w:adjustRightInd w:val="0"/>
        <w:snapToGrid w:val="0"/>
        <w:spacing w:line="360" w:lineRule="auto"/>
        <w:ind w:firstLine="422" w:firstLineChars="200"/>
        <w:outlineLvl w:val="1"/>
        <w:rPr>
          <w:rFonts w:hint="eastAsia" w:ascii="宋体" w:hAnsi="宋体" w:cs="宋体"/>
          <w:b/>
          <w:bCs/>
          <w:color w:val="auto"/>
          <w:szCs w:val="21"/>
        </w:rPr>
      </w:pPr>
      <w:bookmarkStart w:id="1" w:name="_Toc18764"/>
    </w:p>
    <w:p w14:paraId="284BCCE0">
      <w:pPr>
        <w:tabs>
          <w:tab w:val="left" w:pos="8820"/>
          <w:tab w:val="left" w:pos="9345"/>
          <w:tab w:val="left" w:pos="9765"/>
        </w:tabs>
        <w:adjustRightInd w:val="0"/>
        <w:snapToGrid w:val="0"/>
        <w:spacing w:line="360" w:lineRule="auto"/>
        <w:ind w:firstLine="422" w:firstLineChars="200"/>
        <w:outlineLvl w:val="1"/>
        <w:rPr>
          <w:rFonts w:hint="eastAsia" w:ascii="宋体" w:hAnsi="宋体" w:cs="宋体"/>
          <w:b/>
          <w:bCs/>
          <w:color w:val="auto"/>
          <w:szCs w:val="21"/>
        </w:rPr>
      </w:pPr>
      <w:bookmarkStart w:id="10" w:name="_GoBack"/>
      <w:bookmarkEnd w:id="10"/>
      <w:r>
        <w:rPr>
          <w:rFonts w:hint="eastAsia" w:ascii="宋体" w:hAnsi="宋体" w:cs="宋体"/>
          <w:b/>
          <w:bCs/>
          <w:color w:val="auto"/>
          <w:szCs w:val="21"/>
        </w:rPr>
        <w:t>一、政府采购合同协议书</w:t>
      </w:r>
      <w:bookmarkEnd w:id="1"/>
    </w:p>
    <w:p w14:paraId="4196AFE3">
      <w:pPr>
        <w:adjustRightInd w:val="0"/>
        <w:snapToGrid w:val="0"/>
        <w:spacing w:line="360" w:lineRule="auto"/>
        <w:ind w:firstLine="420" w:firstLineChars="200"/>
        <w:rPr>
          <w:rFonts w:hint="eastAsia" w:ascii="宋体" w:hAnsi="宋体" w:cs="宋体"/>
          <w:b/>
          <w:color w:val="auto"/>
          <w:szCs w:val="21"/>
        </w:rPr>
      </w:pPr>
      <w:r>
        <w:rPr>
          <w:rFonts w:hint="eastAsia" w:ascii="宋体" w:hAnsi="宋体" w:cs="宋体"/>
          <w:color w:val="auto"/>
          <w:szCs w:val="21"/>
        </w:rPr>
        <w:t>采购合同编号：</w:t>
      </w:r>
      <w:r>
        <w:rPr>
          <w:rFonts w:hint="eastAsia" w:ascii="宋体" w:hAnsi="宋体" w:cs="宋体"/>
          <w:color w:val="auto"/>
          <w:szCs w:val="21"/>
          <w:u w:val="single"/>
        </w:rPr>
        <w:t xml:space="preserve">                              </w:t>
      </w:r>
    </w:p>
    <w:p w14:paraId="7D9CD353">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采购人（全称）：</w:t>
      </w:r>
      <w:r>
        <w:rPr>
          <w:rFonts w:hint="eastAsia" w:ascii="宋体" w:hAnsi="宋体" w:cs="宋体"/>
          <w:color w:val="auto"/>
          <w:szCs w:val="21"/>
          <w:u w:val="single"/>
        </w:rPr>
        <w:t xml:space="preserve">                             </w:t>
      </w:r>
      <w:r>
        <w:rPr>
          <w:rFonts w:hint="eastAsia" w:ascii="宋体" w:hAnsi="宋体" w:cs="宋体"/>
          <w:color w:val="auto"/>
          <w:szCs w:val="21"/>
        </w:rPr>
        <w:t>（甲方）</w:t>
      </w:r>
    </w:p>
    <w:p w14:paraId="37560D5E">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供应商（全称）：</w:t>
      </w:r>
      <w:r>
        <w:rPr>
          <w:rFonts w:hint="eastAsia" w:ascii="宋体" w:hAnsi="宋体" w:cs="宋体"/>
          <w:color w:val="auto"/>
          <w:szCs w:val="21"/>
          <w:u w:val="single"/>
        </w:rPr>
        <w:t xml:space="preserve">                             </w:t>
      </w:r>
      <w:r>
        <w:rPr>
          <w:rFonts w:hint="eastAsia" w:ascii="宋体" w:hAnsi="宋体" w:cs="宋体"/>
          <w:color w:val="auto"/>
          <w:szCs w:val="21"/>
        </w:rPr>
        <w:t>（乙方）</w:t>
      </w:r>
    </w:p>
    <w:p w14:paraId="7E050A7A">
      <w:pPr>
        <w:pStyle w:val="2"/>
        <w:adjustRightInd w:val="0"/>
        <w:snapToGrid w:val="0"/>
        <w:spacing w:after="0" w:line="360" w:lineRule="auto"/>
        <w:ind w:left="0" w:leftChars="0" w:firstLine="420" w:firstLineChars="200"/>
        <w:rPr>
          <w:rFonts w:hint="eastAsia" w:ascii="宋体" w:hAnsi="宋体" w:cs="宋体"/>
          <w:color w:val="auto"/>
          <w:sz w:val="21"/>
          <w:szCs w:val="21"/>
        </w:rPr>
      </w:pPr>
      <w:r>
        <w:rPr>
          <w:rFonts w:hint="eastAsia" w:ascii="宋体" w:hAnsi="宋体" w:cs="宋体"/>
          <w:color w:val="auto"/>
          <w:sz w:val="21"/>
          <w:szCs w:val="21"/>
        </w:rPr>
        <w:t>为了保护甲、乙双方合法权益，根据《中华人民共和国合同法》、《中华人民共和国政府采购法》及其他有关法律、法规、规章，双方签订本合同协议书。</w:t>
      </w:r>
    </w:p>
    <w:p w14:paraId="131C3674">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1.项目信息</w:t>
      </w:r>
    </w:p>
    <w:p w14:paraId="706A6C10">
      <w:pPr>
        <w:pStyle w:val="2"/>
        <w:adjustRightInd w:val="0"/>
        <w:snapToGrid w:val="0"/>
        <w:spacing w:after="0" w:line="360" w:lineRule="auto"/>
        <w:ind w:left="0" w:leftChars="0" w:firstLine="420" w:firstLineChars="200"/>
        <w:rPr>
          <w:rFonts w:hint="eastAsia" w:ascii="宋体" w:hAnsi="宋体" w:cs="宋体"/>
          <w:color w:val="auto"/>
          <w:sz w:val="21"/>
          <w:szCs w:val="21"/>
        </w:rPr>
      </w:pPr>
      <w:r>
        <w:rPr>
          <w:rFonts w:hint="eastAsia" w:ascii="宋体" w:hAnsi="宋体" w:cs="宋体"/>
          <w:color w:val="auto"/>
          <w:sz w:val="21"/>
          <w:szCs w:val="21"/>
        </w:rPr>
        <w:t>（1）采购项目名称：</w:t>
      </w:r>
      <w:r>
        <w:rPr>
          <w:rFonts w:hint="eastAsia" w:ascii="宋体" w:hAnsi="宋体" w:cs="宋体"/>
          <w:color w:val="auto"/>
          <w:sz w:val="21"/>
          <w:szCs w:val="21"/>
          <w:u w:val="single"/>
        </w:rPr>
        <w:t xml:space="preserve">                                                      </w:t>
      </w:r>
    </w:p>
    <w:p w14:paraId="760C7B77">
      <w:pPr>
        <w:pStyle w:val="2"/>
        <w:adjustRightInd w:val="0"/>
        <w:snapToGrid w:val="0"/>
        <w:spacing w:after="0" w:line="360" w:lineRule="auto"/>
        <w:ind w:left="0" w:leftChars="0" w:firstLine="420" w:firstLineChars="200"/>
        <w:rPr>
          <w:rFonts w:hint="eastAsia" w:ascii="宋体" w:hAnsi="宋体" w:cs="宋体"/>
          <w:color w:val="auto"/>
          <w:sz w:val="21"/>
          <w:szCs w:val="21"/>
        </w:rPr>
      </w:pPr>
      <w:r>
        <w:rPr>
          <w:rFonts w:hint="eastAsia" w:ascii="宋体" w:hAnsi="宋体" w:cs="宋体"/>
          <w:color w:val="auto"/>
          <w:sz w:val="21"/>
          <w:szCs w:val="21"/>
        </w:rPr>
        <w:t>（2）采购计划编号：</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w:t>
      </w:r>
    </w:p>
    <w:p w14:paraId="24C37AC3">
      <w:pPr>
        <w:adjustRightInd w:val="0"/>
        <w:snapToGrid w:val="0"/>
        <w:spacing w:line="360" w:lineRule="auto"/>
        <w:ind w:firstLine="525" w:firstLineChars="250"/>
        <w:rPr>
          <w:rFonts w:hint="eastAsia" w:ascii="宋体" w:hAnsi="宋体" w:cs="宋体"/>
          <w:color w:val="auto"/>
          <w:szCs w:val="21"/>
        </w:rPr>
      </w:pPr>
      <w:r>
        <w:rPr>
          <w:rFonts w:hint="eastAsia" w:ascii="宋体" w:hAnsi="宋体" w:cs="宋体"/>
          <w:color w:val="auto"/>
          <w:szCs w:val="21"/>
        </w:rPr>
        <w:t>（3）项目内容：</w:t>
      </w:r>
      <w:r>
        <w:rPr>
          <w:rFonts w:hint="eastAsia" w:ascii="宋体" w:hAnsi="宋体" w:cs="宋体"/>
          <w:color w:val="auto"/>
          <w:szCs w:val="21"/>
          <w:u w:val="single"/>
        </w:rPr>
        <w:t xml:space="preserve">                                                          </w:t>
      </w:r>
    </w:p>
    <w:p w14:paraId="690D4D71">
      <w:pPr>
        <w:adjustRightInd w:val="0"/>
        <w:snapToGrid w:val="0"/>
        <w:spacing w:line="360" w:lineRule="auto"/>
        <w:ind w:firstLine="525" w:firstLineChars="250"/>
        <w:rPr>
          <w:rFonts w:hint="eastAsia" w:ascii="宋体" w:hAnsi="宋体" w:cs="宋体"/>
          <w:color w:val="auto"/>
          <w:szCs w:val="21"/>
        </w:rPr>
      </w:pPr>
      <w:r>
        <w:rPr>
          <w:rFonts w:hint="eastAsia" w:ascii="宋体" w:hAnsi="宋体" w:cs="宋体"/>
          <w:color w:val="auto"/>
          <w:szCs w:val="21"/>
        </w:rPr>
        <w:t>（工程项目）承包范围：</w:t>
      </w:r>
      <w:r>
        <w:rPr>
          <w:rFonts w:hint="eastAsia" w:ascii="宋体" w:hAnsi="宋体" w:cs="宋体"/>
          <w:color w:val="auto"/>
          <w:szCs w:val="21"/>
          <w:u w:val="single"/>
        </w:rPr>
        <w:t xml:space="preserve">                        </w:t>
      </w:r>
      <w:r>
        <w:rPr>
          <w:rFonts w:hint="eastAsia" w:ascii="宋体" w:hAnsi="宋体" w:cs="宋体"/>
          <w:color w:val="auto"/>
          <w:szCs w:val="21"/>
        </w:rPr>
        <w:t>项目经理：</w:t>
      </w:r>
      <w:r>
        <w:rPr>
          <w:rFonts w:hint="eastAsia" w:ascii="宋体" w:hAnsi="宋体" w:cs="宋体"/>
          <w:color w:val="auto"/>
          <w:szCs w:val="21"/>
          <w:u w:val="single"/>
        </w:rPr>
        <w:t xml:space="preserve">                 </w:t>
      </w:r>
      <w:r>
        <w:rPr>
          <w:rFonts w:hint="eastAsia" w:ascii="宋体" w:hAnsi="宋体" w:cs="宋体"/>
          <w:color w:val="auto"/>
          <w:szCs w:val="21"/>
        </w:rPr>
        <w:t>。</w:t>
      </w:r>
    </w:p>
    <w:p w14:paraId="76E7A427">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2.合同金额</w:t>
      </w:r>
    </w:p>
    <w:p w14:paraId="49EFD31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（1）合同金额小写：</w:t>
      </w:r>
      <w:r>
        <w:rPr>
          <w:rFonts w:hint="eastAsia" w:ascii="宋体" w:hAnsi="宋体" w:cs="宋体"/>
          <w:color w:val="auto"/>
          <w:szCs w:val="21"/>
          <w:u w:val="single"/>
        </w:rPr>
        <w:t xml:space="preserve">                                    </w:t>
      </w:r>
    </w:p>
    <w:p w14:paraId="4627B7EA">
      <w:pPr>
        <w:adjustRightInd w:val="0"/>
        <w:snapToGrid w:val="0"/>
        <w:spacing w:line="360" w:lineRule="auto"/>
        <w:ind w:firstLine="1785" w:firstLineChars="850"/>
        <w:rPr>
          <w:rFonts w:hint="eastAsia" w:ascii="宋体" w:hAnsi="宋体" w:cs="宋体"/>
          <w:b/>
          <w:color w:val="auto"/>
          <w:szCs w:val="21"/>
        </w:rPr>
      </w:pPr>
      <w:r>
        <w:rPr>
          <w:rFonts w:hint="eastAsia" w:ascii="宋体" w:hAnsi="宋体" w:cs="宋体"/>
          <w:color w:val="auto"/>
          <w:szCs w:val="21"/>
        </w:rPr>
        <w:t>大写：</w:t>
      </w:r>
      <w:r>
        <w:rPr>
          <w:rFonts w:hint="eastAsia" w:ascii="宋体" w:hAnsi="宋体" w:cs="宋体"/>
          <w:color w:val="auto"/>
          <w:szCs w:val="21"/>
          <w:u w:val="single"/>
        </w:rPr>
        <w:t xml:space="preserve">                                    </w:t>
      </w:r>
    </w:p>
    <w:p w14:paraId="5555EFB0">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（2）具体标的见附件。</w:t>
      </w:r>
    </w:p>
    <w:p w14:paraId="61C22457">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（3）合同价格形式：</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2990557">
      <w:pPr>
        <w:adjustRightInd w:val="0"/>
        <w:snapToGrid w:val="0"/>
        <w:spacing w:line="360" w:lineRule="auto"/>
        <w:ind w:firstLine="422" w:firstLineChars="200"/>
        <w:rPr>
          <w:rFonts w:hint="eastAsia" w:ascii="宋体" w:hAnsi="宋体" w:cs="宋体"/>
          <w:color w:val="auto"/>
          <w:szCs w:val="21"/>
          <w:u w:val="single"/>
        </w:rPr>
      </w:pPr>
      <w:r>
        <w:rPr>
          <w:rFonts w:hint="eastAsia" w:ascii="宋体" w:hAnsi="宋体" w:cs="宋体"/>
          <w:b/>
          <w:color w:val="auto"/>
          <w:szCs w:val="21"/>
        </w:rPr>
        <w:t>3.履行合同的时间、地点及方式</w:t>
      </w:r>
      <w:r>
        <w:rPr>
          <w:rFonts w:hint="eastAsia" w:ascii="宋体" w:hAnsi="宋体" w:cs="宋体"/>
          <w:color w:val="auto"/>
          <w:szCs w:val="21"/>
          <w:u w:val="single"/>
        </w:rPr>
        <w:t xml:space="preserve"> </w:t>
      </w:r>
    </w:p>
    <w:p w14:paraId="73D7D70F">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日；总日历天数：</w:t>
      </w:r>
      <w:r>
        <w:rPr>
          <w:rFonts w:hint="eastAsia" w:ascii="宋体" w:hAnsi="宋体" w:cs="宋体"/>
          <w:color w:val="auto"/>
          <w:szCs w:val="21"/>
          <w:u w:val="single"/>
        </w:rPr>
        <w:t xml:space="preserve">     </w:t>
      </w:r>
      <w:r>
        <w:rPr>
          <w:rFonts w:hint="eastAsia" w:ascii="宋体" w:hAnsi="宋体" w:cs="宋体"/>
          <w:color w:val="auto"/>
          <w:szCs w:val="21"/>
        </w:rPr>
        <w:t>天。</w:t>
      </w:r>
    </w:p>
    <w:p w14:paraId="0F054334">
      <w:pPr>
        <w:adjustRightInd w:val="0"/>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地点</w:t>
      </w:r>
      <w:r>
        <w:rPr>
          <w:rFonts w:hint="eastAsia" w:ascii="宋体" w:hAnsi="宋体" w:cs="宋体"/>
          <w:b/>
          <w:color w:val="auto"/>
          <w:szCs w:val="21"/>
        </w:rPr>
        <w:t>：</w:t>
      </w:r>
      <w:r>
        <w:rPr>
          <w:rFonts w:hint="eastAsia" w:ascii="宋体" w:hAnsi="宋体" w:cs="宋体"/>
          <w:color w:val="auto"/>
          <w:szCs w:val="21"/>
          <w:u w:val="single"/>
        </w:rPr>
        <w:t xml:space="preserve">                                          </w:t>
      </w:r>
    </w:p>
    <w:p w14:paraId="6F9918E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方式：</w:t>
      </w:r>
      <w:r>
        <w:rPr>
          <w:rFonts w:hint="eastAsia" w:ascii="宋体" w:hAnsi="宋体" w:cs="宋体"/>
          <w:color w:val="auto"/>
          <w:szCs w:val="21"/>
          <w:u w:val="single"/>
        </w:rPr>
        <w:t xml:space="preserve">                                         </w:t>
      </w:r>
    </w:p>
    <w:p w14:paraId="4D662C4F">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4.付款：</w:t>
      </w:r>
    </w:p>
    <w:p w14:paraId="59143FB5">
      <w:pPr>
        <w:adjustRightInd w:val="0"/>
        <w:snapToGrid w:val="0"/>
        <w:spacing w:line="360" w:lineRule="auto"/>
        <w:ind w:firstLine="420" w:firstLineChars="200"/>
        <w:rPr>
          <w:rFonts w:hint="eastAsia" w:ascii="宋体" w:hAnsi="宋体" w:cs="宋体"/>
          <w:bCs/>
          <w:color w:val="auto"/>
          <w:szCs w:val="21"/>
        </w:rPr>
      </w:pPr>
      <w:r>
        <w:rPr>
          <w:rFonts w:hint="eastAsia" w:ascii="宋体" w:hAnsi="宋体" w:cs="宋体"/>
          <w:color w:val="auto"/>
          <w:szCs w:val="21"/>
        </w:rPr>
        <w:t>1、</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2B9B1200">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5.解决合同纠纷方式</w:t>
      </w:r>
    </w:p>
    <w:p w14:paraId="0199681A">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首先通过双方协商解决，协商解决不成，则通过以下途径之一解决纠纷：</w:t>
      </w:r>
    </w:p>
    <w:p w14:paraId="79C3A9DE">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sym w:font="Wingdings 2" w:char="00A3"/>
      </w:r>
      <w:r>
        <w:rPr>
          <w:rFonts w:hint="eastAsia" w:ascii="宋体" w:hAnsi="宋体" w:cs="宋体"/>
          <w:color w:val="auto"/>
          <w:szCs w:val="21"/>
        </w:rPr>
        <w:t xml:space="preserve"> 提请仲裁；       □ 向人民法院提起诉讼。</w:t>
      </w:r>
    </w:p>
    <w:p w14:paraId="0FE1E600">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6.组成合同的文件</w:t>
      </w:r>
    </w:p>
    <w:p w14:paraId="637C899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本协议书与下列文件一起构成合同文件，如下述文件之间有任何抵触、矛盾或歧义，应按以下顺序解释：</w:t>
      </w:r>
    </w:p>
    <w:p w14:paraId="6FBA6D87">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（1）在采购或合同履行过程中乙方作出的承诺以及双方协商达成的变更或补充协议；</w:t>
      </w:r>
    </w:p>
    <w:p w14:paraId="4C46B549">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（2）成交通知书；</w:t>
      </w:r>
    </w:p>
    <w:p w14:paraId="45A23494">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（3）响应文件；</w:t>
      </w:r>
    </w:p>
    <w:p w14:paraId="3A49A99F">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（4）政府采购合同格式条款及其附件；</w:t>
      </w:r>
    </w:p>
    <w:p w14:paraId="6682FAAE">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（5）专用合同条款；</w:t>
      </w:r>
    </w:p>
    <w:p w14:paraId="252DA2FA">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（6）通用合同条款（如果有）；</w:t>
      </w:r>
    </w:p>
    <w:p w14:paraId="5F57F33E">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（7）标准、规范及有关技术文件，图纸，已标价工程量清单或预算书（如果有）；</w:t>
      </w:r>
    </w:p>
    <w:p w14:paraId="74746C3B">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（8）其他合同文件。</w:t>
      </w:r>
    </w:p>
    <w:p w14:paraId="6D6AA024">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7.合同生效</w:t>
      </w:r>
    </w:p>
    <w:p w14:paraId="2C99B249">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本合同自</w:t>
      </w:r>
      <w:r>
        <w:rPr>
          <w:rFonts w:hint="eastAsia" w:ascii="宋体" w:hAnsi="宋体" w:cs="宋体"/>
          <w:color w:val="auto"/>
          <w:szCs w:val="21"/>
          <w:u w:val="single"/>
        </w:rPr>
        <w:t xml:space="preserve">                                 </w:t>
      </w:r>
      <w:r>
        <w:rPr>
          <w:rFonts w:hint="eastAsia" w:ascii="宋体" w:hAnsi="宋体" w:cs="宋体"/>
          <w:color w:val="auto"/>
          <w:szCs w:val="21"/>
        </w:rPr>
        <w:t>生效。</w:t>
      </w:r>
    </w:p>
    <w:p w14:paraId="5CF18F36">
      <w:pPr>
        <w:adjustRightInd w:val="0"/>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8.合同份数</w:t>
      </w:r>
    </w:p>
    <w:p w14:paraId="1CD175BC">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本合同一式</w:t>
      </w:r>
      <w:r>
        <w:rPr>
          <w:rFonts w:hint="eastAsia" w:ascii="宋体" w:hAnsi="宋体" w:cs="宋体"/>
          <w:color w:val="auto"/>
          <w:szCs w:val="21"/>
          <w:u w:val="single"/>
        </w:rPr>
        <w:t xml:space="preserve">    </w:t>
      </w:r>
      <w:r>
        <w:rPr>
          <w:rFonts w:hint="eastAsia" w:ascii="宋体" w:hAnsi="宋体" w:cs="宋体"/>
          <w:color w:val="auto"/>
          <w:szCs w:val="21"/>
        </w:rPr>
        <w:t>份，采购人执</w:t>
      </w:r>
      <w:r>
        <w:rPr>
          <w:rFonts w:hint="eastAsia" w:ascii="宋体" w:hAnsi="宋体" w:cs="宋体"/>
          <w:color w:val="auto"/>
          <w:szCs w:val="21"/>
          <w:u w:val="single"/>
        </w:rPr>
        <w:t xml:space="preserve">    </w:t>
      </w:r>
      <w:r>
        <w:rPr>
          <w:rFonts w:hint="eastAsia" w:ascii="宋体" w:hAnsi="宋体" w:cs="宋体"/>
          <w:color w:val="auto"/>
          <w:szCs w:val="21"/>
        </w:rPr>
        <w:t>份，供应商执</w:t>
      </w:r>
      <w:r>
        <w:rPr>
          <w:rFonts w:hint="eastAsia" w:ascii="宋体" w:hAnsi="宋体" w:cs="宋体"/>
          <w:color w:val="auto"/>
          <w:szCs w:val="21"/>
          <w:u w:val="single"/>
        </w:rPr>
        <w:t xml:space="preserve">    </w:t>
      </w:r>
      <w:r>
        <w:rPr>
          <w:rFonts w:hint="eastAsia" w:ascii="宋体" w:hAnsi="宋体" w:cs="宋体"/>
          <w:color w:val="auto"/>
          <w:szCs w:val="21"/>
        </w:rPr>
        <w:t>份，监督管理部门执</w:t>
      </w:r>
      <w:r>
        <w:rPr>
          <w:rFonts w:hint="eastAsia" w:ascii="宋体" w:hAnsi="宋体" w:cs="宋体"/>
          <w:color w:val="auto"/>
          <w:szCs w:val="21"/>
          <w:u w:val="single"/>
        </w:rPr>
        <w:t xml:space="preserve">    </w:t>
      </w:r>
      <w:r>
        <w:rPr>
          <w:rFonts w:hint="eastAsia" w:ascii="宋体" w:hAnsi="宋体" w:cs="宋体"/>
          <w:color w:val="auto"/>
          <w:szCs w:val="21"/>
        </w:rPr>
        <w:t>份，代理机构执</w:t>
      </w:r>
      <w:r>
        <w:rPr>
          <w:rFonts w:hint="eastAsia" w:ascii="宋体" w:hAnsi="宋体" w:cs="宋体"/>
          <w:color w:val="auto"/>
          <w:szCs w:val="21"/>
          <w:u w:val="single"/>
        </w:rPr>
        <w:t xml:space="preserve">    </w:t>
      </w:r>
      <w:r>
        <w:rPr>
          <w:rFonts w:hint="eastAsia" w:ascii="宋体" w:hAnsi="宋体" w:cs="宋体"/>
          <w:color w:val="auto"/>
          <w:szCs w:val="21"/>
        </w:rPr>
        <w:t>份，均具有同等法律效力。</w:t>
      </w:r>
    </w:p>
    <w:p w14:paraId="76F34FE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合同订立时间：</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BF15F1D">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合同订立地点：</w:t>
      </w:r>
      <w:r>
        <w:rPr>
          <w:rFonts w:hint="eastAsia" w:ascii="宋体" w:hAnsi="宋体" w:cs="宋体"/>
          <w:color w:val="auto"/>
          <w:szCs w:val="21"/>
          <w:u w:val="single"/>
        </w:rPr>
        <w:t xml:space="preserve">                           </w:t>
      </w:r>
    </w:p>
    <w:p w14:paraId="4055461D">
      <w:pPr>
        <w:adjustRightInd w:val="0"/>
        <w:snapToGrid w:val="0"/>
        <w:spacing w:line="360" w:lineRule="auto"/>
        <w:ind w:firstLine="420" w:firstLineChars="200"/>
        <w:rPr>
          <w:rFonts w:hint="eastAsia" w:ascii="宋体" w:hAnsi="宋体" w:cs="宋体"/>
          <w:color w:val="auto"/>
          <w:szCs w:val="21"/>
        </w:rPr>
      </w:pPr>
    </w:p>
    <w:p w14:paraId="2448C6D9">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甲      方：（公章）                     乙      方：（公章）</w:t>
      </w:r>
    </w:p>
    <w:p w14:paraId="6ADDD1E0">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法定代表人：</w:t>
      </w:r>
      <w:r>
        <w:rPr>
          <w:rFonts w:hint="eastAsia" w:ascii="宋体" w:hAnsi="宋体" w:cs="宋体"/>
          <w:color w:val="auto"/>
          <w:szCs w:val="21"/>
          <w:u w:val="single"/>
        </w:rPr>
        <w:t xml:space="preserve">                   </w:t>
      </w:r>
      <w:r>
        <w:rPr>
          <w:rFonts w:hint="eastAsia" w:ascii="宋体" w:hAnsi="宋体" w:cs="宋体"/>
          <w:color w:val="auto"/>
          <w:szCs w:val="21"/>
        </w:rPr>
        <w:t xml:space="preserve">         法定代表人：</w:t>
      </w:r>
      <w:r>
        <w:rPr>
          <w:rFonts w:hint="eastAsia" w:ascii="宋体" w:hAnsi="宋体" w:cs="宋体"/>
          <w:color w:val="auto"/>
          <w:szCs w:val="21"/>
          <w:u w:val="single"/>
        </w:rPr>
        <w:t xml:space="preserve">                   </w:t>
      </w:r>
    </w:p>
    <w:p w14:paraId="0DDDB2A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委托代理人：</w:t>
      </w:r>
      <w:r>
        <w:rPr>
          <w:rFonts w:hint="eastAsia" w:ascii="宋体" w:hAnsi="宋体" w:cs="宋体"/>
          <w:color w:val="auto"/>
          <w:szCs w:val="21"/>
          <w:u w:val="single"/>
        </w:rPr>
        <w:t xml:space="preserve">                   </w:t>
      </w:r>
      <w:r>
        <w:rPr>
          <w:rFonts w:hint="eastAsia" w:ascii="宋体" w:hAnsi="宋体" w:cs="宋体"/>
          <w:color w:val="auto"/>
          <w:szCs w:val="21"/>
        </w:rPr>
        <w:t xml:space="preserve">         委托代理人：</w:t>
      </w:r>
      <w:r>
        <w:rPr>
          <w:rFonts w:hint="eastAsia" w:ascii="宋体" w:hAnsi="宋体" w:cs="宋体"/>
          <w:color w:val="auto"/>
          <w:szCs w:val="21"/>
          <w:u w:val="single"/>
        </w:rPr>
        <w:t xml:space="preserve">                   </w:t>
      </w:r>
    </w:p>
    <w:p w14:paraId="2DE76A67">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电      话：</w:t>
      </w:r>
      <w:r>
        <w:rPr>
          <w:rFonts w:hint="eastAsia" w:ascii="宋体" w:hAnsi="宋体" w:cs="宋体"/>
          <w:color w:val="auto"/>
          <w:szCs w:val="21"/>
          <w:u w:val="single"/>
        </w:rPr>
        <w:t xml:space="preserve">                   </w:t>
      </w:r>
      <w:r>
        <w:rPr>
          <w:rFonts w:hint="eastAsia" w:ascii="宋体" w:hAnsi="宋体" w:cs="宋体"/>
          <w:color w:val="auto"/>
          <w:szCs w:val="21"/>
        </w:rPr>
        <w:t xml:space="preserve">         电      话：</w:t>
      </w:r>
      <w:r>
        <w:rPr>
          <w:rFonts w:hint="eastAsia" w:ascii="宋体" w:hAnsi="宋体" w:cs="宋体"/>
          <w:color w:val="auto"/>
          <w:szCs w:val="21"/>
          <w:u w:val="single"/>
        </w:rPr>
        <w:t xml:space="preserve">                   </w:t>
      </w:r>
    </w:p>
    <w:p w14:paraId="117EC6EE">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传      真：</w:t>
      </w:r>
      <w:r>
        <w:rPr>
          <w:rFonts w:hint="eastAsia" w:ascii="宋体" w:hAnsi="宋体" w:cs="宋体"/>
          <w:color w:val="auto"/>
          <w:szCs w:val="21"/>
          <w:u w:val="single"/>
        </w:rPr>
        <w:t xml:space="preserve">                   </w:t>
      </w:r>
      <w:r>
        <w:rPr>
          <w:rFonts w:hint="eastAsia" w:ascii="宋体" w:hAnsi="宋体" w:cs="宋体"/>
          <w:color w:val="auto"/>
          <w:szCs w:val="21"/>
        </w:rPr>
        <w:t xml:space="preserve">         传      真：</w:t>
      </w:r>
      <w:r>
        <w:rPr>
          <w:rFonts w:hint="eastAsia" w:ascii="宋体" w:hAnsi="宋体" w:cs="宋体"/>
          <w:color w:val="auto"/>
          <w:szCs w:val="21"/>
          <w:u w:val="single"/>
        </w:rPr>
        <w:t xml:space="preserve">                   </w:t>
      </w:r>
    </w:p>
    <w:p w14:paraId="1EDFB7C2">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开 户 银 行：</w:t>
      </w:r>
      <w:r>
        <w:rPr>
          <w:rFonts w:hint="eastAsia" w:ascii="宋体" w:hAnsi="宋体" w:cs="宋体"/>
          <w:color w:val="auto"/>
          <w:szCs w:val="21"/>
          <w:u w:val="single"/>
        </w:rPr>
        <w:t xml:space="preserve">                  </w:t>
      </w:r>
    </w:p>
    <w:p w14:paraId="03266790">
      <w:pPr>
        <w:adjustRightInd w:val="0"/>
        <w:snapToGrid w:val="0"/>
        <w:spacing w:line="360" w:lineRule="auto"/>
        <w:ind w:firstLine="420" w:firstLineChars="200"/>
        <w:jc w:val="center"/>
        <w:rPr>
          <w:rFonts w:hint="eastAsia" w:ascii="宋体" w:hAnsi="宋体" w:cs="宋体"/>
          <w:color w:val="auto"/>
          <w:szCs w:val="21"/>
          <w:u w:val="single"/>
        </w:rPr>
      </w:pPr>
      <w:r>
        <w:rPr>
          <w:rFonts w:hint="eastAsia" w:ascii="宋体" w:hAnsi="宋体" w:cs="宋体"/>
          <w:color w:val="auto"/>
          <w:szCs w:val="21"/>
        </w:rPr>
        <w:t xml:space="preserve">                  帐       号：</w:t>
      </w:r>
      <w:r>
        <w:rPr>
          <w:rFonts w:hint="eastAsia" w:ascii="宋体" w:hAnsi="宋体" w:cs="宋体"/>
          <w:color w:val="auto"/>
          <w:szCs w:val="21"/>
          <w:u w:val="single"/>
        </w:rPr>
        <w:t xml:space="preserve">                  </w:t>
      </w:r>
    </w:p>
    <w:p w14:paraId="46500564">
      <w:pPr>
        <w:adjustRightInd w:val="0"/>
        <w:snapToGrid w:val="0"/>
        <w:spacing w:line="440" w:lineRule="exact"/>
        <w:jc w:val="left"/>
        <w:outlineLvl w:val="1"/>
        <w:rPr>
          <w:rFonts w:hint="eastAsia" w:ascii="宋体" w:hAnsi="宋体" w:cs="宋体"/>
          <w:b/>
          <w:color w:val="auto"/>
          <w:sz w:val="28"/>
          <w:szCs w:val="28"/>
        </w:rPr>
      </w:pPr>
      <w:r>
        <w:rPr>
          <w:rFonts w:hint="eastAsia" w:ascii="宋体" w:hAnsi="宋体" w:cs="宋体"/>
          <w:b/>
          <w:color w:val="auto"/>
          <w:sz w:val="28"/>
          <w:szCs w:val="28"/>
        </w:rPr>
        <w:br w:type="page"/>
      </w:r>
      <w:bookmarkStart w:id="2" w:name="_Toc24709"/>
      <w:r>
        <w:rPr>
          <w:rFonts w:hint="eastAsia" w:ascii="宋体" w:hAnsi="宋体" w:cs="宋体"/>
          <w:b/>
          <w:bCs/>
          <w:color w:val="auto"/>
          <w:szCs w:val="21"/>
        </w:rPr>
        <w:t>二、政府采购合同通用条款</w:t>
      </w:r>
      <w:bookmarkEnd w:id="2"/>
    </w:p>
    <w:p w14:paraId="373886B5">
      <w:pPr>
        <w:adjustRightInd w:val="0"/>
        <w:snapToGrid w:val="0"/>
        <w:spacing w:line="440" w:lineRule="exact"/>
        <w:jc w:val="center"/>
        <w:rPr>
          <w:rFonts w:hint="eastAsia" w:ascii="宋体" w:hAnsi="宋体" w:cs="宋体"/>
          <w:b/>
          <w:color w:val="auto"/>
          <w:szCs w:val="21"/>
        </w:rPr>
      </w:pPr>
      <w:r>
        <w:rPr>
          <w:rFonts w:hint="eastAsia" w:ascii="宋体" w:hAnsi="宋体" w:cs="宋体"/>
          <w:b/>
          <w:color w:val="auto"/>
          <w:szCs w:val="21"/>
        </w:rPr>
        <w:t>政府采购合同通用条款</w:t>
      </w:r>
    </w:p>
    <w:p w14:paraId="1B012F78">
      <w:pPr>
        <w:tabs>
          <w:tab w:val="left" w:pos="8820"/>
          <w:tab w:val="left" w:pos="9345"/>
          <w:tab w:val="left" w:pos="9765"/>
        </w:tabs>
        <w:adjustRightInd w:val="0"/>
        <w:snapToGrid w:val="0"/>
        <w:spacing w:before="156" w:beforeLines="50" w:line="440" w:lineRule="exact"/>
        <w:ind w:right="384" w:rightChars="183"/>
        <w:rPr>
          <w:rFonts w:hint="eastAsia" w:ascii="宋体" w:hAnsi="宋体" w:cs="宋体"/>
          <w:b/>
          <w:color w:val="auto"/>
          <w:szCs w:val="21"/>
        </w:rPr>
      </w:pPr>
      <w:r>
        <w:rPr>
          <w:rFonts w:hint="eastAsia" w:ascii="宋体" w:hAnsi="宋体" w:cs="宋体"/>
          <w:b/>
          <w:color w:val="auto"/>
          <w:szCs w:val="21"/>
        </w:rPr>
        <w:t>1.定义</w:t>
      </w:r>
    </w:p>
    <w:p w14:paraId="194EDC22">
      <w:pPr>
        <w:autoSpaceDE w:val="0"/>
        <w:autoSpaceDN w:val="0"/>
        <w:adjustRightInd w:val="0"/>
        <w:snapToGrid w:val="0"/>
        <w:spacing w:before="156" w:beforeLines="50" w:line="440" w:lineRule="exact"/>
        <w:ind w:firstLine="422" w:firstLineChars="200"/>
        <w:rPr>
          <w:rFonts w:hint="eastAsia" w:ascii="宋体" w:hAnsi="宋体" w:cs="宋体"/>
          <w:b/>
          <w:color w:val="auto"/>
          <w:szCs w:val="21"/>
        </w:rPr>
      </w:pPr>
      <w:r>
        <w:rPr>
          <w:rFonts w:hint="eastAsia" w:ascii="宋体" w:hAnsi="宋体" w:cs="宋体"/>
          <w:b/>
          <w:color w:val="auto"/>
          <w:szCs w:val="21"/>
        </w:rPr>
        <w:t>1.1合同当事人</w:t>
      </w:r>
    </w:p>
    <w:p w14:paraId="13B0F2B8">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（1）采购人</w:t>
      </w:r>
      <w:r>
        <w:rPr>
          <w:rFonts w:hint="eastAsia" w:ascii="宋体" w:hAnsi="宋体" w:cs="宋体"/>
          <w:color w:val="auto"/>
          <w:szCs w:val="21"/>
          <w:lang w:eastAsia="zh-CN"/>
        </w:rPr>
        <w:t>（</w:t>
      </w:r>
      <w:r>
        <w:rPr>
          <w:rFonts w:hint="eastAsia" w:ascii="宋体" w:hAnsi="宋体" w:cs="宋体"/>
          <w:color w:val="auto"/>
          <w:szCs w:val="21"/>
        </w:rPr>
        <w:t>以下称业主方</w:t>
      </w:r>
      <w:r>
        <w:rPr>
          <w:rFonts w:hint="eastAsia" w:ascii="宋体" w:hAnsi="宋体" w:cs="宋体"/>
          <w:color w:val="auto"/>
          <w:szCs w:val="21"/>
          <w:lang w:eastAsia="zh-CN"/>
        </w:rPr>
        <w:t>）</w:t>
      </w:r>
      <w:r>
        <w:rPr>
          <w:rFonts w:hint="eastAsia" w:ascii="宋体" w:hAnsi="宋体" w:cs="宋体"/>
          <w:color w:val="auto"/>
          <w:szCs w:val="21"/>
        </w:rPr>
        <w:t>是指使用财政性资金，通过政府采购程序向供应商购买货物、服务的国家机关、事业单位、团体组织。本次采购的业主方名称、地址见采购文件前附表。</w:t>
      </w:r>
    </w:p>
    <w:p w14:paraId="67BFB94E">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（2）供应商</w:t>
      </w:r>
      <w:r>
        <w:rPr>
          <w:rFonts w:hint="eastAsia" w:ascii="宋体" w:hAnsi="宋体" w:cs="宋体"/>
          <w:color w:val="auto"/>
          <w:szCs w:val="21"/>
          <w:lang w:eastAsia="zh-CN"/>
        </w:rPr>
        <w:t>（</w:t>
      </w:r>
      <w:r>
        <w:rPr>
          <w:rFonts w:hint="eastAsia" w:ascii="宋体" w:hAnsi="宋体" w:cs="宋体"/>
          <w:color w:val="auto"/>
          <w:szCs w:val="21"/>
        </w:rPr>
        <w:t>以下称成交方</w:t>
      </w:r>
      <w:r>
        <w:rPr>
          <w:rFonts w:hint="eastAsia" w:ascii="宋体" w:hAnsi="宋体" w:cs="宋体"/>
          <w:color w:val="auto"/>
          <w:szCs w:val="21"/>
          <w:lang w:eastAsia="zh-CN"/>
        </w:rPr>
        <w:t>）</w:t>
      </w:r>
      <w:r>
        <w:rPr>
          <w:rFonts w:hint="eastAsia" w:ascii="宋体" w:hAnsi="宋体" w:cs="宋体"/>
          <w:color w:val="auto"/>
          <w:szCs w:val="21"/>
        </w:rPr>
        <w:t>是指参加政府采购活动而取得中标或成交结果，并向采购人提供货物、服务的法人、其他组织或者自然人。</w:t>
      </w:r>
    </w:p>
    <w:p w14:paraId="1DCE9D98">
      <w:pPr>
        <w:tabs>
          <w:tab w:val="left" w:pos="570"/>
          <w:tab w:val="left" w:pos="9240"/>
          <w:tab w:val="left" w:pos="9555"/>
        </w:tabs>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1.2本合同下列术语应解释为：</w:t>
      </w:r>
    </w:p>
    <w:p w14:paraId="76BA09E8">
      <w:pPr>
        <w:tabs>
          <w:tab w:val="left" w:pos="570"/>
          <w:tab w:val="left" w:pos="9240"/>
          <w:tab w:val="left" w:pos="9555"/>
        </w:tabs>
        <w:adjustRightInd w:val="0"/>
        <w:snapToGrid w:val="0"/>
        <w:spacing w:before="156" w:beforeLines="50" w:line="440" w:lineRule="exact"/>
        <w:ind w:right="-92" w:rightChars="-44" w:firstLine="420" w:firstLineChars="200"/>
        <w:rPr>
          <w:rFonts w:hint="eastAsia" w:ascii="宋体" w:hAnsi="宋体" w:cs="宋体"/>
          <w:color w:val="auto"/>
          <w:szCs w:val="21"/>
        </w:rPr>
      </w:pPr>
      <w:r>
        <w:rPr>
          <w:rFonts w:hint="eastAsia" w:ascii="宋体" w:hAnsi="宋体" w:cs="宋体"/>
          <w:color w:val="auto"/>
          <w:szCs w:val="21"/>
        </w:rPr>
        <w:t>（1）“合同”系指甲乙双方签署的、政府采购合同协议书中载明的甲乙双方所达成的协议，包括所有的附件、附录和上述文件所提到的构成合同的所有文件。</w:t>
      </w:r>
    </w:p>
    <w:p w14:paraId="79E232FB">
      <w:pPr>
        <w:tabs>
          <w:tab w:val="left" w:pos="570"/>
          <w:tab w:val="left" w:pos="9240"/>
          <w:tab w:val="left" w:pos="9555"/>
        </w:tabs>
        <w:adjustRightInd w:val="0"/>
        <w:snapToGrid w:val="0"/>
        <w:spacing w:before="156" w:beforeLines="50" w:line="440" w:lineRule="exact"/>
        <w:ind w:right="-92" w:rightChars="-44" w:firstLine="420" w:firstLineChars="200"/>
        <w:rPr>
          <w:rFonts w:hint="eastAsia" w:ascii="宋体" w:hAnsi="宋体" w:cs="宋体"/>
          <w:color w:val="auto"/>
          <w:szCs w:val="21"/>
        </w:rPr>
      </w:pPr>
      <w:r>
        <w:rPr>
          <w:rFonts w:hint="eastAsia" w:ascii="宋体" w:hAnsi="宋体" w:cs="宋体"/>
          <w:color w:val="auto"/>
          <w:szCs w:val="21"/>
        </w:rPr>
        <w:t>（2）“合同价”系指根据本合同规定成交方在正确地完全履行合同义务后业主方应支付给中标方的价款。</w:t>
      </w:r>
    </w:p>
    <w:p w14:paraId="10AC4E8C">
      <w:pPr>
        <w:tabs>
          <w:tab w:val="left" w:pos="570"/>
          <w:tab w:val="left" w:pos="9240"/>
          <w:tab w:val="left" w:pos="9555"/>
        </w:tabs>
        <w:adjustRightInd w:val="0"/>
        <w:snapToGrid w:val="0"/>
        <w:spacing w:before="156" w:beforeLines="50" w:line="440" w:lineRule="exact"/>
        <w:ind w:right="-92" w:rightChars="-44" w:firstLine="420" w:firstLineChars="200"/>
        <w:rPr>
          <w:rFonts w:hint="eastAsia" w:ascii="宋体" w:hAnsi="宋体" w:cs="宋体"/>
          <w:color w:val="auto"/>
          <w:szCs w:val="21"/>
        </w:rPr>
      </w:pPr>
      <w:r>
        <w:rPr>
          <w:rFonts w:hint="eastAsia" w:ascii="宋体" w:hAnsi="宋体" w:cs="宋体"/>
          <w:color w:val="auto"/>
          <w:szCs w:val="21"/>
        </w:rPr>
        <w:t>（3）“合同条款”系指本合同条款。</w:t>
      </w:r>
    </w:p>
    <w:p w14:paraId="65F96115">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2.合同的适用范围</w:t>
      </w:r>
    </w:p>
    <w:p w14:paraId="5F89CA7F">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2.1 本合同条款适用于没有被本合同其他部分的条款所取代的范围。</w:t>
      </w:r>
    </w:p>
    <w:p w14:paraId="7D226C80">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2.2 合同内容根据采购文件、响应文件而确定。</w:t>
      </w:r>
    </w:p>
    <w:p w14:paraId="2734EB85">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3.合同标的及金额</w:t>
      </w:r>
    </w:p>
    <w:p w14:paraId="18A5CA31">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3.1 合同标的及金额应与中标或成交结果一致。</w:t>
      </w:r>
    </w:p>
    <w:p w14:paraId="6C071C25">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4.合同价款</w:t>
      </w:r>
    </w:p>
    <w:p w14:paraId="0C4668C5">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4.1具体合同价款见本合同第3.1条。成交方为履行本合同而发生的所有费用均应包含在合同价款中，业主方不再另行支付</w:t>
      </w:r>
      <w:r>
        <w:rPr>
          <w:rFonts w:hint="eastAsia" w:ascii="宋体" w:hAnsi="宋体" w:cs="宋体"/>
          <w:color w:val="auto"/>
          <w:szCs w:val="21"/>
          <w:lang w:eastAsia="zh-CN"/>
        </w:rPr>
        <w:t>其他</w:t>
      </w:r>
      <w:r>
        <w:rPr>
          <w:rFonts w:hint="eastAsia" w:ascii="宋体" w:hAnsi="宋体" w:cs="宋体"/>
          <w:color w:val="auto"/>
          <w:szCs w:val="21"/>
        </w:rPr>
        <w:t>任何费用。</w:t>
      </w:r>
    </w:p>
    <w:p w14:paraId="334C2C05">
      <w:pPr>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5.履行合同的时间、地点和方式</w:t>
      </w:r>
    </w:p>
    <w:p w14:paraId="1294AC1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5.1 成交方应当在业主方确定的时间、指定的地点履行合同，具体的服务期限、地点和方式见采购文件前附表。</w:t>
      </w:r>
    </w:p>
    <w:p w14:paraId="43D36CE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5.2 成交方提供服务的应当在业主方指定的地点完成服务项目。</w:t>
      </w:r>
    </w:p>
    <w:p w14:paraId="52CB56FF">
      <w:pPr>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6.合同其他内容（略）</w:t>
      </w:r>
    </w:p>
    <w:p w14:paraId="12651786">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7.合同的变更</w:t>
      </w:r>
    </w:p>
    <w:p w14:paraId="32D43EE0">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7.1 在合同履行过程中，甲、乙双方可就合同履行的时间、地点和方式等协商进行变更。协商一致后，双方应签订书面的补充协议。</w:t>
      </w:r>
    </w:p>
    <w:p w14:paraId="219CFBC2">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7.2 在不改变合同其他条款的前提下，业主方有权在合同价款百分之十的范围内追加与合同标的相同的货物或服务，并就此与成交方签订补充合同，成交方不得拒绝。</w:t>
      </w:r>
    </w:p>
    <w:p w14:paraId="6439F825">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7.3 除双方签署书面协议，并成为合同不可分割的一部分外，本合同条件不得有任何变更。</w:t>
      </w:r>
    </w:p>
    <w:p w14:paraId="6A3A4481">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8.合同中止与终止</w:t>
      </w:r>
    </w:p>
    <w:p w14:paraId="1E7C51A5">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8.1合同的</w:t>
      </w:r>
      <w:r>
        <w:rPr>
          <w:rFonts w:hint="eastAsia" w:ascii="宋体" w:hAnsi="宋体" w:cs="宋体"/>
          <w:color w:val="auto"/>
          <w:szCs w:val="21"/>
          <w:lang w:eastAsia="zh-CN"/>
        </w:rPr>
        <w:t>终止</w:t>
      </w:r>
    </w:p>
    <w:p w14:paraId="1355F78D">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（1）合同在履行过程中，因采购计划调整，业主方可以要求中止履行，待计划确定后继续履行；</w:t>
      </w:r>
    </w:p>
    <w:p w14:paraId="38AFD01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（2）合同履行过程中因供应商就采购过程或结果提起投诉的，业主方认为有必要或财政部门责令中止的，应当中止合同的履行。</w:t>
      </w:r>
    </w:p>
    <w:p w14:paraId="2E734DE7">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8.2合同的终止</w:t>
      </w:r>
    </w:p>
    <w:p w14:paraId="535F763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（1）合同因有效期限届满而终止；</w:t>
      </w:r>
    </w:p>
    <w:p w14:paraId="70DD4F37">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（2）成交方未能依照本合同约定条件履行合同，已构成根本性违约的，业主方有权终止本合同，并追究成交方的违约责任。</w:t>
      </w:r>
    </w:p>
    <w:p w14:paraId="7C28E614">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（3）如果成交方丧失履约能力或被宣告破产，业主方可在任何时候以书面形式通知成交方终止合同而不给成交方补偿。</w:t>
      </w:r>
    </w:p>
    <w:p w14:paraId="05A52E7A">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（4）如果成交方在履行合同过程中有不正当竞争行为，业主方有权解除合同，并按《中华人民共和国反不正当竞争法》规定由有关部门追究其法律责任。</w:t>
      </w:r>
    </w:p>
    <w:p w14:paraId="1F4D765A">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（5）如果合同的履行将损害国家利益或社会公共利益，业主方有权终止合同的履行，给成交方造成损失的予以相应补偿。</w:t>
      </w:r>
    </w:p>
    <w:p w14:paraId="6D40BB1A">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9.合同转让和分包</w:t>
      </w:r>
    </w:p>
    <w:p w14:paraId="78F8DE85">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9.1 成交方不得以任何形式将合同转包。</w:t>
      </w:r>
    </w:p>
    <w:p w14:paraId="7FC2609F">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9.2 成交方未在响应文件中说明，不得将合同的非主体、非关键性工作分包给他人。</w:t>
      </w:r>
    </w:p>
    <w:p w14:paraId="1675F3D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9.3 根据政府采购支持中小企业发展政策规定，经业主方同意，获得政府采购合同的大型企业可依法向中小企业分包。</w:t>
      </w:r>
    </w:p>
    <w:p w14:paraId="26243B72">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10.供应商的广告或宣传</w:t>
      </w:r>
    </w:p>
    <w:p w14:paraId="25093802">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未经业主方事先书面许可，成交方不得以履行本政府采购合同为由，以广告或其他形式宣称其是政府采购指定供应商或其产品是政府采购指定产品。</w:t>
      </w:r>
    </w:p>
    <w:p w14:paraId="6AC8E6A3">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11.不可抗力</w:t>
      </w:r>
    </w:p>
    <w:p w14:paraId="493F27EE">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11.1 不可抗力是指合同双方不可预见、不可避免、不可克服的自然灾害和社会事件。</w:t>
      </w:r>
    </w:p>
    <w:p w14:paraId="02167B74">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11.2 任何一方对由于不可抗力造成的部分或全部不能履行合同不承担违约责任。但迟延履行后发生不可抗力的，不能免除责任。</w:t>
      </w:r>
    </w:p>
    <w:p w14:paraId="6E9665CD">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11.3 遇有不可抗力的一方，应在三日内将事件的情况以书面形式通知另一方，并在事件发生后十日内，向另一方提交合同不能履行或部分不能履行或需要延期履行理由的报告。</w:t>
      </w:r>
    </w:p>
    <w:p w14:paraId="35ECF651">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12.解决争议的方法</w:t>
      </w:r>
    </w:p>
    <w:p w14:paraId="30050FCB">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12.1 合同各方应通过友好协商，解决在执行合同过程中所发生的或与合同有关的一切争端。如从协商开始后十日内仍不能解决，可以向财政部门提请调解。</w:t>
      </w:r>
    </w:p>
    <w:p w14:paraId="7BBA50D8">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12.2 调解不成可以按采购文件前附表中规定下列方式之一提起仲裁或诉讼：</w:t>
      </w:r>
    </w:p>
    <w:p w14:paraId="5FBC5747">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（1）向业主方所在地仲裁机构提起仲裁；</w:t>
      </w:r>
    </w:p>
    <w:p w14:paraId="5EFACF4B">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（2）向业主方所在地人民法院提起诉讼。</w:t>
      </w:r>
    </w:p>
    <w:p w14:paraId="16B82197">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12.3 如仲裁或诉讼事项不影响合同</w:t>
      </w:r>
      <w:r>
        <w:rPr>
          <w:rFonts w:hint="eastAsia" w:ascii="宋体" w:hAnsi="宋体" w:cs="宋体"/>
          <w:color w:val="auto"/>
          <w:szCs w:val="21"/>
          <w:lang w:eastAsia="zh-CN"/>
        </w:rPr>
        <w:t>其他部分</w:t>
      </w:r>
      <w:r>
        <w:rPr>
          <w:rFonts w:hint="eastAsia" w:ascii="宋体" w:hAnsi="宋体" w:cs="宋体"/>
          <w:color w:val="auto"/>
          <w:szCs w:val="21"/>
        </w:rPr>
        <w:t>的履行，则在仲裁或诉讼期间，除正在进行仲裁或诉讼的部分外，合同</w:t>
      </w:r>
      <w:r>
        <w:rPr>
          <w:rFonts w:hint="eastAsia" w:ascii="宋体" w:hAnsi="宋体" w:cs="宋体"/>
          <w:color w:val="auto"/>
          <w:szCs w:val="21"/>
          <w:lang w:eastAsia="zh-CN"/>
        </w:rPr>
        <w:t>的其他部分</w:t>
      </w:r>
      <w:r>
        <w:rPr>
          <w:rFonts w:hint="eastAsia" w:ascii="宋体" w:hAnsi="宋体" w:cs="宋体"/>
          <w:color w:val="auto"/>
          <w:szCs w:val="21"/>
        </w:rPr>
        <w:t>应继续执行。</w:t>
      </w:r>
    </w:p>
    <w:p w14:paraId="2BB31BF6">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13.法律适用</w:t>
      </w:r>
    </w:p>
    <w:p w14:paraId="4B75E8BC">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本合同适用中华人民共和国现行法律、行政法规和规章，如合同条款与法律、行政法规和规章不一致的，按照法律、行政法规和规章修改本合同。</w:t>
      </w:r>
    </w:p>
    <w:p w14:paraId="68C7F171">
      <w:pPr>
        <w:autoSpaceDE w:val="0"/>
        <w:autoSpaceDN w:val="0"/>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14.通知</w:t>
      </w:r>
    </w:p>
    <w:p w14:paraId="63F9D03E">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14.1本合同一方给另一方的通知均应采用书面形式，传真或快递送到本合同中规定的对方的地址和办理签收手续，</w:t>
      </w:r>
    </w:p>
    <w:p w14:paraId="4C8AC46D">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14.2通知以</w:t>
      </w:r>
      <w:r>
        <w:rPr>
          <w:rFonts w:hint="eastAsia" w:ascii="宋体" w:hAnsi="宋体" w:cs="宋体"/>
          <w:color w:val="auto"/>
          <w:szCs w:val="21"/>
          <w:lang w:eastAsia="zh-CN"/>
        </w:rPr>
        <w:t>送达</w:t>
      </w:r>
      <w:r>
        <w:rPr>
          <w:rFonts w:hint="eastAsia" w:ascii="宋体" w:hAnsi="宋体" w:cs="宋体"/>
          <w:color w:val="auto"/>
          <w:szCs w:val="21"/>
        </w:rPr>
        <w:t>之日或通知书中规定的生效之日起生效，两者中以较迟之日为准。</w:t>
      </w:r>
    </w:p>
    <w:p w14:paraId="399B54FE">
      <w:pPr>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15. 合同未尽事项</w:t>
      </w:r>
    </w:p>
    <w:p w14:paraId="18BF2934">
      <w:pPr>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24.1合同未尽事项见采购文件前附表。</w:t>
      </w:r>
    </w:p>
    <w:p w14:paraId="43D0C124">
      <w:pPr>
        <w:adjustRightInd w:val="0"/>
        <w:snapToGrid w:val="0"/>
        <w:spacing w:before="156" w:beforeLines="50" w:line="440" w:lineRule="exact"/>
        <w:rPr>
          <w:rFonts w:hint="eastAsia" w:ascii="宋体" w:hAnsi="宋体" w:cs="宋体"/>
          <w:b/>
          <w:color w:val="auto"/>
          <w:szCs w:val="21"/>
        </w:rPr>
      </w:pPr>
      <w:r>
        <w:rPr>
          <w:rFonts w:hint="eastAsia" w:ascii="宋体" w:hAnsi="宋体" w:cs="宋体"/>
          <w:b/>
          <w:color w:val="auto"/>
          <w:szCs w:val="21"/>
        </w:rPr>
        <w:t>16.合同生效</w:t>
      </w:r>
    </w:p>
    <w:p w14:paraId="246AF383">
      <w:pPr>
        <w:autoSpaceDE w:val="0"/>
        <w:autoSpaceDN w:val="0"/>
        <w:adjustRightInd w:val="0"/>
        <w:snapToGrid w:val="0"/>
        <w:spacing w:before="156" w:beforeLines="50" w:line="440" w:lineRule="exact"/>
        <w:ind w:firstLine="420" w:firstLineChars="200"/>
        <w:rPr>
          <w:rFonts w:hint="eastAsia" w:ascii="宋体" w:hAnsi="宋体" w:cs="宋体"/>
          <w:color w:val="auto"/>
          <w:szCs w:val="21"/>
        </w:rPr>
      </w:pPr>
      <w:r>
        <w:rPr>
          <w:rFonts w:hint="eastAsia" w:ascii="宋体" w:hAnsi="宋体" w:cs="宋体"/>
          <w:color w:val="auto"/>
          <w:szCs w:val="21"/>
        </w:rPr>
        <w:t>25.1 本合同在合同双方签字盖章后生效。</w:t>
      </w:r>
    </w:p>
    <w:p w14:paraId="19CC5C73">
      <w:pPr>
        <w:adjustRightInd w:val="0"/>
        <w:snapToGrid w:val="0"/>
        <w:spacing w:line="440" w:lineRule="exact"/>
        <w:ind w:firstLine="420" w:firstLineChars="200"/>
        <w:rPr>
          <w:rFonts w:hint="eastAsia" w:ascii="宋体" w:hAnsi="宋体" w:cs="宋体"/>
          <w:bCs/>
          <w:color w:val="auto"/>
          <w:szCs w:val="21"/>
        </w:rPr>
      </w:pPr>
    </w:p>
    <w:p w14:paraId="26CCF761">
      <w:pPr>
        <w:adjustRightInd w:val="0"/>
        <w:snapToGrid w:val="0"/>
        <w:spacing w:before="156" w:beforeLines="50" w:line="360" w:lineRule="auto"/>
        <w:rPr>
          <w:rFonts w:hint="eastAsia" w:ascii="宋体" w:hAnsi="宋体" w:cs="宋体"/>
          <w:b/>
          <w:color w:val="auto"/>
          <w:szCs w:val="21"/>
        </w:rPr>
      </w:pPr>
    </w:p>
    <w:p w14:paraId="1AF28223">
      <w:pPr>
        <w:adjustRightInd w:val="0"/>
        <w:snapToGrid w:val="0"/>
        <w:spacing w:before="156" w:beforeLines="50" w:line="360" w:lineRule="auto"/>
        <w:jc w:val="center"/>
        <w:rPr>
          <w:rFonts w:hint="eastAsia" w:ascii="宋体" w:hAnsi="宋体" w:cs="宋体"/>
          <w:b/>
          <w:color w:val="auto"/>
          <w:szCs w:val="21"/>
        </w:rPr>
      </w:pPr>
    </w:p>
    <w:p w14:paraId="5BFCB834">
      <w:pPr>
        <w:pStyle w:val="10"/>
        <w:ind w:firstLine="422"/>
        <w:rPr>
          <w:rFonts w:hint="eastAsia" w:ascii="宋体" w:hAnsi="宋体" w:cs="宋体"/>
          <w:b/>
          <w:color w:val="auto"/>
        </w:rPr>
      </w:pPr>
    </w:p>
    <w:p w14:paraId="0D10F194">
      <w:pPr>
        <w:pStyle w:val="10"/>
        <w:ind w:firstLine="422"/>
        <w:rPr>
          <w:rFonts w:hint="eastAsia" w:ascii="宋体" w:hAnsi="宋体" w:cs="宋体"/>
          <w:b/>
          <w:color w:val="auto"/>
        </w:rPr>
      </w:pPr>
    </w:p>
    <w:p w14:paraId="49022249">
      <w:pPr>
        <w:pStyle w:val="10"/>
        <w:ind w:firstLine="422"/>
        <w:rPr>
          <w:rFonts w:hint="eastAsia" w:ascii="宋体" w:hAnsi="宋体" w:cs="宋体"/>
          <w:b/>
          <w:color w:val="auto"/>
        </w:rPr>
      </w:pPr>
    </w:p>
    <w:p w14:paraId="609CCAC8">
      <w:pPr>
        <w:pStyle w:val="10"/>
        <w:ind w:firstLine="422"/>
        <w:rPr>
          <w:rFonts w:hint="eastAsia" w:ascii="宋体" w:hAnsi="宋体" w:cs="宋体"/>
          <w:b/>
          <w:color w:val="auto"/>
        </w:rPr>
      </w:pPr>
    </w:p>
    <w:p w14:paraId="6EA22C0C">
      <w:pPr>
        <w:pStyle w:val="10"/>
        <w:ind w:firstLine="422"/>
        <w:rPr>
          <w:rFonts w:hint="eastAsia" w:ascii="宋体" w:hAnsi="宋体" w:cs="宋体"/>
          <w:b/>
          <w:color w:val="auto"/>
        </w:rPr>
      </w:pPr>
    </w:p>
    <w:p w14:paraId="261331D5">
      <w:pPr>
        <w:pStyle w:val="10"/>
        <w:ind w:firstLine="422"/>
        <w:rPr>
          <w:rFonts w:hint="eastAsia" w:ascii="宋体" w:hAnsi="宋体" w:cs="宋体"/>
          <w:b/>
          <w:color w:val="auto"/>
        </w:rPr>
      </w:pPr>
    </w:p>
    <w:p w14:paraId="1341AD76">
      <w:pPr>
        <w:pStyle w:val="10"/>
        <w:ind w:firstLine="422"/>
        <w:rPr>
          <w:rFonts w:hint="eastAsia" w:ascii="宋体" w:hAnsi="宋体" w:cs="宋体"/>
          <w:b/>
          <w:color w:val="auto"/>
        </w:rPr>
      </w:pPr>
    </w:p>
    <w:p w14:paraId="2433FB99">
      <w:pPr>
        <w:pStyle w:val="10"/>
        <w:ind w:firstLine="422"/>
        <w:rPr>
          <w:rFonts w:hint="eastAsia" w:ascii="宋体" w:hAnsi="宋体" w:cs="宋体"/>
          <w:b/>
          <w:color w:val="auto"/>
        </w:rPr>
      </w:pPr>
    </w:p>
    <w:p w14:paraId="1D63A454">
      <w:pPr>
        <w:pStyle w:val="10"/>
        <w:ind w:firstLine="422"/>
        <w:rPr>
          <w:rFonts w:hint="eastAsia" w:ascii="宋体" w:hAnsi="宋体" w:cs="宋体"/>
          <w:b/>
          <w:color w:val="auto"/>
        </w:rPr>
      </w:pPr>
    </w:p>
    <w:p w14:paraId="2DAFA778">
      <w:pPr>
        <w:pStyle w:val="10"/>
        <w:ind w:firstLine="422"/>
        <w:rPr>
          <w:rFonts w:hint="eastAsia" w:ascii="宋体" w:hAnsi="宋体" w:cs="宋体"/>
          <w:b/>
          <w:color w:val="auto"/>
        </w:rPr>
      </w:pPr>
    </w:p>
    <w:p w14:paraId="4646C04C">
      <w:pPr>
        <w:pStyle w:val="10"/>
        <w:ind w:firstLine="422"/>
        <w:rPr>
          <w:rFonts w:hint="eastAsia" w:ascii="宋体" w:hAnsi="宋体" w:cs="宋体"/>
          <w:b/>
          <w:color w:val="auto"/>
        </w:rPr>
      </w:pPr>
    </w:p>
    <w:p w14:paraId="4DEACD31">
      <w:pPr>
        <w:pStyle w:val="10"/>
        <w:ind w:firstLine="422"/>
        <w:rPr>
          <w:rFonts w:hint="eastAsia" w:ascii="宋体" w:hAnsi="宋体" w:cs="宋体"/>
          <w:b/>
          <w:color w:val="auto"/>
        </w:rPr>
      </w:pPr>
    </w:p>
    <w:p w14:paraId="68FB02BE">
      <w:pPr>
        <w:pStyle w:val="10"/>
        <w:ind w:firstLine="422"/>
        <w:rPr>
          <w:rFonts w:hint="eastAsia" w:ascii="宋体" w:hAnsi="宋体" w:cs="宋体"/>
          <w:b/>
          <w:color w:val="auto"/>
        </w:rPr>
      </w:pPr>
    </w:p>
    <w:p w14:paraId="2C30880B">
      <w:pPr>
        <w:pStyle w:val="10"/>
        <w:ind w:firstLine="422"/>
        <w:rPr>
          <w:rFonts w:hint="eastAsia" w:ascii="宋体" w:hAnsi="宋体" w:cs="宋体"/>
          <w:b/>
          <w:color w:val="auto"/>
        </w:rPr>
      </w:pPr>
    </w:p>
    <w:p w14:paraId="705AD1FC">
      <w:pPr>
        <w:pStyle w:val="10"/>
        <w:ind w:firstLine="422"/>
        <w:rPr>
          <w:rFonts w:hint="eastAsia" w:ascii="宋体" w:hAnsi="宋体" w:cs="宋体"/>
          <w:b/>
          <w:color w:val="auto"/>
        </w:rPr>
      </w:pPr>
    </w:p>
    <w:p w14:paraId="1010005E">
      <w:pPr>
        <w:pStyle w:val="10"/>
        <w:ind w:firstLine="422"/>
        <w:rPr>
          <w:rFonts w:hint="eastAsia" w:ascii="宋体" w:hAnsi="宋体" w:cs="宋体"/>
          <w:b/>
          <w:color w:val="auto"/>
        </w:rPr>
      </w:pPr>
    </w:p>
    <w:p w14:paraId="574D2AE6">
      <w:pPr>
        <w:pStyle w:val="10"/>
        <w:ind w:firstLine="422"/>
        <w:rPr>
          <w:rFonts w:hint="eastAsia" w:ascii="宋体" w:hAnsi="宋体" w:cs="宋体"/>
          <w:b/>
          <w:color w:val="auto"/>
        </w:rPr>
      </w:pPr>
    </w:p>
    <w:p w14:paraId="2D9A3E2D">
      <w:pPr>
        <w:pStyle w:val="10"/>
        <w:ind w:firstLine="422"/>
        <w:rPr>
          <w:rFonts w:hint="eastAsia" w:ascii="宋体" w:hAnsi="宋体" w:cs="宋体"/>
          <w:b/>
          <w:color w:val="auto"/>
        </w:rPr>
      </w:pPr>
    </w:p>
    <w:p w14:paraId="0417E92D">
      <w:pPr>
        <w:pStyle w:val="10"/>
        <w:ind w:firstLine="422"/>
        <w:rPr>
          <w:rFonts w:hint="eastAsia" w:ascii="宋体" w:hAnsi="宋体" w:cs="宋体"/>
          <w:b/>
          <w:color w:val="auto"/>
        </w:rPr>
      </w:pPr>
    </w:p>
    <w:p w14:paraId="25E8546F">
      <w:pPr>
        <w:pStyle w:val="10"/>
        <w:ind w:firstLine="422"/>
        <w:rPr>
          <w:rFonts w:hint="eastAsia" w:ascii="宋体" w:hAnsi="宋体" w:cs="宋体"/>
          <w:b/>
          <w:color w:val="auto"/>
        </w:rPr>
      </w:pPr>
    </w:p>
    <w:p w14:paraId="3BD6DBE8">
      <w:pPr>
        <w:pStyle w:val="10"/>
        <w:ind w:firstLine="422"/>
        <w:rPr>
          <w:rFonts w:hint="eastAsia" w:ascii="宋体" w:hAnsi="宋体" w:cs="宋体"/>
          <w:b/>
          <w:color w:val="auto"/>
        </w:rPr>
      </w:pPr>
    </w:p>
    <w:p w14:paraId="245A0F2D">
      <w:pPr>
        <w:pStyle w:val="10"/>
        <w:ind w:firstLine="422"/>
        <w:rPr>
          <w:rFonts w:hint="eastAsia" w:ascii="宋体" w:hAnsi="宋体" w:cs="宋体"/>
          <w:b/>
          <w:color w:val="auto"/>
        </w:rPr>
      </w:pPr>
    </w:p>
    <w:p w14:paraId="735E5A66">
      <w:pPr>
        <w:pStyle w:val="10"/>
        <w:ind w:firstLine="422"/>
        <w:rPr>
          <w:rFonts w:hint="eastAsia" w:ascii="宋体" w:hAnsi="宋体" w:cs="宋体"/>
          <w:b/>
          <w:color w:val="auto"/>
        </w:rPr>
      </w:pPr>
    </w:p>
    <w:p w14:paraId="7BCDFD9A">
      <w:pPr>
        <w:pStyle w:val="10"/>
        <w:ind w:firstLine="422"/>
        <w:rPr>
          <w:rFonts w:hint="eastAsia" w:ascii="宋体" w:hAnsi="宋体" w:cs="宋体"/>
          <w:b/>
          <w:color w:val="auto"/>
        </w:rPr>
      </w:pPr>
    </w:p>
    <w:p w14:paraId="38131088">
      <w:pPr>
        <w:pStyle w:val="10"/>
        <w:ind w:firstLine="422"/>
        <w:rPr>
          <w:rFonts w:hint="eastAsia" w:ascii="宋体" w:hAnsi="宋体" w:cs="宋体"/>
          <w:b/>
          <w:color w:val="auto"/>
        </w:rPr>
      </w:pPr>
    </w:p>
    <w:p w14:paraId="5D5A509E">
      <w:pPr>
        <w:pStyle w:val="10"/>
        <w:ind w:firstLine="422"/>
        <w:rPr>
          <w:rFonts w:hint="eastAsia" w:ascii="宋体" w:hAnsi="宋体" w:cs="宋体"/>
          <w:b/>
          <w:color w:val="auto"/>
        </w:rPr>
      </w:pPr>
    </w:p>
    <w:p w14:paraId="333BC5F7">
      <w:pPr>
        <w:pStyle w:val="10"/>
        <w:ind w:firstLine="422"/>
        <w:outlineLvl w:val="1"/>
        <w:rPr>
          <w:rFonts w:hint="eastAsia" w:ascii="宋体" w:hAnsi="宋体" w:cs="宋体"/>
          <w:b/>
          <w:color w:val="auto"/>
        </w:rPr>
      </w:pPr>
      <w:bookmarkStart w:id="3" w:name="_Toc17931"/>
      <w:r>
        <w:rPr>
          <w:rFonts w:hint="eastAsia" w:ascii="宋体" w:hAnsi="宋体" w:cs="宋体"/>
          <w:b/>
          <w:bCs/>
          <w:color w:val="auto"/>
          <w:lang w:eastAsia="zh-CN"/>
        </w:rPr>
        <w:t>三、政府采购合同专用条款</w:t>
      </w:r>
      <w:bookmarkEnd w:id="3"/>
    </w:p>
    <w:p w14:paraId="2AA4355A">
      <w:pPr>
        <w:adjustRightInd w:val="0"/>
        <w:snapToGrid w:val="0"/>
        <w:spacing w:line="440" w:lineRule="exact"/>
        <w:jc w:val="center"/>
        <w:outlineLvl w:val="0"/>
        <w:rPr>
          <w:rFonts w:hint="eastAsia" w:ascii="宋体" w:hAnsi="宋体" w:cs="宋体"/>
          <w:b/>
          <w:color w:val="auto"/>
          <w:szCs w:val="21"/>
        </w:rPr>
      </w:pPr>
      <w:bookmarkStart w:id="4" w:name="_Toc18137"/>
      <w:r>
        <w:rPr>
          <w:rFonts w:hint="eastAsia" w:ascii="宋体" w:hAnsi="宋体" w:cs="宋体"/>
          <w:b/>
          <w:color w:val="auto"/>
          <w:szCs w:val="21"/>
        </w:rPr>
        <w:t>政府采购合同专用条款</w:t>
      </w:r>
      <w:bookmarkEnd w:id="4"/>
    </w:p>
    <w:p w14:paraId="265695D5">
      <w:pPr>
        <w:adjustRightInd w:val="0"/>
        <w:snapToGrid w:val="0"/>
        <w:spacing w:line="440" w:lineRule="exact"/>
        <w:ind w:firstLine="420" w:firstLineChars="200"/>
        <w:rPr>
          <w:rFonts w:hint="eastAsia" w:ascii="宋体" w:hAnsi="宋体" w:cs="宋体"/>
          <w:bCs/>
          <w:color w:val="auto"/>
          <w:szCs w:val="21"/>
        </w:rPr>
      </w:pPr>
    </w:p>
    <w:p w14:paraId="4467203E">
      <w:pPr>
        <w:adjustRightInd w:val="0"/>
        <w:snapToGri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服务类政府采购合同格式文本</w:t>
      </w:r>
      <w:r>
        <w:rPr>
          <w:rFonts w:hint="eastAsia" w:ascii="宋体" w:hAnsi="宋体" w:cs="宋体"/>
          <w:color w:val="auto"/>
          <w:szCs w:val="21"/>
        </w:rPr>
        <w:t>省级以上政府部门或行业组织有标准或示范文本的，应按照其文本确定</w:t>
      </w:r>
      <w:r>
        <w:rPr>
          <w:rFonts w:hint="eastAsia" w:ascii="宋体" w:hAnsi="宋体" w:cs="宋体"/>
          <w:bCs/>
          <w:color w:val="auto"/>
          <w:szCs w:val="21"/>
        </w:rPr>
        <w:t>合同格式</w:t>
      </w:r>
      <w:r>
        <w:rPr>
          <w:rFonts w:hint="eastAsia" w:ascii="宋体" w:hAnsi="宋体" w:cs="宋体"/>
          <w:color w:val="auto"/>
          <w:szCs w:val="21"/>
        </w:rPr>
        <w:t>。没有文本的，按照《中华人民共和国民法典》及采购项目特点自行拟定特定文本确定</w:t>
      </w:r>
      <w:r>
        <w:rPr>
          <w:rFonts w:hint="eastAsia" w:ascii="宋体" w:hAnsi="宋体" w:cs="宋体"/>
          <w:bCs/>
          <w:color w:val="auto"/>
          <w:szCs w:val="21"/>
        </w:rPr>
        <w:t>合同格式</w:t>
      </w:r>
      <w:r>
        <w:rPr>
          <w:rFonts w:hint="eastAsia" w:ascii="宋体" w:hAnsi="宋体" w:cs="宋体"/>
          <w:color w:val="auto"/>
          <w:szCs w:val="21"/>
        </w:rPr>
        <w:t>。</w:t>
      </w:r>
    </w:p>
    <w:p w14:paraId="4AFEB0ED">
      <w:pPr>
        <w:adjustRightInd w:val="0"/>
        <w:snapToGrid w:val="0"/>
        <w:spacing w:line="360" w:lineRule="auto"/>
        <w:ind w:firstLine="422" w:firstLineChars="200"/>
        <w:rPr>
          <w:rFonts w:hint="eastAsia" w:ascii="宋体" w:hAnsi="宋体" w:cs="宋体"/>
          <w:b/>
          <w:color w:val="auto"/>
          <w:szCs w:val="21"/>
        </w:rPr>
      </w:pPr>
    </w:p>
    <w:p w14:paraId="5C97A999">
      <w:pPr>
        <w:tabs>
          <w:tab w:val="left" w:pos="8820"/>
          <w:tab w:val="left" w:pos="9345"/>
          <w:tab w:val="left" w:pos="9765"/>
        </w:tabs>
        <w:adjustRightInd w:val="0"/>
        <w:snapToGrid w:val="0"/>
        <w:spacing w:line="360" w:lineRule="auto"/>
        <w:ind w:firstLine="422" w:firstLineChars="200"/>
        <w:rPr>
          <w:rFonts w:hint="eastAsia" w:ascii="宋体" w:hAnsi="宋体" w:cs="宋体"/>
          <w:b/>
          <w:bCs/>
          <w:color w:val="auto"/>
          <w:szCs w:val="21"/>
        </w:rPr>
      </w:pPr>
    </w:p>
    <w:p w14:paraId="3D5E5D66">
      <w:pPr>
        <w:jc w:val="center"/>
        <w:outlineLvl w:val="0"/>
        <w:rPr>
          <w:rFonts w:hint="eastAsia" w:ascii="宋体" w:hAnsi="宋体" w:cs="宋体"/>
          <w:b/>
          <w:color w:val="auto"/>
          <w:sz w:val="32"/>
          <w:szCs w:val="32"/>
        </w:rPr>
      </w:pPr>
      <w:r>
        <w:rPr>
          <w:rFonts w:hint="eastAsia" w:ascii="宋体" w:hAnsi="宋体" w:cs="宋体"/>
          <w:b/>
          <w:color w:val="auto"/>
          <w:sz w:val="32"/>
          <w:szCs w:val="32"/>
        </w:rPr>
        <w:br w:type="page"/>
      </w:r>
      <w:bookmarkStart w:id="5" w:name="_Toc22398"/>
      <w:bookmarkStart w:id="6" w:name="_Hlk47558455"/>
      <w:r>
        <w:rPr>
          <w:rFonts w:hint="eastAsia" w:ascii="宋体" w:hAnsi="宋体" w:cs="宋体"/>
          <w:b/>
          <w:color w:val="auto"/>
          <w:sz w:val="32"/>
          <w:szCs w:val="32"/>
        </w:rPr>
        <w:t xml:space="preserve">第五章 </w:t>
      </w:r>
      <w:bookmarkStart w:id="7" w:name="_Hlk43126220"/>
      <w:bookmarkStart w:id="8" w:name="_Hlk48053820"/>
      <w:r>
        <w:rPr>
          <w:rFonts w:hint="eastAsia" w:ascii="宋体" w:hAnsi="宋体" w:cs="宋体"/>
          <w:b/>
          <w:color w:val="auto"/>
          <w:sz w:val="32"/>
          <w:szCs w:val="32"/>
        </w:rPr>
        <w:t>采购需求</w:t>
      </w:r>
      <w:bookmarkEnd w:id="5"/>
    </w:p>
    <w:p w14:paraId="4B3EC366">
      <w:pPr>
        <w:adjustRightInd w:val="0"/>
        <w:snapToGrid w:val="0"/>
        <w:spacing w:line="520" w:lineRule="exact"/>
        <w:jc w:val="left"/>
        <w:outlineLvl w:val="1"/>
        <w:rPr>
          <w:rFonts w:hint="eastAsia" w:ascii="宋体" w:hAnsi="宋体" w:cs="宋体"/>
          <w:b/>
          <w:color w:val="auto"/>
          <w:szCs w:val="21"/>
        </w:rPr>
      </w:pPr>
      <w:bookmarkStart w:id="9" w:name="_Toc14032"/>
      <w:r>
        <w:rPr>
          <w:rFonts w:hint="eastAsia" w:ascii="宋体" w:hAnsi="宋体" w:cs="宋体"/>
          <w:b/>
          <w:color w:val="auto"/>
          <w:szCs w:val="21"/>
        </w:rPr>
        <w:t>一、项目概况：</w:t>
      </w:r>
      <w:bookmarkEnd w:id="9"/>
    </w:p>
    <w:p w14:paraId="7A8146F2">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1</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项目名称：</w:t>
      </w:r>
      <w:r>
        <w:rPr>
          <w:rFonts w:hint="eastAsia" w:ascii="宋体" w:hAnsi="宋体" w:eastAsia="宋体" w:cs="宋体"/>
          <w:color w:val="auto"/>
          <w:kern w:val="0"/>
          <w:szCs w:val="21"/>
          <w:lang w:eastAsia="zh-CN"/>
        </w:rPr>
        <w:t>株洲高新区、天元区融媒体中心采编服务采购项目</w:t>
      </w:r>
    </w:p>
    <w:p w14:paraId="2E8F9F1C">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政府采购编号：</w:t>
      </w:r>
      <w:r>
        <w:rPr>
          <w:rFonts w:hint="eastAsia" w:ascii="宋体" w:hAnsi="宋体" w:eastAsia="宋体" w:cs="宋体"/>
          <w:color w:val="auto"/>
          <w:kern w:val="0"/>
          <w:szCs w:val="21"/>
          <w:lang w:eastAsia="zh-CN"/>
        </w:rPr>
        <w:t>株天财采计[2026]000039号</w:t>
      </w:r>
      <w:r>
        <w:rPr>
          <w:rFonts w:hint="eastAsia" w:ascii="宋体" w:hAnsi="宋体" w:eastAsia="宋体" w:cs="宋体"/>
          <w:color w:val="auto"/>
          <w:kern w:val="0"/>
          <w:szCs w:val="21"/>
        </w:rPr>
        <w:t>；委托代理编号：</w:t>
      </w:r>
      <w:r>
        <w:rPr>
          <w:rFonts w:hint="eastAsia" w:ascii="宋体" w:hAnsi="宋体" w:eastAsia="宋体" w:cs="宋体"/>
          <w:color w:val="auto"/>
          <w:kern w:val="0"/>
          <w:szCs w:val="21"/>
          <w:lang w:eastAsia="zh-CN"/>
        </w:rPr>
        <w:t>JYCZ202602020</w:t>
      </w:r>
    </w:p>
    <w:p w14:paraId="1ABABC2E">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3.采购预算：¥430000.00元</w:t>
      </w:r>
    </w:p>
    <w:p w14:paraId="40440395">
      <w:pPr>
        <w:adjustRightInd w:val="0"/>
        <w:snapToGrid w:val="0"/>
        <w:spacing w:line="520" w:lineRule="exact"/>
        <w:jc w:val="left"/>
        <w:outlineLvl w:val="1"/>
        <w:rPr>
          <w:rFonts w:hint="eastAsia" w:ascii="宋体" w:hAnsi="宋体" w:eastAsia="宋体" w:cs="宋体"/>
          <w:b/>
          <w:color w:val="auto"/>
          <w:szCs w:val="21"/>
          <w:lang w:eastAsia="zh-CN"/>
        </w:rPr>
      </w:pPr>
      <w:r>
        <w:rPr>
          <w:rFonts w:hint="eastAsia" w:ascii="宋体" w:hAnsi="宋体" w:eastAsia="宋体" w:cs="宋体"/>
          <w:b/>
          <w:color w:val="auto"/>
          <w:szCs w:val="21"/>
        </w:rPr>
        <w:t>二、</w:t>
      </w:r>
      <w:r>
        <w:rPr>
          <w:rFonts w:hint="eastAsia" w:ascii="宋体" w:hAnsi="宋体" w:eastAsia="宋体" w:cs="宋体"/>
          <w:b/>
          <w:color w:val="auto"/>
          <w:szCs w:val="21"/>
          <w:lang w:eastAsia="zh-CN"/>
        </w:rPr>
        <w:t>服务内容及要求</w:t>
      </w:r>
    </w:p>
    <w:p w14:paraId="6E17F809">
      <w:pPr>
        <w:pageBreakBefore w:val="0"/>
        <w:widowControl/>
        <w:kinsoku/>
        <w:wordWrap/>
        <w:overflowPunct/>
        <w:topLinePunct w:val="0"/>
        <w:autoSpaceDE/>
        <w:autoSpaceDN/>
        <w:bidi w:val="0"/>
        <w:adjustRightInd w:val="0"/>
        <w:snapToGrid w:val="0"/>
        <w:spacing w:beforeAutospacing="0" w:afterAutospacing="0" w:line="440" w:lineRule="exact"/>
        <w:ind w:firstLine="422" w:firstLineChars="200"/>
        <w:jc w:val="left"/>
        <w:textAlignment w:val="auto"/>
        <w:rPr>
          <w:rFonts w:hint="eastAsia" w:ascii="宋体" w:hAnsi="宋体" w:eastAsia="宋体" w:cs="宋体"/>
          <w:b/>
          <w:bCs/>
          <w:color w:val="000000"/>
          <w:kern w:val="0"/>
          <w:szCs w:val="21"/>
        </w:rPr>
      </w:pPr>
      <w:r>
        <w:rPr>
          <w:rFonts w:hint="eastAsia" w:ascii="宋体" w:hAnsi="宋体" w:eastAsia="宋体" w:cs="宋体"/>
          <w:b/>
          <w:bCs/>
          <w:color w:val="000000"/>
          <w:kern w:val="0"/>
          <w:szCs w:val="21"/>
          <w:lang w:val="en-US" w:eastAsia="zh-CN"/>
        </w:rPr>
        <w:t>1.</w:t>
      </w:r>
      <w:r>
        <w:rPr>
          <w:rFonts w:hint="eastAsia" w:ascii="宋体" w:hAnsi="宋体" w:eastAsia="宋体" w:cs="宋体"/>
          <w:b/>
          <w:bCs/>
          <w:color w:val="000000"/>
          <w:kern w:val="0"/>
          <w:szCs w:val="21"/>
        </w:rPr>
        <w:t>日常采编服务</w:t>
      </w:r>
    </w:p>
    <w:p w14:paraId="20BD375A">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cs="宋体"/>
          <w:color w:val="000000"/>
          <w:kern w:val="0"/>
          <w:szCs w:val="21"/>
          <w:lang w:eastAsia="zh-CN"/>
        </w:rPr>
        <w:t>围绕株洲高新区、天元区大型会议、活动，以及民生、农业农村、产业、经济建设、</w:t>
      </w:r>
      <w:r>
        <w:rPr>
          <w:rFonts w:hint="eastAsia"/>
          <w:vertAlign w:val="baseline"/>
          <w:lang w:val="en-US" w:eastAsia="zh-CN"/>
        </w:rPr>
        <w:t>产业项目建设、招商引资、企业服务、对外开放</w:t>
      </w:r>
      <w:r>
        <w:rPr>
          <w:rFonts w:hint="eastAsia" w:ascii="宋体" w:hAnsi="宋体" w:cs="宋体"/>
          <w:color w:val="000000"/>
          <w:kern w:val="0"/>
          <w:szCs w:val="21"/>
          <w:lang w:eastAsia="zh-CN"/>
        </w:rPr>
        <w:t>等内容编发高质量新闻稿件。</w:t>
      </w:r>
    </w:p>
    <w:p w14:paraId="4537F8E7">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eastAsia="zh-CN"/>
        </w:rPr>
      </w:pP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2</w:t>
      </w:r>
      <w:r>
        <w:rPr>
          <w:rFonts w:hint="eastAsia" w:ascii="宋体" w:hAnsi="宋体" w:cs="宋体"/>
          <w:color w:val="000000"/>
          <w:kern w:val="0"/>
          <w:szCs w:val="21"/>
          <w:lang w:eastAsia="zh-CN"/>
        </w:rPr>
        <w:t>）要求</w:t>
      </w:r>
      <w:r>
        <w:rPr>
          <w:rFonts w:hint="eastAsia" w:ascii="宋体" w:hAnsi="宋体" w:eastAsia="宋体" w:cs="宋体"/>
          <w:strike w:val="0"/>
          <w:dstrike w:val="0"/>
          <w:color w:val="auto"/>
          <w:kern w:val="0"/>
          <w:szCs w:val="21"/>
          <w:lang w:val="en-US" w:eastAsia="zh-CN"/>
        </w:rPr>
        <w:t>服务期内</w:t>
      </w:r>
      <w:r>
        <w:rPr>
          <w:rFonts w:hint="eastAsia" w:ascii="宋体" w:hAnsi="宋体" w:eastAsia="宋体" w:cs="宋体"/>
          <w:color w:val="auto"/>
          <w:kern w:val="0"/>
          <w:szCs w:val="21"/>
        </w:rPr>
        <w:t>保证提供新闻稿件不少于</w:t>
      </w:r>
      <w:r>
        <w:rPr>
          <w:rFonts w:hint="eastAsia" w:ascii="宋体" w:hAnsi="宋体" w:eastAsia="宋体" w:cs="宋体"/>
          <w:color w:val="auto"/>
          <w:kern w:val="0"/>
          <w:szCs w:val="21"/>
          <w:lang w:val="en-US" w:eastAsia="zh-CN"/>
        </w:rPr>
        <w:t>384</w:t>
      </w:r>
      <w:r>
        <w:rPr>
          <w:rFonts w:hint="eastAsia" w:ascii="宋体" w:hAnsi="宋体" w:eastAsia="宋体" w:cs="宋体"/>
          <w:color w:val="auto"/>
          <w:kern w:val="0"/>
          <w:szCs w:val="21"/>
        </w:rPr>
        <w:t>篇</w:t>
      </w:r>
      <w:r>
        <w:rPr>
          <w:rFonts w:hint="eastAsia" w:ascii="宋体" w:hAnsi="宋体" w:cs="宋体"/>
          <w:color w:val="auto"/>
          <w:kern w:val="0"/>
          <w:szCs w:val="21"/>
          <w:lang w:eastAsia="zh-CN"/>
        </w:rPr>
        <w:t>，</w:t>
      </w:r>
      <w:r>
        <w:rPr>
          <w:rFonts w:hint="eastAsia" w:ascii="宋体" w:hAnsi="宋体" w:eastAsia="宋体" w:cs="宋体"/>
          <w:color w:val="auto"/>
          <w:kern w:val="0"/>
          <w:szCs w:val="21"/>
        </w:rPr>
        <w:t>每月</w:t>
      </w:r>
      <w:r>
        <w:rPr>
          <w:rFonts w:hint="eastAsia" w:ascii="宋体" w:hAnsi="宋体" w:cs="宋体"/>
          <w:color w:val="auto"/>
          <w:kern w:val="0"/>
          <w:szCs w:val="21"/>
          <w:lang w:eastAsia="zh-CN"/>
        </w:rPr>
        <w:t>平均</w:t>
      </w:r>
      <w:r>
        <w:rPr>
          <w:rFonts w:hint="eastAsia" w:ascii="宋体" w:hAnsi="宋体" w:eastAsia="宋体" w:cs="宋体"/>
          <w:color w:val="auto"/>
          <w:kern w:val="0"/>
          <w:szCs w:val="21"/>
        </w:rPr>
        <w:t>不少于3</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篇</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稿件形式不限，包括文字、图片、视频等，</w:t>
      </w:r>
      <w:r>
        <w:rPr>
          <w:rFonts w:hint="eastAsia" w:ascii="宋体" w:hAnsi="宋体" w:eastAsia="宋体" w:cs="宋体"/>
          <w:color w:val="auto"/>
          <w:kern w:val="0"/>
          <w:szCs w:val="21"/>
          <w:lang w:eastAsia="zh-CN"/>
        </w:rPr>
        <w:t>确保</w:t>
      </w:r>
      <w:r>
        <w:rPr>
          <w:rFonts w:hint="eastAsia" w:ascii="宋体" w:hAnsi="宋体" w:eastAsia="宋体" w:cs="宋体"/>
          <w:color w:val="auto"/>
          <w:kern w:val="0"/>
          <w:szCs w:val="21"/>
        </w:rPr>
        <w:t>稿件质量和时效</w:t>
      </w:r>
      <w:r>
        <w:rPr>
          <w:rFonts w:hint="eastAsia" w:ascii="宋体" w:hAnsi="宋体" w:eastAsia="宋体" w:cs="宋体"/>
          <w:color w:val="auto"/>
          <w:kern w:val="0"/>
          <w:szCs w:val="21"/>
          <w:lang w:eastAsia="zh-CN"/>
        </w:rPr>
        <w:t>。</w:t>
      </w:r>
    </w:p>
    <w:p w14:paraId="3C78DB16">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对天元区</w:t>
      </w:r>
      <w:r>
        <w:rPr>
          <w:rFonts w:hint="eastAsia" w:ascii="宋体" w:hAnsi="宋体" w:eastAsia="宋体" w:cs="宋体"/>
          <w:color w:val="auto"/>
          <w:kern w:val="0"/>
          <w:szCs w:val="21"/>
        </w:rPr>
        <w:t>突发的临时性新闻采访，</w:t>
      </w:r>
      <w:r>
        <w:rPr>
          <w:rFonts w:hint="eastAsia" w:ascii="宋体" w:hAnsi="宋体" w:eastAsia="宋体" w:cs="宋体"/>
          <w:color w:val="auto"/>
          <w:kern w:val="0"/>
          <w:szCs w:val="21"/>
          <w:lang w:val="en-US" w:eastAsia="zh-CN"/>
        </w:rPr>
        <w:t>抢抓新闻时效性，需随时待命，</w:t>
      </w:r>
      <w:r>
        <w:rPr>
          <w:rFonts w:hint="eastAsia" w:ascii="宋体" w:hAnsi="宋体" w:eastAsia="宋体" w:cs="宋体"/>
          <w:color w:val="auto"/>
          <w:kern w:val="0"/>
          <w:szCs w:val="21"/>
        </w:rPr>
        <w:t>稿件采访必须安排到位</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确保第一时间发布</w:t>
      </w:r>
      <w:r>
        <w:rPr>
          <w:rFonts w:hint="eastAsia" w:ascii="宋体" w:hAnsi="宋体" w:eastAsia="宋体" w:cs="宋体"/>
          <w:color w:val="auto"/>
          <w:kern w:val="0"/>
          <w:szCs w:val="21"/>
          <w:lang w:eastAsia="zh-CN"/>
        </w:rPr>
        <w:t>。</w:t>
      </w:r>
    </w:p>
    <w:p w14:paraId="4CC4D4F2">
      <w:pPr>
        <w:pageBreakBefore w:val="0"/>
        <w:widowControl/>
        <w:kinsoku/>
        <w:wordWrap/>
        <w:overflowPunct/>
        <w:topLinePunct w:val="0"/>
        <w:autoSpaceDE/>
        <w:autoSpaceDN/>
        <w:bidi w:val="0"/>
        <w:adjustRightInd w:val="0"/>
        <w:snapToGrid w:val="0"/>
        <w:spacing w:beforeAutospacing="0" w:afterAutospacing="0" w:line="440" w:lineRule="exact"/>
        <w:ind w:firstLine="422" w:firstLineChars="200"/>
        <w:jc w:val="left"/>
        <w:textAlignment w:val="auto"/>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2.重点新闻策划服务</w:t>
      </w:r>
    </w:p>
    <w:p w14:paraId="4687047B">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（1）围绕全市创新成果转化年</w:t>
      </w:r>
      <w:r>
        <w:rPr>
          <w:rFonts w:hint="default" w:ascii="宋体" w:hAnsi="宋体" w:eastAsia="宋体" w:cs="宋体"/>
          <w:color w:val="auto"/>
          <w:kern w:val="0"/>
          <w:szCs w:val="21"/>
          <w:lang w:val="en-US" w:eastAsia="zh-CN"/>
        </w:rPr>
        <w:t>‌</w:t>
      </w:r>
      <w:r>
        <w:rPr>
          <w:rFonts w:hint="eastAsia" w:ascii="宋体" w:hAnsi="宋体" w:eastAsia="宋体" w:cs="宋体"/>
          <w:color w:val="auto"/>
          <w:kern w:val="0"/>
          <w:szCs w:val="21"/>
          <w:lang w:val="en-US" w:eastAsia="zh-CN"/>
        </w:rPr>
        <w:t>、</w:t>
      </w:r>
      <w:r>
        <w:rPr>
          <w:rFonts w:hint="default" w:ascii="宋体" w:hAnsi="宋体" w:eastAsia="宋体" w:cs="宋体"/>
          <w:color w:val="auto"/>
          <w:kern w:val="0"/>
          <w:szCs w:val="21"/>
          <w:lang w:val="en-US" w:eastAsia="zh-CN"/>
        </w:rPr>
        <w:t>‌项目攻坚增效年‌</w:t>
      </w:r>
      <w:r>
        <w:rPr>
          <w:rFonts w:hint="eastAsia" w:ascii="宋体" w:hAnsi="宋体" w:eastAsia="宋体" w:cs="宋体"/>
          <w:color w:val="auto"/>
          <w:kern w:val="0"/>
          <w:szCs w:val="21"/>
          <w:lang w:val="en-US" w:eastAsia="zh-CN"/>
        </w:rPr>
        <w:t>、</w:t>
      </w:r>
      <w:r>
        <w:rPr>
          <w:rFonts w:hint="default" w:ascii="宋体" w:hAnsi="宋体" w:eastAsia="宋体" w:cs="宋体"/>
          <w:color w:val="auto"/>
          <w:kern w:val="0"/>
          <w:szCs w:val="21"/>
          <w:lang w:val="en-US" w:eastAsia="zh-CN"/>
        </w:rPr>
        <w:t>‌对外开放突破年‌</w:t>
      </w:r>
      <w:r>
        <w:rPr>
          <w:rFonts w:hint="eastAsia" w:ascii="宋体" w:hAnsi="宋体" w:eastAsia="宋体" w:cs="宋体"/>
          <w:color w:val="auto"/>
          <w:kern w:val="0"/>
          <w:szCs w:val="21"/>
          <w:lang w:val="en-US" w:eastAsia="zh-CN"/>
        </w:rPr>
        <w:t>和</w:t>
      </w:r>
      <w:r>
        <w:rPr>
          <w:rFonts w:hint="default" w:ascii="宋体" w:hAnsi="宋体" w:eastAsia="宋体" w:cs="宋体"/>
          <w:color w:val="auto"/>
          <w:kern w:val="0"/>
          <w:szCs w:val="21"/>
          <w:lang w:val="en-US" w:eastAsia="zh-CN"/>
        </w:rPr>
        <w:t>‌企业服务优化年</w:t>
      </w:r>
      <w:r>
        <w:rPr>
          <w:rFonts w:hint="eastAsia" w:ascii="宋体" w:hAnsi="宋体" w:eastAsia="宋体" w:cs="宋体"/>
          <w:color w:val="auto"/>
          <w:kern w:val="0"/>
          <w:szCs w:val="21"/>
          <w:lang w:val="en-US" w:eastAsia="zh-CN"/>
        </w:rPr>
        <w:t>4个年活动，结合株洲高新区、天元区实际情况，每月平均提供或参与不少于2次重点新闻策划，服务期内针对本项的重大新闻策划不少于24次。</w:t>
      </w:r>
    </w:p>
    <w:p w14:paraId="5987F2FB">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（2）针对高新区、天元区经济发展、民生保障等取得的阶段性成绩、亮点、品牌特色等，参与或形成重大新闻策划，每月平均参与或形成不少于1次重大新闻策划，服务期针对本项的重大新闻策划不少于22次。</w:t>
      </w:r>
    </w:p>
    <w:p w14:paraId="7C221A81">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（3）根据上级要求和指示，结合高新区、天元区本区实际，策划打造亮点品牌新闻栏目不少于2个。</w:t>
      </w:r>
    </w:p>
    <w:p w14:paraId="147BC1EE">
      <w:pPr>
        <w:pageBreakBefore w:val="0"/>
        <w:widowControl/>
        <w:kinsoku/>
        <w:wordWrap/>
        <w:overflowPunct/>
        <w:topLinePunct w:val="0"/>
        <w:autoSpaceDE/>
        <w:autoSpaceDN/>
        <w:bidi w:val="0"/>
        <w:adjustRightInd w:val="0"/>
        <w:snapToGrid w:val="0"/>
        <w:spacing w:beforeAutospacing="0" w:afterAutospacing="0" w:line="440" w:lineRule="exact"/>
        <w:ind w:firstLine="422" w:firstLineChars="200"/>
        <w:jc w:val="left"/>
        <w:textAlignment w:val="auto"/>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3.</w:t>
      </w:r>
      <w:r>
        <w:rPr>
          <w:rFonts w:hint="eastAsia" w:ascii="宋体" w:hAnsi="宋体" w:eastAsia="宋体" w:cs="宋体"/>
          <w:b/>
          <w:bCs/>
          <w:color w:val="000000"/>
          <w:kern w:val="0"/>
          <w:szCs w:val="21"/>
          <w:lang w:val="en-US" w:eastAsia="zh-CN"/>
        </w:rPr>
        <w:t>宣推</w:t>
      </w:r>
      <w:r>
        <w:rPr>
          <w:rFonts w:hint="eastAsia" w:ascii="宋体" w:hAnsi="宋体" w:eastAsia="宋体" w:cs="宋体"/>
          <w:b/>
          <w:bCs/>
          <w:color w:val="000000"/>
          <w:kern w:val="0"/>
          <w:szCs w:val="21"/>
        </w:rPr>
        <w:t>服务</w:t>
      </w:r>
    </w:p>
    <w:p w14:paraId="6227B0D9">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（1）高新区、天元区举办重大活动时，成交单位需按采购人要求增加采编力量支持活动宣传报道。</w:t>
      </w:r>
    </w:p>
    <w:p w14:paraId="34F63CB8">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r>
        <w:rPr>
          <w:rFonts w:hint="eastAsia" w:ascii="宋体" w:hAnsi="宋体" w:eastAsia="宋体" w:cs="宋体"/>
          <w:strike w:val="0"/>
          <w:dstrike w:val="0"/>
          <w:color w:val="000000"/>
          <w:kern w:val="0"/>
          <w:szCs w:val="21"/>
          <w:lang w:val="en-US" w:eastAsia="zh-CN"/>
        </w:rPr>
        <w:t>服务期内</w:t>
      </w:r>
      <w:r>
        <w:rPr>
          <w:rFonts w:hint="eastAsia" w:ascii="宋体" w:hAnsi="宋体" w:eastAsia="宋体" w:cs="宋体"/>
          <w:color w:val="000000"/>
          <w:kern w:val="0"/>
          <w:szCs w:val="21"/>
          <w:lang w:val="en-US" w:eastAsia="zh-CN"/>
        </w:rPr>
        <w:t>在本地权威纸媒头版重要位置、官方宣传媒体推介高新区、天元区经济、民生亮点工作不少于12次。</w:t>
      </w:r>
    </w:p>
    <w:p w14:paraId="7DE1F667">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trike w:val="0"/>
          <w:dstrike w:val="0"/>
          <w:color w:val="000000"/>
          <w:kern w:val="0"/>
          <w:szCs w:val="21"/>
          <w:lang w:val="en-US" w:eastAsia="zh-CN"/>
        </w:rPr>
        <w:t>服务期内</w:t>
      </w:r>
      <w:r>
        <w:rPr>
          <w:rFonts w:hint="eastAsia" w:ascii="宋体" w:hAnsi="宋体" w:eastAsia="宋体" w:cs="宋体"/>
          <w:color w:val="000000"/>
          <w:kern w:val="0"/>
          <w:szCs w:val="21"/>
          <w:lang w:val="en-US" w:eastAsia="zh-CN"/>
        </w:rPr>
        <w:t>在新华社、学习强国等上级媒体推介高新区、天元区重点报道不少于4次。</w:t>
      </w:r>
    </w:p>
    <w:p w14:paraId="482775B4">
      <w:pPr>
        <w:pageBreakBefore w:val="0"/>
        <w:kinsoku/>
        <w:wordWrap/>
        <w:overflowPunct/>
        <w:topLinePunct w:val="0"/>
        <w:autoSpaceDE/>
        <w:autoSpaceDN/>
        <w:bidi w:val="0"/>
        <w:adjustRightInd w:val="0"/>
        <w:snapToGrid w:val="0"/>
        <w:spacing w:beforeAutospacing="0" w:afterAutospacing="0" w:line="440" w:lineRule="exact"/>
        <w:ind w:firstLine="422" w:firstLineChars="200"/>
        <w:textAlignment w:val="auto"/>
        <w:rPr>
          <w:rFonts w:hint="eastAsia" w:ascii="宋体" w:hAnsi="宋体" w:eastAsia="宋体" w:cs="Times New Roman"/>
          <w:b/>
          <w:color w:val="auto"/>
          <w:szCs w:val="21"/>
          <w:lang w:val="en-US" w:eastAsia="zh-CN"/>
        </w:rPr>
      </w:pPr>
      <w:r>
        <w:rPr>
          <w:rFonts w:hint="eastAsia" w:ascii="宋体" w:hAnsi="宋体" w:eastAsia="宋体" w:cs="Times New Roman"/>
          <w:b/>
          <w:color w:val="auto"/>
          <w:szCs w:val="21"/>
          <w:lang w:val="en-US" w:eastAsia="zh-CN"/>
        </w:rPr>
        <w:t>4.人员要求</w:t>
      </w:r>
    </w:p>
    <w:p w14:paraId="0EBC03BC">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本项目供应商应充分考虑满足本项目的服务内容及要求，应具有与其承担融媒体工作相关的管理人员和采编人员，并安排具有经验丰富的项目负责人和采编人员承担本项目的融媒体服务。</w:t>
      </w:r>
    </w:p>
    <w:p w14:paraId="392ED1F6">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000000"/>
          <w:kern w:val="0"/>
          <w:szCs w:val="21"/>
          <w:lang w:val="en-US" w:eastAsia="zh-CN"/>
        </w:rPr>
        <w:t>项目实施团队人员由响应文件中指定人员组成，除不可抗拒因素外不得随意更换。设置专门人员对接采购人，在实施过程中配合采购人开展工作，并根据采购人需求进行响应。</w:t>
      </w:r>
    </w:p>
    <w:p w14:paraId="4AB1AEDC">
      <w:pPr>
        <w:adjustRightInd w:val="0"/>
        <w:snapToGrid w:val="0"/>
        <w:spacing w:line="520" w:lineRule="exact"/>
        <w:jc w:val="left"/>
        <w:outlineLvl w:val="1"/>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三、报价组成及付款方式</w:t>
      </w:r>
    </w:p>
    <w:p w14:paraId="4C48ED03">
      <w:pPr>
        <w:keepNext w:val="0"/>
        <w:keepLines w:val="0"/>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报价组成：本项目报价须包括供应商所有人员工资、办公费、通讯费、系统维护费和与项目有关的其他开支等所有费用，除采购文件另有约定外，本项目相关所有费用均已包含在总报价中，</w:t>
      </w:r>
      <w:r>
        <w:rPr>
          <w:rFonts w:hint="eastAsia" w:ascii="宋体" w:hAnsi="宋体" w:eastAsia="宋体" w:cs="宋体"/>
          <w:color w:val="auto"/>
          <w:szCs w:val="21"/>
        </w:rPr>
        <w:t>供应商如一旦成交，在项目实施</w:t>
      </w:r>
      <w:r>
        <w:rPr>
          <w:rFonts w:hint="eastAsia" w:ascii="宋体" w:hAnsi="宋体" w:eastAsia="宋体" w:cs="宋体"/>
          <w:color w:val="auto"/>
          <w:szCs w:val="21"/>
          <w:lang w:val="en-US" w:eastAsia="zh-CN"/>
        </w:rPr>
        <w:t>中出现任何遗漏，均由成交单位免费提供，采购人不再支付任何费用。</w:t>
      </w:r>
    </w:p>
    <w:p w14:paraId="0B6E0131">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付款方式：</w:t>
      </w:r>
    </w:p>
    <w:p w14:paraId="75325728">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1</w:t>
      </w:r>
      <w:r>
        <w:rPr>
          <w:rFonts w:hint="eastAsia" w:ascii="宋体" w:hAnsi="宋体" w:eastAsia="宋体" w:cs="宋体"/>
          <w:color w:val="auto"/>
          <w:kern w:val="0"/>
          <w:szCs w:val="21"/>
          <w:lang w:val="en-US" w:eastAsia="zh-CN"/>
        </w:rPr>
        <w:t>.签订合同后一个月内支付合同金额的50%；</w:t>
      </w:r>
    </w:p>
    <w:p w14:paraId="6FC65500">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2.完成所有服务内容，并通过采购人验收合格后支付余下合同金额的50%</w:t>
      </w:r>
      <w:r>
        <w:rPr>
          <w:rFonts w:hint="eastAsia" w:ascii="宋体" w:hAnsi="宋体" w:eastAsia="宋体" w:cs="宋体"/>
          <w:color w:val="auto"/>
          <w:kern w:val="0"/>
          <w:szCs w:val="21"/>
        </w:rPr>
        <w:t>；</w:t>
      </w:r>
    </w:p>
    <w:p w14:paraId="63A75356">
      <w:pPr>
        <w:pageBreakBefore w:val="0"/>
        <w:widowControl/>
        <w:kinsoku/>
        <w:wordWrap/>
        <w:overflowPunct/>
        <w:topLinePunct w:val="0"/>
        <w:autoSpaceDE/>
        <w:autoSpaceDN/>
        <w:bidi w:val="0"/>
        <w:adjustRightInd w:val="0"/>
        <w:snapToGrid w:val="0"/>
        <w:spacing w:beforeAutospacing="0" w:afterAutospacing="0" w:line="440" w:lineRule="exact"/>
        <w:ind w:firstLine="420" w:firstLineChars="200"/>
        <w:jc w:val="left"/>
        <w:textAlignment w:val="auto"/>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付款均凭</w:t>
      </w:r>
      <w:r>
        <w:rPr>
          <w:rFonts w:hint="eastAsia" w:ascii="宋体" w:hAnsi="宋体" w:eastAsia="宋体" w:cs="宋体"/>
          <w:color w:val="auto"/>
          <w:kern w:val="0"/>
          <w:szCs w:val="21"/>
          <w:lang w:val="en-US" w:eastAsia="zh-CN"/>
        </w:rPr>
        <w:t>正规</w:t>
      </w:r>
      <w:r>
        <w:rPr>
          <w:rFonts w:hint="eastAsia" w:ascii="宋体" w:hAnsi="宋体" w:eastAsia="宋体" w:cs="宋体"/>
          <w:color w:val="auto"/>
          <w:kern w:val="0"/>
          <w:szCs w:val="21"/>
        </w:rPr>
        <w:t>发票，发票须由成交单位开具。</w:t>
      </w:r>
    </w:p>
    <w:p w14:paraId="2109D5DC">
      <w:pPr>
        <w:adjustRightInd w:val="0"/>
        <w:snapToGrid w:val="0"/>
        <w:spacing w:line="520" w:lineRule="exact"/>
        <w:jc w:val="left"/>
        <w:outlineLvl w:val="1"/>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四、其他重要说明</w:t>
      </w:r>
    </w:p>
    <w:p w14:paraId="43FDFBC9">
      <w:pPr>
        <w:keepNext w:val="0"/>
        <w:keepLines w:val="0"/>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1.供应商应给出详细的服务方案、采购文件主要服务内容及要求，供应商必须满足，并不得有弄虚作假现象，否则按无效响应处理。</w:t>
      </w:r>
    </w:p>
    <w:p w14:paraId="49FBFE3C">
      <w:pPr>
        <w:keepNext w:val="0"/>
        <w:keepLines w:val="0"/>
        <w:pageBreakBefore w:val="0"/>
        <w:widowControl w:val="0"/>
        <w:kinsoku/>
        <w:wordWrap/>
        <w:overflowPunct/>
        <w:topLinePunct w:val="0"/>
        <w:bidi w:val="0"/>
        <w:adjustRightInd w:val="0"/>
        <w:snapToGrid w:val="0"/>
        <w:spacing w:line="460" w:lineRule="exact"/>
        <w:ind w:firstLine="420" w:firstLineChars="200"/>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2.验收标准：本项目的履约验收为采购人自行组织验收；验收标准依据《株洲市政府采购项目履约验收管理暂行办法》（株财发【2020】9号文）。</w:t>
      </w:r>
    </w:p>
    <w:p w14:paraId="71C2C196">
      <w:pPr>
        <w:keepNext w:val="0"/>
        <w:keepLines w:val="0"/>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3.采购文件未涉及事宜，在签订合同时供需双方直接协商确定。</w:t>
      </w:r>
    </w:p>
    <w:p w14:paraId="26F791EB">
      <w:pPr>
        <w:keepNext w:val="0"/>
        <w:keepLines w:val="0"/>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4.对于上述项目要求，供应商应在响应文件中进行回应，作出承诺及说明。</w:t>
      </w:r>
    </w:p>
    <w:bookmarkEnd w:id="6"/>
    <w:bookmarkEnd w:id="7"/>
    <w:bookmarkEnd w:id="8"/>
    <w:p w14:paraId="074682E2">
      <w:pPr>
        <w:pStyle w:val="7"/>
        <w:ind w:left="0" w:leftChars="0" w:firstLine="0" w:firstLineChars="0"/>
        <w:rPr>
          <w:rFonts w:hint="eastAsia" w:ascii="宋体" w:hAnsi="宋体" w:cs="宋体"/>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43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Indent"/>
    <w:basedOn w:val="1"/>
    <w:next w:val="3"/>
    <w:uiPriority w:val="0"/>
    <w:pPr>
      <w:spacing w:after="120"/>
      <w:ind w:left="420" w:leftChars="200"/>
    </w:pPr>
    <w:rPr>
      <w:kern w:val="0"/>
      <w:sz w:val="20"/>
    </w:rPr>
  </w:style>
  <w:style w:type="paragraph" w:styleId="3">
    <w:name w:val="Body Text Indent 2"/>
    <w:basedOn w:val="1"/>
    <w:next w:val="4"/>
    <w:qFormat/>
    <w:uiPriority w:val="0"/>
    <w:pPr>
      <w:spacing w:after="120" w:line="480" w:lineRule="auto"/>
      <w:ind w:left="420" w:leftChars="200"/>
    </w:pPr>
    <w:rPr>
      <w:kern w:val="0"/>
      <w:sz w:val="20"/>
    </w:rPr>
  </w:style>
  <w:style w:type="paragraph" w:styleId="4">
    <w:name w:val="toc 2"/>
    <w:basedOn w:val="1"/>
    <w:next w:val="1"/>
    <w:qFormat/>
    <w:uiPriority w:val="0"/>
    <w:pPr>
      <w:ind w:left="420" w:leftChars="200"/>
    </w:pPr>
  </w:style>
  <w:style w:type="paragraph" w:styleId="5">
    <w:name w:val="Date"/>
    <w:basedOn w:val="1"/>
    <w:next w:val="1"/>
    <w:qFormat/>
    <w:uiPriority w:val="0"/>
    <w:rPr>
      <w:kern w:val="0"/>
      <w:sz w:val="24"/>
      <w:szCs w:val="20"/>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Body Text First Indent 2"/>
    <w:basedOn w:val="2"/>
    <w:unhideWhenUsed/>
    <w:qFormat/>
    <w:uiPriority w:val="99"/>
    <w:pPr>
      <w:ind w:firstLine="420" w:firstLineChars="200"/>
    </w:pPr>
  </w:style>
  <w:style w:type="paragraph" w:customStyle="1" w:styleId="10">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2026-08-21T03:31:35Z</dcterms:created>
  <dc:creator>Administrator</dc:creator>
  <cp:lastModifiedBy>Administrator</cp:lastModifiedBy>
  <dcterms:modified xsi:type="dcterms:W3CDTF">2026-08-21T03:31:52Z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eyJoZGlkIjoiMjdjMThkZmYxNzQ5NTA1YTVhNTNlODVkZGIxM2U3ZTQiLCJ1c2VySWQiOiIxNjc4NzYzMjcyIn0=</vt:lpwstr>
  </property>
  <property fmtid="{D5CDD505-2E9C-101B-9397-08002B2CF9AE}" pid="4" name="ICV">
    <vt:lpwstr>14FFD91174494651BAEB52E1896F7BE4_12</vt:lpwstr>
  </property>
</Properties>
</file>