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F551D">
      <w:pPr>
        <w:pStyle w:val="23"/>
        <w:adjustRightInd w:val="0"/>
        <w:snapToGrid w:val="0"/>
        <w:spacing w:line="240" w:lineRule="atLeast"/>
        <w:jc w:val="center"/>
        <w:rPr>
          <w:rFonts w:hint="eastAsia" w:ascii="宋体" w:hAnsi="宋体" w:eastAsia="宋体" w:cs="宋体"/>
          <w:color w:val="auto"/>
          <w:highlight w:val="none"/>
        </w:rPr>
      </w:pPr>
    </w:p>
    <w:p w14:paraId="1C30FB20">
      <w:pPr>
        <w:pStyle w:val="23"/>
        <w:adjustRightInd w:val="0"/>
        <w:snapToGrid w:val="0"/>
        <w:spacing w:line="240" w:lineRule="atLeast"/>
        <w:jc w:val="center"/>
        <w:rPr>
          <w:rFonts w:hint="eastAsia" w:ascii="宋体" w:hAnsi="宋体" w:eastAsia="宋体" w:cs="宋体"/>
          <w:color w:val="auto"/>
          <w:highlight w:val="none"/>
        </w:rPr>
      </w:pPr>
    </w:p>
    <w:p w14:paraId="7BB9473A">
      <w:pPr>
        <w:pStyle w:val="23"/>
        <w:adjustRightInd w:val="0"/>
        <w:snapToGrid w:val="0"/>
        <w:spacing w:line="240" w:lineRule="atLeast"/>
        <w:jc w:val="center"/>
        <w:rPr>
          <w:rFonts w:hint="eastAsia" w:ascii="宋体" w:hAnsi="宋体" w:eastAsia="宋体" w:cs="宋体"/>
          <w:color w:val="auto"/>
          <w:highlight w:val="none"/>
        </w:rPr>
      </w:pPr>
    </w:p>
    <w:p w14:paraId="5FFD766F">
      <w:pPr>
        <w:pStyle w:val="23"/>
        <w:adjustRightInd w:val="0"/>
        <w:snapToGrid w:val="0"/>
        <w:spacing w:line="240" w:lineRule="atLeast"/>
        <w:jc w:val="right"/>
        <w:rPr>
          <w:rFonts w:hint="eastAsia" w:ascii="宋体" w:hAnsi="宋体" w:eastAsia="宋体" w:cs="宋体"/>
          <w:color w:val="auto"/>
          <w:highlight w:val="none"/>
        </w:rPr>
      </w:pPr>
    </w:p>
    <w:p w14:paraId="11B4170A">
      <w:pPr>
        <w:pStyle w:val="23"/>
        <w:adjustRightInd w:val="0"/>
        <w:snapToGrid w:val="0"/>
        <w:spacing w:line="240" w:lineRule="atLeast"/>
        <w:jc w:val="center"/>
        <w:rPr>
          <w:rFonts w:hint="eastAsia" w:ascii="宋体" w:hAnsi="宋体" w:eastAsia="宋体" w:cs="宋体"/>
          <w:bCs/>
          <w:color w:val="auto"/>
          <w:sz w:val="72"/>
          <w:szCs w:val="72"/>
          <w:highlight w:val="none"/>
        </w:rPr>
      </w:pPr>
      <w:r>
        <w:rPr>
          <w:rFonts w:hint="eastAsia" w:ascii="宋体" w:hAnsi="宋体" w:eastAsia="宋体" w:cs="宋体"/>
          <w:bCs/>
          <w:color w:val="auto"/>
          <w:sz w:val="72"/>
          <w:szCs w:val="72"/>
          <w:highlight w:val="none"/>
          <w:lang w:eastAsia="zh-CN"/>
        </w:rPr>
        <w:t>政府采购【郴州电子标】</w:t>
      </w:r>
    </w:p>
    <w:p w14:paraId="600A443C">
      <w:pPr>
        <w:pStyle w:val="23"/>
        <w:adjustRightInd w:val="0"/>
        <w:snapToGrid w:val="0"/>
        <w:spacing w:line="240" w:lineRule="atLeast"/>
        <w:jc w:val="center"/>
        <w:rPr>
          <w:rFonts w:hint="eastAsia" w:ascii="宋体" w:hAnsi="宋体" w:eastAsia="宋体" w:cs="宋体"/>
          <w:bCs/>
          <w:color w:val="auto"/>
          <w:sz w:val="72"/>
          <w:szCs w:val="72"/>
          <w:highlight w:val="none"/>
        </w:rPr>
      </w:pPr>
    </w:p>
    <w:p w14:paraId="11D49AA8">
      <w:pPr>
        <w:pStyle w:val="23"/>
        <w:adjustRightInd w:val="0"/>
        <w:snapToGrid w:val="0"/>
        <w:spacing w:line="240" w:lineRule="atLeast"/>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招标文件</w:t>
      </w:r>
    </w:p>
    <w:p w14:paraId="6B61A850">
      <w:pPr>
        <w:pStyle w:val="23"/>
        <w:adjustRightInd w:val="0"/>
        <w:snapToGrid w:val="0"/>
        <w:spacing w:line="240" w:lineRule="atLeast"/>
        <w:jc w:val="center"/>
        <w:rPr>
          <w:rFonts w:hint="eastAsia" w:ascii="宋体" w:hAnsi="宋体" w:eastAsia="宋体" w:cs="宋体"/>
          <w:b/>
          <w:bCs/>
          <w:color w:val="auto"/>
          <w:sz w:val="52"/>
          <w:szCs w:val="52"/>
          <w:highlight w:val="none"/>
          <w:lang w:eastAsia="zh-CN"/>
        </w:rPr>
      </w:pPr>
      <w:r>
        <w:rPr>
          <w:rFonts w:hint="eastAsia" w:ascii="宋体" w:hAnsi="宋体" w:eastAsia="宋体" w:cs="宋体"/>
          <w:b/>
          <w:bCs/>
          <w:color w:val="auto"/>
          <w:sz w:val="52"/>
          <w:szCs w:val="52"/>
          <w:highlight w:val="none"/>
          <w:lang w:eastAsia="zh-CN"/>
        </w:rPr>
        <w:t>（</w:t>
      </w:r>
      <w:r>
        <w:rPr>
          <w:rFonts w:hint="eastAsia" w:ascii="宋体" w:hAnsi="宋体" w:eastAsia="宋体" w:cs="宋体"/>
          <w:b/>
          <w:bCs/>
          <w:color w:val="auto"/>
          <w:sz w:val="52"/>
          <w:szCs w:val="52"/>
          <w:highlight w:val="none"/>
        </w:rPr>
        <w:t>服务类综合评分法</w:t>
      </w:r>
      <w:r>
        <w:rPr>
          <w:rFonts w:hint="eastAsia" w:ascii="宋体" w:hAnsi="宋体" w:eastAsia="宋体" w:cs="宋体"/>
          <w:b/>
          <w:bCs/>
          <w:color w:val="auto"/>
          <w:sz w:val="52"/>
          <w:szCs w:val="52"/>
          <w:highlight w:val="none"/>
          <w:lang w:eastAsia="zh-CN"/>
        </w:rPr>
        <w:t>）</w:t>
      </w:r>
    </w:p>
    <w:p w14:paraId="0B3373DF">
      <w:pPr>
        <w:pStyle w:val="23"/>
        <w:adjustRightInd w:val="0"/>
        <w:snapToGrid w:val="0"/>
        <w:spacing w:line="240" w:lineRule="atLeast"/>
        <w:jc w:val="center"/>
        <w:rPr>
          <w:rFonts w:hint="eastAsia" w:ascii="宋体" w:hAnsi="宋体" w:eastAsia="宋体" w:cs="宋体"/>
          <w:b/>
          <w:bCs/>
          <w:color w:val="auto"/>
          <w:sz w:val="32"/>
          <w:szCs w:val="32"/>
          <w:highlight w:val="none"/>
        </w:rPr>
      </w:pPr>
    </w:p>
    <w:p w14:paraId="3A27A073">
      <w:pPr>
        <w:pStyle w:val="23"/>
        <w:adjustRightInd w:val="0"/>
        <w:snapToGrid w:val="0"/>
        <w:spacing w:line="240" w:lineRule="atLeast"/>
        <w:jc w:val="center"/>
        <w:rPr>
          <w:rFonts w:hint="eastAsia" w:ascii="宋体" w:hAnsi="宋体" w:eastAsia="宋体" w:cs="宋体"/>
          <w:b/>
          <w:bCs/>
          <w:color w:val="auto"/>
          <w:sz w:val="32"/>
          <w:szCs w:val="32"/>
          <w:highlight w:val="none"/>
        </w:rPr>
      </w:pPr>
    </w:p>
    <w:p w14:paraId="0E06E967">
      <w:pPr>
        <w:pStyle w:val="23"/>
        <w:adjustRightInd w:val="0"/>
        <w:snapToGrid w:val="0"/>
        <w:spacing w:line="240" w:lineRule="atLeast"/>
        <w:jc w:val="center"/>
        <w:rPr>
          <w:rFonts w:hint="eastAsia" w:ascii="宋体" w:hAnsi="宋体" w:eastAsia="宋体" w:cs="宋体"/>
          <w:b/>
          <w:bCs/>
          <w:color w:val="auto"/>
          <w:sz w:val="44"/>
          <w:szCs w:val="44"/>
          <w:highlight w:val="none"/>
        </w:rPr>
      </w:pPr>
    </w:p>
    <w:p w14:paraId="3A3930DA">
      <w:pPr>
        <w:pStyle w:val="23"/>
        <w:adjustRightInd w:val="0"/>
        <w:snapToGrid w:val="0"/>
        <w:spacing w:line="240" w:lineRule="atLeast"/>
        <w:jc w:val="center"/>
        <w:rPr>
          <w:rFonts w:hint="eastAsia" w:ascii="宋体" w:hAnsi="宋体" w:eastAsia="宋体" w:cs="宋体"/>
          <w:bCs/>
          <w:color w:val="auto"/>
          <w:highlight w:val="none"/>
        </w:rPr>
      </w:pPr>
    </w:p>
    <w:p w14:paraId="1C0C291A">
      <w:pPr>
        <w:adjustRightInd w:val="0"/>
        <w:snapToGrid w:val="0"/>
        <w:spacing w:line="360" w:lineRule="auto"/>
        <w:ind w:firstLine="1205" w:firstLineChars="4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采购项目名称：</w:t>
      </w:r>
      <w:r>
        <w:rPr>
          <w:rFonts w:hint="eastAsia" w:ascii="宋体" w:hAnsi="宋体" w:cs="宋体"/>
          <w:color w:val="auto"/>
          <w:sz w:val="30"/>
          <w:szCs w:val="30"/>
          <w:highlight w:val="none"/>
          <w:u w:val="single"/>
          <w:lang w:eastAsia="zh-CN"/>
        </w:rPr>
        <w:t>郴州市城区物业专项维修资金管理平台功能升级及数据清理项目</w:t>
      </w:r>
      <w:r>
        <w:rPr>
          <w:rFonts w:hint="eastAsia" w:ascii="宋体" w:hAnsi="宋体" w:eastAsia="宋体" w:cs="宋体"/>
          <w:color w:val="auto"/>
          <w:sz w:val="30"/>
          <w:szCs w:val="30"/>
          <w:highlight w:val="none"/>
        </w:rPr>
        <w:t xml:space="preserve"> </w:t>
      </w:r>
    </w:p>
    <w:p w14:paraId="1545B1D4">
      <w:pPr>
        <w:adjustRightInd w:val="0"/>
        <w:snapToGrid w:val="0"/>
        <w:spacing w:line="360" w:lineRule="auto"/>
        <w:ind w:firstLine="1054" w:firstLineChars="350"/>
        <w:rPr>
          <w:rFonts w:hint="default" w:ascii="宋体" w:hAnsi="宋体" w:cs="宋体"/>
          <w:b w:val="0"/>
          <w:bCs/>
          <w:color w:val="auto"/>
          <w:sz w:val="30"/>
          <w:szCs w:val="30"/>
          <w:highlight w:val="none"/>
          <w:u w:val="single"/>
          <w:lang w:val="en-US" w:eastAsia="zh-CN"/>
        </w:rPr>
      </w:pPr>
      <w:r>
        <w:rPr>
          <w:rFonts w:hint="eastAsia" w:ascii="宋体" w:hAnsi="宋体" w:cs="宋体"/>
          <w:b/>
          <w:color w:val="auto"/>
          <w:sz w:val="30"/>
          <w:szCs w:val="30"/>
          <w:highlight w:val="none"/>
          <w:lang w:eastAsia="zh-CN"/>
        </w:rPr>
        <w:t>政府采购计划编号</w:t>
      </w:r>
      <w:r>
        <w:rPr>
          <w:rFonts w:hint="eastAsia" w:ascii="宋体" w:hAnsi="宋体" w:eastAsia="宋体" w:cs="宋体"/>
          <w:b/>
          <w:color w:val="auto"/>
          <w:sz w:val="30"/>
          <w:szCs w:val="30"/>
          <w:highlight w:val="none"/>
        </w:rPr>
        <w:t>：</w:t>
      </w:r>
      <w:r>
        <w:rPr>
          <w:rFonts w:hint="eastAsia" w:ascii="宋体" w:hAnsi="宋体" w:cs="宋体"/>
          <w:b w:val="0"/>
          <w:bCs/>
          <w:color w:val="auto"/>
          <w:sz w:val="30"/>
          <w:szCs w:val="30"/>
          <w:highlight w:val="none"/>
          <w:u w:val="single"/>
          <w:lang w:val="en-US" w:eastAsia="zh-CN"/>
        </w:rPr>
        <w:t xml:space="preserve">(2026)431000000066-1 </w:t>
      </w:r>
    </w:p>
    <w:p w14:paraId="52370093">
      <w:pPr>
        <w:adjustRightInd w:val="0"/>
        <w:snapToGrid w:val="0"/>
        <w:spacing w:line="360" w:lineRule="auto"/>
        <w:ind w:firstLine="1054" w:firstLineChars="350"/>
        <w:rPr>
          <w:rFonts w:hint="default"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lang w:eastAsia="zh-CN"/>
        </w:rPr>
        <w:t>委托代理编号：</w:t>
      </w:r>
      <w:r>
        <w:rPr>
          <w:rFonts w:hint="eastAsia" w:ascii="宋体" w:hAnsi="宋体" w:cs="宋体"/>
          <w:b w:val="0"/>
          <w:bCs/>
          <w:color w:val="auto"/>
          <w:sz w:val="30"/>
          <w:szCs w:val="30"/>
          <w:highlight w:val="none"/>
          <w:u w:val="single"/>
          <w:lang w:eastAsia="zh-CN"/>
        </w:rPr>
        <w:t>ZKGSF(ZB)-20260865</w:t>
      </w:r>
      <w:r>
        <w:rPr>
          <w:rFonts w:hint="eastAsia" w:ascii="宋体" w:hAnsi="宋体" w:cs="宋体"/>
          <w:b w:val="0"/>
          <w:bCs/>
          <w:color w:val="auto"/>
          <w:sz w:val="30"/>
          <w:szCs w:val="30"/>
          <w:highlight w:val="none"/>
          <w:u w:val="single"/>
          <w:lang w:val="en-US" w:eastAsia="zh-CN"/>
        </w:rPr>
        <w:t xml:space="preserve"> </w:t>
      </w:r>
    </w:p>
    <w:p w14:paraId="5C9151DF">
      <w:pPr>
        <w:adjustRightInd w:val="0"/>
        <w:snapToGrid w:val="0"/>
        <w:spacing w:line="360" w:lineRule="auto"/>
        <w:ind w:firstLine="1054" w:firstLineChars="35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采   购   人：</w:t>
      </w:r>
      <w:r>
        <w:rPr>
          <w:rFonts w:hint="eastAsia" w:ascii="宋体" w:hAnsi="宋体" w:eastAsia="宋体" w:cs="宋体"/>
          <w:b/>
          <w:color w:val="auto"/>
          <w:sz w:val="30"/>
          <w:szCs w:val="30"/>
          <w:highlight w:val="none"/>
          <w:u w:val="single"/>
        </w:rPr>
        <w:t xml:space="preserve"> </w:t>
      </w:r>
      <w:r>
        <w:rPr>
          <w:rFonts w:hint="eastAsia" w:ascii="宋体" w:hAnsi="宋体" w:cs="宋体"/>
          <w:color w:val="auto"/>
          <w:sz w:val="30"/>
          <w:szCs w:val="30"/>
          <w:highlight w:val="none"/>
          <w:u w:val="single"/>
          <w:lang w:eastAsia="zh-CN"/>
        </w:rPr>
        <w:t>郴州市住房保障服务中心</w:t>
      </w:r>
      <w:r>
        <w:rPr>
          <w:rFonts w:hint="eastAsia" w:ascii="宋体" w:hAnsi="宋体" w:eastAsia="宋体" w:cs="宋体"/>
          <w:b/>
          <w:color w:val="auto"/>
          <w:sz w:val="30"/>
          <w:szCs w:val="30"/>
          <w:highlight w:val="none"/>
          <w:u w:val="single"/>
        </w:rPr>
        <w:t xml:space="preserve"> </w:t>
      </w:r>
    </w:p>
    <w:p w14:paraId="5F14DAD5">
      <w:pPr>
        <w:adjustRightInd w:val="0"/>
        <w:snapToGrid w:val="0"/>
        <w:spacing w:line="360" w:lineRule="auto"/>
        <w:ind w:firstLine="1054" w:firstLineChars="350"/>
        <w:rPr>
          <w:rFonts w:hint="eastAsia" w:ascii="宋体" w:hAnsi="宋体" w:eastAsia="宋体" w:cs="宋体"/>
          <w:b/>
          <w:color w:val="auto"/>
          <w:sz w:val="32"/>
          <w:szCs w:val="21"/>
          <w:highlight w:val="none"/>
        </w:rPr>
      </w:pPr>
      <w:r>
        <w:rPr>
          <w:rFonts w:hint="eastAsia" w:ascii="宋体" w:hAnsi="宋体" w:eastAsia="宋体" w:cs="宋体"/>
          <w:b/>
          <w:color w:val="auto"/>
          <w:sz w:val="30"/>
          <w:szCs w:val="30"/>
          <w:highlight w:val="none"/>
        </w:rPr>
        <w:t>采购代理机构：</w:t>
      </w:r>
      <w:r>
        <w:rPr>
          <w:rFonts w:hint="eastAsia" w:ascii="宋体" w:hAnsi="宋体" w:eastAsia="宋体" w:cs="宋体"/>
          <w:b/>
          <w:color w:val="auto"/>
          <w:sz w:val="30"/>
          <w:szCs w:val="30"/>
          <w:highlight w:val="none"/>
          <w:u w:val="single"/>
        </w:rPr>
        <w:t xml:space="preserve"> </w:t>
      </w:r>
      <w:r>
        <w:rPr>
          <w:rFonts w:hint="eastAsia" w:ascii="宋体" w:hAnsi="宋体" w:cs="宋体"/>
          <w:b w:val="0"/>
          <w:bCs/>
          <w:color w:val="auto"/>
          <w:sz w:val="30"/>
          <w:szCs w:val="30"/>
          <w:highlight w:val="none"/>
          <w:u w:val="single"/>
          <w:lang w:eastAsia="zh-CN"/>
        </w:rPr>
        <w:t>中科高盛咨询集团有限公司</w:t>
      </w:r>
      <w:r>
        <w:rPr>
          <w:rFonts w:hint="eastAsia" w:ascii="宋体" w:hAnsi="宋体" w:eastAsia="宋体" w:cs="宋体"/>
          <w:b/>
          <w:color w:val="auto"/>
          <w:sz w:val="32"/>
          <w:szCs w:val="21"/>
          <w:highlight w:val="none"/>
          <w:u w:val="single"/>
        </w:rPr>
        <w:t xml:space="preserve"> </w:t>
      </w:r>
    </w:p>
    <w:p w14:paraId="3059439E">
      <w:pPr>
        <w:pStyle w:val="23"/>
        <w:adjustRightInd w:val="0"/>
        <w:snapToGrid w:val="0"/>
        <w:spacing w:line="360" w:lineRule="auto"/>
        <w:jc w:val="center"/>
        <w:rPr>
          <w:rFonts w:hint="eastAsia" w:ascii="宋体" w:hAnsi="宋体" w:eastAsia="宋体" w:cs="宋体"/>
          <w:bCs/>
          <w:color w:val="auto"/>
          <w:sz w:val="32"/>
          <w:szCs w:val="32"/>
          <w:highlight w:val="none"/>
        </w:rPr>
      </w:pPr>
    </w:p>
    <w:p w14:paraId="2CB12EE5">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778D6CEB">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6975D2ED">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52DC626F">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5D5C1346">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1C47BCCE">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5A396175">
      <w:pPr>
        <w:pStyle w:val="23"/>
        <w:adjustRightInd w:val="0"/>
        <w:snapToGrid w:val="0"/>
        <w:spacing w:line="240" w:lineRule="atLeast"/>
        <w:jc w:val="center"/>
        <w:rPr>
          <w:rFonts w:hint="eastAsia" w:ascii="宋体" w:hAnsi="宋体" w:eastAsia="宋体" w:cs="宋体"/>
          <w:bCs/>
          <w:color w:val="auto"/>
          <w:sz w:val="32"/>
          <w:szCs w:val="32"/>
          <w:highlight w:val="none"/>
        </w:rPr>
      </w:pPr>
    </w:p>
    <w:p w14:paraId="5A3031BF">
      <w:pPr>
        <w:pStyle w:val="23"/>
        <w:adjustRightInd w:val="0"/>
        <w:snapToGrid w:val="0"/>
        <w:spacing w:line="240" w:lineRule="atLeast"/>
        <w:jc w:val="center"/>
        <w:rPr>
          <w:rFonts w:hint="eastAsia" w:ascii="宋体" w:hAnsi="宋体" w:eastAsia="宋体" w:cs="宋体"/>
          <w:b/>
          <w:bCs/>
          <w:color w:val="auto"/>
          <w:sz w:val="32"/>
          <w:szCs w:val="32"/>
          <w:highlight w:val="none"/>
        </w:rPr>
      </w:pPr>
      <w:r>
        <w:rPr>
          <w:rFonts w:hint="eastAsia" w:ascii="宋体" w:hAnsi="宋体" w:eastAsia="宋体" w:cs="宋体"/>
          <w:b/>
          <w:color w:val="auto"/>
          <w:sz w:val="32"/>
          <w:highlight w:val="none"/>
        </w:rPr>
        <w:t xml:space="preserve"> </w:t>
      </w:r>
      <w:r>
        <w:rPr>
          <w:rFonts w:hint="eastAsia" w:ascii="宋体" w:hAnsi="宋体" w:eastAsia="宋体" w:cs="宋体"/>
          <w:b/>
          <w:color w:val="auto"/>
          <w:sz w:val="32"/>
          <w:highlight w:val="none"/>
          <w:lang w:val="en-US" w:eastAsia="zh-CN"/>
        </w:rPr>
        <w:t>202</w:t>
      </w:r>
      <w:r>
        <w:rPr>
          <w:rFonts w:hint="eastAsia" w:hAnsi="宋体" w:cs="宋体"/>
          <w:b/>
          <w:color w:val="auto"/>
          <w:sz w:val="32"/>
          <w:highlight w:val="none"/>
          <w:lang w:val="en-US" w:eastAsia="zh-CN"/>
        </w:rPr>
        <w:t>6</w:t>
      </w:r>
      <w:r>
        <w:rPr>
          <w:rFonts w:hint="eastAsia" w:ascii="宋体" w:hAnsi="宋体" w:eastAsia="宋体" w:cs="宋体"/>
          <w:b/>
          <w:color w:val="auto"/>
          <w:sz w:val="32"/>
          <w:highlight w:val="none"/>
        </w:rPr>
        <w:t>年</w:t>
      </w:r>
      <w:r>
        <w:rPr>
          <w:rFonts w:hint="eastAsia" w:hAnsi="宋体" w:cs="宋体"/>
          <w:b/>
          <w:color w:val="auto"/>
          <w:sz w:val="32"/>
          <w:highlight w:val="none"/>
          <w:lang w:val="en-US" w:eastAsia="zh-CN"/>
        </w:rPr>
        <w:t>7</w:t>
      </w:r>
      <w:r>
        <w:rPr>
          <w:rFonts w:hint="eastAsia" w:ascii="宋体" w:hAnsi="宋体" w:eastAsia="宋体" w:cs="宋体"/>
          <w:b/>
          <w:color w:val="auto"/>
          <w:sz w:val="32"/>
          <w:highlight w:val="none"/>
        </w:rPr>
        <w:t>月</w:t>
      </w:r>
    </w:p>
    <w:p w14:paraId="394E49A8">
      <w:pPr>
        <w:pStyle w:val="23"/>
        <w:adjustRightInd w:val="0"/>
        <w:snapToGrid w:val="0"/>
        <w:spacing w:line="240" w:lineRule="atLeast"/>
        <w:jc w:val="center"/>
        <w:rPr>
          <w:rFonts w:hint="eastAsia" w:ascii="宋体" w:hAnsi="宋体" w:eastAsia="宋体" w:cs="宋体"/>
          <w:b/>
          <w:bCs/>
          <w:color w:val="auto"/>
          <w:sz w:val="32"/>
          <w:szCs w:val="32"/>
          <w:highlight w:val="none"/>
        </w:rPr>
        <w:sectPr>
          <w:headerReference r:id="rId3" w:type="default"/>
          <w:footerReference r:id="rId4" w:type="default"/>
          <w:pgSz w:w="11906" w:h="16838"/>
          <w:pgMar w:top="1440" w:right="1588" w:bottom="1440" w:left="1588" w:header="851" w:footer="992" w:gutter="0"/>
          <w:pgNumType w:fmt="decimal"/>
          <w:cols w:space="720" w:num="1"/>
          <w:docGrid w:type="lines" w:linePitch="312" w:charSpace="0"/>
        </w:sectPr>
      </w:pPr>
    </w:p>
    <w:p w14:paraId="60E84E81">
      <w:pPr>
        <w:pStyle w:val="23"/>
        <w:adjustRightInd w:val="0"/>
        <w:snapToGrid w:val="0"/>
        <w:spacing w:line="360" w:lineRule="auto"/>
        <w:jc w:val="both"/>
        <w:rPr>
          <w:rFonts w:hint="eastAsia" w:ascii="宋体" w:hAnsi="宋体" w:eastAsia="宋体" w:cs="宋体"/>
          <w:b/>
          <w:color w:val="auto"/>
          <w:spacing w:val="160"/>
          <w:sz w:val="36"/>
          <w:szCs w:val="36"/>
          <w:highlight w:val="none"/>
        </w:rPr>
      </w:pPr>
    </w:p>
    <w:p w14:paraId="5CC7E95F">
      <w:pPr>
        <w:pStyle w:val="23"/>
        <w:adjustRightInd w:val="0"/>
        <w:snapToGrid w:val="0"/>
        <w:spacing w:line="360" w:lineRule="auto"/>
        <w:jc w:val="center"/>
        <w:rPr>
          <w:rFonts w:hint="eastAsia" w:ascii="宋体" w:hAnsi="宋体" w:eastAsia="宋体" w:cs="宋体"/>
          <w:b/>
          <w:color w:val="auto"/>
          <w:spacing w:val="160"/>
          <w:sz w:val="36"/>
          <w:szCs w:val="36"/>
          <w:highlight w:val="none"/>
        </w:rPr>
      </w:pPr>
      <w:r>
        <w:rPr>
          <w:rFonts w:hint="eastAsia" w:ascii="宋体" w:hAnsi="宋体" w:eastAsia="宋体" w:cs="宋体"/>
          <w:b/>
          <w:color w:val="auto"/>
          <w:spacing w:val="160"/>
          <w:sz w:val="36"/>
          <w:szCs w:val="36"/>
          <w:highlight w:val="none"/>
        </w:rPr>
        <w:t>目录</w:t>
      </w:r>
    </w:p>
    <w:p w14:paraId="57293E71">
      <w:pPr>
        <w:pStyle w:val="29"/>
        <w:tabs>
          <w:tab w:val="right" w:leader="dot" w:pos="8844"/>
        </w:tabs>
        <w:rPr>
          <w:rFonts w:hint="eastAsia" w:ascii="宋体" w:hAnsi="宋体" w:eastAsia="宋体" w:cs="宋体"/>
          <w:color w:val="auto"/>
          <w:highlight w:val="none"/>
        </w:rPr>
      </w:pPr>
      <w:r>
        <w:rPr>
          <w:rStyle w:val="47"/>
          <w:rFonts w:hint="eastAsia" w:ascii="宋体" w:hAnsi="宋体" w:eastAsia="宋体" w:cs="宋体"/>
          <w:b w:val="0"/>
          <w:color w:val="auto"/>
          <w:highlight w:val="none"/>
        </w:rPr>
        <w:fldChar w:fldCharType="begin"/>
      </w:r>
      <w:r>
        <w:rPr>
          <w:rStyle w:val="47"/>
          <w:rFonts w:hint="eastAsia" w:ascii="宋体" w:hAnsi="宋体" w:eastAsia="宋体" w:cs="宋体"/>
          <w:b w:val="0"/>
          <w:color w:val="auto"/>
          <w:highlight w:val="none"/>
        </w:rPr>
        <w:instrText xml:space="preserve"> TOC \o "1-4" \h \z \u </w:instrText>
      </w:r>
      <w:r>
        <w:rPr>
          <w:rStyle w:val="47"/>
          <w:rFonts w:hint="eastAsia" w:ascii="宋体" w:hAnsi="宋体" w:eastAsia="宋体" w:cs="宋体"/>
          <w:b w:val="0"/>
          <w:color w:val="auto"/>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_Toc21624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第一章 投标邀请</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_Toc21624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182AB0D8">
      <w:pPr>
        <w:pStyle w:val="34"/>
        <w:tabs>
          <w:tab w:val="right" w:leader="dot" w:pos="8844"/>
        </w:tabs>
        <w:rPr>
          <w:rFonts w:hint="eastAsia" w:ascii="宋体" w:hAnsi="宋体" w:eastAsia="宋体" w:cs="宋体"/>
          <w:color w:val="auto"/>
          <w:highlight w:val="none"/>
        </w:rPr>
      </w:pPr>
    </w:p>
    <w:p w14:paraId="619855EE">
      <w:pPr>
        <w:pStyle w:val="29"/>
        <w:tabs>
          <w:tab w:val="right" w:leader="dot" w:pos="8844"/>
        </w:tabs>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_Toc14843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第二章 投标须知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_Toc14843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1BFD92D7">
      <w:pPr>
        <w:pStyle w:val="22"/>
        <w:tabs>
          <w:tab w:val="right" w:leader="dot" w:pos="8844"/>
        </w:tabs>
        <w:rPr>
          <w:rFonts w:hint="eastAsia" w:ascii="宋体" w:hAnsi="宋体" w:eastAsia="宋体" w:cs="宋体"/>
          <w:color w:val="auto"/>
          <w:highlight w:val="none"/>
        </w:rPr>
      </w:pPr>
    </w:p>
    <w:p w14:paraId="54FF9162">
      <w:pPr>
        <w:pStyle w:val="29"/>
        <w:tabs>
          <w:tab w:val="right" w:leader="dot" w:pos="8844"/>
        </w:tabs>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_Toc8014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第三章 资格审查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_Toc8014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30</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BD10020">
      <w:pPr>
        <w:pStyle w:val="30"/>
        <w:tabs>
          <w:tab w:val="right" w:leader="dot" w:pos="8844"/>
        </w:tabs>
        <w:rPr>
          <w:rFonts w:hint="eastAsia" w:ascii="宋体" w:hAnsi="宋体" w:eastAsia="宋体" w:cs="宋体"/>
          <w:color w:val="auto"/>
          <w:highlight w:val="none"/>
        </w:rPr>
      </w:pPr>
    </w:p>
    <w:p w14:paraId="7CC9FA3B">
      <w:pPr>
        <w:pStyle w:val="29"/>
        <w:tabs>
          <w:tab w:val="right" w:leader="dot" w:pos="8844"/>
        </w:tabs>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_Toc20049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第四章 评标方法及标准（综合评分法）</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_Toc20049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AD7E3A9">
      <w:pPr>
        <w:pStyle w:val="22"/>
        <w:tabs>
          <w:tab w:val="right" w:leader="dot" w:pos="8844"/>
        </w:tabs>
        <w:ind w:left="0" w:leftChars="0" w:firstLine="0" w:firstLineChars="0"/>
        <w:rPr>
          <w:rFonts w:hint="eastAsia" w:ascii="宋体" w:hAnsi="宋体" w:eastAsia="宋体" w:cs="宋体"/>
          <w:color w:val="auto"/>
          <w:highlight w:val="none"/>
        </w:rPr>
      </w:pPr>
    </w:p>
    <w:p w14:paraId="49DE470E">
      <w:pPr>
        <w:pStyle w:val="29"/>
        <w:tabs>
          <w:tab w:val="right" w:leader="dot" w:pos="8844"/>
        </w:tabs>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_Toc8671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第五章 采购需求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_Toc8671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49</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835F310">
      <w:pPr>
        <w:pStyle w:val="34"/>
        <w:tabs>
          <w:tab w:val="right" w:leader="dot" w:pos="8844"/>
        </w:tabs>
        <w:rPr>
          <w:rFonts w:hint="eastAsia" w:ascii="宋体" w:hAnsi="宋体" w:eastAsia="宋体" w:cs="宋体"/>
          <w:color w:val="auto"/>
          <w:highlight w:val="none"/>
        </w:rPr>
      </w:pPr>
    </w:p>
    <w:p w14:paraId="785DFC91">
      <w:pPr>
        <w:pStyle w:val="29"/>
        <w:tabs>
          <w:tab w:val="right" w:leader="dot" w:pos="8844"/>
        </w:tabs>
        <w:rPr>
          <w:rFonts w:hint="eastAsia" w:ascii="宋体" w:hAnsi="宋体" w:eastAsia="宋体" w:cs="宋体"/>
          <w:color w:val="auto"/>
          <w:highlight w:val="none"/>
          <w:lang w:val="en-US"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_Toc10064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第六章 政府采购合同</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fldChar w:fldCharType="end"/>
      </w:r>
      <w:r>
        <w:rPr>
          <w:rFonts w:hint="eastAsia" w:ascii="宋体" w:hAnsi="宋体" w:eastAsia="宋体" w:cs="宋体"/>
          <w:color w:val="auto"/>
          <w:highlight w:val="none"/>
          <w:lang w:val="en-US" w:eastAsia="zh-CN"/>
        </w:rPr>
        <w:t>3</w:t>
      </w:r>
    </w:p>
    <w:p w14:paraId="67E4A1AF">
      <w:pPr>
        <w:pStyle w:val="34"/>
        <w:tabs>
          <w:tab w:val="right" w:leader="dot" w:pos="8844"/>
        </w:tabs>
        <w:rPr>
          <w:rFonts w:hint="eastAsia" w:ascii="宋体" w:hAnsi="宋体" w:eastAsia="宋体" w:cs="宋体"/>
          <w:color w:val="auto"/>
          <w:highlight w:val="none"/>
        </w:rPr>
      </w:pPr>
    </w:p>
    <w:p w14:paraId="19414541">
      <w:pPr>
        <w:pStyle w:val="29"/>
        <w:tabs>
          <w:tab w:val="right" w:leader="dot" w:pos="8844"/>
        </w:tabs>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_Toc18776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2"/>
          <w:highlight w:val="none"/>
        </w:rPr>
        <w:t>第七章 投标文件的组成</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_Toc18776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C6CE3D0">
      <w:pPr>
        <w:pStyle w:val="22"/>
        <w:tabs>
          <w:tab w:val="right" w:leader="dot" w:pos="8844"/>
        </w:tabs>
        <w:rPr>
          <w:rFonts w:hint="eastAsia" w:ascii="宋体" w:hAnsi="宋体" w:eastAsia="宋体" w:cs="宋体"/>
          <w:color w:val="auto"/>
          <w:highlight w:val="none"/>
        </w:rPr>
      </w:pPr>
    </w:p>
    <w:p w14:paraId="755106D0">
      <w:pPr>
        <w:pStyle w:val="22"/>
        <w:tabs>
          <w:tab w:val="right" w:leader="dot" w:pos="8844"/>
        </w:tabs>
        <w:rPr>
          <w:rFonts w:hint="eastAsia" w:ascii="宋体" w:hAnsi="宋体" w:eastAsia="宋体" w:cs="宋体"/>
          <w:color w:val="auto"/>
          <w:highlight w:val="none"/>
        </w:rPr>
      </w:pPr>
    </w:p>
    <w:p w14:paraId="614078B1">
      <w:pPr>
        <w:rPr>
          <w:rFonts w:hint="eastAsia" w:ascii="宋体" w:hAnsi="宋体" w:eastAsia="宋体" w:cs="宋体"/>
          <w:color w:val="auto"/>
          <w:highlight w:val="none"/>
        </w:rPr>
      </w:pPr>
      <w:r>
        <w:rPr>
          <w:rFonts w:hint="eastAsia" w:ascii="宋体" w:hAnsi="宋体" w:eastAsia="宋体" w:cs="宋体"/>
          <w:color w:val="auto"/>
          <w:highlight w:val="none"/>
        </w:rPr>
        <w:fldChar w:fldCharType="end"/>
      </w:r>
      <w:r>
        <w:rPr>
          <w:rFonts w:hint="eastAsia" w:ascii="宋体" w:hAnsi="宋体" w:eastAsia="宋体" w:cs="宋体"/>
          <w:color w:val="auto"/>
          <w:highlight w:val="none"/>
        </w:rPr>
        <w:t xml:space="preserve"> </w:t>
      </w:r>
    </w:p>
    <w:p w14:paraId="65EBEAA0">
      <w:pPr>
        <w:adjustRightInd w:val="0"/>
        <w:snapToGrid w:val="0"/>
        <w:spacing w:line="240" w:lineRule="atLeast"/>
        <w:ind w:firstLine="840" w:firstLineChars="400"/>
        <w:rPr>
          <w:rFonts w:hint="eastAsia" w:ascii="宋体" w:hAnsi="宋体" w:eastAsia="宋体" w:cs="宋体"/>
          <w:color w:val="auto"/>
          <w:szCs w:val="21"/>
          <w:highlight w:val="none"/>
        </w:rPr>
      </w:pPr>
    </w:p>
    <w:p w14:paraId="29C382F3">
      <w:pPr>
        <w:pStyle w:val="2"/>
        <w:rPr>
          <w:rFonts w:hint="eastAsia" w:ascii="宋体" w:hAnsi="宋体" w:eastAsia="宋体" w:cs="宋体"/>
          <w:color w:val="auto"/>
          <w:highlight w:val="none"/>
        </w:rPr>
        <w:sectPr>
          <w:headerReference r:id="rId7" w:type="first"/>
          <w:headerReference r:id="rId5" w:type="default"/>
          <w:footerReference r:id="rId8" w:type="default"/>
          <w:headerReference r:id="rId6" w:type="even"/>
          <w:pgSz w:w="11906" w:h="16838"/>
          <w:pgMar w:top="1474" w:right="1474" w:bottom="1474" w:left="1588" w:header="851" w:footer="992" w:gutter="0"/>
          <w:pgNumType w:fmt="decimal"/>
          <w:cols w:space="720" w:num="1"/>
          <w:docGrid w:type="lines" w:linePitch="312" w:charSpace="0"/>
        </w:sectPr>
      </w:pPr>
    </w:p>
    <w:p w14:paraId="5D1EA62B">
      <w:pPr>
        <w:spacing w:line="360" w:lineRule="auto"/>
        <w:jc w:val="center"/>
        <w:rPr>
          <w:rFonts w:hint="eastAsia" w:ascii="宋体" w:hAnsi="宋体" w:eastAsia="宋体" w:cs="宋体"/>
          <w:color w:val="auto"/>
          <w:sz w:val="44"/>
          <w:szCs w:val="44"/>
          <w:highlight w:val="none"/>
        </w:rPr>
      </w:pPr>
      <w:bookmarkStart w:id="0" w:name="_Toc29913893"/>
      <w:r>
        <w:rPr>
          <w:rFonts w:hint="eastAsia" w:ascii="宋体" w:hAnsi="宋体" w:eastAsia="宋体" w:cs="宋体"/>
          <w:color w:val="auto"/>
          <w:sz w:val="44"/>
          <w:szCs w:val="44"/>
          <w:highlight w:val="none"/>
        </w:rPr>
        <w:t>电子招投标相关规定</w:t>
      </w:r>
    </w:p>
    <w:p w14:paraId="489027E5">
      <w:pPr>
        <w:numPr>
          <w:ilvl w:val="0"/>
          <w:numId w:val="1"/>
        </w:num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本项目采用电子招投标方式，招标文件的下载、</w:t>
      </w:r>
      <w:r>
        <w:rPr>
          <w:rFonts w:hint="eastAsia" w:ascii="宋体" w:hAnsi="宋体" w:eastAsia="宋体" w:cs="宋体"/>
          <w:color w:val="auto"/>
          <w:sz w:val="24"/>
          <w:szCs w:val="24"/>
          <w:highlight w:val="none"/>
          <w:lang w:eastAsia="zh-CN"/>
        </w:rPr>
        <w:t>投标文件的</w:t>
      </w:r>
      <w:r>
        <w:rPr>
          <w:rFonts w:hint="eastAsia" w:ascii="宋体" w:hAnsi="宋体" w:eastAsia="宋体" w:cs="宋体"/>
          <w:color w:val="auto"/>
          <w:sz w:val="24"/>
          <w:szCs w:val="24"/>
          <w:highlight w:val="none"/>
        </w:rPr>
        <w:t>上传、</w:t>
      </w:r>
      <w:r>
        <w:rPr>
          <w:rFonts w:hint="eastAsia" w:ascii="宋体" w:hAnsi="宋体" w:eastAsia="宋体" w:cs="宋体"/>
          <w:color w:val="auto"/>
          <w:sz w:val="24"/>
          <w:szCs w:val="24"/>
          <w:highlight w:val="none"/>
          <w:lang w:eastAsia="zh-CN"/>
        </w:rPr>
        <w:t>投标文件的</w:t>
      </w:r>
      <w:r>
        <w:rPr>
          <w:rFonts w:hint="eastAsia" w:ascii="宋体" w:hAnsi="宋体" w:eastAsia="宋体" w:cs="宋体"/>
          <w:color w:val="auto"/>
          <w:sz w:val="24"/>
          <w:szCs w:val="24"/>
          <w:highlight w:val="none"/>
        </w:rPr>
        <w:t>解密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开评标均通过互联网操作，电子招标文件免费提供。</w:t>
      </w:r>
    </w:p>
    <w:p w14:paraId="1353E9B8">
      <w:pPr>
        <w:widowControl/>
        <w:numPr>
          <w:ilvl w:val="0"/>
          <w:numId w:val="1"/>
        </w:numPr>
        <w:tabs>
          <w:tab w:val="left" w:pos="3500"/>
        </w:tabs>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本项目招标信息在湖南省政府采购网(www.ccgp-hunan.gov.cn)和</w:t>
      </w:r>
      <w:r>
        <w:rPr>
          <w:rFonts w:hint="eastAsia" w:ascii="宋体" w:hAnsi="宋体" w:eastAsia="宋体" w:cs="宋体"/>
          <w:color w:val="auto"/>
          <w:sz w:val="24"/>
          <w:szCs w:val="24"/>
          <w:highlight w:val="none"/>
        </w:rPr>
        <w:t>郴州市公共资源交易中心(http://czggzy.czs.gov.cn/)上同时</w:t>
      </w:r>
      <w:r>
        <w:rPr>
          <w:rFonts w:hint="eastAsia" w:ascii="宋体" w:hAnsi="宋体" w:eastAsia="宋体" w:cs="宋体"/>
          <w:color w:val="auto"/>
          <w:kern w:val="0"/>
          <w:sz w:val="24"/>
          <w:szCs w:val="24"/>
          <w:highlight w:val="none"/>
        </w:rPr>
        <w:t>发布。</w:t>
      </w:r>
      <w:r>
        <w:rPr>
          <w:rFonts w:hint="eastAsia" w:ascii="宋体" w:hAnsi="宋体" w:eastAsia="宋体" w:cs="宋体"/>
          <w:color w:val="auto"/>
          <w:sz w:val="24"/>
          <w:szCs w:val="24"/>
          <w:highlight w:val="none"/>
        </w:rPr>
        <w:t>投标人应仔细阅读本招标文件第二章《投标须知》，并在“郴州市公共资源交易中心(http://czggzy.czs.gov.cn/) 办事指南--政府采购”进行学习，投标人使用电子投标遇到问题时，请及时向</w:t>
      </w:r>
      <w:r>
        <w:rPr>
          <w:rFonts w:hint="eastAsia" w:ascii="宋体" w:hAnsi="宋体" w:eastAsia="宋体" w:cs="宋体"/>
          <w:color w:val="auto"/>
          <w:sz w:val="24"/>
          <w:szCs w:val="24"/>
          <w:highlight w:val="none"/>
          <w:lang w:eastAsia="zh-CN"/>
        </w:rPr>
        <w:t>新点</w:t>
      </w:r>
      <w:r>
        <w:rPr>
          <w:rFonts w:hint="eastAsia" w:ascii="宋体" w:hAnsi="宋体" w:eastAsia="宋体" w:cs="宋体"/>
          <w:color w:val="auto"/>
          <w:sz w:val="24"/>
          <w:szCs w:val="24"/>
          <w:highlight w:val="none"/>
        </w:rPr>
        <w:t>软件公司咨询，联系方式：客服电话0735-2369157，4009980000。</w:t>
      </w:r>
    </w:p>
    <w:p w14:paraId="7795F720">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三、郴州市公共资源交易中心网上办事系统需使用数字证书登陆进行操作。投标人应按相关需要办理以下数字证书:（1）投标单位数字证书(含电子印章)。（2）</w:t>
      </w:r>
      <w:r>
        <w:rPr>
          <w:rFonts w:hint="eastAsia" w:ascii="宋体" w:hAnsi="宋体" w:eastAsia="宋体" w:cs="宋体"/>
          <w:color w:val="auto"/>
          <w:sz w:val="24"/>
          <w:szCs w:val="24"/>
          <w:highlight w:val="none"/>
          <w:lang w:eastAsia="zh-CN"/>
        </w:rPr>
        <w:t>法定代表人</w:t>
      </w:r>
      <w:r>
        <w:rPr>
          <w:rFonts w:hint="eastAsia" w:ascii="宋体" w:hAnsi="宋体" w:eastAsia="宋体" w:cs="宋体"/>
          <w:color w:val="auto"/>
          <w:sz w:val="24"/>
          <w:szCs w:val="24"/>
          <w:highlight w:val="none"/>
        </w:rPr>
        <w:t>数字证书（授权投标的还需办理授权代表数字证书）。数字证书(含电子印章)具体办理流程详见郴州市公共资源交易中心网站。</w:t>
      </w:r>
    </w:p>
    <w:p w14:paraId="331E9F0A">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四、本项目采用“不见面开标”模式，是指将传统的开标场所移到互联网，采购人在不见面开标大厅组织线上开标，投标人通过互联网远程参加开标，并共同完成</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解密、唱标、异议和答复、开标确认、交流互动等开标活动。</w:t>
      </w:r>
    </w:p>
    <w:p w14:paraId="688EAE4E">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五、网上开标系统登录地址为：郴州市公共资源交易中心网上办事系统的“网上开标”模块（</w:t>
      </w:r>
      <w:r>
        <w:rPr>
          <w:rFonts w:hint="eastAsia" w:ascii="宋体" w:hAnsi="宋体" w:eastAsia="宋体" w:cs="宋体"/>
          <w:color w:val="auto"/>
          <w:sz w:val="24"/>
          <w:szCs w:val="24"/>
          <w:highlight w:val="none"/>
          <w:lang w:eastAsia="zh-CN"/>
        </w:rPr>
        <w:t>http://www.czggzyzx.cn/BidOpening</w:t>
      </w:r>
      <w:r>
        <w:rPr>
          <w:rFonts w:hint="eastAsia" w:ascii="宋体" w:hAnsi="宋体" w:eastAsia="宋体" w:cs="宋体"/>
          <w:color w:val="auto"/>
          <w:sz w:val="24"/>
          <w:szCs w:val="24"/>
          <w:highlight w:val="none"/>
        </w:rPr>
        <w:t>）。</w:t>
      </w:r>
    </w:p>
    <w:p w14:paraId="35F8A711">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六、投标人应在投标截止时间之前使用数字证书(CA)，自备具有上网卡和音视频功能的电脑自行登录网上不见面开标大厅（郴州市公共资源交易中心网上办事系统的“网上开标”模块（</w:t>
      </w:r>
      <w:r>
        <w:rPr>
          <w:rFonts w:hint="eastAsia" w:ascii="宋体" w:hAnsi="宋体" w:eastAsia="宋体" w:cs="宋体"/>
          <w:color w:val="auto"/>
          <w:sz w:val="24"/>
          <w:szCs w:val="24"/>
          <w:highlight w:val="none"/>
          <w:lang w:eastAsia="zh-CN"/>
        </w:rPr>
        <w:t>http://www.czggzyzx.cn/BidOpening</w:t>
      </w:r>
      <w:r>
        <w:rPr>
          <w:rFonts w:hint="eastAsia" w:ascii="宋体" w:hAnsi="宋体" w:eastAsia="宋体" w:cs="宋体"/>
          <w:color w:val="auto"/>
          <w:sz w:val="24"/>
          <w:szCs w:val="24"/>
          <w:highlight w:val="none"/>
        </w:rPr>
        <w:t>），在线等待开标，并在开标期间保持通讯畅通。开标期间，投标人在开标大厅与采购人进行相关操作、音视频及文字交互，各电脑终端上的所有操作、音视频及文字交互均被视为各交易主体的行为。未按时加入开标会议区并完成CA或账号密码登录操作的或未能在开标会议区内全程参与交互的，视为放弃交互和放弃对开评标全过程提出疑问的权利，投标人将无法看到解密指令、开标、唱标等实时情况，投标人自行承担由此导致的一切后果。</w:t>
      </w:r>
    </w:p>
    <w:p w14:paraId="4C062E08">
      <w:pPr>
        <w:spacing w:line="360" w:lineRule="auto"/>
        <w:ind w:firstLine="480" w:firstLineChars="200"/>
        <w:outlineLvl w:val="9"/>
        <w:rPr>
          <w:rFonts w:hint="eastAsia" w:ascii="宋体" w:hAnsi="宋体" w:eastAsia="宋体" w:cs="宋体"/>
          <w:color w:val="auto"/>
          <w:sz w:val="24"/>
          <w:szCs w:val="24"/>
          <w:highlight w:val="none"/>
        </w:rPr>
        <w:sectPr>
          <w:footerReference r:id="rId9" w:type="default"/>
          <w:pgSz w:w="11906" w:h="16838"/>
          <w:pgMar w:top="1474" w:right="1474" w:bottom="1474" w:left="1588" w:header="851" w:footer="992" w:gutter="0"/>
          <w:pgNumType w:fmt="decimal"/>
          <w:cols w:space="720" w:num="1"/>
          <w:docGrid w:type="lines" w:linePitch="312" w:charSpace="0"/>
        </w:sectPr>
      </w:pPr>
      <w:r>
        <w:rPr>
          <w:rFonts w:hint="eastAsia" w:ascii="宋体" w:hAnsi="宋体" w:eastAsia="宋体" w:cs="宋体"/>
          <w:color w:val="auto"/>
          <w:sz w:val="24"/>
          <w:szCs w:val="24"/>
          <w:highlight w:val="none"/>
        </w:rPr>
        <w:t>七、开评标全过程中，投标人参与远程交互的</w:t>
      </w:r>
      <w:r>
        <w:rPr>
          <w:rFonts w:hint="eastAsia" w:ascii="宋体" w:hAnsi="宋体" w:eastAsia="宋体" w:cs="宋体"/>
          <w:color w:val="auto"/>
          <w:sz w:val="24"/>
          <w:szCs w:val="24"/>
          <w:highlight w:val="none"/>
          <w:lang w:eastAsia="zh-CN"/>
        </w:rPr>
        <w:t>授权代表人</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法定代表人</w:t>
      </w:r>
      <w:r>
        <w:rPr>
          <w:rFonts w:hint="eastAsia" w:ascii="宋体" w:hAnsi="宋体" w:eastAsia="宋体" w:cs="宋体"/>
          <w:color w:val="auto"/>
          <w:sz w:val="24"/>
          <w:szCs w:val="24"/>
          <w:highlight w:val="none"/>
        </w:rPr>
        <w:t>应始终为同一个人，中途不得更换，在废标、澄清、提疑、传送文件等特殊情况下需要交互时，投标人一端参与交互的人员将均被视为是投标人的</w:t>
      </w:r>
      <w:r>
        <w:rPr>
          <w:rFonts w:hint="eastAsia" w:ascii="宋体" w:hAnsi="宋体" w:eastAsia="宋体" w:cs="宋体"/>
          <w:color w:val="auto"/>
          <w:sz w:val="24"/>
          <w:szCs w:val="24"/>
          <w:highlight w:val="none"/>
          <w:lang w:eastAsia="zh-CN"/>
        </w:rPr>
        <w:t>授权代表人</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法定代表人</w:t>
      </w:r>
      <w:r>
        <w:rPr>
          <w:rFonts w:hint="eastAsia" w:ascii="宋体" w:hAnsi="宋体" w:eastAsia="宋体" w:cs="宋体"/>
          <w:color w:val="auto"/>
          <w:sz w:val="24"/>
          <w:szCs w:val="24"/>
          <w:highlight w:val="none"/>
        </w:rPr>
        <w:t>，投标人不得以不承认交互人员的资格或身份等为借口抵赖推脱，投标人自行承担随意更换人员所导致的一切后果。</w:t>
      </w:r>
    </w:p>
    <w:p w14:paraId="66C595D7">
      <w:pPr>
        <w:pStyle w:val="2"/>
        <w:ind w:left="1215"/>
        <w:jc w:val="center"/>
        <w:rPr>
          <w:rFonts w:hint="eastAsia" w:ascii="宋体" w:hAnsi="宋体" w:eastAsia="宋体" w:cs="宋体"/>
          <w:color w:val="auto"/>
          <w:highlight w:val="none"/>
        </w:rPr>
      </w:pPr>
      <w:bookmarkStart w:id="1" w:name="_Toc21937"/>
      <w:bookmarkStart w:id="2" w:name="_Toc21624"/>
      <w:r>
        <w:rPr>
          <w:rFonts w:hint="eastAsia" w:ascii="宋体" w:hAnsi="宋体" w:eastAsia="宋体" w:cs="宋体"/>
          <w:color w:val="auto"/>
          <w:sz w:val="32"/>
          <w:szCs w:val="32"/>
          <w:highlight w:val="none"/>
        </w:rPr>
        <w:t>第一章 投标邀请</w:t>
      </w:r>
      <w:bookmarkEnd w:id="0"/>
      <w:bookmarkEnd w:id="1"/>
      <w:bookmarkEnd w:id="2"/>
    </w:p>
    <w:p w14:paraId="00F65B98">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r>
        <w:rPr>
          <w:rFonts w:hint="eastAsia" w:ascii="宋体" w:hAnsi="宋体" w:cs="宋体"/>
          <w:b/>
          <w:bCs/>
          <w:color w:val="auto"/>
          <w:sz w:val="24"/>
          <w:szCs w:val="24"/>
          <w:highlight w:val="none"/>
          <w:lang w:eastAsia="zh-CN"/>
        </w:rPr>
        <w:t>郴州市城区物业专项维修资金管理平台功能升级及数据清理项目</w:t>
      </w:r>
      <w:r>
        <w:rPr>
          <w:rFonts w:hint="eastAsia" w:ascii="宋体" w:hAnsi="宋体" w:eastAsia="宋体" w:cs="宋体"/>
          <w:b/>
          <w:bCs/>
          <w:color w:val="auto"/>
          <w:sz w:val="24"/>
          <w:szCs w:val="24"/>
          <w:highlight w:val="none"/>
        </w:rPr>
        <w:t>项目招标公告</w:t>
      </w:r>
    </w:p>
    <w:p w14:paraId="030C74ED">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郴州市住房保障服务中心</w:t>
      </w:r>
      <w:r>
        <w:rPr>
          <w:rFonts w:hint="eastAsia" w:ascii="宋体" w:hAnsi="宋体" w:eastAsia="宋体" w:cs="宋体"/>
          <w:color w:val="auto"/>
          <w:sz w:val="21"/>
          <w:szCs w:val="21"/>
          <w:highlight w:val="none"/>
        </w:rPr>
        <w:t xml:space="preserve">（采购人名称）的 </w:t>
      </w:r>
      <w:r>
        <w:rPr>
          <w:rFonts w:hint="eastAsia" w:ascii="宋体" w:hAnsi="宋体" w:cs="宋体"/>
          <w:color w:val="auto"/>
          <w:sz w:val="21"/>
          <w:szCs w:val="21"/>
          <w:highlight w:val="none"/>
          <w:u w:val="single"/>
          <w:lang w:eastAsia="zh-CN"/>
        </w:rPr>
        <w:t>郴州市城区物业专项维修资金管理平台功能升级及数据清理项目</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采购项目名称</w:t>
      </w:r>
      <w:r>
        <w:rPr>
          <w:rFonts w:hint="eastAsia" w:ascii="宋体" w:hAnsi="宋体" w:eastAsia="宋体" w:cs="宋体"/>
          <w:color w:val="auto"/>
          <w:sz w:val="21"/>
          <w:szCs w:val="21"/>
          <w:highlight w:val="none"/>
        </w:rPr>
        <w:t>)进行公开招标采购，现邀请合格投标人参加投标。</w:t>
      </w:r>
    </w:p>
    <w:p w14:paraId="3E6328C6">
      <w:pPr>
        <w:pStyle w:val="3"/>
        <w:bidi w:val="0"/>
        <w:rPr>
          <w:rFonts w:hint="eastAsia" w:ascii="宋体" w:hAnsi="宋体" w:eastAsia="宋体" w:cs="宋体"/>
          <w:color w:val="auto"/>
          <w:sz w:val="21"/>
          <w:szCs w:val="21"/>
          <w:highlight w:val="none"/>
          <w:lang w:eastAsia="zh-CN"/>
        </w:rPr>
      </w:pPr>
      <w:bookmarkStart w:id="3" w:name="_Toc17179"/>
      <w:bookmarkStart w:id="4" w:name="_Toc27725"/>
      <w:r>
        <w:rPr>
          <w:rFonts w:hint="eastAsia" w:ascii="宋体" w:hAnsi="宋体" w:eastAsia="宋体" w:cs="宋体"/>
          <w:color w:val="auto"/>
          <w:sz w:val="21"/>
          <w:szCs w:val="21"/>
          <w:highlight w:val="none"/>
        </w:rPr>
        <w:t>一、采购项目</w:t>
      </w:r>
      <w:r>
        <w:rPr>
          <w:rFonts w:hint="eastAsia" w:ascii="宋体" w:hAnsi="宋体" w:eastAsia="宋体" w:cs="宋体"/>
          <w:color w:val="auto"/>
          <w:sz w:val="21"/>
          <w:szCs w:val="21"/>
          <w:highlight w:val="none"/>
          <w:lang w:val="en-US" w:eastAsia="zh-CN"/>
        </w:rPr>
        <w:t>基本信息</w:t>
      </w:r>
      <w:bookmarkEnd w:id="3"/>
      <w:bookmarkEnd w:id="4"/>
    </w:p>
    <w:p w14:paraId="3231CB20">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采购项目名称</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eastAsia="zh-CN"/>
        </w:rPr>
        <w:t>郴州市城区物业专项维修资金管理平台功能升级及数据清理项目</w:t>
      </w:r>
    </w:p>
    <w:p w14:paraId="6E0F9DAE">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cs="宋体"/>
          <w:color w:val="auto"/>
          <w:sz w:val="21"/>
          <w:szCs w:val="21"/>
          <w:highlight w:val="none"/>
          <w:u w:val="single"/>
          <w:lang w:val="en-US"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政府采购计划编号</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(2026)431000000066-1</w:t>
      </w:r>
      <w:r>
        <w:rPr>
          <w:rFonts w:hint="eastAsia" w:ascii="宋体" w:hAnsi="宋体" w:eastAsia="宋体" w:cs="宋体"/>
          <w:color w:val="auto"/>
          <w:sz w:val="21"/>
          <w:szCs w:val="21"/>
          <w:highlight w:val="none"/>
          <w:u w:val="single"/>
          <w:lang w:val="en-US" w:eastAsia="zh-CN"/>
        </w:rPr>
        <w:t xml:space="preserve"> </w:t>
      </w:r>
    </w:p>
    <w:p w14:paraId="66641AFB">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cs="宋体"/>
          <w:color w:val="auto"/>
          <w:sz w:val="21"/>
          <w:szCs w:val="21"/>
          <w:highlight w:val="none"/>
          <w:u w:val="singl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委托代理编号：</w:t>
      </w:r>
      <w:r>
        <w:rPr>
          <w:rFonts w:hint="eastAsia" w:ascii="宋体" w:hAnsi="宋体" w:cs="宋体"/>
          <w:color w:val="auto"/>
          <w:sz w:val="21"/>
          <w:szCs w:val="21"/>
          <w:highlight w:val="none"/>
          <w:u w:val="single"/>
          <w:lang w:val="en-US" w:eastAsia="zh-CN"/>
        </w:rPr>
        <w:t>ZKGSF(ZB)-20260865</w:t>
      </w:r>
    </w:p>
    <w:p w14:paraId="2AA474B1">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、采购项目预算：</w:t>
      </w:r>
      <w:r>
        <w:rPr>
          <w:rFonts w:hint="eastAsia" w:ascii="宋体" w:hAnsi="宋体" w:eastAsia="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2040000.00</w:t>
      </w:r>
      <w:r>
        <w:rPr>
          <w:rFonts w:hint="eastAsia" w:ascii="宋体" w:hAnsi="宋体" w:eastAsia="宋体" w:cs="宋体"/>
          <w:color w:val="auto"/>
          <w:sz w:val="21"/>
          <w:szCs w:val="21"/>
          <w:highlight w:val="none"/>
          <w:u w:val="single"/>
          <w:lang w:val="en-US" w:eastAsia="zh-CN"/>
        </w:rPr>
        <w:t>元</w:t>
      </w:r>
    </w:p>
    <w:p w14:paraId="2B913BFB">
      <w:pPr>
        <w:keepNext w:val="0"/>
        <w:keepLines w:val="0"/>
        <w:pageBreakBefore w:val="0"/>
        <w:kinsoku/>
        <w:overflowPunct/>
        <w:bidi w:val="0"/>
        <w:adjustRightInd w:val="0"/>
        <w:snapToGrid w:val="0"/>
        <w:spacing w:line="500" w:lineRule="exact"/>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支持预付款，预付比例：_</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rPr>
        <w:t>_</w:t>
      </w:r>
    </w:p>
    <w:p w14:paraId="64A17C8E">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、本项目对应的中小企业划分标准所属行业：</w:t>
      </w:r>
      <w:r>
        <w:rPr>
          <w:rFonts w:hint="eastAsia" w:ascii="宋体" w:hAnsi="宋体" w:eastAsia="宋体" w:cs="宋体"/>
          <w:color w:val="auto"/>
          <w:sz w:val="21"/>
          <w:szCs w:val="21"/>
          <w:highlight w:val="none"/>
          <w:u w:val="single"/>
          <w:lang w:eastAsia="zh-CN"/>
        </w:rPr>
        <w:t>软件和信息技术服务业</w:t>
      </w:r>
      <w:r>
        <w:rPr>
          <w:rFonts w:hint="eastAsia" w:ascii="宋体" w:hAnsi="宋体" w:eastAsia="宋体" w:cs="宋体"/>
          <w:color w:val="auto"/>
          <w:sz w:val="21"/>
          <w:szCs w:val="21"/>
          <w:highlight w:val="none"/>
        </w:rPr>
        <w:t xml:space="preserve"> </w:t>
      </w:r>
    </w:p>
    <w:p w14:paraId="3944D693">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、评标方法：</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 xml:space="preserve">综合评分法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最低评标价法</w:t>
      </w:r>
    </w:p>
    <w:p w14:paraId="0FD02BED">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、合同定价方式：</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 xml:space="preserve">固定总价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 xml:space="preserve">固定单价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 xml:space="preserve">成本补偿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绩效激励</w:t>
      </w:r>
    </w:p>
    <w:p w14:paraId="2C44D4F4">
      <w:pPr>
        <w:keepNext w:val="0"/>
        <w:keepLines w:val="0"/>
        <w:pageBreakBefore w:val="0"/>
        <w:kinsoku/>
        <w:overflowPunct/>
        <w:bidi w:val="0"/>
        <w:adjustRightInd w:val="0"/>
        <w:snapToGrid w:val="0"/>
        <w:spacing w:line="500" w:lineRule="exact"/>
        <w:ind w:firstLine="420" w:firstLineChars="200"/>
        <w:textAlignment w:val="auto"/>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、服务时间：本项目实施周期2年。</w:t>
      </w:r>
    </w:p>
    <w:p w14:paraId="1EE558BC">
      <w:pPr>
        <w:keepNext w:val="0"/>
        <w:keepLines w:val="0"/>
        <w:pageBreakBefore w:val="0"/>
        <w:kinsoku/>
        <w:overflowPunct/>
        <w:bidi w:val="0"/>
        <w:adjustRightInd w:val="0"/>
        <w:snapToGrid w:val="0"/>
        <w:spacing w:line="500" w:lineRule="exact"/>
        <w:ind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、根据《关于进一步优化政府采购领域营商环境的通知》郴财采资〔2024〕6号文件精神，</w:t>
      </w:r>
      <w:r>
        <w:rPr>
          <w:rFonts w:hint="eastAsia" w:ascii="宋体" w:hAnsi="宋体" w:eastAsia="宋体" w:cs="宋体"/>
          <w:b/>
          <w:bCs/>
          <w:color w:val="auto"/>
          <w:sz w:val="21"/>
          <w:szCs w:val="21"/>
          <w:highlight w:val="none"/>
        </w:rPr>
        <w:t>本项目</w:t>
      </w:r>
      <w:r>
        <w:rPr>
          <w:rFonts w:hint="eastAsia" w:ascii="宋体" w:hAnsi="宋体" w:eastAsia="宋体" w:cs="宋体"/>
          <w:b/>
          <w:bCs/>
          <w:color w:val="auto"/>
          <w:sz w:val="21"/>
          <w:szCs w:val="21"/>
          <w:highlight w:val="none"/>
          <w:lang w:eastAsia="zh-CN"/>
        </w:rPr>
        <w:t>取消投标保证金及履约保证金。</w:t>
      </w:r>
    </w:p>
    <w:p w14:paraId="4E3415DB">
      <w:pPr>
        <w:pStyle w:val="3"/>
        <w:bidi w:val="0"/>
        <w:rPr>
          <w:rFonts w:hint="eastAsia" w:ascii="宋体" w:hAnsi="宋体" w:eastAsia="宋体" w:cs="宋体"/>
          <w:color w:val="auto"/>
          <w:sz w:val="21"/>
          <w:szCs w:val="21"/>
          <w:highlight w:val="none"/>
        </w:rPr>
      </w:pPr>
      <w:bookmarkStart w:id="5" w:name="_Toc130"/>
      <w:bookmarkStart w:id="6" w:name="_Toc11805"/>
      <w:r>
        <w:rPr>
          <w:rFonts w:hint="eastAsia" w:ascii="宋体" w:hAnsi="宋体" w:eastAsia="宋体" w:cs="宋体"/>
          <w:color w:val="auto"/>
          <w:sz w:val="21"/>
          <w:szCs w:val="21"/>
          <w:highlight w:val="none"/>
        </w:rPr>
        <w:t>二、采购人的采购需求（按包）</w:t>
      </w:r>
      <w:bookmarkEnd w:id="5"/>
      <w:bookmarkEnd w:id="6"/>
    </w:p>
    <w:tbl>
      <w:tblPr>
        <w:tblStyle w:val="44"/>
        <w:tblW w:w="961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3"/>
        <w:gridCol w:w="1701"/>
        <w:gridCol w:w="1701"/>
        <w:gridCol w:w="983"/>
        <w:gridCol w:w="510"/>
        <w:gridCol w:w="1268"/>
        <w:gridCol w:w="1329"/>
        <w:gridCol w:w="810"/>
        <w:gridCol w:w="762"/>
      </w:tblGrid>
      <w:tr w14:paraId="293D4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24" w:hRule="atLeast"/>
          <w:jc w:val="center"/>
        </w:trPr>
        <w:tc>
          <w:tcPr>
            <w:tcW w:w="553" w:type="dxa"/>
            <w:noWrap w:val="0"/>
            <w:vAlign w:val="center"/>
          </w:tcPr>
          <w:p w14:paraId="6BF55409">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 xml:space="preserve">包号 </w:t>
            </w:r>
          </w:p>
        </w:tc>
        <w:tc>
          <w:tcPr>
            <w:tcW w:w="1701" w:type="dxa"/>
            <w:noWrap w:val="0"/>
            <w:vAlign w:val="center"/>
          </w:tcPr>
          <w:p w14:paraId="4D732942">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包名称</w:t>
            </w:r>
          </w:p>
        </w:tc>
        <w:tc>
          <w:tcPr>
            <w:tcW w:w="1701" w:type="dxa"/>
            <w:noWrap w:val="0"/>
            <w:vAlign w:val="center"/>
          </w:tcPr>
          <w:p w14:paraId="28B7DCE8">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标的名称</w:t>
            </w:r>
          </w:p>
        </w:tc>
        <w:tc>
          <w:tcPr>
            <w:tcW w:w="983" w:type="dxa"/>
            <w:tcBorders>
              <w:left w:val="single" w:color="auto" w:sz="4" w:space="0"/>
            </w:tcBorders>
            <w:noWrap w:val="0"/>
            <w:vAlign w:val="center"/>
          </w:tcPr>
          <w:p w14:paraId="1FCAC4A9">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简要技术要求</w:t>
            </w:r>
          </w:p>
        </w:tc>
        <w:tc>
          <w:tcPr>
            <w:tcW w:w="510" w:type="dxa"/>
            <w:tcBorders>
              <w:left w:val="single" w:color="auto" w:sz="4" w:space="0"/>
            </w:tcBorders>
            <w:noWrap w:val="0"/>
            <w:vAlign w:val="center"/>
          </w:tcPr>
          <w:p w14:paraId="5959D2AC">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数量</w:t>
            </w:r>
          </w:p>
        </w:tc>
        <w:tc>
          <w:tcPr>
            <w:tcW w:w="1268" w:type="dxa"/>
            <w:noWrap w:val="0"/>
            <w:vAlign w:val="center"/>
          </w:tcPr>
          <w:p w14:paraId="52C2BA83">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标的预算</w:t>
            </w:r>
          </w:p>
        </w:tc>
        <w:tc>
          <w:tcPr>
            <w:tcW w:w="1329" w:type="dxa"/>
            <w:noWrap w:val="0"/>
            <w:vAlign w:val="center"/>
          </w:tcPr>
          <w:p w14:paraId="33877B76">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最高限价</w:t>
            </w:r>
          </w:p>
        </w:tc>
        <w:tc>
          <w:tcPr>
            <w:tcW w:w="810" w:type="dxa"/>
            <w:noWrap w:val="0"/>
            <w:vAlign w:val="center"/>
          </w:tcPr>
          <w:p w14:paraId="557EEDBF">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节能产品</w:t>
            </w:r>
          </w:p>
        </w:tc>
        <w:tc>
          <w:tcPr>
            <w:tcW w:w="762" w:type="dxa"/>
            <w:noWrap w:val="0"/>
            <w:vAlign w:val="center"/>
          </w:tcPr>
          <w:p w14:paraId="78787029">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进口产品</w:t>
            </w:r>
          </w:p>
        </w:tc>
      </w:tr>
      <w:tr w14:paraId="5427AF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7" w:hRule="atLeast"/>
          <w:jc w:val="center"/>
        </w:trPr>
        <w:tc>
          <w:tcPr>
            <w:tcW w:w="553" w:type="dxa"/>
            <w:noWrap w:val="0"/>
            <w:vAlign w:val="center"/>
          </w:tcPr>
          <w:p w14:paraId="38E01761">
            <w:pPr>
              <w:keepNext w:val="0"/>
              <w:keepLines w:val="0"/>
              <w:pageBreakBefore w:val="0"/>
              <w:widowControl/>
              <w:kinsoku/>
              <w:overflowPunct/>
              <w:bidi w:val="0"/>
              <w:adjustRightInd w:val="0"/>
              <w:snapToGrid w:val="0"/>
              <w:spacing w:line="500" w:lineRule="exact"/>
              <w:jc w:val="center"/>
              <w:textAlignment w:val="auto"/>
              <w:rPr>
                <w:rFonts w:hint="eastAsia" w:cs="宋体" w:asciiTheme="minorEastAsia" w:hAnsiTheme="minorEastAsia" w:eastAsiaTheme="minorEastAsia"/>
                <w:color w:val="auto"/>
                <w:kern w:val="0"/>
                <w:sz w:val="24"/>
                <w:highlight w:val="none"/>
                <w:lang w:val="en-US" w:eastAsia="zh-CN"/>
              </w:rPr>
            </w:pPr>
            <w:r>
              <w:rPr>
                <w:rFonts w:hint="eastAsia" w:cs="宋体" w:asciiTheme="minorEastAsia" w:hAnsiTheme="minorEastAsia" w:eastAsiaTheme="minorEastAsia"/>
                <w:color w:val="auto"/>
                <w:kern w:val="0"/>
                <w:sz w:val="24"/>
                <w:highlight w:val="none"/>
                <w:lang w:val="en-US" w:eastAsia="zh-CN"/>
              </w:rPr>
              <w:t>1</w:t>
            </w:r>
          </w:p>
        </w:tc>
        <w:tc>
          <w:tcPr>
            <w:tcW w:w="1701" w:type="dxa"/>
            <w:noWrap w:val="0"/>
            <w:vAlign w:val="center"/>
          </w:tcPr>
          <w:p w14:paraId="6AED3DB4">
            <w:pPr>
              <w:adjustRightInd w:val="0"/>
              <w:snapToGrid w:val="0"/>
              <w:spacing w:before="156" w:beforeLines="50" w:line="24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郴州市城区物业专项维修资金管理平台功能升级及数据清理项目</w:t>
            </w:r>
          </w:p>
        </w:tc>
        <w:tc>
          <w:tcPr>
            <w:tcW w:w="1701" w:type="dxa"/>
            <w:noWrap w:val="0"/>
            <w:vAlign w:val="center"/>
          </w:tcPr>
          <w:p w14:paraId="58C896BA">
            <w:pPr>
              <w:adjustRightInd w:val="0"/>
              <w:snapToGrid w:val="0"/>
              <w:spacing w:before="156" w:beforeLines="50" w:line="240" w:lineRule="auto"/>
              <w:jc w:val="both"/>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郴州市城区物业专项维修资金管理平台功能升级及数据清理项目</w:t>
            </w:r>
          </w:p>
        </w:tc>
        <w:tc>
          <w:tcPr>
            <w:tcW w:w="983" w:type="dxa"/>
            <w:tcBorders>
              <w:left w:val="single" w:color="auto" w:sz="4" w:space="0"/>
            </w:tcBorders>
            <w:noWrap w:val="0"/>
            <w:vAlign w:val="center"/>
          </w:tcPr>
          <w:p w14:paraId="5123B04A">
            <w:pPr>
              <w:adjustRightInd w:val="0"/>
              <w:snapToGrid w:val="0"/>
              <w:spacing w:before="156" w:beforeLines="50" w:line="24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详见采购需求</w:t>
            </w:r>
          </w:p>
        </w:tc>
        <w:tc>
          <w:tcPr>
            <w:tcW w:w="510" w:type="dxa"/>
            <w:tcBorders>
              <w:left w:val="single" w:color="auto" w:sz="4" w:space="0"/>
            </w:tcBorders>
            <w:noWrap w:val="0"/>
            <w:vAlign w:val="center"/>
          </w:tcPr>
          <w:p w14:paraId="4EED5ECF">
            <w:pPr>
              <w:adjustRightInd w:val="0"/>
              <w:snapToGrid w:val="0"/>
              <w:spacing w:before="156" w:beforeLines="50" w:line="24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268" w:type="dxa"/>
            <w:noWrap w:val="0"/>
            <w:vAlign w:val="center"/>
          </w:tcPr>
          <w:p w14:paraId="352BE544">
            <w:pPr>
              <w:adjustRightInd w:val="0"/>
              <w:snapToGrid w:val="0"/>
              <w:spacing w:before="156" w:beforeLines="50" w:line="240" w:lineRule="auto"/>
              <w:jc w:val="center"/>
              <w:rPr>
                <w:rFonts w:hint="default" w:ascii="宋体" w:hAnsi="宋体" w:eastAsia="宋体" w:cs="宋体"/>
                <w:color w:val="auto"/>
                <w:szCs w:val="21"/>
                <w:highlight w:val="none"/>
                <w:lang w:val="en-US"/>
              </w:rPr>
            </w:pPr>
            <w:r>
              <w:rPr>
                <w:rFonts w:hint="eastAsia" w:ascii="宋体" w:hAnsi="宋体" w:cs="宋体"/>
                <w:color w:val="auto"/>
                <w:szCs w:val="21"/>
                <w:highlight w:val="none"/>
                <w:lang w:eastAsia="zh-CN"/>
              </w:rPr>
              <w:t>2040000.00</w:t>
            </w:r>
          </w:p>
        </w:tc>
        <w:tc>
          <w:tcPr>
            <w:tcW w:w="1329" w:type="dxa"/>
            <w:noWrap w:val="0"/>
            <w:vAlign w:val="center"/>
          </w:tcPr>
          <w:p w14:paraId="1710B682">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2040000.00</w:t>
            </w:r>
          </w:p>
        </w:tc>
        <w:tc>
          <w:tcPr>
            <w:tcW w:w="810" w:type="dxa"/>
            <w:noWrap w:val="0"/>
            <w:vAlign w:val="center"/>
          </w:tcPr>
          <w:p w14:paraId="134F0611">
            <w:pPr>
              <w:adjustRightInd w:val="0"/>
              <w:snapToGrid w:val="0"/>
              <w:spacing w:before="156" w:beforeLines="50" w:line="24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c>
          <w:tcPr>
            <w:tcW w:w="762" w:type="dxa"/>
            <w:noWrap w:val="0"/>
            <w:vAlign w:val="center"/>
          </w:tcPr>
          <w:p w14:paraId="0AF58701">
            <w:pPr>
              <w:keepNext w:val="0"/>
              <w:keepLines w:val="0"/>
              <w:pageBreakBefore w:val="0"/>
              <w:widowControl/>
              <w:kinsoku/>
              <w:overflowPunct/>
              <w:bidi w:val="0"/>
              <w:adjustRightInd w:val="0"/>
              <w:snapToGrid w:val="0"/>
              <w:spacing w:line="240" w:lineRule="auto"/>
              <w:jc w:val="center"/>
              <w:textAlignment w:val="auto"/>
              <w:rPr>
                <w:rFonts w:hint="eastAsia" w:cs="宋体" w:asciiTheme="minorEastAsia" w:hAnsiTheme="minorEastAsia" w:eastAsiaTheme="minorEastAsia"/>
                <w:color w:val="auto"/>
                <w:kern w:val="0"/>
                <w:sz w:val="24"/>
                <w:highlight w:val="none"/>
                <w:lang w:val="en-US" w:eastAsia="zh-CN"/>
              </w:rPr>
            </w:pPr>
            <w:r>
              <w:rPr>
                <w:rFonts w:hint="eastAsia" w:cs="宋体" w:asciiTheme="minorEastAsia" w:hAnsiTheme="minorEastAsia" w:eastAsiaTheme="minorEastAsia"/>
                <w:color w:val="auto"/>
                <w:kern w:val="0"/>
                <w:sz w:val="24"/>
                <w:highlight w:val="none"/>
                <w:lang w:val="en-US" w:eastAsia="zh-CN"/>
              </w:rPr>
              <w:t>/</w:t>
            </w:r>
          </w:p>
        </w:tc>
      </w:tr>
    </w:tbl>
    <w:p w14:paraId="4C22D129">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14:paraId="55A1EB96">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节能产品实行强制采购的，需提供国家认证机构出具的、处于有效期内的节能产品证书。</w:t>
      </w:r>
    </w:p>
    <w:p w14:paraId="7C07BA4F">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同意购买进口产品的，不限制满足采购需求的国内产品参与投标。</w:t>
      </w:r>
    </w:p>
    <w:p w14:paraId="67D0219A">
      <w:pPr>
        <w:pStyle w:val="3"/>
        <w:bidi w:val="0"/>
        <w:rPr>
          <w:rFonts w:hint="eastAsia" w:ascii="宋体" w:hAnsi="宋体" w:eastAsia="宋体" w:cs="宋体"/>
          <w:color w:val="auto"/>
          <w:sz w:val="21"/>
          <w:szCs w:val="21"/>
          <w:highlight w:val="none"/>
        </w:rPr>
      </w:pPr>
      <w:bookmarkStart w:id="7" w:name="_Toc1830"/>
      <w:bookmarkStart w:id="8" w:name="_Toc4710"/>
      <w:r>
        <w:rPr>
          <w:rFonts w:hint="eastAsia" w:ascii="宋体" w:hAnsi="宋体" w:eastAsia="宋体" w:cs="宋体"/>
          <w:color w:val="auto"/>
          <w:sz w:val="21"/>
          <w:szCs w:val="21"/>
          <w:highlight w:val="none"/>
        </w:rPr>
        <w:t>三、采购项目需落实的政府采购政策：</w:t>
      </w:r>
      <w:bookmarkEnd w:id="7"/>
      <w:bookmarkEnd w:id="8"/>
    </w:p>
    <w:p w14:paraId="09BCABF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优先采购：</w:t>
      </w:r>
      <w:r>
        <w:rPr>
          <w:rFonts w:hint="eastAsia" w:ascii="宋体" w:hAnsi="宋体" w:eastAsia="宋体" w:cs="宋体"/>
          <w:color w:val="auto"/>
          <w:szCs w:val="21"/>
          <w:highlight w:val="none"/>
        </w:rPr>
        <w:t>节能产品、</w:t>
      </w:r>
      <w:r>
        <w:rPr>
          <w:rFonts w:hint="eastAsia" w:ascii="宋体" w:hAnsi="宋体" w:eastAsia="宋体" w:cs="宋体"/>
          <w:color w:val="auto"/>
          <w:szCs w:val="21"/>
          <w:highlight w:val="none"/>
          <w:lang w:val="en-US" w:eastAsia="zh-CN"/>
        </w:rPr>
        <w:t>环境标志产品</w:t>
      </w:r>
      <w:r>
        <w:rPr>
          <w:rFonts w:hint="eastAsia" w:ascii="宋体" w:hAnsi="宋体" w:eastAsia="宋体" w:cs="宋体"/>
          <w:color w:val="auto"/>
          <w:szCs w:val="21"/>
          <w:highlight w:val="none"/>
        </w:rPr>
        <w:t>享受加分或价格折扣。</w:t>
      </w:r>
    </w:p>
    <w:p w14:paraId="5A05A00F">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支持中小企业：中小企业享受预留采购份额或价格折扣。</w:t>
      </w:r>
    </w:p>
    <w:p w14:paraId="0541144F">
      <w:pPr>
        <w:pStyle w:val="3"/>
        <w:bidi w:val="0"/>
        <w:rPr>
          <w:rFonts w:hint="eastAsia" w:ascii="宋体" w:hAnsi="宋体" w:eastAsia="宋体" w:cs="宋体"/>
          <w:color w:val="auto"/>
          <w:sz w:val="21"/>
          <w:szCs w:val="21"/>
          <w:highlight w:val="none"/>
        </w:rPr>
      </w:pPr>
      <w:bookmarkStart w:id="9" w:name="_Toc11302"/>
      <w:bookmarkStart w:id="10" w:name="_Toc20425"/>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、投标人的资格要求：</w:t>
      </w:r>
      <w:bookmarkEnd w:id="9"/>
      <w:bookmarkEnd w:id="10"/>
    </w:p>
    <w:p w14:paraId="144381EE">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1、投标人的基本资格条件：投标人必须是在中华人民共和国境内注册登记的法人、其他组织或者自然人，且应当符合《政府采购法》第二十二条第一款的规定。</w:t>
      </w:r>
    </w:p>
    <w:p w14:paraId="71BE7932">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2、落实政府采购政策需满足的资格要求：</w:t>
      </w:r>
    </w:p>
    <w:p w14:paraId="72D3E126">
      <w:pPr>
        <w:adjustRightInd w:val="0"/>
        <w:snapToGrid w:val="0"/>
        <w:spacing w:line="360" w:lineRule="auto"/>
        <w:ind w:firstLine="630" w:firstLineChars="300"/>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00FE"/>
      </w:r>
      <w:r>
        <w:rPr>
          <w:rFonts w:hint="eastAsia" w:ascii="宋体" w:hAnsi="宋体" w:eastAsia="宋体" w:cs="宋体"/>
          <w:iCs/>
          <w:color w:val="auto"/>
          <w:sz w:val="21"/>
          <w:szCs w:val="21"/>
          <w:highlight w:val="none"/>
          <w:lang w:val="en-US" w:eastAsia="zh-CN"/>
        </w:rPr>
        <w:t>专门面向</w:t>
      </w:r>
      <w:r>
        <w:rPr>
          <w:rFonts w:hint="eastAsia" w:ascii="宋体" w:hAnsi="宋体" w:eastAsia="宋体" w:cs="宋体"/>
          <w:bCs/>
          <w:color w:val="auto"/>
          <w:sz w:val="21"/>
          <w:szCs w:val="21"/>
          <w:highlight w:val="none"/>
          <w:lang w:eastAsia="zh-CN"/>
        </w:rPr>
        <w:t>：</w:t>
      </w:r>
      <w:r>
        <w:rPr>
          <w:rFonts w:hint="eastAsia" w:ascii="宋体" w:hAnsi="宋体" w:eastAsia="宋体" w:cs="宋体"/>
          <w:iCs/>
          <w:color w:val="auto"/>
          <w:sz w:val="21"/>
          <w:szCs w:val="21"/>
          <w:highlight w:val="none"/>
        </w:rPr>
        <w:sym w:font="Wingdings" w:char="00FE"/>
      </w:r>
      <w:r>
        <w:rPr>
          <w:rFonts w:hint="eastAsia" w:ascii="宋体" w:hAnsi="宋体" w:eastAsia="宋体" w:cs="宋体"/>
          <w:iCs/>
          <w:color w:val="auto"/>
          <w:sz w:val="21"/>
          <w:szCs w:val="21"/>
          <w:highlight w:val="none"/>
        </w:rPr>
        <w:t>中</w:t>
      </w:r>
      <w:r>
        <w:rPr>
          <w:rFonts w:hint="eastAsia" w:ascii="宋体" w:hAnsi="宋体" w:eastAsia="宋体" w:cs="宋体"/>
          <w:iCs/>
          <w:color w:val="auto"/>
          <w:sz w:val="21"/>
          <w:szCs w:val="21"/>
          <w:highlight w:val="none"/>
          <w:lang w:val="en-US" w:eastAsia="zh-CN"/>
        </w:rPr>
        <w:t>小</w:t>
      </w:r>
      <w:r>
        <w:rPr>
          <w:rFonts w:hint="eastAsia" w:ascii="宋体" w:hAnsi="宋体" w:eastAsia="宋体" w:cs="宋体"/>
          <w:iCs/>
          <w:color w:val="auto"/>
          <w:sz w:val="21"/>
          <w:szCs w:val="21"/>
          <w:highlight w:val="none"/>
        </w:rPr>
        <w:t xml:space="preserve">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小微企业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监狱企业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福利性单位。</w:t>
      </w:r>
    </w:p>
    <w:p w14:paraId="1388A6AF">
      <w:pPr>
        <w:adjustRightInd w:val="0"/>
        <w:snapToGrid w:val="0"/>
        <w:spacing w:line="360" w:lineRule="auto"/>
        <w:ind w:firstLine="630" w:firstLineChars="300"/>
        <w:rPr>
          <w:rFonts w:hint="eastAsia" w:ascii="宋体" w:hAnsi="宋体" w:eastAsia="宋体" w:cs="宋体"/>
          <w:bCs/>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强制</w:t>
      </w:r>
      <w:r>
        <w:rPr>
          <w:rFonts w:hint="eastAsia" w:ascii="宋体" w:hAnsi="宋体" w:eastAsia="宋体" w:cs="宋体"/>
          <w:bCs/>
          <w:color w:val="auto"/>
          <w:sz w:val="21"/>
          <w:szCs w:val="21"/>
          <w:highlight w:val="none"/>
        </w:rPr>
        <w:t>分包</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大型企业应将采购份额</w:t>
      </w:r>
      <w:r>
        <w:rPr>
          <w:rFonts w:hint="eastAsia" w:ascii="宋体" w:hAnsi="宋体" w:eastAsia="宋体" w:cs="宋体"/>
          <w:bCs/>
          <w:color w:val="auto"/>
          <w:sz w:val="21"/>
          <w:szCs w:val="21"/>
          <w:highlight w:val="none"/>
          <w:lang w:val="en-US" w:eastAsia="zh-CN"/>
        </w:rPr>
        <w:t>的</w:t>
      </w:r>
      <w:r>
        <w:rPr>
          <w:rFonts w:hint="eastAsia" w:ascii="宋体" w:hAnsi="宋体" w:eastAsia="宋体" w:cs="宋体"/>
          <w:bCs/>
          <w:color w:val="auto"/>
          <w:sz w:val="21"/>
          <w:szCs w:val="21"/>
          <w:highlight w:val="none"/>
          <w:u w:val="single"/>
          <w:lang w:val="en-US" w:eastAsia="zh-CN"/>
        </w:rPr>
        <w:t xml:space="preserve">  / </w:t>
      </w:r>
      <w:r>
        <w:rPr>
          <w:rFonts w:hint="eastAsia" w:ascii="宋体" w:hAnsi="宋体" w:eastAsia="宋体" w:cs="宋体"/>
          <w:bCs/>
          <w:color w:val="auto"/>
          <w:sz w:val="21"/>
          <w:szCs w:val="21"/>
          <w:highlight w:val="none"/>
        </w:rPr>
        <w:t>%分包给中小企业。</w:t>
      </w:r>
    </w:p>
    <w:p w14:paraId="4791DB64">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3、采购项目的特定资格条件：</w:t>
      </w:r>
      <w:r>
        <w:rPr>
          <w:rFonts w:hint="eastAsia" w:ascii="宋体" w:hAnsi="宋体" w:cs="宋体"/>
          <w:color w:val="auto"/>
          <w:sz w:val="21"/>
          <w:szCs w:val="21"/>
          <w:highlight w:val="none"/>
          <w:u w:val="none"/>
          <w:lang w:val="en-US" w:eastAsia="zh-CN"/>
        </w:rPr>
        <w:t>无</w:t>
      </w:r>
      <w:r>
        <w:rPr>
          <w:rFonts w:hint="eastAsia" w:ascii="宋体" w:hAnsi="宋体" w:eastAsia="宋体" w:cs="宋体"/>
          <w:color w:val="auto"/>
          <w:sz w:val="21"/>
          <w:szCs w:val="21"/>
          <w:highlight w:val="none"/>
        </w:rPr>
        <w:t>。</w:t>
      </w:r>
    </w:p>
    <w:p w14:paraId="164ED2D2">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4、单位负责人为同一人或者存在直接控股、管理关系的不同投标人，不得参加同一合同项下的政府采购活动。</w:t>
      </w:r>
    </w:p>
    <w:p w14:paraId="79224F1B">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5、为本采购项目提供整体设计、规范编制或者项目管理、监理、检测等服务的，不得再参加此项目的其他采购活动。</w:t>
      </w:r>
    </w:p>
    <w:p w14:paraId="46841D49">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kern w:val="0"/>
          <w:sz w:val="21"/>
          <w:szCs w:val="21"/>
          <w:highlight w:val="none"/>
          <w:lang w:val="en-US" w:eastAsia="zh-CN" w:bidi="ar"/>
        </w:rPr>
        <w:t>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p w14:paraId="1C3E9DA8">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7、联合体投标。本次招标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不接受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(接受或不接受)联合体投标。接受联合体投标的，联合体应当具备下列条件：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05EC8E2">
      <w:pPr>
        <w:pStyle w:val="3"/>
        <w:bidi w:val="0"/>
        <w:rPr>
          <w:rFonts w:hint="eastAsia" w:ascii="宋体" w:hAnsi="宋体" w:eastAsia="宋体" w:cs="宋体"/>
          <w:color w:val="auto"/>
          <w:sz w:val="21"/>
          <w:szCs w:val="21"/>
          <w:highlight w:val="none"/>
        </w:rPr>
      </w:pPr>
      <w:bookmarkStart w:id="11" w:name="_Toc2647"/>
      <w:bookmarkStart w:id="12" w:name="_Toc19023"/>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、获取电子招标文件的时间、期限、方式</w:t>
      </w:r>
      <w:bookmarkEnd w:id="11"/>
      <w:bookmarkEnd w:id="12"/>
    </w:p>
    <w:p w14:paraId="619BBDE5">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凡符合投标资格要求并有意参加投标者，可在公告发布之日起至提交投标文件截止之日通过郴州市公共资源交易中心(http://czggzy.czs.gov.cn/)免费获取电子招标文件。</w:t>
      </w:r>
    </w:p>
    <w:p w14:paraId="12980DC8">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公开招标文件及修改、澄清文件获取方式:投标人应在本项目获取招标文件截止时间前登录郴州市公共资源交易中心(http://czggzy.czs.gov.cn/)中进入"政府采购交易系统进行“用户登录”“我要投标”“下载文件”操作，逾期将不能获取文件。修改、澄清后的招标文件请投标人自行在以上网站下载或查阅,恕不另行通知，如有遗漏投标人自行承担全部责任。</w:t>
      </w:r>
    </w:p>
    <w:p w14:paraId="5476D51F">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3、通过网络下载，其招标文件与备案的书面招标文件具有同等法律效力。投标人应及时关注网上相关招标信息，如有遗漏（包括但不限于文件未下载或下载不完整）</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概不负责，所造成的投标失败或损失由投标人自行负责。</w:t>
      </w:r>
    </w:p>
    <w:p w14:paraId="03F8A66F">
      <w:pPr>
        <w:pStyle w:val="3"/>
        <w:bidi w:val="0"/>
        <w:rPr>
          <w:rFonts w:hint="eastAsia" w:ascii="宋体" w:hAnsi="宋体" w:eastAsia="宋体" w:cs="宋体"/>
          <w:color w:val="auto"/>
          <w:sz w:val="21"/>
          <w:szCs w:val="21"/>
          <w:highlight w:val="none"/>
        </w:rPr>
      </w:pPr>
      <w:bookmarkStart w:id="13" w:name="_Toc24714"/>
      <w:bookmarkStart w:id="14" w:name="_Toc11832"/>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、投标截止时间、开标时间、开标地点</w:t>
      </w:r>
      <w:bookmarkEnd w:id="13"/>
      <w:bookmarkEnd w:id="14"/>
    </w:p>
    <w:p w14:paraId="1940A727">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1、提交投标文件的截止时间：</w:t>
      </w:r>
      <w:r>
        <w:rPr>
          <w:rFonts w:hint="eastAsia" w:ascii="宋体" w:hAnsi="宋体" w:eastAsia="宋体" w:cs="宋体"/>
          <w:color w:val="auto"/>
          <w:sz w:val="21"/>
          <w:szCs w:val="21"/>
          <w:highlight w:val="none"/>
          <w:u w:val="single"/>
          <w:lang w:val="en-US"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8月21日10</w:t>
      </w:r>
      <w:r>
        <w:rPr>
          <w:rFonts w:hint="eastAsia" w:ascii="宋体" w:hAnsi="宋体" w:eastAsia="宋体" w:cs="宋体"/>
          <w:color w:val="auto"/>
          <w:sz w:val="21"/>
          <w:szCs w:val="21"/>
          <w:highlight w:val="none"/>
          <w:u w:val="single"/>
        </w:rPr>
        <w:t>时</w:t>
      </w:r>
      <w:r>
        <w:rPr>
          <w:rFonts w:hint="eastAsia" w:ascii="宋体"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rPr>
        <w:t>分（北京时间）</w:t>
      </w:r>
      <w:r>
        <w:rPr>
          <w:rFonts w:hint="eastAsia" w:ascii="宋体" w:hAnsi="宋体" w:eastAsia="宋体" w:cs="宋体"/>
          <w:color w:val="auto"/>
          <w:sz w:val="21"/>
          <w:szCs w:val="21"/>
          <w:highlight w:val="none"/>
        </w:rPr>
        <w:t>，超过截止时间的投标将被拒绝。</w:t>
      </w:r>
    </w:p>
    <w:p w14:paraId="222EC780">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、开标时间：</w:t>
      </w:r>
      <w:r>
        <w:rPr>
          <w:rFonts w:hint="eastAsia" w:ascii="宋体" w:hAnsi="宋体" w:eastAsia="宋体" w:cs="宋体"/>
          <w:color w:val="auto"/>
          <w:sz w:val="21"/>
          <w:szCs w:val="21"/>
          <w:highlight w:val="none"/>
          <w:u w:val="single"/>
          <w:lang w:val="en-US"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8月21日10</w:t>
      </w:r>
      <w:r>
        <w:rPr>
          <w:rFonts w:hint="eastAsia" w:ascii="宋体" w:hAnsi="宋体" w:eastAsia="宋体" w:cs="宋体"/>
          <w:color w:val="auto"/>
          <w:sz w:val="21"/>
          <w:szCs w:val="21"/>
          <w:highlight w:val="none"/>
          <w:u w:val="single"/>
        </w:rPr>
        <w:t>时</w:t>
      </w:r>
      <w:r>
        <w:rPr>
          <w:rFonts w:hint="eastAsia" w:ascii="宋体"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rPr>
        <w:t>分（北京时间）</w:t>
      </w:r>
      <w:r>
        <w:rPr>
          <w:rFonts w:hint="eastAsia" w:ascii="宋体" w:hAnsi="宋体" w:cs="宋体"/>
          <w:color w:val="auto"/>
          <w:sz w:val="21"/>
          <w:szCs w:val="21"/>
          <w:highlight w:val="none"/>
          <w:lang w:eastAsia="zh-CN"/>
        </w:rPr>
        <w:t>。</w:t>
      </w:r>
    </w:p>
    <w:p w14:paraId="15E42D62">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、开标地点：</w:t>
      </w:r>
      <w:r>
        <w:rPr>
          <w:rFonts w:hint="eastAsia" w:ascii="宋体" w:hAnsi="宋体" w:eastAsia="宋体" w:cs="宋体"/>
          <w:color w:val="auto"/>
          <w:sz w:val="21"/>
          <w:szCs w:val="21"/>
          <w:highlight w:val="none"/>
          <w:u w:val="single"/>
        </w:rPr>
        <w:t>郴州市市民服务中心4楼市公共资源交易中心第</w:t>
      </w:r>
      <w:r>
        <w:rPr>
          <w:rFonts w:hint="eastAsia" w:ascii="宋体" w:hAnsi="宋体" w:cs="宋体"/>
          <w:color w:val="auto"/>
          <w:sz w:val="21"/>
          <w:szCs w:val="21"/>
          <w:highlight w:val="none"/>
          <w:u w:val="single"/>
          <w:lang w:val="en-US" w:eastAsia="zh-CN"/>
        </w:rPr>
        <w:t>4</w:t>
      </w:r>
      <w:r>
        <w:rPr>
          <w:rFonts w:hint="eastAsia" w:ascii="宋体" w:hAnsi="宋体" w:eastAsia="宋体" w:cs="宋体"/>
          <w:color w:val="auto"/>
          <w:sz w:val="21"/>
          <w:szCs w:val="21"/>
          <w:highlight w:val="none"/>
          <w:u w:val="single"/>
        </w:rPr>
        <w:t>开标室</w:t>
      </w:r>
      <w:r>
        <w:rPr>
          <w:rFonts w:hint="eastAsia" w:ascii="宋体" w:hAnsi="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 xml:space="preserve"> </w:t>
      </w:r>
    </w:p>
    <w:p w14:paraId="79E6392B">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4、电子标项目实行网上投标及解密，具体操作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投标人在“郴州市公共资源交易中心”登录“政府采购交易系统”（</w:t>
      </w:r>
      <w:r>
        <w:rPr>
          <w:rFonts w:hint="eastAsia" w:ascii="宋体" w:hAnsi="宋体" w:eastAsia="宋体" w:cs="宋体"/>
          <w:color w:val="auto"/>
          <w:sz w:val="21"/>
          <w:szCs w:val="21"/>
          <w:highlight w:val="none"/>
          <w:lang w:eastAsia="zh-CN"/>
        </w:rPr>
        <w:t>http://www.czggzyzx.cn/TPBidder</w:t>
      </w:r>
      <w:r>
        <w:rPr>
          <w:rFonts w:hint="eastAsia" w:ascii="宋体" w:hAnsi="宋体" w:eastAsia="宋体" w:cs="宋体"/>
          <w:color w:val="auto"/>
          <w:sz w:val="21"/>
          <w:szCs w:val="21"/>
          <w:highlight w:val="none"/>
        </w:rPr>
        <w:t>），上传电子投标文件，登录“不见面开标大厅”（</w:t>
      </w:r>
      <w:r>
        <w:rPr>
          <w:rFonts w:hint="eastAsia" w:ascii="宋体" w:hAnsi="宋体" w:eastAsia="宋体" w:cs="宋体"/>
          <w:color w:val="auto"/>
          <w:sz w:val="21"/>
          <w:szCs w:val="21"/>
          <w:highlight w:val="none"/>
          <w:lang w:eastAsia="zh-CN"/>
        </w:rPr>
        <w:t>http://www.czggzyzx.cn/BidOpening</w:t>
      </w:r>
      <w:r>
        <w:rPr>
          <w:rFonts w:hint="eastAsia" w:ascii="宋体" w:hAnsi="宋体" w:eastAsia="宋体" w:cs="宋体"/>
          <w:color w:val="auto"/>
          <w:sz w:val="21"/>
          <w:szCs w:val="21"/>
          <w:highlight w:val="none"/>
        </w:rPr>
        <w:t>）在规定时间自行远程解密参加网上开标活动。建议投标人上传电子投标文件容量为200MB以内。</w:t>
      </w:r>
    </w:p>
    <w:p w14:paraId="4D9FBAE9">
      <w:pPr>
        <w:keepNext w:val="0"/>
        <w:keepLines w:val="0"/>
        <w:pageBreakBefore w:val="0"/>
        <w:kinsoku/>
        <w:wordWrap w:val="0"/>
        <w:overflowPunct/>
        <w:topLine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、电子投标文件解密时限：30分钟</w:t>
      </w:r>
      <w:r>
        <w:rPr>
          <w:rFonts w:hint="eastAsia" w:ascii="宋体" w:hAnsi="宋体" w:eastAsia="宋体" w:cs="宋体"/>
          <w:color w:val="auto"/>
          <w:sz w:val="21"/>
          <w:szCs w:val="21"/>
          <w:highlight w:val="none"/>
          <w:lang w:eastAsia="zh-CN"/>
        </w:rPr>
        <w:t>。</w:t>
      </w:r>
    </w:p>
    <w:p w14:paraId="19E0C7D5">
      <w:pPr>
        <w:pStyle w:val="3"/>
        <w:bidi w:val="0"/>
        <w:rPr>
          <w:rFonts w:hint="eastAsia" w:ascii="宋体" w:hAnsi="宋体" w:eastAsia="宋体" w:cs="宋体"/>
          <w:color w:val="auto"/>
          <w:sz w:val="21"/>
          <w:szCs w:val="21"/>
          <w:highlight w:val="none"/>
        </w:rPr>
      </w:pPr>
      <w:bookmarkStart w:id="15" w:name="_Toc17186"/>
      <w:bookmarkStart w:id="16" w:name="_Toc1255"/>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、招标文件公告期限：</w:t>
      </w:r>
      <w:bookmarkEnd w:id="15"/>
      <w:bookmarkEnd w:id="16"/>
    </w:p>
    <w:p w14:paraId="4A6ADC27">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1、招标文件公告期限：</w:t>
      </w:r>
      <w:r>
        <w:rPr>
          <w:rFonts w:hint="eastAsia" w:ascii="宋体" w:hAnsi="宋体" w:cs="宋体"/>
          <w:color w:val="auto"/>
          <w:sz w:val="21"/>
          <w:szCs w:val="21"/>
          <w:highlight w:val="none"/>
          <w:u w:val="single"/>
          <w:lang w:val="en-US" w:eastAsia="zh-CN"/>
        </w:rPr>
        <w:t>2026年8月3</w:t>
      </w:r>
      <w:bookmarkStart w:id="253" w:name="_GoBack"/>
      <w:bookmarkEnd w:id="253"/>
      <w:r>
        <w:rPr>
          <w:rFonts w:hint="eastAsia" w:ascii="宋体" w:hAnsi="宋体" w:cs="宋体"/>
          <w:color w:val="auto"/>
          <w:sz w:val="21"/>
          <w:szCs w:val="21"/>
          <w:highlight w:val="none"/>
          <w:u w:val="single"/>
          <w:lang w:val="en-US" w:eastAsia="zh-CN"/>
        </w:rPr>
        <w:t>日09时00分至2026年8月7日17时00分止</w:t>
      </w:r>
      <w:r>
        <w:rPr>
          <w:rFonts w:hint="eastAsia" w:ascii="宋体" w:hAnsi="宋体" w:eastAsia="宋体" w:cs="宋体"/>
          <w:color w:val="auto"/>
          <w:sz w:val="21"/>
          <w:szCs w:val="21"/>
          <w:highlight w:val="none"/>
        </w:rPr>
        <w:t>（5个工作日）。</w:t>
      </w:r>
    </w:p>
    <w:p w14:paraId="064BCAD0">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bookmarkStart w:id="17" w:name="_Toc1323"/>
      <w:bookmarkStart w:id="18" w:name="_Toc17175"/>
      <w:r>
        <w:rPr>
          <w:rFonts w:hint="eastAsia" w:ascii="宋体" w:hAnsi="宋体" w:eastAsia="宋体" w:cs="宋体"/>
          <w:color w:val="auto"/>
          <w:sz w:val="21"/>
          <w:szCs w:val="21"/>
          <w:highlight w:val="none"/>
        </w:rPr>
        <w:t>2、本招标公告在中国湖南政府采购网（www.ccgp-hunan.gov.cn）、郴州市公共资源交易中心(http://czggzy.czs.gov.cn/)发布。在其他媒体发布的招标公告，公告内容以本招标公告指定媒体发布的公告为准；公告期限自本招标公告指定媒体最先发布公告之日起算。</w:t>
      </w:r>
    </w:p>
    <w:p w14:paraId="68DD86DF">
      <w:pPr>
        <w:pStyle w:val="3"/>
        <w:bidi w:val="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八</w:t>
      </w:r>
      <w:r>
        <w:rPr>
          <w:rFonts w:hint="eastAsia" w:ascii="宋体" w:hAnsi="宋体" w:eastAsia="宋体" w:cs="宋体"/>
          <w:b/>
          <w:color w:val="auto"/>
          <w:sz w:val="21"/>
          <w:szCs w:val="21"/>
          <w:highlight w:val="none"/>
        </w:rPr>
        <w:t>、疑问及质疑</w:t>
      </w:r>
      <w:r>
        <w:rPr>
          <w:rFonts w:hint="eastAsia" w:ascii="宋体" w:hAnsi="宋体" w:eastAsia="宋体" w:cs="宋体"/>
          <w:color w:val="auto"/>
          <w:sz w:val="21"/>
          <w:szCs w:val="21"/>
          <w:highlight w:val="none"/>
        </w:rPr>
        <w:t>：</w:t>
      </w:r>
      <w:bookmarkEnd w:id="17"/>
      <w:bookmarkEnd w:id="18"/>
    </w:p>
    <w:p w14:paraId="49575266">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1、投标人对政府采购活动事项如有疑问的，可以向采购人、采购代理机构提出询问。采购人、采购代理机构将在3个工作日内作出答复。</w:t>
      </w:r>
    </w:p>
    <w:p w14:paraId="6358AC5E">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Times New Roman"/>
          <w:color w:val="auto"/>
          <w:sz w:val="21"/>
          <w:szCs w:val="21"/>
          <w:highlight w:val="none"/>
        </w:rPr>
        <w:t>潜在投标人认为招标文件或招标公告使自己的合法权益受到损害的，可以在获取招标文件之日或招标公告期限届满之日（</w:t>
      </w:r>
      <w:r>
        <w:rPr>
          <w:rFonts w:hint="eastAsia" w:ascii="宋体" w:hAnsi="宋体" w:eastAsia="宋体" w:cs="Times New Roman"/>
          <w:b/>
          <w:bCs/>
          <w:color w:val="auto"/>
          <w:sz w:val="21"/>
          <w:szCs w:val="21"/>
          <w:highlight w:val="none"/>
        </w:rPr>
        <w:t>公告期限届满后获取采购文件的，以公告期限届满之日为准</w:t>
      </w:r>
      <w:r>
        <w:rPr>
          <w:rFonts w:hint="eastAsia" w:ascii="宋体" w:hAnsi="宋体" w:eastAsia="宋体" w:cs="Times New Roman"/>
          <w:color w:val="auto"/>
          <w:sz w:val="21"/>
          <w:szCs w:val="21"/>
          <w:highlight w:val="none"/>
        </w:rPr>
        <w:t>）起7个工作日内，按《湖南省财政厅关于印发＜政府采购质疑答复和投诉处理操作规程＞的通知》</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湘财购【2024】67号</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规定，以书面形式向采购人、采购代理机构提出质疑</w:t>
      </w:r>
    </w:p>
    <w:p w14:paraId="3B911E8D">
      <w:pPr>
        <w:pStyle w:val="3"/>
        <w:bidi w:val="0"/>
        <w:rPr>
          <w:rFonts w:hint="eastAsia" w:ascii="宋体" w:hAnsi="宋体" w:eastAsia="宋体" w:cs="宋体"/>
          <w:color w:val="auto"/>
          <w:sz w:val="21"/>
          <w:szCs w:val="21"/>
          <w:highlight w:val="none"/>
        </w:rPr>
      </w:pPr>
      <w:bookmarkStart w:id="19" w:name="_Toc13458"/>
      <w:bookmarkStart w:id="20" w:name="_Toc26172"/>
      <w:r>
        <w:rPr>
          <w:rFonts w:hint="eastAsia" w:ascii="宋体" w:hAnsi="宋体" w:eastAsia="宋体" w:cs="宋体"/>
          <w:color w:val="auto"/>
          <w:sz w:val="21"/>
          <w:szCs w:val="21"/>
          <w:highlight w:val="none"/>
          <w:lang w:val="en-US" w:eastAsia="zh-CN"/>
        </w:rPr>
        <w:t>九</w:t>
      </w:r>
      <w:r>
        <w:rPr>
          <w:rFonts w:hint="eastAsia" w:ascii="宋体" w:hAnsi="宋体" w:eastAsia="宋体" w:cs="宋体"/>
          <w:color w:val="auto"/>
          <w:sz w:val="21"/>
          <w:szCs w:val="21"/>
          <w:highlight w:val="none"/>
        </w:rPr>
        <w:t>、对本次招标提出询问，请按以下方式联系</w:t>
      </w:r>
      <w:bookmarkEnd w:id="19"/>
      <w:bookmarkEnd w:id="20"/>
    </w:p>
    <w:p w14:paraId="3BB265A5">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1、采购人信息</w:t>
      </w:r>
    </w:p>
    <w:p w14:paraId="1C1C42C0">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（1）名  称：</w:t>
      </w:r>
      <w:r>
        <w:rPr>
          <w:rFonts w:hint="eastAsia" w:ascii="宋体" w:hAnsi="宋体" w:cs="宋体"/>
          <w:bCs/>
          <w:color w:val="auto"/>
          <w:sz w:val="21"/>
          <w:szCs w:val="21"/>
          <w:highlight w:val="none"/>
          <w:lang w:eastAsia="zh-CN"/>
        </w:rPr>
        <w:t>郴州市住房保障服务中心</w:t>
      </w:r>
    </w:p>
    <w:p w14:paraId="2F8CCCBF">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（2）地  址：</w:t>
      </w:r>
      <w:r>
        <w:rPr>
          <w:rFonts w:hint="eastAsia" w:ascii="宋体" w:hAnsi="宋体" w:cs="宋体"/>
          <w:bCs/>
          <w:color w:val="auto"/>
          <w:sz w:val="21"/>
          <w:szCs w:val="21"/>
          <w:highlight w:val="none"/>
          <w:lang w:eastAsia="zh-CN"/>
        </w:rPr>
        <w:t>湖南省郴州市北湖区南岭大道 56 号</w:t>
      </w:r>
    </w:p>
    <w:p w14:paraId="5F807295">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（3）联系人：</w:t>
      </w:r>
      <w:r>
        <w:rPr>
          <w:rFonts w:hint="eastAsia" w:ascii="宋体" w:hAnsi="宋体" w:cs="宋体"/>
          <w:bCs/>
          <w:color w:val="auto"/>
          <w:sz w:val="21"/>
          <w:szCs w:val="21"/>
          <w:highlight w:val="none"/>
          <w:lang w:val="en-US" w:eastAsia="zh-CN"/>
        </w:rPr>
        <w:t>王</w:t>
      </w:r>
      <w:r>
        <w:rPr>
          <w:rFonts w:hint="eastAsia" w:ascii="宋体" w:hAnsi="宋体" w:eastAsia="宋体" w:cs="宋体"/>
          <w:bCs/>
          <w:color w:val="auto"/>
          <w:sz w:val="21"/>
          <w:szCs w:val="21"/>
          <w:highlight w:val="none"/>
        </w:rPr>
        <w:t>先生</w:t>
      </w:r>
    </w:p>
    <w:p w14:paraId="527223D3">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（4）电  话：</w:t>
      </w:r>
      <w:r>
        <w:rPr>
          <w:rFonts w:hint="eastAsia" w:ascii="宋体" w:hAnsi="宋体" w:cs="宋体"/>
          <w:bCs/>
          <w:color w:val="auto"/>
          <w:sz w:val="21"/>
          <w:szCs w:val="21"/>
          <w:highlight w:val="none"/>
          <w:lang w:eastAsia="zh-CN"/>
        </w:rPr>
        <w:t>18373428961</w:t>
      </w:r>
    </w:p>
    <w:p w14:paraId="7559F593">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2、采购代理机构信息</w:t>
      </w:r>
    </w:p>
    <w:p w14:paraId="4BC3362E">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（1）名    称：</w:t>
      </w:r>
      <w:r>
        <w:rPr>
          <w:rFonts w:hint="eastAsia" w:ascii="宋体" w:hAnsi="宋体" w:cs="宋体"/>
          <w:bCs/>
          <w:color w:val="auto"/>
          <w:sz w:val="21"/>
          <w:szCs w:val="21"/>
          <w:highlight w:val="none"/>
          <w:lang w:eastAsia="zh-CN"/>
        </w:rPr>
        <w:t>中科高盛咨询集团有限公司</w:t>
      </w:r>
    </w:p>
    <w:p w14:paraId="05CD5E7A">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（2）地    址：</w:t>
      </w:r>
      <w:r>
        <w:rPr>
          <w:rFonts w:hint="eastAsia" w:ascii="宋体" w:hAnsi="宋体" w:cs="宋体"/>
          <w:bCs/>
          <w:color w:val="auto"/>
          <w:sz w:val="21"/>
          <w:szCs w:val="21"/>
          <w:highlight w:val="none"/>
          <w:lang w:eastAsia="zh-CN"/>
        </w:rPr>
        <w:t>郴州市青年大道芳头小区1栋401</w:t>
      </w:r>
    </w:p>
    <w:p w14:paraId="54B5ED65">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（3）联 系 人：苏海东           </w:t>
      </w:r>
    </w:p>
    <w:p w14:paraId="33A35BF6">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（4）电    话：18169200831</w:t>
      </w:r>
    </w:p>
    <w:p w14:paraId="26F47B57">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3、电子交易平台服务机构信息</w:t>
      </w:r>
    </w:p>
    <w:p w14:paraId="2BEEE03E">
      <w:pPr>
        <w:keepNext w:val="0"/>
        <w:keepLines w:val="0"/>
        <w:pageBreakBefore w:val="0"/>
        <w:kinsoku/>
        <w:overflowPunct/>
        <w:bidi w:val="0"/>
        <w:adjustRightInd w:val="0"/>
        <w:snapToGrid w:val="0"/>
        <w:spacing w:line="500" w:lineRule="exact"/>
        <w:ind w:firstLine="411" w:firstLineChars="196"/>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名  称：</w:t>
      </w:r>
      <w:r>
        <w:rPr>
          <w:rFonts w:hint="eastAsia" w:ascii="宋体" w:hAnsi="宋体" w:eastAsia="宋体" w:cs="宋体"/>
          <w:bCs/>
          <w:color w:val="auto"/>
          <w:sz w:val="21"/>
          <w:szCs w:val="21"/>
          <w:highlight w:val="none"/>
          <w:lang w:val="en-US" w:eastAsia="zh-CN"/>
        </w:rPr>
        <w:t>郴州市公共资源交易中心</w:t>
      </w:r>
    </w:p>
    <w:p w14:paraId="016F1BFE">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  址：</w:t>
      </w:r>
      <w:r>
        <w:rPr>
          <w:rFonts w:hint="eastAsia" w:ascii="宋体" w:hAnsi="宋体" w:eastAsia="宋体" w:cs="宋体"/>
          <w:color w:val="auto"/>
          <w:sz w:val="21"/>
          <w:szCs w:val="21"/>
          <w:highlight w:val="none"/>
          <w:u w:val="none"/>
        </w:rPr>
        <w:t>郴州市市民服务中心4楼市公共资源交易中心</w:t>
      </w:r>
    </w:p>
    <w:p w14:paraId="166AC9A5">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（3）联系人：</w:t>
      </w:r>
      <w:r>
        <w:rPr>
          <w:rFonts w:hint="eastAsia" w:ascii="宋体" w:hAnsi="宋体" w:eastAsia="宋体" w:cs="宋体"/>
          <w:color w:val="auto"/>
          <w:sz w:val="21"/>
          <w:szCs w:val="21"/>
          <w:highlight w:val="none"/>
          <w:lang w:val="en-US" w:eastAsia="zh-CN"/>
        </w:rPr>
        <w:t>政府采购科</w:t>
      </w:r>
    </w:p>
    <w:p w14:paraId="21AECC8B">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（4）电  话：</w:t>
      </w:r>
      <w:r>
        <w:rPr>
          <w:rFonts w:hint="eastAsia" w:ascii="宋体" w:hAnsi="宋体" w:eastAsia="宋体" w:cs="宋体"/>
          <w:color w:val="auto"/>
          <w:sz w:val="21"/>
          <w:szCs w:val="21"/>
          <w:highlight w:val="none"/>
          <w:lang w:val="en-US" w:eastAsia="zh-CN"/>
        </w:rPr>
        <w:t>0735-2299020</w:t>
      </w:r>
    </w:p>
    <w:p w14:paraId="7A67841E">
      <w:pPr>
        <w:pStyle w:val="3"/>
        <w:bidi w:val="0"/>
        <w:rPr>
          <w:rFonts w:hint="eastAsia" w:ascii="宋体" w:hAnsi="宋体" w:eastAsia="宋体" w:cs="宋体"/>
          <w:color w:val="auto"/>
          <w:sz w:val="21"/>
          <w:szCs w:val="21"/>
          <w:highlight w:val="none"/>
        </w:rPr>
      </w:pPr>
      <w:bookmarkStart w:id="21" w:name="_Toc27917"/>
      <w:bookmarkStart w:id="22" w:name="_Toc13920"/>
      <w:r>
        <w:rPr>
          <w:rFonts w:hint="eastAsia" w:ascii="宋体" w:hAnsi="宋体" w:eastAsia="宋体" w:cs="宋体"/>
          <w:color w:val="auto"/>
          <w:sz w:val="21"/>
          <w:szCs w:val="21"/>
          <w:highlight w:val="none"/>
          <w:lang w:val="en-US" w:eastAsia="zh-CN"/>
        </w:rPr>
        <w:t>十</w:t>
      </w:r>
      <w:r>
        <w:rPr>
          <w:rFonts w:hint="eastAsia" w:ascii="宋体" w:hAnsi="宋体" w:eastAsia="宋体" w:cs="宋体"/>
          <w:color w:val="auto"/>
          <w:sz w:val="21"/>
          <w:szCs w:val="21"/>
          <w:highlight w:val="none"/>
        </w:rPr>
        <w:t>、其它补充事宜</w:t>
      </w:r>
      <w:bookmarkEnd w:id="21"/>
      <w:bookmarkEnd w:id="22"/>
    </w:p>
    <w:p w14:paraId="49B3C567">
      <w:pPr>
        <w:keepNext w:val="0"/>
        <w:keepLines w:val="0"/>
        <w:pageBreakBefore w:val="0"/>
        <w:kinsoku/>
        <w:overflowPunct/>
        <w:bidi w:val="0"/>
        <w:adjustRightInd w:val="0"/>
        <w:snapToGrid w:val="0"/>
        <w:spacing w:line="5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1、本公告选项：</w:t>
      </w:r>
      <w:r>
        <w:rPr>
          <w:rFonts w:hint="eastAsia" w:ascii="宋体" w:hAnsi="宋体" w:eastAsia="宋体" w:cs="宋体"/>
          <w:color w:val="auto"/>
          <w:sz w:val="21"/>
          <w:szCs w:val="21"/>
          <w:highlight w:val="none"/>
          <w:lang w:val="en-US" w:eastAsia="zh-CN"/>
        </w:rPr>
        <w:sym w:font="Wingdings 2" w:char="0052"/>
      </w:r>
      <w:r>
        <w:rPr>
          <w:rFonts w:hint="eastAsia" w:ascii="宋体" w:hAnsi="宋体" w:eastAsia="宋体" w:cs="宋体"/>
          <w:color w:val="auto"/>
          <w:sz w:val="21"/>
          <w:szCs w:val="21"/>
          <w:highlight w:val="none"/>
          <w:lang w:val="en-US" w:eastAsia="zh-CN"/>
        </w:rPr>
        <w:t xml:space="preserve">表示选择  </w:t>
      </w:r>
      <w:r>
        <w:rPr>
          <w:rFonts w:hint="eastAsia" w:ascii="宋体" w:hAnsi="宋体" w:eastAsia="宋体" w:cs="宋体"/>
          <w:color w:val="auto"/>
          <w:sz w:val="21"/>
          <w:szCs w:val="21"/>
          <w:highlight w:val="none"/>
          <w:lang w:val="en-US" w:eastAsia="zh-CN"/>
        </w:rPr>
        <w:sym w:font="Wingdings 2" w:char="00A3"/>
      </w:r>
      <w:r>
        <w:rPr>
          <w:rFonts w:hint="eastAsia" w:ascii="宋体" w:hAnsi="宋体" w:eastAsia="宋体" w:cs="宋体"/>
          <w:color w:val="auto"/>
          <w:sz w:val="21"/>
          <w:szCs w:val="21"/>
          <w:highlight w:val="none"/>
          <w:lang w:val="en-US" w:eastAsia="zh-CN"/>
        </w:rPr>
        <w:t>表示不选择。</w:t>
      </w:r>
    </w:p>
    <w:p w14:paraId="686F4B12">
      <w:pPr>
        <w:keepNext w:val="0"/>
        <w:keepLines w:val="0"/>
        <w:pageBreakBefore w:val="0"/>
        <w:kinsoku/>
        <w:overflowPunct/>
        <w:bidi w:val="0"/>
        <w:adjustRightInd w:val="0"/>
        <w:snapToGrid w:val="0"/>
        <w:spacing w:line="5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2、投标人参与政府采购活动，无需向采购人、采购代理机构、交易平台缴纳任何费用。</w:t>
      </w:r>
    </w:p>
    <w:p w14:paraId="0C6202AD">
      <w:pPr>
        <w:keepNext w:val="0"/>
        <w:keepLines w:val="0"/>
        <w:pageBreakBefore w:val="0"/>
        <w:kinsoku/>
        <w:overflowPunct/>
        <w:bidi w:val="0"/>
        <w:adjustRightInd w:val="0"/>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采购代理服务费</w:t>
      </w:r>
      <w:r>
        <w:rPr>
          <w:rFonts w:hint="eastAsia" w:ascii="宋体" w:hAnsi="宋体" w:eastAsia="宋体" w:cs="宋体"/>
          <w:color w:val="auto"/>
          <w:sz w:val="21"/>
          <w:szCs w:val="21"/>
          <w:highlight w:val="none"/>
        </w:rPr>
        <w:t>和专家评审费</w:t>
      </w:r>
      <w:r>
        <w:rPr>
          <w:rFonts w:hint="eastAsia" w:ascii="宋体" w:hAnsi="宋体" w:cs="宋体"/>
          <w:color w:val="auto"/>
          <w:sz w:val="21"/>
          <w:szCs w:val="21"/>
          <w:highlight w:val="none"/>
          <w:lang w:eastAsia="zh-CN"/>
        </w:rPr>
        <w:t>均</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u w:val="single"/>
        </w:rPr>
        <w:t>采购人</w:t>
      </w:r>
      <w:r>
        <w:rPr>
          <w:rFonts w:hint="eastAsia" w:ascii="宋体" w:hAnsi="宋体" w:eastAsia="宋体" w:cs="宋体"/>
          <w:color w:val="auto"/>
          <w:sz w:val="21"/>
          <w:szCs w:val="21"/>
          <w:highlight w:val="none"/>
        </w:rPr>
        <w:t>支付</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其中</w:t>
      </w:r>
      <w:r>
        <w:rPr>
          <w:rFonts w:hint="eastAsia" w:ascii="宋体" w:hAnsi="宋体" w:cs="宋体"/>
          <w:color w:val="auto"/>
          <w:sz w:val="21"/>
          <w:szCs w:val="21"/>
          <w:highlight w:val="none"/>
          <w:lang w:eastAsia="zh-CN"/>
        </w:rPr>
        <w:t>采购代理服务费1</w:t>
      </w:r>
      <w:r>
        <w:rPr>
          <w:rFonts w:hint="eastAsia" w:ascii="宋体" w:hAnsi="宋体" w:cs="宋体"/>
          <w:color w:val="auto"/>
          <w:sz w:val="21"/>
          <w:szCs w:val="21"/>
          <w:highlight w:val="none"/>
          <w:lang w:val="en-US" w:eastAsia="zh-CN"/>
        </w:rPr>
        <w:t>4924</w:t>
      </w:r>
      <w:r>
        <w:rPr>
          <w:rFonts w:hint="eastAsia" w:ascii="宋体" w:hAnsi="宋体" w:cs="宋体"/>
          <w:color w:val="auto"/>
          <w:sz w:val="21"/>
          <w:szCs w:val="21"/>
          <w:highlight w:val="none"/>
          <w:lang w:eastAsia="zh-CN"/>
        </w:rPr>
        <w:t>.00元</w:t>
      </w:r>
      <w:r>
        <w:rPr>
          <w:rFonts w:hint="eastAsia" w:ascii="宋体" w:hAnsi="宋体" w:eastAsia="宋体" w:cs="宋体"/>
          <w:color w:val="auto"/>
          <w:sz w:val="21"/>
          <w:szCs w:val="21"/>
          <w:highlight w:val="none"/>
        </w:rPr>
        <w:t>。</w:t>
      </w:r>
    </w:p>
    <w:p w14:paraId="4677054D">
      <w:pPr>
        <w:keepNext w:val="0"/>
        <w:keepLines w:val="0"/>
        <w:pageBreakBefore w:val="0"/>
        <w:kinsoku/>
        <w:overflowPunct/>
        <w:bidi w:val="0"/>
        <w:adjustRightInd w:val="0"/>
        <w:snapToGrid w:val="0"/>
        <w:spacing w:line="500" w:lineRule="exact"/>
        <w:ind w:firstLine="42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、请投标人在郴州市公共资源交易中心“下载中心”中及时下载安装最新版本“投标文件制作软件（湖南公共资源版）”、“湖南CA驱动”。参与投标的投标人需使用电子标书编制软件制作投标文件。</w:t>
      </w:r>
      <w:r>
        <w:rPr>
          <w:rFonts w:hint="eastAsia" w:ascii="宋体" w:hAnsi="宋体" w:eastAsia="宋体" w:cs="宋体"/>
          <w:color w:val="auto"/>
          <w:sz w:val="21"/>
          <w:szCs w:val="21"/>
          <w:highlight w:val="none"/>
          <w:lang w:val="en-US" w:eastAsia="zh-CN"/>
        </w:rPr>
        <w:t>操作手册下载地址：</w:t>
      </w:r>
      <w:r>
        <w:rPr>
          <w:rFonts w:hint="eastAsia" w:ascii="宋体" w:hAnsi="宋体" w:eastAsia="宋体" w:cs="宋体"/>
          <w:color w:val="auto"/>
          <w:sz w:val="21"/>
          <w:szCs w:val="21"/>
          <w:highlight w:val="none"/>
          <w:u w:val="single"/>
          <w:lang w:val="en-US" w:eastAsia="zh-CN"/>
        </w:rPr>
        <w:t>http://czggzy.czs.gov.cn/18375/18376/index.htm郴州市公共资源交易中心交易系统操作手册.zip</w:t>
      </w:r>
    </w:p>
    <w:p w14:paraId="6C4E30BC">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因电子招投标需要，投标人应及时办理CA数字证书（含电子签章）。移动CA数字证书（含电子签章）办理咨询电话：4009980000、0731-82817876，介质CA数字证书（含电子签章）办理地址：郴州市公共资源交易中心</w:t>
      </w:r>
      <w:r>
        <w:rPr>
          <w:rFonts w:hint="eastAsia" w:ascii="宋体" w:hAnsi="宋体" w:eastAsia="宋体" w:cs="宋体"/>
          <w:color w:val="auto"/>
          <w:sz w:val="21"/>
          <w:szCs w:val="21"/>
          <w:highlight w:val="none"/>
          <w:lang w:eastAsia="zh-CN"/>
        </w:rPr>
        <w:t>4楼</w:t>
      </w:r>
      <w:r>
        <w:rPr>
          <w:rFonts w:hint="eastAsia" w:ascii="宋体" w:hAnsi="宋体" w:eastAsia="宋体" w:cs="宋体"/>
          <w:color w:val="auto"/>
          <w:sz w:val="21"/>
          <w:szCs w:val="21"/>
          <w:highlight w:val="none"/>
        </w:rPr>
        <w:t>大厅，咨询电话：4006682666、18175580110。</w:t>
      </w:r>
    </w:p>
    <w:p w14:paraId="0FFAC4EE">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于投标人</w:t>
      </w:r>
      <w:r>
        <w:rPr>
          <w:rFonts w:hint="eastAsia" w:ascii="宋体" w:hAnsi="宋体" w:eastAsia="宋体" w:cs="宋体"/>
          <w:color w:val="auto"/>
          <w:sz w:val="21"/>
          <w:szCs w:val="21"/>
          <w:highlight w:val="none"/>
        </w:rPr>
        <w:t>对网上招投标操作不熟悉或自身电脑、个人网络等原因导致不能在投标截止时间之前完成投标文件上传的，相应责任由投标人自行承担。</w:t>
      </w:r>
      <w:r>
        <w:rPr>
          <w:rFonts w:hint="eastAsia" w:ascii="宋体" w:hAnsi="宋体" w:eastAsia="宋体" w:cs="宋体"/>
          <w:color w:val="auto"/>
          <w:sz w:val="21"/>
          <w:szCs w:val="21"/>
          <w:highlight w:val="none"/>
          <w:lang w:val="en-US" w:eastAsia="zh-CN"/>
        </w:rPr>
        <w:t>建议各投标人在工作时间段上传投标文件，选择IE11浏览器进行文件解密，在操作系统过程中有疑问或困难请及时进行咨询。</w:t>
      </w:r>
    </w:p>
    <w:p w14:paraId="16829389">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、如果开标时出现网络故障、技术故障等情形而影响招投标活动，</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将</w:t>
      </w:r>
      <w:r>
        <w:rPr>
          <w:rFonts w:hint="eastAsia" w:ascii="宋体" w:hAnsi="宋体" w:eastAsia="宋体" w:cs="宋体"/>
          <w:b/>
          <w:color w:val="auto"/>
          <w:sz w:val="21"/>
          <w:szCs w:val="21"/>
          <w:highlight w:val="none"/>
        </w:rPr>
        <w:t>采取项目延期、延长投标文件解密时间</w:t>
      </w:r>
      <w:r>
        <w:rPr>
          <w:rFonts w:hint="eastAsia" w:ascii="宋体" w:hAnsi="宋体" w:eastAsia="宋体" w:cs="宋体"/>
          <w:color w:val="auto"/>
          <w:sz w:val="21"/>
          <w:szCs w:val="21"/>
          <w:highlight w:val="none"/>
        </w:rPr>
        <w:t>等相应措施，以保障招投标活动的公开、公平和公正，投标人不得对此持有异议。</w:t>
      </w:r>
    </w:p>
    <w:p w14:paraId="73FB7592">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、交易平台技术支持联系方式</w:t>
      </w:r>
    </w:p>
    <w:p w14:paraId="57C73ABF">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联系电话：4009980000</w:t>
      </w:r>
    </w:p>
    <w:p w14:paraId="12BAF561">
      <w:pPr>
        <w:pStyle w:val="58"/>
        <w:rPr>
          <w:rFonts w:hint="eastAsia" w:ascii="宋体" w:hAnsi="宋体" w:eastAsia="宋体" w:cs="宋体"/>
          <w:color w:val="auto"/>
          <w:sz w:val="21"/>
          <w:szCs w:val="21"/>
          <w:highlight w:val="none"/>
        </w:rPr>
      </w:pPr>
    </w:p>
    <w:p w14:paraId="52C119FE">
      <w:pPr>
        <w:pStyle w:val="23"/>
        <w:adjustRightInd w:val="0"/>
        <w:snapToGrid w:val="0"/>
        <w:spacing w:line="360" w:lineRule="auto"/>
        <w:jc w:val="center"/>
        <w:rPr>
          <w:rFonts w:hint="eastAsia" w:ascii="宋体" w:hAnsi="宋体" w:eastAsia="宋体" w:cs="宋体"/>
          <w:b/>
          <w:color w:val="auto"/>
          <w:sz w:val="32"/>
          <w:szCs w:val="32"/>
          <w:highlight w:val="none"/>
        </w:rPr>
      </w:pPr>
    </w:p>
    <w:p w14:paraId="55B802E0">
      <w:pPr>
        <w:pStyle w:val="23"/>
        <w:adjustRightInd w:val="0"/>
        <w:snapToGrid w:val="0"/>
        <w:spacing w:line="360" w:lineRule="auto"/>
        <w:jc w:val="center"/>
        <w:outlineLvl w:val="0"/>
        <w:rPr>
          <w:rFonts w:hint="eastAsia" w:ascii="宋体" w:hAnsi="宋体" w:eastAsia="宋体" w:cs="宋体"/>
          <w:b/>
          <w:color w:val="auto"/>
          <w:spacing w:val="100"/>
          <w:sz w:val="32"/>
          <w:szCs w:val="32"/>
          <w:highlight w:val="none"/>
        </w:rPr>
      </w:pPr>
      <w:bookmarkStart w:id="23" w:name="_Toc11119"/>
      <w:bookmarkStart w:id="24" w:name="_Toc14843"/>
      <w:bookmarkStart w:id="25" w:name="_Toc29913894"/>
      <w:r>
        <w:rPr>
          <w:rFonts w:hint="eastAsia" w:ascii="宋体" w:hAnsi="宋体" w:eastAsia="宋体" w:cs="宋体"/>
          <w:b/>
          <w:color w:val="auto"/>
          <w:sz w:val="32"/>
          <w:szCs w:val="32"/>
          <w:highlight w:val="none"/>
        </w:rPr>
        <w:t>第二章 投标须知</w:t>
      </w:r>
      <w:bookmarkEnd w:id="23"/>
      <w:bookmarkEnd w:id="24"/>
      <w:bookmarkEnd w:id="25"/>
    </w:p>
    <w:p w14:paraId="06B89F16">
      <w:pPr>
        <w:pStyle w:val="3"/>
        <w:bidi w:val="0"/>
        <w:jc w:val="center"/>
        <w:rPr>
          <w:rFonts w:hint="eastAsia" w:ascii="宋体" w:hAnsi="宋体" w:eastAsia="宋体" w:cs="宋体"/>
          <w:color w:val="auto"/>
          <w:highlight w:val="none"/>
        </w:rPr>
      </w:pPr>
      <w:bookmarkStart w:id="26" w:name="_Toc29913895"/>
      <w:bookmarkStart w:id="27" w:name="_Toc29942"/>
      <w:bookmarkStart w:id="28" w:name="_Toc20671"/>
      <w:bookmarkStart w:id="29" w:name="_Toc30523"/>
      <w:r>
        <w:rPr>
          <w:rFonts w:hint="eastAsia" w:ascii="宋体" w:hAnsi="宋体" w:eastAsia="宋体" w:cs="宋体"/>
          <w:color w:val="auto"/>
          <w:highlight w:val="none"/>
        </w:rPr>
        <w:t>第一节 投标须知前附表</w:t>
      </w:r>
      <w:bookmarkEnd w:id="26"/>
      <w:bookmarkEnd w:id="27"/>
      <w:bookmarkEnd w:id="28"/>
      <w:bookmarkEnd w:id="29"/>
    </w:p>
    <w:tbl>
      <w:tblPr>
        <w:tblStyle w:val="44"/>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24"/>
        <w:gridCol w:w="2669"/>
        <w:gridCol w:w="19"/>
        <w:gridCol w:w="4659"/>
      </w:tblGrid>
      <w:tr w14:paraId="5D320C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560" w:type="dxa"/>
            <w:vAlign w:val="center"/>
          </w:tcPr>
          <w:p w14:paraId="0DE50495">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693" w:type="dxa"/>
            <w:gridSpan w:val="2"/>
            <w:vAlign w:val="center"/>
          </w:tcPr>
          <w:p w14:paraId="53745396">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4678" w:type="dxa"/>
            <w:gridSpan w:val="2"/>
            <w:vAlign w:val="center"/>
          </w:tcPr>
          <w:p w14:paraId="53FA82B7">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编列内容规定</w:t>
            </w:r>
          </w:p>
        </w:tc>
      </w:tr>
      <w:tr w14:paraId="5C4271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5"/>
            <w:vAlign w:val="center"/>
          </w:tcPr>
          <w:p w14:paraId="5011B19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一、说明</w:t>
            </w:r>
          </w:p>
        </w:tc>
      </w:tr>
      <w:tr w14:paraId="350232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EE83A87">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第1.1款</w:t>
            </w:r>
          </w:p>
        </w:tc>
        <w:tc>
          <w:tcPr>
            <w:tcW w:w="2693" w:type="dxa"/>
            <w:gridSpan w:val="2"/>
            <w:vAlign w:val="center"/>
          </w:tcPr>
          <w:p w14:paraId="0424ADBE">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w:t>
            </w:r>
          </w:p>
        </w:tc>
        <w:tc>
          <w:tcPr>
            <w:tcW w:w="4678" w:type="dxa"/>
            <w:gridSpan w:val="2"/>
            <w:vAlign w:val="center"/>
          </w:tcPr>
          <w:p w14:paraId="60337103">
            <w:pPr>
              <w:adjustRightInd w:val="0"/>
              <w:snapToGrid w:val="0"/>
              <w:spacing w:line="420" w:lineRule="exact"/>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u w:val="single"/>
                <w:lang w:eastAsia="zh-CN"/>
              </w:rPr>
              <w:t>郴州市城区物业专项维修资金管理平台功能升级及数据清理项目</w:t>
            </w:r>
            <w:r>
              <w:rPr>
                <w:rFonts w:hint="eastAsia" w:ascii="宋体" w:hAnsi="宋体" w:eastAsia="宋体" w:cs="宋体"/>
                <w:color w:val="auto"/>
                <w:sz w:val="21"/>
                <w:szCs w:val="21"/>
                <w:highlight w:val="none"/>
                <w:u w:val="single"/>
              </w:rPr>
              <w:t xml:space="preserve"> </w:t>
            </w:r>
          </w:p>
        </w:tc>
      </w:tr>
      <w:tr w14:paraId="29EEC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D52716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第1.2款</w:t>
            </w:r>
          </w:p>
        </w:tc>
        <w:tc>
          <w:tcPr>
            <w:tcW w:w="2693" w:type="dxa"/>
            <w:gridSpan w:val="2"/>
            <w:vAlign w:val="center"/>
          </w:tcPr>
          <w:p w14:paraId="3D12A6E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专门面向中小企业采购</w:t>
            </w:r>
          </w:p>
        </w:tc>
        <w:tc>
          <w:tcPr>
            <w:tcW w:w="4678" w:type="dxa"/>
            <w:gridSpan w:val="2"/>
            <w:vAlign w:val="center"/>
          </w:tcPr>
          <w:p w14:paraId="291CBCDB">
            <w:pPr>
              <w:adjustRightInd w:val="0"/>
              <w:snapToGrid w:val="0"/>
              <w:spacing w:line="420" w:lineRule="exac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是</w:t>
            </w:r>
          </w:p>
          <w:p w14:paraId="33A8DB94">
            <w:pPr>
              <w:adjustRightInd w:val="0"/>
              <w:snapToGrid w:val="0"/>
              <w:spacing w:line="420" w:lineRule="exac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否</w:t>
            </w:r>
          </w:p>
        </w:tc>
      </w:tr>
      <w:tr w14:paraId="057585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5500A1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第2.1</w:t>
            </w:r>
            <w:r>
              <w:rPr>
                <w:rFonts w:hint="eastAsia" w:ascii="宋体" w:hAnsi="宋体" w:eastAsia="宋体" w:cs="宋体"/>
                <w:color w:val="auto"/>
                <w:kern w:val="0"/>
                <w:szCs w:val="21"/>
                <w:highlight w:val="none"/>
                <w:lang w:val="zh-CN"/>
              </w:rPr>
              <w:t>款</w:t>
            </w:r>
          </w:p>
        </w:tc>
        <w:tc>
          <w:tcPr>
            <w:tcW w:w="2693" w:type="dxa"/>
            <w:gridSpan w:val="2"/>
          </w:tcPr>
          <w:p w14:paraId="6E2A796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采购项目联系人姓名和电话</w:t>
            </w:r>
          </w:p>
        </w:tc>
        <w:tc>
          <w:tcPr>
            <w:tcW w:w="4678" w:type="dxa"/>
            <w:gridSpan w:val="2"/>
            <w:vAlign w:val="center"/>
          </w:tcPr>
          <w:p w14:paraId="3ECF7F96">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4BC1D0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7A81B8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第2.2</w:t>
            </w:r>
            <w:r>
              <w:rPr>
                <w:rFonts w:hint="eastAsia" w:ascii="宋体" w:hAnsi="宋体" w:eastAsia="宋体" w:cs="宋体"/>
                <w:color w:val="auto"/>
                <w:kern w:val="0"/>
                <w:szCs w:val="21"/>
                <w:highlight w:val="none"/>
                <w:lang w:val="zh-CN"/>
              </w:rPr>
              <w:t>款</w:t>
            </w:r>
          </w:p>
        </w:tc>
        <w:tc>
          <w:tcPr>
            <w:tcW w:w="2693" w:type="dxa"/>
            <w:gridSpan w:val="2"/>
            <w:vAlign w:val="center"/>
          </w:tcPr>
          <w:p w14:paraId="609B0016">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采购人名称、地址、电话、联系人</w:t>
            </w:r>
          </w:p>
        </w:tc>
        <w:tc>
          <w:tcPr>
            <w:tcW w:w="4678" w:type="dxa"/>
            <w:gridSpan w:val="2"/>
            <w:vAlign w:val="center"/>
          </w:tcPr>
          <w:p w14:paraId="13A7D4BF">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688FE2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F61956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第2.3</w:t>
            </w:r>
            <w:r>
              <w:rPr>
                <w:rFonts w:hint="eastAsia" w:ascii="宋体" w:hAnsi="宋体" w:eastAsia="宋体" w:cs="宋体"/>
                <w:color w:val="auto"/>
                <w:kern w:val="0"/>
                <w:szCs w:val="21"/>
                <w:highlight w:val="none"/>
                <w:lang w:val="zh-CN"/>
              </w:rPr>
              <w:t>款</w:t>
            </w:r>
          </w:p>
        </w:tc>
        <w:tc>
          <w:tcPr>
            <w:tcW w:w="2693" w:type="dxa"/>
            <w:gridSpan w:val="2"/>
            <w:vAlign w:val="center"/>
          </w:tcPr>
          <w:p w14:paraId="778416CA">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采购代理机构名称、地址、电话、联系人</w:t>
            </w:r>
          </w:p>
        </w:tc>
        <w:tc>
          <w:tcPr>
            <w:tcW w:w="4678" w:type="dxa"/>
            <w:gridSpan w:val="2"/>
            <w:vAlign w:val="center"/>
          </w:tcPr>
          <w:p w14:paraId="7C31F53D">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446333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7ECF7A9">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第2.5</w:t>
            </w:r>
            <w:r>
              <w:rPr>
                <w:rFonts w:hint="eastAsia" w:ascii="宋体" w:hAnsi="宋体" w:eastAsia="宋体" w:cs="宋体"/>
                <w:color w:val="auto"/>
                <w:kern w:val="0"/>
                <w:szCs w:val="21"/>
                <w:highlight w:val="none"/>
                <w:lang w:val="zh-CN"/>
              </w:rPr>
              <w:t>款</w:t>
            </w:r>
          </w:p>
        </w:tc>
        <w:tc>
          <w:tcPr>
            <w:tcW w:w="2693" w:type="dxa"/>
            <w:gridSpan w:val="2"/>
            <w:vAlign w:val="center"/>
          </w:tcPr>
          <w:p w14:paraId="6BF4B38F">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采购进口产品</w:t>
            </w:r>
          </w:p>
        </w:tc>
        <w:tc>
          <w:tcPr>
            <w:tcW w:w="4678" w:type="dxa"/>
            <w:gridSpan w:val="2"/>
            <w:vAlign w:val="center"/>
          </w:tcPr>
          <w:p w14:paraId="793B94C1">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□接受    本项目已经财政部门审核同意购买进口产品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p w14:paraId="5C3D168A">
            <w:pPr>
              <w:adjustRightInd w:val="0"/>
              <w:snapToGrid w:val="0"/>
              <w:spacing w:line="4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拒绝   本项目拒绝进口产品参加投标</w:t>
            </w:r>
            <w:r>
              <w:rPr>
                <w:rFonts w:hint="eastAsia" w:ascii="宋体" w:hAnsi="宋体" w:eastAsia="宋体" w:cs="宋体"/>
                <w:color w:val="auto"/>
                <w:szCs w:val="21"/>
                <w:highlight w:val="none"/>
                <w:lang w:eastAsia="zh-CN"/>
              </w:rPr>
              <w:t>。</w:t>
            </w:r>
          </w:p>
        </w:tc>
      </w:tr>
      <w:tr w14:paraId="1C2B2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742439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第3.1</w:t>
            </w:r>
            <w:r>
              <w:rPr>
                <w:rFonts w:hint="eastAsia" w:ascii="宋体" w:hAnsi="宋体" w:eastAsia="宋体" w:cs="宋体"/>
                <w:color w:val="auto"/>
                <w:kern w:val="0"/>
                <w:szCs w:val="21"/>
                <w:highlight w:val="none"/>
                <w:lang w:val="zh-CN"/>
              </w:rPr>
              <w:t>款</w:t>
            </w:r>
          </w:p>
        </w:tc>
        <w:tc>
          <w:tcPr>
            <w:tcW w:w="2693" w:type="dxa"/>
            <w:gridSpan w:val="2"/>
            <w:vAlign w:val="center"/>
          </w:tcPr>
          <w:p w14:paraId="283E51C8">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投标人资格条件</w:t>
            </w:r>
          </w:p>
        </w:tc>
        <w:tc>
          <w:tcPr>
            <w:tcW w:w="4678" w:type="dxa"/>
            <w:gridSpan w:val="2"/>
            <w:vAlign w:val="center"/>
          </w:tcPr>
          <w:p w14:paraId="017295F1">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13561B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C1476B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第3.2</w:t>
            </w:r>
            <w:r>
              <w:rPr>
                <w:rFonts w:hint="eastAsia" w:ascii="宋体" w:hAnsi="宋体" w:eastAsia="宋体" w:cs="宋体"/>
                <w:color w:val="auto"/>
                <w:kern w:val="0"/>
                <w:szCs w:val="21"/>
                <w:highlight w:val="none"/>
                <w:lang w:val="zh-CN"/>
              </w:rPr>
              <w:t>款</w:t>
            </w:r>
          </w:p>
        </w:tc>
        <w:tc>
          <w:tcPr>
            <w:tcW w:w="2693" w:type="dxa"/>
            <w:gridSpan w:val="2"/>
            <w:vAlign w:val="center"/>
          </w:tcPr>
          <w:p w14:paraId="0720C36C">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接受联合体形式投标</w:t>
            </w:r>
          </w:p>
        </w:tc>
        <w:tc>
          <w:tcPr>
            <w:tcW w:w="4678" w:type="dxa"/>
            <w:gridSpan w:val="2"/>
            <w:vAlign w:val="center"/>
          </w:tcPr>
          <w:p w14:paraId="6DAAE2F0">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□接受</w:t>
            </w:r>
          </w:p>
          <w:p w14:paraId="4CAD9B0F">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不接受</w:t>
            </w:r>
          </w:p>
        </w:tc>
      </w:tr>
      <w:tr w14:paraId="1BD357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26C590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第5.1</w:t>
            </w:r>
            <w:r>
              <w:rPr>
                <w:rFonts w:hint="eastAsia" w:ascii="宋体" w:hAnsi="宋体" w:eastAsia="宋体" w:cs="宋体"/>
                <w:color w:val="auto"/>
                <w:kern w:val="0"/>
                <w:szCs w:val="21"/>
                <w:highlight w:val="none"/>
                <w:lang w:val="zh-CN"/>
              </w:rPr>
              <w:t>款</w:t>
            </w:r>
          </w:p>
        </w:tc>
        <w:tc>
          <w:tcPr>
            <w:tcW w:w="2693" w:type="dxa"/>
            <w:gridSpan w:val="2"/>
            <w:vAlign w:val="center"/>
          </w:tcPr>
          <w:p w14:paraId="556370EF">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招标文件提供期限</w:t>
            </w:r>
          </w:p>
        </w:tc>
        <w:tc>
          <w:tcPr>
            <w:tcW w:w="4678" w:type="dxa"/>
            <w:gridSpan w:val="2"/>
            <w:vAlign w:val="center"/>
          </w:tcPr>
          <w:p w14:paraId="37135F93">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0C61EE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D5689A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第5.2</w:t>
            </w:r>
            <w:r>
              <w:rPr>
                <w:rFonts w:hint="eastAsia" w:ascii="宋体" w:hAnsi="宋体" w:eastAsia="宋体" w:cs="宋体"/>
                <w:color w:val="auto"/>
                <w:kern w:val="0"/>
                <w:szCs w:val="21"/>
                <w:highlight w:val="none"/>
                <w:lang w:val="zh-CN"/>
              </w:rPr>
              <w:t>款</w:t>
            </w:r>
          </w:p>
        </w:tc>
        <w:tc>
          <w:tcPr>
            <w:tcW w:w="2693" w:type="dxa"/>
            <w:gridSpan w:val="2"/>
            <w:vAlign w:val="center"/>
          </w:tcPr>
          <w:p w14:paraId="2D3289CB">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组织现场考察或者召开答疑会</w:t>
            </w:r>
          </w:p>
        </w:tc>
        <w:tc>
          <w:tcPr>
            <w:tcW w:w="4678" w:type="dxa"/>
            <w:gridSpan w:val="2"/>
            <w:vAlign w:val="center"/>
          </w:tcPr>
          <w:p w14:paraId="15A8D610">
            <w:pPr>
              <w:adjustRightInd w:val="0"/>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不组织</w:t>
            </w:r>
            <w:r>
              <w:rPr>
                <w:rFonts w:hint="eastAsia" w:ascii="宋体" w:hAnsi="宋体" w:eastAsia="宋体" w:cs="宋体"/>
                <w:color w:val="auto"/>
                <w:szCs w:val="21"/>
                <w:highlight w:val="none"/>
                <w:lang w:eastAsia="zh-CN"/>
              </w:rPr>
              <w:t>。</w:t>
            </w:r>
          </w:p>
          <w:p w14:paraId="425B1AF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组织</w:t>
            </w:r>
          </w:p>
          <w:p w14:paraId="3D040F0D">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时间：         </w:t>
            </w:r>
          </w:p>
          <w:p w14:paraId="5489B596">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地点：         </w:t>
            </w:r>
          </w:p>
          <w:p w14:paraId="78A1A3FA">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联系人：</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p>
          <w:p w14:paraId="412F0A26">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联系方式：</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p>
          <w:p w14:paraId="78AF2693">
            <w:pPr>
              <w:adjustRightInd w:val="0"/>
              <w:snapToGrid w:val="0"/>
              <w:spacing w:line="360" w:lineRule="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single"/>
              </w:rPr>
              <w:t>说明事项：</w:t>
            </w:r>
            <w:r>
              <w:rPr>
                <w:rFonts w:hint="eastAsia" w:ascii="宋体" w:hAnsi="宋体" w:eastAsia="宋体" w:cs="宋体"/>
                <w:color w:val="auto"/>
                <w:szCs w:val="21"/>
                <w:highlight w:val="none"/>
                <w:u w:val="single"/>
                <w:lang w:val="en-US" w:eastAsia="zh-CN"/>
              </w:rPr>
              <w:t>/</w:t>
            </w:r>
          </w:p>
        </w:tc>
      </w:tr>
      <w:tr w14:paraId="138541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1DC667E8">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二、招标文件</w:t>
            </w:r>
          </w:p>
        </w:tc>
      </w:tr>
      <w:tr w14:paraId="527D05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9230A29">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第7.4</w:t>
            </w:r>
            <w:r>
              <w:rPr>
                <w:rFonts w:hint="eastAsia" w:ascii="宋体" w:hAnsi="宋体" w:eastAsia="宋体" w:cs="宋体"/>
                <w:color w:val="auto"/>
                <w:kern w:val="0"/>
                <w:szCs w:val="21"/>
                <w:highlight w:val="none"/>
                <w:lang w:val="zh-CN"/>
              </w:rPr>
              <w:t>款</w:t>
            </w:r>
          </w:p>
        </w:tc>
        <w:tc>
          <w:tcPr>
            <w:tcW w:w="2693" w:type="dxa"/>
            <w:gridSpan w:val="2"/>
            <w:vAlign w:val="center"/>
          </w:tcPr>
          <w:p w14:paraId="3D463C99">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非实质性偏离的范围和幅度</w:t>
            </w:r>
          </w:p>
        </w:tc>
        <w:tc>
          <w:tcPr>
            <w:tcW w:w="4678" w:type="dxa"/>
            <w:gridSpan w:val="2"/>
            <w:vAlign w:val="center"/>
          </w:tcPr>
          <w:p w14:paraId="3E05E8F4">
            <w:pPr>
              <w:adjustRightInd w:val="0"/>
              <w:snapToGrid w:val="0"/>
              <w:spacing w:line="360" w:lineRule="auto"/>
              <w:ind w:left="105" w:hanging="105" w:hangingChars="50"/>
              <w:jc w:val="left"/>
              <w:rPr>
                <w:rFonts w:hint="eastAsia" w:ascii="宋体" w:hAnsi="宋体" w:eastAsia="宋体" w:cs="宋体"/>
                <w:color w:val="auto"/>
                <w:szCs w:val="21"/>
                <w:highlight w:val="none"/>
                <w:u w:val="single"/>
              </w:rPr>
            </w:pPr>
            <w:r>
              <w:rPr>
                <w:rFonts w:hint="eastAsia" w:ascii="宋体" w:hAnsi="宋体" w:eastAsia="宋体" w:cs="宋体"/>
                <w:b/>
                <w:bCs/>
                <w:color w:val="auto"/>
                <w:szCs w:val="21"/>
                <w:highlight w:val="none"/>
              </w:rPr>
              <w:t>招标文件第五章【采购需求】中条款偏离项数之和≥</w:t>
            </w:r>
            <w:r>
              <w:rPr>
                <w:rFonts w:hint="eastAsia" w:ascii="宋体" w:hAnsi="宋体" w:eastAsia="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1</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项将导致无效投标。</w:t>
            </w:r>
          </w:p>
        </w:tc>
      </w:tr>
      <w:tr w14:paraId="324567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54ACDC8">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第9.1</w:t>
            </w:r>
            <w:r>
              <w:rPr>
                <w:rFonts w:hint="eastAsia" w:ascii="宋体" w:hAnsi="宋体" w:eastAsia="宋体" w:cs="宋体"/>
                <w:color w:val="auto"/>
                <w:kern w:val="0"/>
                <w:szCs w:val="21"/>
                <w:highlight w:val="none"/>
                <w:lang w:val="zh-CN"/>
              </w:rPr>
              <w:t>款</w:t>
            </w:r>
          </w:p>
        </w:tc>
        <w:tc>
          <w:tcPr>
            <w:tcW w:w="2693" w:type="dxa"/>
            <w:gridSpan w:val="2"/>
            <w:vAlign w:val="center"/>
          </w:tcPr>
          <w:p w14:paraId="67E6E433">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招标公告指定媒体</w:t>
            </w:r>
          </w:p>
        </w:tc>
        <w:tc>
          <w:tcPr>
            <w:tcW w:w="4678" w:type="dxa"/>
            <w:gridSpan w:val="2"/>
            <w:vAlign w:val="center"/>
          </w:tcPr>
          <w:p w14:paraId="20524F0B">
            <w:pPr>
              <w:adjustRightInd w:val="0"/>
              <w:snapToGrid w:val="0"/>
              <w:spacing w:line="360" w:lineRule="auto"/>
              <w:ind w:left="105" w:hanging="105" w:hangingChars="5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u w:val="single"/>
              </w:rPr>
              <w:t>湖南省政府采购网(www.ccgp-hunan.gov.cn)和</w:t>
            </w:r>
            <w:r>
              <w:rPr>
                <w:rFonts w:hint="eastAsia" w:ascii="宋体" w:hAnsi="宋体" w:eastAsia="宋体" w:cs="宋体"/>
                <w:color w:val="auto"/>
                <w:sz w:val="21"/>
                <w:szCs w:val="21"/>
                <w:highlight w:val="none"/>
                <w:u w:val="single"/>
              </w:rPr>
              <w:t>郴州市公共资源交易中心(</w:t>
            </w:r>
            <w:r>
              <w:rPr>
                <w:rFonts w:hint="eastAsia" w:ascii="宋体" w:hAnsi="宋体" w:cs="宋体"/>
                <w:color w:val="auto"/>
                <w:sz w:val="21"/>
                <w:szCs w:val="21"/>
                <w:highlight w:val="none"/>
                <w:u w:val="single"/>
                <w:lang w:eastAsia="zh-CN"/>
              </w:rPr>
              <w:t>http://61.187.195.137:8000/TPBidder</w:t>
            </w:r>
            <w:r>
              <w:rPr>
                <w:rFonts w:hint="eastAsia" w:ascii="宋体" w:hAnsi="宋体" w:cs="宋体"/>
                <w:color w:val="auto"/>
                <w:sz w:val="21"/>
                <w:szCs w:val="21"/>
                <w:highlight w:val="none"/>
                <w:u w:val="single"/>
                <w:lang w:val="en-US" w:eastAsia="zh-CN"/>
              </w:rPr>
              <w:t>)</w:t>
            </w:r>
          </w:p>
        </w:tc>
      </w:tr>
      <w:tr w14:paraId="4931DB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5"/>
            <w:vAlign w:val="center"/>
          </w:tcPr>
          <w:p w14:paraId="7681D19D">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三、投标文件</w:t>
            </w:r>
          </w:p>
        </w:tc>
      </w:tr>
      <w:tr w14:paraId="242CF4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4B04157">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第13.2</w:t>
            </w:r>
            <w:r>
              <w:rPr>
                <w:rFonts w:hint="eastAsia" w:ascii="宋体" w:hAnsi="宋体" w:eastAsia="宋体" w:cs="宋体"/>
                <w:color w:val="auto"/>
                <w:kern w:val="0"/>
                <w:szCs w:val="21"/>
                <w:highlight w:val="none"/>
                <w:lang w:val="zh-CN"/>
              </w:rPr>
              <w:t>款</w:t>
            </w:r>
          </w:p>
        </w:tc>
        <w:tc>
          <w:tcPr>
            <w:tcW w:w="2693" w:type="dxa"/>
            <w:gridSpan w:val="2"/>
            <w:vAlign w:val="center"/>
          </w:tcPr>
          <w:p w14:paraId="09AA463C">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采购预算、最高限价</w:t>
            </w:r>
          </w:p>
        </w:tc>
        <w:tc>
          <w:tcPr>
            <w:tcW w:w="4678" w:type="dxa"/>
            <w:gridSpan w:val="2"/>
            <w:vAlign w:val="center"/>
          </w:tcPr>
          <w:p w14:paraId="756C6D45">
            <w:pPr>
              <w:adjustRightInd w:val="0"/>
              <w:snapToGrid w:val="0"/>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详见第一章【投标邀请】</w:t>
            </w:r>
          </w:p>
        </w:tc>
      </w:tr>
      <w:tr w14:paraId="08D63E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F2D601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第13.8款</w:t>
            </w:r>
          </w:p>
        </w:tc>
        <w:tc>
          <w:tcPr>
            <w:tcW w:w="2693" w:type="dxa"/>
            <w:gridSpan w:val="2"/>
            <w:vAlign w:val="center"/>
          </w:tcPr>
          <w:p w14:paraId="72FDDEAB">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投标报价的其他要求</w:t>
            </w:r>
          </w:p>
        </w:tc>
        <w:tc>
          <w:tcPr>
            <w:tcW w:w="4678" w:type="dxa"/>
            <w:gridSpan w:val="2"/>
            <w:vAlign w:val="center"/>
          </w:tcPr>
          <w:p w14:paraId="23AC1F83">
            <w:pPr>
              <w:numPr>
                <w:ilvl w:val="0"/>
                <w:numId w:val="0"/>
              </w:numPr>
              <w:adjustRightInd w:val="0"/>
              <w:snapToGrid w:val="0"/>
              <w:spacing w:line="240" w:lineRule="auto"/>
              <w:rPr>
                <w:rFonts w:hint="eastAsia" w:ascii="宋体" w:hAnsi="宋体" w:eastAsia="宋体" w:cs="宋体"/>
                <w:color w:val="auto"/>
                <w:kern w:val="0"/>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eastAsia="zh-CN"/>
              </w:rPr>
              <w:t>投标报价不得超过采购项目预算或最高限价</w:t>
            </w:r>
            <w:r>
              <w:rPr>
                <w:rFonts w:hint="eastAsia" w:ascii="宋体" w:hAnsi="宋体" w:eastAsia="宋体" w:cs="宋体"/>
                <w:color w:val="auto"/>
                <w:kern w:val="0"/>
                <w:szCs w:val="21"/>
                <w:highlight w:val="none"/>
              </w:rPr>
              <w:t>。</w:t>
            </w:r>
          </w:p>
          <w:p w14:paraId="5ACB4E62">
            <w:pPr>
              <w:numPr>
                <w:ilvl w:val="0"/>
                <w:numId w:val="2"/>
              </w:numPr>
              <w:adjustRightInd w:val="0"/>
              <w:snapToGrid w:val="0"/>
              <w:spacing w:line="24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评标委员会认为投标人的报价明显低于其他通过符合性审查投标人的报价，有可能影响服务质量或者不能诚信履约的，可要求其在合理时间内采用数据电文形式，并根据要求进行电子签章，提供书面说明，</w:t>
            </w:r>
            <w:r>
              <w:rPr>
                <w:rFonts w:hint="eastAsia" w:ascii="宋体" w:hAnsi="宋体" w:cs="宋体"/>
                <w:color w:val="auto"/>
                <w:kern w:val="0"/>
                <w:szCs w:val="21"/>
                <w:highlight w:val="none"/>
                <w:lang w:val="en-US" w:eastAsia="zh-CN"/>
              </w:rPr>
              <w:t>书面说明应提供</w:t>
            </w:r>
            <w:r>
              <w:rPr>
                <w:rFonts w:hint="eastAsia" w:ascii="宋体" w:hAnsi="宋体" w:eastAsia="宋体" w:cs="宋体"/>
                <w:color w:val="auto"/>
                <w:kern w:val="0"/>
                <w:szCs w:val="21"/>
                <w:highlight w:val="none"/>
              </w:rPr>
              <w:t>相关证明材料；投标人不能证明其报价合理性的，评标委员会将其作为无效投标处理。</w:t>
            </w:r>
          </w:p>
          <w:p w14:paraId="70243F70">
            <w:pPr>
              <w:adjustRightInd w:val="0"/>
              <w:snapToGrid w:val="0"/>
              <w:spacing w:line="400" w:lineRule="exact"/>
              <w:jc w:val="left"/>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根据《关于推动解决政府采购异常低价问题的通知》（财库〔2026〕2号）政府采购评审中出现下列情形之一的，评审委员会应当启动异常低价投标（响应）审查程序： </w:t>
            </w:r>
          </w:p>
          <w:p w14:paraId="2D5D8BE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1.投标（响应）报价低于全部通过符合性审查供应商投标（响应）报价平均值50%的（不得超过65%），即投标（响应）报价＜全部通过符合性审查供应商投标（响应）报价平均值×50%；</w:t>
            </w:r>
          </w:p>
          <w:p w14:paraId="7FDB13E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2.投标（响应）报价低于通过符合性审查的次低报价供应商投标（响应）报价50%的（不得超过65%），即投标（响应）报价＜通过符合性审查的次低报价供应商投标（响应）报价×50%；</w:t>
            </w:r>
          </w:p>
          <w:p w14:paraId="25162F0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3.投标（响应）报价低于采购项目最高限价</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lang w:val="en-US" w:eastAsia="zh-Hans"/>
              </w:rPr>
              <w:t>%的（不得超过65%），即投标（响应）报价＜采购项目最高限价×</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lang w:val="en-US" w:eastAsia="zh-Hans"/>
              </w:rPr>
              <w:t>%；</w:t>
            </w:r>
          </w:p>
          <w:p w14:paraId="682755E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4.评审委员会基于专业判断，认为供应商报价过低，有可能影响产品质量或者不能诚信履约的其他情形。</w:t>
            </w:r>
          </w:p>
          <w:p w14:paraId="60E14BC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相关法律法规对供应商报价有规定的，从其规定。</w:t>
            </w:r>
          </w:p>
          <w:p w14:paraId="1EA17ECB">
            <w:pPr>
              <w:adjustRightInd w:val="0"/>
              <w:snapToGrid w:val="0"/>
              <w:spacing w:line="4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highlight w:val="none"/>
                <w:lang w:val="en-US" w:eastAsia="zh-Hans"/>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1E7FB9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EEA99D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第14.1款</w:t>
            </w:r>
          </w:p>
        </w:tc>
        <w:tc>
          <w:tcPr>
            <w:tcW w:w="2693" w:type="dxa"/>
            <w:gridSpan w:val="2"/>
            <w:vAlign w:val="center"/>
          </w:tcPr>
          <w:p w14:paraId="7B6BE070">
            <w:pPr>
              <w:adjustRightInd w:val="0"/>
              <w:snapToGrid w:val="0"/>
              <w:spacing w:line="240" w:lineRule="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投标人应提供资格审查资料</w:t>
            </w:r>
          </w:p>
        </w:tc>
        <w:tc>
          <w:tcPr>
            <w:tcW w:w="4678" w:type="dxa"/>
            <w:gridSpan w:val="2"/>
            <w:vAlign w:val="center"/>
          </w:tcPr>
          <w:p w14:paraId="7E49A8E5">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第三章附表</w:t>
            </w:r>
            <w:r>
              <w:rPr>
                <w:rFonts w:hint="eastAsia" w:ascii="宋体" w:hAnsi="宋体" w:eastAsia="宋体" w:cs="宋体"/>
                <w:color w:val="auto"/>
                <w:szCs w:val="21"/>
                <w:highlight w:val="none"/>
                <w:lang w:val="en-US" w:eastAsia="zh-CN"/>
              </w:rPr>
              <w:t>1资格审查表</w:t>
            </w:r>
          </w:p>
        </w:tc>
      </w:tr>
      <w:tr w14:paraId="7FD1F9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A6E42C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第14.1(3)项</w:t>
            </w:r>
          </w:p>
        </w:tc>
        <w:tc>
          <w:tcPr>
            <w:tcW w:w="2693" w:type="dxa"/>
            <w:gridSpan w:val="2"/>
            <w:vAlign w:val="center"/>
          </w:tcPr>
          <w:p w14:paraId="0041FC56">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特定资格条件应提供的资格审查资料</w:t>
            </w:r>
          </w:p>
        </w:tc>
        <w:tc>
          <w:tcPr>
            <w:tcW w:w="4678" w:type="dxa"/>
            <w:gridSpan w:val="2"/>
            <w:vAlign w:val="center"/>
          </w:tcPr>
          <w:p w14:paraId="39D9C30C">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第三章附表</w:t>
            </w:r>
            <w:r>
              <w:rPr>
                <w:rFonts w:hint="eastAsia" w:ascii="宋体" w:hAnsi="宋体" w:eastAsia="宋体" w:cs="宋体"/>
                <w:color w:val="auto"/>
                <w:szCs w:val="21"/>
                <w:highlight w:val="none"/>
                <w:lang w:val="en-US" w:eastAsia="zh-CN"/>
              </w:rPr>
              <w:t>1资格审查表</w:t>
            </w:r>
          </w:p>
        </w:tc>
      </w:tr>
      <w:tr w14:paraId="08EE83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33" w:hRule="atLeast"/>
        </w:trPr>
        <w:tc>
          <w:tcPr>
            <w:tcW w:w="1560" w:type="dxa"/>
            <w:vAlign w:val="center"/>
          </w:tcPr>
          <w:p w14:paraId="4BD6377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第15.3款</w:t>
            </w:r>
          </w:p>
        </w:tc>
        <w:tc>
          <w:tcPr>
            <w:tcW w:w="2693" w:type="dxa"/>
            <w:gridSpan w:val="2"/>
            <w:vAlign w:val="center"/>
          </w:tcPr>
          <w:p w14:paraId="58AB9288">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样品提供的规定</w:t>
            </w:r>
          </w:p>
        </w:tc>
        <w:tc>
          <w:tcPr>
            <w:tcW w:w="4678" w:type="dxa"/>
            <w:gridSpan w:val="2"/>
            <w:vAlign w:val="center"/>
          </w:tcPr>
          <w:p w14:paraId="39D9D0B1">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不要求提供</w:t>
            </w:r>
          </w:p>
          <w:p w14:paraId="1E359A10">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要求提供，提交的时间：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4C4105C">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1、样品制作的标准和要求、是否需要随样品提交相关检测报告、样品的评审方法以及评审标准详见第三章及第四章。</w:t>
            </w:r>
          </w:p>
          <w:p w14:paraId="3B6DD62B">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2、中标人提供的样品保管、封存规定：</w:t>
            </w:r>
          </w:p>
          <w:p w14:paraId="3F93945A">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__</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____</w:t>
            </w:r>
          </w:p>
        </w:tc>
      </w:tr>
      <w:tr w14:paraId="459434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AF8FFF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第16.1</w:t>
            </w:r>
            <w:r>
              <w:rPr>
                <w:rFonts w:hint="eastAsia" w:ascii="宋体" w:hAnsi="宋体" w:eastAsia="宋体" w:cs="宋体"/>
                <w:color w:val="auto"/>
                <w:kern w:val="0"/>
                <w:szCs w:val="21"/>
                <w:highlight w:val="none"/>
                <w:lang w:val="zh-CN"/>
              </w:rPr>
              <w:t>款</w:t>
            </w:r>
          </w:p>
        </w:tc>
        <w:tc>
          <w:tcPr>
            <w:tcW w:w="2693" w:type="dxa"/>
            <w:gridSpan w:val="2"/>
            <w:vAlign w:val="center"/>
          </w:tcPr>
          <w:p w14:paraId="408AD661">
            <w:pPr>
              <w:adjustRightInd w:val="0"/>
              <w:snapToGrid w:val="0"/>
              <w:spacing w:line="240" w:lineRule="auto"/>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投标有效期</w:t>
            </w:r>
          </w:p>
        </w:tc>
        <w:tc>
          <w:tcPr>
            <w:tcW w:w="4678" w:type="dxa"/>
            <w:gridSpan w:val="2"/>
            <w:vAlign w:val="center"/>
          </w:tcPr>
          <w:p w14:paraId="5CC7B9E4">
            <w:pPr>
              <w:adjustRightInd w:val="0"/>
              <w:snapToGrid w:val="0"/>
              <w:spacing w:line="24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90 </w:t>
            </w:r>
            <w:r>
              <w:rPr>
                <w:rFonts w:hint="eastAsia" w:ascii="宋体" w:hAnsi="宋体" w:eastAsia="宋体" w:cs="宋体"/>
                <w:bCs/>
                <w:color w:val="auto"/>
                <w:szCs w:val="21"/>
                <w:highlight w:val="none"/>
              </w:rPr>
              <w:t>日（日历日）</w:t>
            </w:r>
            <w:r>
              <w:rPr>
                <w:rFonts w:hint="eastAsia" w:ascii="宋体" w:hAnsi="宋体" w:eastAsia="宋体" w:cs="宋体"/>
                <w:color w:val="auto"/>
                <w:highlight w:val="none"/>
              </w:rPr>
              <w:t>从</w:t>
            </w:r>
            <w:r>
              <w:rPr>
                <w:rFonts w:hint="eastAsia" w:ascii="宋体" w:hAnsi="宋体" w:eastAsia="宋体" w:cs="宋体"/>
                <w:color w:val="auto"/>
                <w:kern w:val="0"/>
                <w:szCs w:val="21"/>
                <w:highlight w:val="none"/>
              </w:rPr>
              <w:t>提交</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文件截止时间</w:t>
            </w:r>
            <w:r>
              <w:rPr>
                <w:rFonts w:hint="eastAsia" w:ascii="宋体" w:hAnsi="宋体" w:eastAsia="宋体" w:cs="宋体"/>
                <w:color w:val="auto"/>
                <w:highlight w:val="none"/>
              </w:rPr>
              <w:t>之日起计算</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如投标有效期不足的，在评标时将视为无效投标。</w:t>
            </w:r>
          </w:p>
        </w:tc>
      </w:tr>
      <w:tr w14:paraId="54DF54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D7EC04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款</w:t>
            </w:r>
          </w:p>
        </w:tc>
        <w:tc>
          <w:tcPr>
            <w:tcW w:w="2693" w:type="dxa"/>
            <w:gridSpan w:val="2"/>
            <w:vAlign w:val="center"/>
          </w:tcPr>
          <w:p w14:paraId="5CB2E205">
            <w:pPr>
              <w:adjustRightInd w:val="0"/>
              <w:snapToGrid w:val="0"/>
              <w:spacing w:line="240" w:lineRule="auto"/>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分包</w:t>
            </w:r>
          </w:p>
        </w:tc>
        <w:tc>
          <w:tcPr>
            <w:tcW w:w="4678" w:type="dxa"/>
            <w:gridSpan w:val="2"/>
            <w:vAlign w:val="center"/>
          </w:tcPr>
          <w:p w14:paraId="373FE2D5">
            <w:pPr>
              <w:adjustRightInd w:val="0"/>
              <w:snapToGrid w:val="0"/>
              <w:spacing w:line="240" w:lineRule="auto"/>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分包要求:</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eastAsia="zh-CN"/>
              </w:rPr>
              <w:t>不接受</w:t>
            </w:r>
            <w:r>
              <w:rPr>
                <w:rFonts w:hint="eastAsia" w:ascii="宋体" w:hAnsi="宋体" w:eastAsia="宋体" w:cs="宋体"/>
                <w:bCs/>
                <w:color w:val="auto"/>
                <w:szCs w:val="21"/>
                <w:highlight w:val="none"/>
                <w:u w:val="single"/>
              </w:rPr>
              <w:t xml:space="preserve">  </w:t>
            </w:r>
          </w:p>
        </w:tc>
      </w:tr>
      <w:tr w14:paraId="68649B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6C2F1CC6">
            <w:pPr>
              <w:adjustRightInd w:val="0"/>
              <w:snapToGrid w:val="0"/>
              <w:spacing w:line="360" w:lineRule="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四、投标</w:t>
            </w:r>
          </w:p>
        </w:tc>
      </w:tr>
      <w:tr w14:paraId="03303B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5938D6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19</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kern w:val="0"/>
                <w:szCs w:val="21"/>
                <w:highlight w:val="none"/>
                <w:lang w:val="zh-CN"/>
              </w:rPr>
              <w:t>款</w:t>
            </w:r>
          </w:p>
        </w:tc>
        <w:tc>
          <w:tcPr>
            <w:tcW w:w="2693" w:type="dxa"/>
            <w:gridSpan w:val="2"/>
            <w:vAlign w:val="center"/>
          </w:tcPr>
          <w:p w14:paraId="109097D8">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投标截止时间（开标时间）</w:t>
            </w:r>
          </w:p>
        </w:tc>
        <w:tc>
          <w:tcPr>
            <w:tcW w:w="4678" w:type="dxa"/>
            <w:gridSpan w:val="2"/>
            <w:vAlign w:val="center"/>
          </w:tcPr>
          <w:p w14:paraId="64D00165">
            <w:pPr>
              <w:adjustRightInd w:val="0"/>
              <w:snapToGrid w:val="0"/>
              <w:spacing w:line="360" w:lineRule="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详见第一章【投标邀请】</w:t>
            </w:r>
          </w:p>
        </w:tc>
      </w:tr>
      <w:tr w14:paraId="36926E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1AB2AB6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五、开标、资格审查和评标</w:t>
            </w:r>
          </w:p>
        </w:tc>
      </w:tr>
      <w:tr w14:paraId="1C779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69A0AB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款</w:t>
            </w:r>
          </w:p>
        </w:tc>
        <w:tc>
          <w:tcPr>
            <w:tcW w:w="2693" w:type="dxa"/>
            <w:gridSpan w:val="2"/>
            <w:vAlign w:val="center"/>
          </w:tcPr>
          <w:p w14:paraId="6BF82ABA">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解密电子投标文件时限及方式</w:t>
            </w:r>
          </w:p>
        </w:tc>
        <w:tc>
          <w:tcPr>
            <w:tcW w:w="4678" w:type="dxa"/>
            <w:gridSpan w:val="2"/>
            <w:vAlign w:val="center"/>
          </w:tcPr>
          <w:p w14:paraId="0691E571">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投标人使用加密投标文件的CA数字证书在投标截止时间起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rPr>
              <w:t>分钟内完成投标文件的解密，投标文件在解密时限内未解密或解密失败，视为撤销其投标文件，开标继续进行。（如因交易平台出现系统故障，导致解密无法完成的，由采购人或采购代理机构酌情延长解密时间）</w:t>
            </w:r>
          </w:p>
        </w:tc>
      </w:tr>
      <w:tr w14:paraId="2EF858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0FFD0771">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六、中标信息公布</w:t>
            </w:r>
          </w:p>
        </w:tc>
      </w:tr>
      <w:tr w14:paraId="732FC1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C2296A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w:t>
            </w:r>
            <w:r>
              <w:rPr>
                <w:rFonts w:hint="eastAsia" w:ascii="宋体" w:hAnsi="宋体" w:eastAsia="宋体" w:cs="宋体"/>
                <w:color w:val="auto"/>
                <w:kern w:val="0"/>
                <w:szCs w:val="21"/>
                <w:highlight w:val="none"/>
                <w:lang w:val="zh-CN"/>
              </w:rPr>
              <w:t>款</w:t>
            </w:r>
          </w:p>
        </w:tc>
        <w:tc>
          <w:tcPr>
            <w:tcW w:w="2693" w:type="dxa"/>
            <w:gridSpan w:val="2"/>
            <w:vAlign w:val="center"/>
          </w:tcPr>
          <w:p w14:paraId="1E9F4A51">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中标候选人并列的确定中标人的方式</w:t>
            </w:r>
          </w:p>
        </w:tc>
        <w:tc>
          <w:tcPr>
            <w:tcW w:w="4678" w:type="dxa"/>
            <w:gridSpan w:val="2"/>
            <w:vAlign w:val="center"/>
          </w:tcPr>
          <w:p w14:paraId="41144293">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评标结果按评审后得分由高到低顺序排列。投标人评标总得分相同的，依次按照投标报价得分、技术部分得分由高至低顺序排序。总得分相同且投标报价得分相同且技术部分得分相同的由采购人随机抽取确定排序。投标文件满足招标文件全部实质性要求</w:t>
            </w:r>
            <w:r>
              <w:rPr>
                <w:rFonts w:hint="eastAsia" w:ascii="宋体" w:hAnsi="宋体" w:eastAsia="宋体" w:cs="宋体"/>
                <w:bCs/>
                <w:color w:val="auto"/>
                <w:szCs w:val="21"/>
                <w:highlight w:val="none"/>
              </w:rPr>
              <w:t>，且按照评审因素的量化指标评审得分最高的投标人为排名第一的中标候选人</w:t>
            </w:r>
            <w:r>
              <w:rPr>
                <w:rFonts w:hint="eastAsia" w:ascii="宋体" w:hAnsi="宋体" w:eastAsia="宋体" w:cs="宋体"/>
                <w:color w:val="auto"/>
                <w:kern w:val="0"/>
                <w:szCs w:val="21"/>
                <w:highlight w:val="none"/>
              </w:rPr>
              <w:t>。</w:t>
            </w:r>
          </w:p>
        </w:tc>
      </w:tr>
      <w:tr w14:paraId="13F9EC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B0AE34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w:t>
            </w:r>
            <w:r>
              <w:rPr>
                <w:rFonts w:hint="eastAsia" w:ascii="宋体" w:hAnsi="宋体" w:eastAsia="宋体" w:cs="宋体"/>
                <w:color w:val="auto"/>
                <w:kern w:val="0"/>
                <w:szCs w:val="21"/>
                <w:highlight w:val="none"/>
                <w:lang w:val="zh-CN"/>
              </w:rPr>
              <w:t>款</w:t>
            </w:r>
          </w:p>
        </w:tc>
        <w:tc>
          <w:tcPr>
            <w:tcW w:w="2693" w:type="dxa"/>
            <w:gridSpan w:val="2"/>
            <w:vAlign w:val="center"/>
          </w:tcPr>
          <w:p w14:paraId="45C83FC0">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接收质疑函的联系部门、联系电话和通讯地址</w:t>
            </w:r>
          </w:p>
        </w:tc>
        <w:tc>
          <w:tcPr>
            <w:tcW w:w="4678" w:type="dxa"/>
            <w:gridSpan w:val="2"/>
            <w:vAlign w:val="center"/>
          </w:tcPr>
          <w:p w14:paraId="193D3C4D">
            <w:pPr>
              <w:adjustRightInd w:val="0"/>
              <w:snapToGrid w:val="0"/>
              <w:spacing w:line="42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详见第一章【投标邀请】</w:t>
            </w:r>
          </w:p>
        </w:tc>
      </w:tr>
      <w:tr w14:paraId="6230F9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4D39D416">
            <w:pPr>
              <w:adjustRightInd w:val="0"/>
              <w:snapToGrid w:val="0"/>
              <w:spacing w:line="4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七、签订合同</w:t>
            </w:r>
          </w:p>
        </w:tc>
      </w:tr>
      <w:tr w14:paraId="131D66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84" w:type="dxa"/>
            <w:gridSpan w:val="2"/>
            <w:tcBorders>
              <w:right w:val="single" w:color="auto" w:sz="4" w:space="0"/>
            </w:tcBorders>
            <w:vAlign w:val="center"/>
          </w:tcPr>
          <w:p w14:paraId="2A217789">
            <w:pPr>
              <w:adjustRightInd w:val="0"/>
              <w:snapToGrid w:val="0"/>
              <w:spacing w:line="42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28.1款</w:t>
            </w:r>
          </w:p>
        </w:tc>
        <w:tc>
          <w:tcPr>
            <w:tcW w:w="2688" w:type="dxa"/>
            <w:gridSpan w:val="2"/>
            <w:tcBorders>
              <w:left w:val="single" w:color="auto" w:sz="4" w:space="0"/>
              <w:right w:val="single" w:color="auto" w:sz="4" w:space="0"/>
            </w:tcBorders>
            <w:vAlign w:val="center"/>
          </w:tcPr>
          <w:p w14:paraId="22BBC631">
            <w:pPr>
              <w:adjustRightInd w:val="0"/>
              <w:snapToGrid w:val="0"/>
              <w:spacing w:line="4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合同签订、公示、备案</w:t>
            </w:r>
          </w:p>
        </w:tc>
        <w:tc>
          <w:tcPr>
            <w:tcW w:w="4659" w:type="dxa"/>
            <w:tcBorders>
              <w:left w:val="single" w:color="auto" w:sz="4" w:space="0"/>
            </w:tcBorders>
            <w:vAlign w:val="center"/>
          </w:tcPr>
          <w:p w14:paraId="6F1A56E2">
            <w:pPr>
              <w:adjustRightInd w:val="0"/>
              <w:snapToGrid w:val="0"/>
              <w:spacing w:line="240" w:lineRule="auto"/>
              <w:rPr>
                <w:rFonts w:hint="eastAsia" w:ascii="宋体" w:hAnsi="宋体" w:eastAsia="宋体" w:cs="宋体"/>
                <w:color w:val="auto"/>
                <w:szCs w:val="21"/>
                <w:highlight w:val="none"/>
                <w:lang w:eastAsia="zh-CN"/>
              </w:rPr>
            </w:pPr>
            <w:r>
              <w:rPr>
                <w:rFonts w:hint="eastAsia" w:ascii="宋体" w:hAnsi="宋体" w:eastAsia="宋体" w:cs="宋体"/>
                <w:color w:val="auto"/>
                <w:highlight w:val="none"/>
                <w:lang w:eastAsia="zh-CN"/>
              </w:rPr>
              <w:t>根据郴州市财政局郴财采资</w:t>
            </w:r>
            <w:r>
              <w:rPr>
                <w:rFonts w:hint="eastAsia" w:ascii="宋体" w:hAnsi="宋体" w:eastAsia="宋体" w:cs="宋体"/>
                <w:color w:val="auto"/>
                <w:highlight w:val="none"/>
                <w:lang w:val="en-US" w:eastAsia="zh-CN"/>
              </w:rPr>
              <w:t>[2024]6号文件，</w:t>
            </w:r>
            <w:r>
              <w:rPr>
                <w:rFonts w:hint="eastAsia" w:ascii="宋体" w:hAnsi="宋体" w:eastAsia="宋体" w:cs="宋体"/>
                <w:color w:val="auto"/>
                <w:highlight w:val="none"/>
                <w:lang w:eastAsia="zh-CN"/>
              </w:rPr>
              <w:t>鼓励</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在中标通知书发出</w:t>
            </w:r>
            <w:r>
              <w:rPr>
                <w:rFonts w:hint="eastAsia" w:ascii="宋体" w:hAnsi="宋体" w:eastAsia="宋体" w:cs="宋体"/>
                <w:color w:val="auto"/>
                <w:highlight w:val="none"/>
                <w:lang w:val="en-US" w:eastAsia="zh-CN"/>
              </w:rPr>
              <w:t>20日内，根据招标文件确定的事项签订政府采购合同。对于未在规定时间内签订合同，且无法说明合法理由的</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、采购代理机构，依法进行处理并予以通报。</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应当在合同签订后1个工作日内将政府采购合同在湖南省政府采购网公示、5个工作日完成备案，合同中涉及国家秘密、商业秘密的内容除外</w:t>
            </w:r>
            <w:r>
              <w:rPr>
                <w:rFonts w:hint="eastAsia" w:ascii="宋体" w:hAnsi="宋体" w:eastAsia="宋体" w:cs="宋体"/>
                <w:color w:val="auto"/>
                <w:highlight w:val="none"/>
              </w:rPr>
              <w:t>。</w:t>
            </w:r>
          </w:p>
        </w:tc>
      </w:tr>
      <w:tr w14:paraId="1C4BC7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1EC383FA">
            <w:pPr>
              <w:adjustRightInd w:val="0"/>
              <w:snapToGrid w:val="0"/>
              <w:spacing w:line="420" w:lineRule="exac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八、政府采购政策</w:t>
            </w:r>
          </w:p>
        </w:tc>
      </w:tr>
      <w:tr w14:paraId="6AB723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Merge w:val="restart"/>
            <w:vAlign w:val="center"/>
          </w:tcPr>
          <w:p w14:paraId="3EFB2D69">
            <w:pPr>
              <w:adjustRightInd w:val="0"/>
              <w:snapToGrid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30.6款</w:t>
            </w:r>
          </w:p>
        </w:tc>
        <w:tc>
          <w:tcPr>
            <w:tcW w:w="2693" w:type="dxa"/>
            <w:gridSpan w:val="2"/>
            <w:vMerge w:val="restart"/>
            <w:vAlign w:val="center"/>
          </w:tcPr>
          <w:p w14:paraId="77E0B424">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支持中小企业</w:t>
            </w:r>
          </w:p>
        </w:tc>
        <w:tc>
          <w:tcPr>
            <w:tcW w:w="4678" w:type="dxa"/>
            <w:gridSpan w:val="2"/>
            <w:vAlign w:val="center"/>
          </w:tcPr>
          <w:p w14:paraId="200995C5">
            <w:pPr>
              <w:spacing w:line="240" w:lineRule="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本项目所属行业</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rPr>
              <w:t>（十二）软件和信息技术服务业</w:t>
            </w:r>
          </w:p>
          <w:p w14:paraId="3A91DCCF">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(注：从以下选项中选择填写</w:t>
            </w:r>
            <w:r>
              <w:rPr>
                <w:rFonts w:hint="eastAsia" w:ascii="宋体" w:hAnsi="宋体" w:eastAsia="宋体" w:cs="宋体"/>
                <w:color w:val="auto"/>
                <w:sz w:val="21"/>
                <w:szCs w:val="21"/>
                <w:highlight w:val="none"/>
                <w:lang w:eastAsia="zh-CN"/>
              </w:rPr>
              <w:t>）</w:t>
            </w:r>
          </w:p>
          <w:p w14:paraId="69EE6DF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（一）农、林、牧、渔业</w:t>
            </w:r>
          </w:p>
          <w:p w14:paraId="53041E0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（二）工业</w:t>
            </w:r>
          </w:p>
          <w:p w14:paraId="0B0FBBA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（三）建筑业</w:t>
            </w:r>
          </w:p>
          <w:p w14:paraId="543EE3C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（四）批发业</w:t>
            </w:r>
          </w:p>
          <w:p w14:paraId="7AF7C48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（五）零售业</w:t>
            </w:r>
          </w:p>
          <w:p w14:paraId="26D501A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（六）交通运输业</w:t>
            </w:r>
          </w:p>
          <w:p w14:paraId="48A82B3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（七）仓储业</w:t>
            </w:r>
          </w:p>
          <w:p w14:paraId="217408D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（八）邮政业</w:t>
            </w:r>
          </w:p>
          <w:p w14:paraId="3C81358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（九）住宿业</w:t>
            </w:r>
          </w:p>
          <w:p w14:paraId="0235E00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（十）餐饮业</w:t>
            </w:r>
          </w:p>
          <w:p w14:paraId="2919027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（十一）信息传输业</w:t>
            </w:r>
          </w:p>
          <w:p w14:paraId="158A77D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（十二）软件和信息技术服务业</w:t>
            </w:r>
          </w:p>
          <w:p w14:paraId="7E4CD8C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（十三）房地产开发经营</w:t>
            </w:r>
          </w:p>
          <w:p w14:paraId="6DF3714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（十四）物业管理</w:t>
            </w:r>
          </w:p>
          <w:p w14:paraId="2F201387">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（十五）租赁和商务服务业</w:t>
            </w:r>
          </w:p>
          <w:p w14:paraId="545C0419">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（十六）其他未列明行业</w:t>
            </w:r>
          </w:p>
        </w:tc>
      </w:tr>
      <w:tr w14:paraId="354204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Merge w:val="continue"/>
            <w:vAlign w:val="center"/>
          </w:tcPr>
          <w:p w14:paraId="02D98237">
            <w:pPr>
              <w:adjustRightInd w:val="0"/>
              <w:snapToGrid w:val="0"/>
              <w:spacing w:line="360" w:lineRule="auto"/>
              <w:jc w:val="center"/>
              <w:rPr>
                <w:rFonts w:hint="eastAsia" w:ascii="宋体" w:hAnsi="宋体" w:eastAsia="宋体" w:cs="宋体"/>
                <w:color w:val="auto"/>
                <w:szCs w:val="21"/>
                <w:highlight w:val="none"/>
              </w:rPr>
            </w:pPr>
          </w:p>
        </w:tc>
        <w:tc>
          <w:tcPr>
            <w:tcW w:w="2693" w:type="dxa"/>
            <w:gridSpan w:val="2"/>
            <w:vMerge w:val="continue"/>
            <w:vAlign w:val="center"/>
          </w:tcPr>
          <w:p w14:paraId="09A93E84">
            <w:pPr>
              <w:adjustRightInd w:val="0"/>
              <w:snapToGrid w:val="0"/>
              <w:spacing w:line="360" w:lineRule="auto"/>
              <w:jc w:val="left"/>
              <w:rPr>
                <w:rFonts w:hint="eastAsia" w:ascii="宋体" w:hAnsi="宋体" w:eastAsia="宋体" w:cs="宋体"/>
                <w:color w:val="auto"/>
                <w:szCs w:val="21"/>
                <w:highlight w:val="none"/>
                <w:lang w:val="en-US" w:eastAsia="zh-CN"/>
              </w:rPr>
            </w:pPr>
          </w:p>
        </w:tc>
        <w:tc>
          <w:tcPr>
            <w:tcW w:w="4678" w:type="dxa"/>
            <w:gridSpan w:val="2"/>
            <w:vAlign w:val="center"/>
          </w:tcPr>
          <w:p w14:paraId="339A58F9">
            <w:pPr>
              <w:spacing w:line="24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本项目专门面向中小企业采购</w:t>
            </w:r>
            <w:r>
              <w:rPr>
                <w:rFonts w:hint="eastAsia" w:ascii="宋体" w:hAnsi="宋体" w:cs="宋体"/>
                <w:color w:val="auto"/>
                <w:sz w:val="21"/>
                <w:szCs w:val="21"/>
                <w:highlight w:val="none"/>
                <w:lang w:eastAsia="zh-CN"/>
              </w:rPr>
              <w:t>：</w:t>
            </w:r>
            <w:r>
              <w:rPr>
                <w:rFonts w:hint="eastAsia" w:ascii="宋体" w:hAnsi="宋体" w:eastAsia="宋体" w:cs="宋体"/>
                <w:b w:val="0"/>
                <w:color w:val="auto"/>
                <w:sz w:val="21"/>
                <w:szCs w:val="21"/>
                <w:highlight w:val="none"/>
                <w:lang w:val="en-US" w:eastAsia="zh-CN"/>
              </w:rPr>
              <w:t>本项目专门面向中小微企业采购，</w:t>
            </w:r>
            <w:r>
              <w:rPr>
                <w:rFonts w:hint="eastAsia" w:ascii="宋体" w:hAnsi="宋体" w:cs="宋体"/>
                <w:b w:val="0"/>
                <w:color w:val="auto"/>
                <w:sz w:val="21"/>
                <w:szCs w:val="21"/>
                <w:highlight w:val="none"/>
                <w:lang w:val="en-US" w:eastAsia="zh-CN"/>
              </w:rPr>
              <w:t>投标人</w:t>
            </w:r>
            <w:r>
              <w:rPr>
                <w:rFonts w:hint="eastAsia" w:ascii="宋体" w:hAnsi="宋体" w:eastAsia="宋体" w:cs="宋体"/>
                <w:b w:val="0"/>
                <w:color w:val="auto"/>
                <w:sz w:val="21"/>
                <w:szCs w:val="21"/>
                <w:highlight w:val="none"/>
                <w:lang w:val="en-US" w:eastAsia="zh-CN"/>
              </w:rPr>
              <w:t>必须提供“湖南省政府采购供应商资格承诺函（格式）”，且企业规模必须为中型企业或小型企业或微型企业，不得是大型企业。</w:t>
            </w:r>
            <w:r>
              <w:rPr>
                <w:rFonts w:hint="eastAsia" w:ascii="宋体" w:hAnsi="宋体" w:cs="宋体"/>
                <w:b w:val="0"/>
                <w:color w:val="auto"/>
                <w:sz w:val="21"/>
                <w:szCs w:val="21"/>
                <w:highlight w:val="none"/>
                <w:lang w:val="en-US" w:eastAsia="zh-CN"/>
              </w:rPr>
              <w:t>投标人</w:t>
            </w:r>
            <w:r>
              <w:rPr>
                <w:rFonts w:hint="eastAsia" w:ascii="宋体" w:hAnsi="宋体" w:eastAsia="宋体" w:cs="宋体"/>
                <w:b w:val="0"/>
                <w:color w:val="auto"/>
                <w:sz w:val="21"/>
                <w:szCs w:val="21"/>
                <w:highlight w:val="none"/>
                <w:lang w:val="en-US" w:eastAsia="zh-CN"/>
              </w:rPr>
              <w:t>无需提供财务状况、缴纳税收和社会保障资金等资格证明材料。</w:t>
            </w:r>
          </w:p>
          <w:p w14:paraId="5FA81340">
            <w:pPr>
              <w:keepNext w:val="0"/>
              <w:keepLines w:val="0"/>
              <w:widowControl/>
              <w:suppressLineNumbers w:val="0"/>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eastAsia="zh-CN"/>
              </w:rPr>
              <w:t>（按湘财购</w:t>
            </w:r>
            <w:r>
              <w:rPr>
                <w:rFonts w:hint="eastAsia" w:ascii="宋体" w:hAnsi="宋体" w:eastAsia="宋体" w:cs="宋体"/>
                <w:color w:val="auto"/>
                <w:sz w:val="21"/>
                <w:szCs w:val="21"/>
                <w:highlight w:val="none"/>
                <w:lang w:val="en-US" w:eastAsia="zh-CN"/>
              </w:rPr>
              <w:t>[2022]17号文件规定，</w:t>
            </w:r>
            <w:r>
              <w:rPr>
                <w:rFonts w:hint="eastAsia" w:ascii="宋体" w:hAnsi="宋体" w:eastAsia="宋体" w:cs="宋体"/>
                <w:color w:val="auto"/>
                <w:kern w:val="0"/>
                <w:sz w:val="21"/>
                <w:szCs w:val="21"/>
                <w:highlight w:val="none"/>
                <w:lang w:val="en-US" w:eastAsia="zh-CN" w:bidi="ar"/>
              </w:rPr>
              <w:t>预算200万元以下的货物、服务项目和400万元以下的工程项目适宜由中小企业提供的，应面向中小企业采购</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p>
        </w:tc>
      </w:tr>
      <w:tr w14:paraId="6AAB3A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Merge w:val="continue"/>
            <w:vAlign w:val="center"/>
          </w:tcPr>
          <w:p w14:paraId="00781D57">
            <w:pPr>
              <w:adjustRightInd w:val="0"/>
              <w:snapToGrid w:val="0"/>
              <w:spacing w:line="360" w:lineRule="auto"/>
              <w:jc w:val="center"/>
              <w:rPr>
                <w:rFonts w:hint="eastAsia" w:ascii="宋体" w:hAnsi="宋体" w:eastAsia="宋体" w:cs="宋体"/>
                <w:color w:val="auto"/>
                <w:szCs w:val="21"/>
                <w:highlight w:val="none"/>
              </w:rPr>
            </w:pPr>
          </w:p>
        </w:tc>
        <w:tc>
          <w:tcPr>
            <w:tcW w:w="2693" w:type="dxa"/>
            <w:gridSpan w:val="2"/>
            <w:vMerge w:val="continue"/>
            <w:vAlign w:val="center"/>
          </w:tcPr>
          <w:p w14:paraId="6EB2E2AE">
            <w:pPr>
              <w:adjustRightInd w:val="0"/>
              <w:snapToGrid w:val="0"/>
              <w:spacing w:line="360" w:lineRule="auto"/>
              <w:jc w:val="left"/>
              <w:rPr>
                <w:rFonts w:hint="eastAsia" w:ascii="宋体" w:hAnsi="宋体" w:eastAsia="宋体" w:cs="宋体"/>
                <w:color w:val="auto"/>
                <w:szCs w:val="21"/>
                <w:highlight w:val="none"/>
                <w:lang w:val="en-US" w:eastAsia="zh-CN"/>
              </w:rPr>
            </w:pPr>
          </w:p>
        </w:tc>
        <w:tc>
          <w:tcPr>
            <w:tcW w:w="4678" w:type="dxa"/>
            <w:gridSpan w:val="2"/>
            <w:vAlign w:val="center"/>
          </w:tcPr>
          <w:p w14:paraId="5F8F8F2F">
            <w:pPr>
              <w:spacing w:line="240" w:lineRule="auto"/>
              <w:rPr>
                <w:rFonts w:hint="eastAsia" w:ascii="宋体" w:hAnsi="宋体" w:eastAsia="宋体" w:cs="宋体"/>
                <w:color w:val="auto"/>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本项目</w:t>
            </w:r>
            <w:r>
              <w:rPr>
                <w:rFonts w:hint="eastAsia" w:ascii="宋体" w:hAnsi="宋体" w:eastAsia="宋体" w:cs="宋体"/>
                <w:color w:val="auto"/>
                <w:sz w:val="21"/>
                <w:szCs w:val="21"/>
                <w:highlight w:val="none"/>
              </w:rPr>
              <w:t>非专门面向中小企业采购</w:t>
            </w:r>
          </w:p>
        </w:tc>
      </w:tr>
      <w:tr w14:paraId="24D181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5"/>
            <w:vAlign w:val="center"/>
          </w:tcPr>
          <w:p w14:paraId="462F381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lang w:val="en-US" w:eastAsia="zh-CN"/>
              </w:rPr>
              <w:t>八</w:t>
            </w:r>
            <w:r>
              <w:rPr>
                <w:rFonts w:hint="eastAsia" w:ascii="宋体" w:hAnsi="宋体" w:eastAsia="宋体" w:cs="宋体"/>
                <w:b/>
                <w:color w:val="auto"/>
                <w:szCs w:val="21"/>
                <w:highlight w:val="none"/>
              </w:rPr>
              <w:t>、其他规定</w:t>
            </w:r>
          </w:p>
        </w:tc>
      </w:tr>
      <w:tr w14:paraId="22BB46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252EF7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款</w:t>
            </w:r>
          </w:p>
        </w:tc>
        <w:tc>
          <w:tcPr>
            <w:tcW w:w="2693" w:type="dxa"/>
            <w:gridSpan w:val="2"/>
            <w:vAlign w:val="center"/>
          </w:tcPr>
          <w:p w14:paraId="00F2C13D">
            <w:pPr>
              <w:adjustRightInd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采购代理服务费</w:t>
            </w:r>
          </w:p>
        </w:tc>
        <w:tc>
          <w:tcPr>
            <w:tcW w:w="4678" w:type="dxa"/>
            <w:gridSpan w:val="2"/>
            <w:vAlign w:val="center"/>
          </w:tcPr>
          <w:p w14:paraId="3E5BFC8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□集中采购机构不收代理服务费。</w:t>
            </w:r>
          </w:p>
          <w:p w14:paraId="7581A36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☑采购代理服务费由采购人支付</w:t>
            </w:r>
            <w:r>
              <w:rPr>
                <w:rFonts w:hint="eastAsia" w:ascii="宋体" w:hAnsi="宋体" w:eastAsia="宋体" w:cs="宋体"/>
                <w:color w:val="auto"/>
                <w:szCs w:val="21"/>
                <w:highlight w:val="none"/>
              </w:rPr>
              <w:t>。</w:t>
            </w:r>
          </w:p>
        </w:tc>
      </w:tr>
      <w:tr w14:paraId="51E503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8EB0B9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款</w:t>
            </w:r>
          </w:p>
        </w:tc>
        <w:tc>
          <w:tcPr>
            <w:tcW w:w="2693" w:type="dxa"/>
            <w:gridSpan w:val="2"/>
            <w:vAlign w:val="center"/>
          </w:tcPr>
          <w:p w14:paraId="58832950">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其他规定</w:t>
            </w:r>
          </w:p>
        </w:tc>
        <w:tc>
          <w:tcPr>
            <w:tcW w:w="4678" w:type="dxa"/>
            <w:gridSpan w:val="2"/>
            <w:vAlign w:val="center"/>
          </w:tcPr>
          <w:p w14:paraId="0803D680">
            <w:pPr>
              <w:spacing w:line="360" w:lineRule="exact"/>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投标人应在投标截止时间之前完成电子投标文件上传。若因投标人对网上招投标操作不熟悉或自身电脑、个人网络等原因导致不能在投标截止时间之前完成投标文件上传的，所造成的投标失败或损失由投标人自行承担。建议各投标人在工作时间段内上传投标文件，在操作系统过程中有疑问或困难请及时进行咨询。</w:t>
            </w:r>
          </w:p>
          <w:p w14:paraId="5E2DFAA8">
            <w:pPr>
              <w:spacing w:line="360" w:lineRule="exact"/>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投标人使用加密投标文件的CA数字证书在规定时间内完成投标文件解密。因投标人自身原因未在规定时间内完成解密或解密失败的，视为撤销投标文件，其责任由投标人自行承担，开标继续进行。若开标时出现网络故障、交易系统技术故障等情形，导致解密无法完成而影响采购活动开展的，采购人有权采取非加密文件上传、纸质标书评审方式或将项目延期、延长投标文件解密时间等相应措施，以保障采购活动的公开、公平和公正，投标人不得对此持有异议。</w:t>
            </w:r>
          </w:p>
          <w:p w14:paraId="08AB1DFB">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（3）对列入失信被执行人、重大税收违法案件当 </w:t>
            </w:r>
          </w:p>
          <w:p w14:paraId="38D1A516">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事人名单、政府采购严重违法失信行为记录名单 </w:t>
            </w:r>
          </w:p>
          <w:p w14:paraId="63BB2571">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的供应商，应当拒绝其参与政府采购活动。两个 </w:t>
            </w:r>
          </w:p>
          <w:p w14:paraId="4BD1A804">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以上的自然人、法人或者其他组织组成一个联合 </w:t>
            </w:r>
          </w:p>
          <w:p w14:paraId="2F273511">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体，以一个供应商的身份共同参加政府采购活动 </w:t>
            </w:r>
          </w:p>
          <w:p w14:paraId="59606C3A">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的，应当对所有联合体成员进行信用记录查询， </w:t>
            </w:r>
          </w:p>
          <w:p w14:paraId="5C10EFAD">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联合体成员存在不良信用记录的，视同联合体存 </w:t>
            </w:r>
          </w:p>
          <w:p w14:paraId="5A663540">
            <w:pPr>
              <w:numPr>
                <w:ilvl w:val="0"/>
                <w:numId w:val="0"/>
              </w:numPr>
              <w:spacing w:line="24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 xml:space="preserve">在不良信用记录。 </w:t>
            </w:r>
          </w:p>
          <w:p w14:paraId="0A8D560A">
            <w:pPr>
              <w:numPr>
                <w:ilvl w:val="0"/>
                <w:numId w:val="3"/>
              </w:numPr>
              <w:adjustRightInd w:val="0"/>
              <w:snapToGrid w:val="0"/>
              <w:spacing w:line="360" w:lineRule="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中标人应在发放中标通知书前准备 1 式 4 份投标文件纸质版并外封面加盖单位公章交由采购代理机构用于存档。</w:t>
            </w:r>
          </w:p>
          <w:p w14:paraId="6DAA7C87">
            <w:pPr>
              <w:spacing w:line="360" w:lineRule="exact"/>
              <w:rPr>
                <w:rFonts w:hint="eastAsia"/>
                <w:color w:val="auto"/>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color w:val="auto"/>
                <w:highlight w:val="none"/>
              </w:rPr>
              <w:t>免责声明</w:t>
            </w:r>
            <w:r>
              <w:rPr>
                <w:rFonts w:hint="eastAsia"/>
                <w:color w:val="auto"/>
                <w:highlight w:val="none"/>
                <w:lang w:eastAsia="zh-CN"/>
              </w:rPr>
              <w:t>：</w:t>
            </w:r>
            <w:r>
              <w:rPr>
                <w:rFonts w:hint="eastAsia"/>
                <w:color w:val="auto"/>
                <w:highlight w:val="none"/>
              </w:rPr>
              <w:t xml:space="preserve"> </w:t>
            </w:r>
          </w:p>
          <w:p w14:paraId="404B5E48">
            <w:pPr>
              <w:spacing w:line="360" w:lineRule="exact"/>
              <w:rPr>
                <w:rFonts w:hint="eastAsia"/>
                <w:color w:val="auto"/>
                <w:highlight w:val="none"/>
              </w:rPr>
            </w:pPr>
            <w:r>
              <w:rPr>
                <w:rFonts w:hint="eastAsia"/>
                <w:color w:val="auto"/>
                <w:highlight w:val="none"/>
                <w:lang w:val="en-US" w:eastAsia="zh-CN"/>
              </w:rPr>
              <w:t>5</w:t>
            </w:r>
            <w:r>
              <w:rPr>
                <w:rFonts w:hint="eastAsia"/>
                <w:color w:val="auto"/>
                <w:highlight w:val="none"/>
              </w:rPr>
              <w:t xml:space="preserve">.1 投标人自行承担投标过程中产生的费用。无论因何种因素导致招标项目延期开标、废标（流标）、投标人未中标、项目终止招标的，采购人与采购代理机构均不承担投标人的投标费用。 </w:t>
            </w:r>
          </w:p>
          <w:p w14:paraId="4E653A8D">
            <w:pPr>
              <w:spacing w:line="360" w:lineRule="exact"/>
              <w:rPr>
                <w:rFonts w:hint="eastAsia"/>
                <w:color w:val="auto"/>
                <w:highlight w:val="none"/>
              </w:rPr>
            </w:pPr>
            <w:r>
              <w:rPr>
                <w:rFonts w:hint="eastAsia"/>
                <w:color w:val="auto"/>
                <w:highlight w:val="none"/>
                <w:lang w:val="en-US" w:eastAsia="zh-CN"/>
              </w:rPr>
              <w:t>5</w:t>
            </w:r>
            <w:r>
              <w:rPr>
                <w:rFonts w:hint="eastAsia"/>
                <w:color w:val="auto"/>
                <w:highlight w:val="none"/>
              </w:rPr>
              <w:t>.2 投标人在投标、合同履行过程中必须做好安全保障工作，不因项目实施而危及自身及第三方人员、财产安全。若发生任何安全事故，由中标人自行承担一切责任并赔偿损失。</w:t>
            </w:r>
          </w:p>
          <w:p w14:paraId="447E2C65">
            <w:pPr>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6</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投标人参与政府采购应提供真实有效的证明材料，应当诚信守法、公平竞争。如有以提供虚假材料（包括但不限于虚假技术参数响应、虚假制造商产品彩页、虚假业绩、虚假证书等）、隐瞒失信信息等谋取中标的行为，一经发</w:t>
            </w:r>
            <w:r>
              <w:rPr>
                <w:rFonts w:hint="eastAsia"/>
                <w:color w:val="auto"/>
                <w:highlight w:val="none"/>
              </w:rPr>
              <w:t>现，将报行政监管部门严肃查处。</w:t>
            </w:r>
          </w:p>
        </w:tc>
      </w:tr>
    </w:tbl>
    <w:p w14:paraId="50B66271">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p>
    <w:p w14:paraId="59617628">
      <w:pPr>
        <w:pStyle w:val="3"/>
        <w:adjustRightInd w:val="0"/>
        <w:snapToGrid w:val="0"/>
        <w:spacing w:before="156" w:beforeLines="50"/>
        <w:jc w:val="center"/>
        <w:rPr>
          <w:rFonts w:hint="eastAsia" w:ascii="宋体" w:hAnsi="宋体" w:eastAsia="宋体" w:cs="宋体"/>
          <w:color w:val="auto"/>
          <w:sz w:val="28"/>
          <w:szCs w:val="28"/>
          <w:highlight w:val="none"/>
        </w:rPr>
      </w:pPr>
      <w:bookmarkStart w:id="30" w:name="_Toc29913896"/>
      <w:bookmarkStart w:id="31" w:name="_Toc30999"/>
      <w:bookmarkStart w:id="32" w:name="_Toc11081"/>
      <w:bookmarkStart w:id="33" w:name="_Toc12727"/>
      <w:r>
        <w:rPr>
          <w:rFonts w:hint="eastAsia" w:ascii="宋体" w:hAnsi="宋体" w:eastAsia="宋体" w:cs="宋体"/>
          <w:color w:val="auto"/>
          <w:sz w:val="28"/>
          <w:szCs w:val="28"/>
          <w:highlight w:val="none"/>
        </w:rPr>
        <w:t>第二节 投标须知</w:t>
      </w:r>
      <w:bookmarkEnd w:id="30"/>
      <w:bookmarkEnd w:id="31"/>
      <w:bookmarkEnd w:id="32"/>
      <w:bookmarkEnd w:id="33"/>
    </w:p>
    <w:p w14:paraId="769FD762">
      <w:pPr>
        <w:pStyle w:val="4"/>
        <w:adjustRightInd w:val="0"/>
        <w:snapToGrid w:val="0"/>
        <w:spacing w:before="156" w:beforeLines="50" w:after="0" w:line="360" w:lineRule="auto"/>
        <w:jc w:val="center"/>
        <w:rPr>
          <w:rFonts w:hint="eastAsia" w:ascii="宋体" w:hAnsi="宋体" w:eastAsia="宋体" w:cs="宋体"/>
          <w:b w:val="0"/>
          <w:color w:val="auto"/>
          <w:sz w:val="28"/>
          <w:szCs w:val="28"/>
          <w:highlight w:val="none"/>
        </w:rPr>
      </w:pPr>
      <w:bookmarkStart w:id="34" w:name="_Toc13834"/>
      <w:bookmarkStart w:id="35" w:name="_Toc1332"/>
      <w:bookmarkStart w:id="36" w:name="_Toc29913897"/>
      <w:bookmarkStart w:id="37" w:name="_Toc20792"/>
      <w:r>
        <w:rPr>
          <w:rFonts w:hint="eastAsia" w:ascii="宋体" w:hAnsi="宋体" w:eastAsia="宋体" w:cs="宋体"/>
          <w:color w:val="auto"/>
          <w:sz w:val="28"/>
          <w:szCs w:val="28"/>
          <w:highlight w:val="none"/>
        </w:rPr>
        <w:t>一、总则</w:t>
      </w:r>
      <w:bookmarkEnd w:id="34"/>
      <w:bookmarkEnd w:id="35"/>
      <w:bookmarkEnd w:id="36"/>
      <w:bookmarkEnd w:id="37"/>
    </w:p>
    <w:p w14:paraId="46DAF6CA">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 适用范围</w:t>
      </w:r>
    </w:p>
    <w:p w14:paraId="423CD80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1.1本招标文件仅适用于本章第一节“投标须知前附表”（以下简称</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）中所叙述的采购项目。</w:t>
      </w:r>
    </w:p>
    <w:p w14:paraId="2E26A61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规定采购项目专门面向中小企业采购的，如投标人为非中小企业，其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23399CFE">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 定义</w:t>
      </w:r>
    </w:p>
    <w:p w14:paraId="119B12B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2.1采购项目联系人姓名和电话见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6591BD5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2.2采购人名称、地址、电话、联系人见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78F7623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2.3采购代理机构名称、地址、电话、联系人见</w:t>
      </w:r>
      <w:r>
        <w:rPr>
          <w:rFonts w:hint="eastAsia" w:ascii="宋体" w:hAnsi="宋体" w:eastAsia="宋体" w:cs="宋体"/>
          <w:b/>
          <w:color w:val="auto"/>
          <w:szCs w:val="21"/>
          <w:highlight w:val="none"/>
        </w:rPr>
        <w:t>【投标须知前附表】。</w:t>
      </w:r>
    </w:p>
    <w:p w14:paraId="2BF7ACCC">
      <w:pPr>
        <w:adjustRightInd w:val="0"/>
        <w:snapToGrid w:val="0"/>
        <w:spacing w:before="156" w:beforeLines="50"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2.4投标人系指响应招标、参加投标竞争的法人、其他组织或自然人。</w:t>
      </w:r>
    </w:p>
    <w:p w14:paraId="10A62D4F">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2.5</w:t>
      </w:r>
      <w:r>
        <w:rPr>
          <w:rFonts w:hint="eastAsia" w:ascii="宋体" w:hAnsi="宋体" w:eastAsia="宋体" w:cs="宋体"/>
          <w:color w:val="auto"/>
          <w:kern w:val="0"/>
          <w:szCs w:val="21"/>
          <w:highlight w:val="none"/>
        </w:rPr>
        <w:t>进口产品是指符合《政府采购进口产品管理办法》（财库〔2007〕119号）和《关于政府采购进口产品管理有关问题的通知》（财办库〔2008〕248号）文件规定的产品。除</w:t>
      </w:r>
      <w:r>
        <w:rPr>
          <w:rFonts w:hint="eastAsia" w:ascii="宋体" w:hAnsi="宋体" w:eastAsia="宋体" w:cs="宋体"/>
          <w:b/>
          <w:color w:val="auto"/>
          <w:szCs w:val="21"/>
          <w:highlight w:val="none"/>
        </w:rPr>
        <w:t>【投标须知前附表】</w:t>
      </w:r>
      <w:r>
        <w:rPr>
          <w:rFonts w:hint="eastAsia" w:ascii="宋体" w:hAnsi="宋体" w:eastAsia="宋体" w:cs="宋体"/>
          <w:color w:val="auto"/>
          <w:kern w:val="0"/>
          <w:szCs w:val="21"/>
          <w:highlight w:val="none"/>
        </w:rPr>
        <w:t>另有规定外，采购项目</w:t>
      </w:r>
      <w:r>
        <w:rPr>
          <w:rFonts w:hint="eastAsia" w:ascii="宋体" w:hAnsi="宋体" w:eastAsia="宋体" w:cs="宋体"/>
          <w:b/>
          <w:color w:val="auto"/>
          <w:kern w:val="0"/>
          <w:szCs w:val="21"/>
          <w:highlight w:val="none"/>
        </w:rPr>
        <w:t>拒绝进口产品参加投标</w:t>
      </w:r>
      <w:r>
        <w:rPr>
          <w:rFonts w:hint="eastAsia" w:ascii="宋体" w:hAnsi="宋体" w:eastAsia="宋体" w:cs="宋体"/>
          <w:color w:val="auto"/>
          <w:kern w:val="0"/>
          <w:szCs w:val="21"/>
          <w:highlight w:val="none"/>
        </w:rPr>
        <w:t>。本款规定同意购买进口产品的，不限制满足招标文件要求的国内产品参与投标竞争。</w:t>
      </w:r>
    </w:p>
    <w:p w14:paraId="3A97BFE1">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2.6电子招标投标：是指电子招标投标参与各方（采购人、采购代理机构、</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评标专家</w:t>
      </w:r>
      <w:r>
        <w:rPr>
          <w:rFonts w:hint="eastAsia" w:ascii="宋体" w:hAnsi="宋体" w:eastAsia="宋体" w:cs="宋体"/>
          <w:color w:val="auto"/>
          <w:kern w:val="0"/>
          <w:szCs w:val="21"/>
          <w:highlight w:val="none"/>
        </w:rPr>
        <w:t>）按照相关法律法规的规定，应用网络信息技术，使用CA数字证书（含电子签章、签名）在电子招标投标交易平台(以下简称交易平台)，进行的招标投标活动。</w:t>
      </w:r>
    </w:p>
    <w:p w14:paraId="23C89734">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 投标人的资格要求</w:t>
      </w:r>
    </w:p>
    <w:p w14:paraId="0CAF4F0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3.1投标人应当符合</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规定的投标人资格条件。</w:t>
      </w:r>
    </w:p>
    <w:p w14:paraId="633BBCB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规定接受联合体形式投标的，投标人除应符合本章第3.1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 xml:space="preserve">规定外，还应遵守以下规定： </w:t>
      </w:r>
    </w:p>
    <w:p w14:paraId="5C2748E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（l）联合体中有同类资质的供应商按照联合体分工承担相同工作的，应当按照资质等级较低的供应商确定资质等级。</w:t>
      </w:r>
    </w:p>
    <w:p w14:paraId="644199D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（2）联合体各方应按招标文件提供的格式签订联合体协议书，明确联合体牵头人和各方的权利义务、合同工作量比例；</w:t>
      </w:r>
    </w:p>
    <w:p w14:paraId="34B4E93F">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lang w:val="zh-CN"/>
        </w:rPr>
      </w:pPr>
      <w:r>
        <w:rPr>
          <w:rFonts w:hint="eastAsia" w:ascii="宋体" w:hAnsi="宋体" w:eastAsia="宋体" w:cs="宋体"/>
          <w:color w:val="auto"/>
          <w:szCs w:val="21"/>
          <w:highlight w:val="none"/>
        </w:rPr>
        <w:t>（3）联合体各方签订联合体协议书后，</w:t>
      </w:r>
      <w:r>
        <w:rPr>
          <w:rFonts w:hint="eastAsia" w:ascii="宋体" w:hAnsi="宋体" w:eastAsia="宋体" w:cs="宋体"/>
          <w:color w:val="auto"/>
          <w:kern w:val="0"/>
          <w:szCs w:val="21"/>
          <w:highlight w:val="none"/>
          <w:lang w:val="zh-CN"/>
        </w:rPr>
        <w:t>不得再单独参加或者与其他投标人组成新的联合体参加同一合同项下的采购活动。</w:t>
      </w:r>
    </w:p>
    <w:p w14:paraId="6C4951F0">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4. 投标费用 </w:t>
      </w:r>
    </w:p>
    <w:p w14:paraId="58366DB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4.1投标人应自行承担所有参与投标的相关费用，不论投标的结果如何，采购人、采购代理机构均无义务和责任承担这些费用。</w:t>
      </w:r>
    </w:p>
    <w:p w14:paraId="74429F22">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5．组织现场考察或者召开答疑会</w:t>
      </w:r>
    </w:p>
    <w:p w14:paraId="3B6C2D4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5.1采购人、采购代理机构可以在</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规定的招标文件提供期限截止后，组织已获取招标文件的潜在投标人现场考察或者召开开标前答疑会。</w:t>
      </w:r>
    </w:p>
    <w:p w14:paraId="4353023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5.2获取招标文件的潜在投标人应按</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规定参加现场考察或者答疑会；如不参加，其风险由其自行承担。</w:t>
      </w:r>
    </w:p>
    <w:p w14:paraId="795C3194">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5.3潜在投标人现场考察或者参加答疑会的费用由自己承担，现场考察期间所发生的人身伤害及财产损失由自己负责。</w:t>
      </w:r>
    </w:p>
    <w:p w14:paraId="6C9A576A">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5.4采购人、采购代理机构不对投标人据此而做出的推论、理解和结论负责。投标人一旦中标，不得以任何借口，提出额外补偿，或延长合同期限的要求。</w:t>
      </w:r>
    </w:p>
    <w:p w14:paraId="7D3E998C">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38" w:name="_Toc29913898"/>
      <w:bookmarkStart w:id="39" w:name="_Toc13566"/>
      <w:bookmarkStart w:id="40" w:name="_Toc29352"/>
      <w:bookmarkStart w:id="41" w:name="_Toc6469"/>
      <w:r>
        <w:rPr>
          <w:rFonts w:hint="eastAsia" w:ascii="宋体" w:hAnsi="宋体" w:eastAsia="宋体" w:cs="宋体"/>
          <w:color w:val="auto"/>
          <w:sz w:val="28"/>
          <w:szCs w:val="28"/>
          <w:highlight w:val="none"/>
        </w:rPr>
        <w:t>二、招标文件</w:t>
      </w:r>
      <w:bookmarkEnd w:id="38"/>
      <w:bookmarkEnd w:id="39"/>
      <w:bookmarkEnd w:id="40"/>
      <w:bookmarkEnd w:id="41"/>
    </w:p>
    <w:p w14:paraId="79AF6067">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 招标文件的构成</w:t>
      </w:r>
    </w:p>
    <w:p w14:paraId="6890BA9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 招标文件共七章，各章内容如下：</w:t>
      </w:r>
    </w:p>
    <w:p w14:paraId="0842EDC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投标邀请</w:t>
      </w:r>
    </w:p>
    <w:p w14:paraId="196C0BD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投标须知</w:t>
      </w:r>
    </w:p>
    <w:p w14:paraId="2FBA17D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资格审查</w:t>
      </w:r>
    </w:p>
    <w:p w14:paraId="5E45F15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评标方法及标准</w:t>
      </w:r>
    </w:p>
    <w:p w14:paraId="656918F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采购需求</w:t>
      </w:r>
    </w:p>
    <w:p w14:paraId="09C7597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政府采购合同</w:t>
      </w:r>
    </w:p>
    <w:p w14:paraId="05E0692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第七章 投标文件的组成</w:t>
      </w:r>
    </w:p>
    <w:p w14:paraId="25ECDE6F">
      <w:pPr>
        <w:adjustRightInd w:val="0"/>
        <w:snapToGrid w:val="0"/>
        <w:spacing w:before="156" w:beforeLines="50"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6.2采购人、采购代理机构在提交投标文件截止时间前对招标文件所作的澄清或者修改，构成招标文件的组成部分。</w:t>
      </w:r>
    </w:p>
    <w:p w14:paraId="6293B6D4">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7．偏离与实质性响应</w:t>
      </w:r>
    </w:p>
    <w:p w14:paraId="7262E760">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7.1投标人应当按照招标文件的要求编制投标文件。投标文件应当对招标文件提出的要求和条件作出明确响应。</w:t>
      </w:r>
    </w:p>
    <w:p w14:paraId="10DC0B42">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7.2偏离是指投标文件不响应或者不满足招标文件提出的要求和条件，分为实质性偏离和非实质性偏离。</w:t>
      </w:r>
    </w:p>
    <w:p w14:paraId="051301A2">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7.3除法律、法规和招标文件规定的其他投标无效情形外，招标文件中用“★”符号标明的条款为实质性要求和条件，对其中任何一条的偏离，为实质性偏离，</w:t>
      </w:r>
      <w:r>
        <w:rPr>
          <w:rFonts w:hint="eastAsia" w:ascii="宋体" w:hAnsi="宋体" w:eastAsia="宋体" w:cs="宋体"/>
          <w:b/>
          <w:color w:val="auto"/>
          <w:highlight w:val="none"/>
        </w:rPr>
        <w:t>其投标无效</w:t>
      </w:r>
      <w:r>
        <w:rPr>
          <w:rFonts w:hint="eastAsia" w:ascii="宋体" w:hAnsi="宋体" w:eastAsia="宋体" w:cs="宋体"/>
          <w:color w:val="auto"/>
          <w:highlight w:val="none"/>
        </w:rPr>
        <w:t>。</w:t>
      </w:r>
    </w:p>
    <w:p w14:paraId="12710284">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7.4投标</w:t>
      </w:r>
      <w:r>
        <w:rPr>
          <w:rFonts w:hint="eastAsia" w:ascii="宋体" w:hAnsi="宋体" w:eastAsia="宋体" w:cs="宋体"/>
          <w:color w:val="auto"/>
          <w:szCs w:val="21"/>
          <w:highlight w:val="none"/>
        </w:rPr>
        <w:t>文件偏离招标文件的非实质性要求和条件，为非实质性偏离。非实质性偏离的范围和幅度应当符合</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的规定，</w:t>
      </w:r>
      <w:r>
        <w:rPr>
          <w:rFonts w:hint="eastAsia" w:ascii="宋体" w:hAnsi="宋体" w:eastAsia="宋体" w:cs="宋体"/>
          <w:b/>
          <w:color w:val="auto"/>
          <w:szCs w:val="21"/>
          <w:highlight w:val="none"/>
        </w:rPr>
        <w:t>否</w:t>
      </w:r>
      <w:r>
        <w:rPr>
          <w:rFonts w:hint="eastAsia" w:ascii="宋体" w:hAnsi="宋体" w:eastAsia="宋体" w:cs="宋体"/>
          <w:b/>
          <w:color w:val="auto"/>
          <w:highlight w:val="none"/>
        </w:rPr>
        <w:t>则投标无效</w:t>
      </w:r>
      <w:r>
        <w:rPr>
          <w:rFonts w:hint="eastAsia" w:ascii="宋体" w:hAnsi="宋体" w:eastAsia="宋体" w:cs="宋体"/>
          <w:color w:val="auto"/>
          <w:highlight w:val="none"/>
        </w:rPr>
        <w:t>。</w:t>
      </w:r>
    </w:p>
    <w:p w14:paraId="20CDB94B">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8. 询问</w:t>
      </w:r>
    </w:p>
    <w:p w14:paraId="74F3280B">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8.1潜在投标人应仔细阅读和检查招标文件的全部内容。如有疑问，可以向采购人或者采购代理机构提出询问。</w:t>
      </w:r>
    </w:p>
    <w:p w14:paraId="633F49A6">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 招标文件的澄清或者修改</w:t>
      </w:r>
    </w:p>
    <w:p w14:paraId="3267A27A">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9.1采购人、采购代理机构对已发出的招标文件进行必要澄清或者修改的，将在</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w:t>
      </w:r>
      <w:r>
        <w:rPr>
          <w:rFonts w:hint="eastAsia" w:ascii="宋体" w:hAnsi="宋体" w:eastAsia="宋体" w:cs="宋体"/>
          <w:color w:val="auto"/>
          <w:highlight w:val="none"/>
        </w:rPr>
        <w:t>招标公告指定媒体上发布澄清或者修改公告。</w:t>
      </w:r>
    </w:p>
    <w:p w14:paraId="3A160698">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Cs w:val="21"/>
          <w:highlight w:val="none"/>
        </w:rPr>
        <w:t>9.2澄清或者修改</w:t>
      </w:r>
      <w:r>
        <w:rPr>
          <w:rFonts w:hint="eastAsia" w:ascii="宋体" w:hAnsi="宋体" w:eastAsia="宋体" w:cs="宋体"/>
          <w:color w:val="auto"/>
          <w:highlight w:val="none"/>
        </w:rPr>
        <w:t>的</w:t>
      </w:r>
      <w:r>
        <w:rPr>
          <w:rFonts w:hint="eastAsia" w:ascii="宋体" w:hAnsi="宋体" w:eastAsia="宋体" w:cs="宋体"/>
          <w:color w:val="auto"/>
          <w:kern w:val="0"/>
          <w:szCs w:val="21"/>
          <w:highlight w:val="none"/>
        </w:rPr>
        <w:t>内容可能影响投标文件编制的，采购人、采购代理机构</w:t>
      </w:r>
      <w:r>
        <w:rPr>
          <w:rFonts w:hint="eastAsia" w:ascii="宋体" w:hAnsi="宋体" w:eastAsia="宋体" w:cs="宋体"/>
          <w:color w:val="auto"/>
          <w:highlight w:val="none"/>
        </w:rPr>
        <w:t>将</w:t>
      </w:r>
      <w:r>
        <w:rPr>
          <w:rFonts w:hint="eastAsia" w:ascii="宋体" w:hAnsi="宋体" w:eastAsia="宋体" w:cs="宋体"/>
          <w:color w:val="auto"/>
          <w:kern w:val="0"/>
          <w:szCs w:val="21"/>
          <w:highlight w:val="none"/>
        </w:rPr>
        <w:t>在提交投标文件截止时间15日前，</w:t>
      </w:r>
      <w:r>
        <w:rPr>
          <w:rFonts w:hint="eastAsia" w:ascii="宋体" w:hAnsi="宋体" w:eastAsia="宋体" w:cs="宋体"/>
          <w:color w:val="auto"/>
          <w:highlight w:val="none"/>
        </w:rPr>
        <w:t>以数据电文形式通知所有获取招标文件的潜在投标人；不足15日的，将相应延长提交投标文件的截止时间。</w:t>
      </w:r>
    </w:p>
    <w:p w14:paraId="52E06EBF">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9.3招标文件的提供期限届满后，获取招标文件的潜在投标人不足3家的，可以顺延提供期限，并在指定媒体上发布修改公告。</w:t>
      </w:r>
    </w:p>
    <w:p w14:paraId="1CCBE586">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9.4通过交易平台下载招标文件的，请获取招标文件的潜在投标人及时关注</w:t>
      </w:r>
      <w:r>
        <w:rPr>
          <w:rFonts w:hint="eastAsia" w:ascii="宋体" w:hAnsi="宋体" w:eastAsia="宋体" w:cs="宋体"/>
          <w:color w:val="auto"/>
          <w:szCs w:val="21"/>
          <w:highlight w:val="none"/>
        </w:rPr>
        <w:t>招标公告指定媒体</w:t>
      </w:r>
      <w:r>
        <w:rPr>
          <w:rFonts w:hint="eastAsia" w:ascii="宋体" w:hAnsi="宋体" w:eastAsia="宋体" w:cs="宋体"/>
          <w:color w:val="auto"/>
          <w:highlight w:val="none"/>
        </w:rPr>
        <w:t>发布的澄清或者修改公告。</w:t>
      </w:r>
    </w:p>
    <w:p w14:paraId="73F007C8">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42" w:name="_Toc16010"/>
      <w:bookmarkStart w:id="43" w:name="_Toc32523"/>
      <w:bookmarkStart w:id="44" w:name="_Toc29913899"/>
      <w:bookmarkStart w:id="45" w:name="_Toc2061"/>
      <w:r>
        <w:rPr>
          <w:rFonts w:hint="eastAsia" w:ascii="宋体" w:hAnsi="宋体" w:eastAsia="宋体" w:cs="宋体"/>
          <w:color w:val="auto"/>
          <w:sz w:val="28"/>
          <w:szCs w:val="28"/>
          <w:highlight w:val="none"/>
        </w:rPr>
        <w:t>三、投标文件</w:t>
      </w:r>
      <w:bookmarkEnd w:id="42"/>
      <w:bookmarkEnd w:id="43"/>
      <w:bookmarkEnd w:id="44"/>
      <w:bookmarkEnd w:id="45"/>
    </w:p>
    <w:p w14:paraId="0200F751">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 投标语言</w:t>
      </w:r>
    </w:p>
    <w:p w14:paraId="0D4D250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10.1除专用术语外，投标人提交的投标文件及投标人与采购人、采购代理机构就有关投标的所有来往函电均使用中文。投标人可以提交其它语言的资料，但应附有中文注释，有差异时以中文为准。</w:t>
      </w:r>
    </w:p>
    <w:p w14:paraId="3FF6FACC">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 xml:space="preserve">11. </w:t>
      </w:r>
      <w:r>
        <w:rPr>
          <w:rFonts w:hint="eastAsia" w:ascii="宋体" w:hAnsi="宋体" w:eastAsia="宋体" w:cs="宋体"/>
          <w:b/>
          <w:color w:val="auto"/>
          <w:sz w:val="24"/>
          <w:highlight w:val="none"/>
        </w:rPr>
        <w:t>计量单位</w:t>
      </w:r>
    </w:p>
    <w:p w14:paraId="6C8E406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11.1所有计量均采用中华人民共和国法定计量单位。</w:t>
      </w:r>
    </w:p>
    <w:p w14:paraId="3A22A124">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 xml:space="preserve">12. </w:t>
      </w:r>
      <w:r>
        <w:rPr>
          <w:rFonts w:hint="eastAsia" w:ascii="宋体" w:hAnsi="宋体" w:eastAsia="宋体" w:cs="宋体"/>
          <w:b/>
          <w:bCs/>
          <w:color w:val="auto"/>
          <w:sz w:val="24"/>
          <w:highlight w:val="none"/>
        </w:rPr>
        <w:t>投标文件的组成</w:t>
      </w:r>
    </w:p>
    <w:p w14:paraId="5AE1562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12.1投标文件由如下内容组成：</w:t>
      </w:r>
    </w:p>
    <w:p w14:paraId="6C7796D7">
      <w:pPr>
        <w:adjustRightInd w:val="0"/>
        <w:snapToGrid w:val="0"/>
        <w:spacing w:before="156" w:beforeLines="50"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第一部分 资格证明文件</w:t>
      </w:r>
    </w:p>
    <w:p w14:paraId="6316C45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一、开标一览表</w:t>
      </w:r>
    </w:p>
    <w:p w14:paraId="7584D68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身份证明或授权委托书</w:t>
      </w:r>
    </w:p>
    <w:p w14:paraId="6D71256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、投标人提供的资格证明文件</w:t>
      </w:r>
    </w:p>
    <w:p w14:paraId="40B100F0">
      <w:pPr>
        <w:adjustRightInd w:val="0"/>
        <w:snapToGrid w:val="0"/>
        <w:spacing w:before="156" w:beforeLines="50" w:line="360" w:lineRule="auto"/>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 xml:space="preserve">第二部分 </w:t>
      </w:r>
      <w:r>
        <w:rPr>
          <w:rFonts w:hint="eastAsia" w:ascii="宋体" w:hAnsi="宋体" w:eastAsia="宋体" w:cs="宋体"/>
          <w:b/>
          <w:color w:val="auto"/>
          <w:szCs w:val="21"/>
          <w:highlight w:val="none"/>
          <w:lang w:eastAsia="zh-CN"/>
        </w:rPr>
        <w:t>商务和技术文件</w:t>
      </w:r>
    </w:p>
    <w:p w14:paraId="7925B14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、投标函</w:t>
      </w:r>
    </w:p>
    <w:p w14:paraId="56D44C5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、分项报价</w:t>
      </w:r>
    </w:p>
    <w:p w14:paraId="5D2ADAA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六</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采购需求响应</w:t>
      </w:r>
    </w:p>
    <w:p w14:paraId="0361150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七</w:t>
      </w:r>
      <w:r>
        <w:rPr>
          <w:rFonts w:hint="eastAsia" w:ascii="宋体" w:hAnsi="宋体" w:eastAsia="宋体" w:cs="宋体"/>
          <w:color w:val="auto"/>
          <w:szCs w:val="21"/>
          <w:highlight w:val="none"/>
        </w:rPr>
        <w:t>、合同条款偏离表</w:t>
      </w:r>
    </w:p>
    <w:p w14:paraId="3BB1299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八</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采购需求偏离表</w:t>
      </w:r>
    </w:p>
    <w:p w14:paraId="09C0E53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九</w:t>
      </w:r>
      <w:r>
        <w:rPr>
          <w:rFonts w:hint="eastAsia" w:ascii="宋体" w:hAnsi="宋体" w:eastAsia="宋体" w:cs="宋体"/>
          <w:color w:val="auto"/>
          <w:szCs w:val="21"/>
          <w:highlight w:val="none"/>
        </w:rPr>
        <w:t>、享受政府采购政策优惠的证明资料和清单表</w:t>
      </w:r>
    </w:p>
    <w:p w14:paraId="4FF6F70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eastAsia="zh-CN"/>
        </w:rPr>
        <w:t>投标服务（含配套货物）符合招标文件规定的证明文件</w:t>
      </w:r>
    </w:p>
    <w:p w14:paraId="4F2FFD1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rPr>
        <w:t>、投标人认为需提供的其他资料</w:t>
      </w:r>
    </w:p>
    <w:p w14:paraId="199B878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 根据《政府采购法》第四十二条的规定，投标人无论中标与否，其投标文件不予退还。</w:t>
      </w:r>
    </w:p>
    <w:p w14:paraId="00423F84">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 投标报价</w:t>
      </w:r>
    </w:p>
    <w:p w14:paraId="4B1C962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0FF9084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13.2投标人的投标报价不得超过采购预算，也不得超过最高限价(如果设定)，否则其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。采购项目预算、最高限价见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31D6A4CE">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 投标人应在分项报价明细表中对每项内容给予详细分项</w:t>
      </w:r>
      <w:r>
        <w:rPr>
          <w:rFonts w:hint="eastAsia" w:ascii="宋体" w:hAnsi="宋体" w:eastAsia="宋体" w:cs="宋体"/>
          <w:color w:val="auto"/>
          <w:highlight w:val="none"/>
        </w:rPr>
        <w:t>报价。</w:t>
      </w:r>
    </w:p>
    <w:p w14:paraId="7555003C">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投标人对采购项目内容只允许有一个投标报价，否则其</w:t>
      </w:r>
      <w:r>
        <w:rPr>
          <w:rFonts w:hint="eastAsia" w:ascii="宋体" w:hAnsi="宋体" w:eastAsia="宋体" w:cs="宋体"/>
          <w:b/>
          <w:color w:val="auto"/>
          <w:highlight w:val="none"/>
        </w:rPr>
        <w:t>投标无效</w:t>
      </w:r>
      <w:r>
        <w:rPr>
          <w:rFonts w:hint="eastAsia" w:ascii="宋体" w:hAnsi="宋体" w:eastAsia="宋体" w:cs="宋体"/>
          <w:color w:val="auto"/>
          <w:highlight w:val="none"/>
        </w:rPr>
        <w:t>。</w:t>
      </w:r>
    </w:p>
    <w:p w14:paraId="5A8E19DE">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采购人不接受投标人给予的赠品、回扣或者与采购无关的其他商品、服务。如有赠与行为，其</w:t>
      </w:r>
      <w:r>
        <w:rPr>
          <w:rFonts w:hint="eastAsia" w:ascii="宋体" w:hAnsi="宋体" w:eastAsia="宋体" w:cs="宋体"/>
          <w:b/>
          <w:color w:val="auto"/>
          <w:highlight w:val="none"/>
        </w:rPr>
        <w:t>投标无效</w:t>
      </w:r>
      <w:r>
        <w:rPr>
          <w:rFonts w:hint="eastAsia" w:ascii="宋体" w:hAnsi="宋体" w:eastAsia="宋体" w:cs="宋体"/>
          <w:color w:val="auto"/>
          <w:highlight w:val="none"/>
        </w:rPr>
        <w:t>。</w:t>
      </w:r>
    </w:p>
    <w:p w14:paraId="501FACB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highlight w:val="none"/>
        </w:rPr>
        <w:t>投标文件中标明的价格在合同执行过程中是固定不变的，不得以任何理由予以变更。任何包含价格调整要求和条件的投标，其</w:t>
      </w:r>
      <w:r>
        <w:rPr>
          <w:rFonts w:hint="eastAsia" w:ascii="宋体" w:hAnsi="宋体" w:eastAsia="宋体" w:cs="宋体"/>
          <w:b/>
          <w:color w:val="auto"/>
          <w:highlight w:val="none"/>
        </w:rPr>
        <w:t>投标无效</w:t>
      </w:r>
      <w:r>
        <w:rPr>
          <w:rFonts w:hint="eastAsia" w:ascii="宋体" w:hAnsi="宋体" w:eastAsia="宋体" w:cs="宋体"/>
          <w:color w:val="auto"/>
          <w:highlight w:val="none"/>
        </w:rPr>
        <w:t>。</w:t>
      </w:r>
    </w:p>
    <w:p w14:paraId="07BE20CD">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投标人在投标截止时间前修改“开标一览表”中的投标报价的，应同时修改投标文件“分项报价明细表”“享受政府采购政策优惠的证明资料”以及“联合体协议书”（如果影响）等相关内容。</w:t>
      </w:r>
    </w:p>
    <w:p w14:paraId="219556A7">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投标报价的其他要求见</w:t>
      </w:r>
      <w:r>
        <w:rPr>
          <w:rFonts w:hint="eastAsia" w:ascii="宋体" w:hAnsi="宋体" w:eastAsia="宋体" w:cs="宋体"/>
          <w:b/>
          <w:color w:val="auto"/>
          <w:szCs w:val="21"/>
          <w:highlight w:val="none"/>
        </w:rPr>
        <w:t>【投标须知前附表】</w:t>
      </w:r>
      <w:r>
        <w:rPr>
          <w:rFonts w:hint="eastAsia" w:ascii="宋体" w:hAnsi="宋体" w:eastAsia="宋体" w:cs="宋体"/>
          <w:color w:val="auto"/>
          <w:highlight w:val="none"/>
        </w:rPr>
        <w:t xml:space="preserve">。 </w:t>
      </w:r>
    </w:p>
    <w:p w14:paraId="39CA8FCC">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 xml:space="preserve">14. </w:t>
      </w:r>
      <w:r>
        <w:rPr>
          <w:rFonts w:hint="eastAsia" w:ascii="宋体" w:hAnsi="宋体" w:eastAsia="宋体" w:cs="宋体"/>
          <w:b/>
          <w:bCs/>
          <w:color w:val="auto"/>
          <w:sz w:val="24"/>
          <w:highlight w:val="none"/>
        </w:rPr>
        <w:t>投标人的资格证明文件</w:t>
      </w:r>
    </w:p>
    <w:p w14:paraId="04858113">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14.1</w:t>
      </w:r>
      <w:r>
        <w:rPr>
          <w:rFonts w:hint="eastAsia" w:ascii="宋体" w:hAnsi="宋体" w:eastAsia="宋体" w:cs="宋体"/>
          <w:color w:val="auto"/>
          <w:szCs w:val="21"/>
          <w:highlight w:val="none"/>
        </w:rPr>
        <w:t>除</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另有规</w:t>
      </w:r>
      <w:r>
        <w:rPr>
          <w:rFonts w:hint="eastAsia" w:ascii="宋体" w:hAnsi="宋体" w:eastAsia="宋体" w:cs="宋体"/>
          <w:color w:val="auto"/>
          <w:highlight w:val="none"/>
        </w:rPr>
        <w:t>定外，投标人应按下列规定提供资格证明文件。</w:t>
      </w:r>
    </w:p>
    <w:p w14:paraId="0F6F147D">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b/>
          <w:color w:val="auto"/>
          <w:highlight w:val="none"/>
        </w:rPr>
        <w:t>法人或者其他组织的营业执照等主体资格证明文件，自然人的身份证明</w:t>
      </w:r>
      <w:r>
        <w:rPr>
          <w:rFonts w:hint="eastAsia" w:ascii="宋体" w:hAnsi="宋体" w:eastAsia="宋体" w:cs="宋体"/>
          <w:color w:val="auto"/>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563D037E">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b/>
          <w:color w:val="auto"/>
          <w:highlight w:val="none"/>
        </w:rPr>
        <w:t>投标人资格声明(格式)</w:t>
      </w:r>
    </w:p>
    <w:p w14:paraId="6A024475">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rPr>
        <w:t>（3）</w:t>
      </w:r>
      <w:r>
        <w:rPr>
          <w:rFonts w:hint="eastAsia" w:ascii="宋体" w:hAnsi="宋体" w:eastAsia="宋体" w:cs="宋体"/>
          <w:b/>
          <w:color w:val="auto"/>
          <w:highlight w:val="none"/>
        </w:rPr>
        <w:t>符合特定资格条件证明材料复印件或者情况说明原件</w:t>
      </w:r>
      <w:r>
        <w:rPr>
          <w:rFonts w:hint="eastAsia" w:ascii="宋体" w:hAnsi="宋体" w:eastAsia="宋体" w:cs="宋体"/>
          <w:color w:val="auto"/>
          <w:highlight w:val="none"/>
        </w:rPr>
        <w:t>。</w:t>
      </w:r>
      <w:r>
        <w:rPr>
          <w:rFonts w:hint="eastAsia" w:ascii="宋体" w:hAnsi="宋体" w:eastAsia="宋体" w:cs="宋体"/>
          <w:color w:val="auto"/>
          <w:szCs w:val="21"/>
          <w:highlight w:val="none"/>
        </w:rPr>
        <w:t>具体要求见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675D7F94">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14.2投标人以联合体形式投标的，除应提交联合协议(格式)外，参加联合体的各方均应提交上款资格证明材料。</w:t>
      </w:r>
    </w:p>
    <w:p w14:paraId="687A9E6A">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14.3投标人的资格证明文件均应为有效文件并加盖投标人电子章，并按招标文件规定签署。</w:t>
      </w:r>
    </w:p>
    <w:p w14:paraId="2EE6601D">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 投标服务（含配套货物）符合招标文件规定的证明文件</w:t>
      </w:r>
    </w:p>
    <w:p w14:paraId="402A3D7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15.1投标人应当提交其拟供的合同项下服务（含配套货物）符合招标文件规定的证明文件,该证明文件作为投标文件的一部分。</w:t>
      </w:r>
    </w:p>
    <w:p w14:paraId="32AB177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15.2上述证明文件可以是文字资料、图表、数据、证书等资料，包括但不限于：</w:t>
      </w:r>
    </w:p>
    <w:p w14:paraId="561A299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（1）服务（含配套货物）主要技术指标和性能的详细说明。对有具体参数要求的指标，投标人应提供具体参数值；</w:t>
      </w:r>
    </w:p>
    <w:p w14:paraId="2B298EE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（2）配套货物的品牌型号、制造商及原产地等说明；</w:t>
      </w:r>
    </w:p>
    <w:p w14:paraId="615776E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（3）招标文件第五章“采购需求”要求的其它</w:t>
      </w:r>
      <w:r>
        <w:rPr>
          <w:rFonts w:hint="eastAsia" w:ascii="宋体" w:hAnsi="宋体" w:eastAsia="宋体" w:cs="宋体"/>
          <w:color w:val="auto"/>
          <w:szCs w:val="21"/>
          <w:highlight w:val="none"/>
          <w:lang w:eastAsia="zh-CN"/>
        </w:rPr>
        <w:t>资料</w:t>
      </w:r>
      <w:r>
        <w:rPr>
          <w:rFonts w:hint="eastAsia" w:ascii="宋体" w:hAnsi="宋体" w:eastAsia="宋体" w:cs="宋体"/>
          <w:color w:val="auto"/>
          <w:szCs w:val="21"/>
          <w:highlight w:val="none"/>
        </w:rPr>
        <w:t>。</w:t>
      </w:r>
    </w:p>
    <w:p w14:paraId="7FB3A48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15.3样品提供的规定：详见投标须知前附表。</w:t>
      </w:r>
    </w:p>
    <w:p w14:paraId="4B480080">
      <w:pPr>
        <w:numPr>
          <w:ilvl w:val="0"/>
          <w:numId w:val="4"/>
        </w:num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投标有效期</w:t>
      </w:r>
    </w:p>
    <w:p w14:paraId="768BAF1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16.1投标有效期从提交投标文件的截止之日起算。投标文件中承诺的投标有效期应当不少于</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中载明的投标有效期。投标有效期不满足要求的，其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08634FD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16.2投标有效期内投标人撤销投标文件的，投标人应承担招标文件和法律规定的责任。</w:t>
      </w:r>
    </w:p>
    <w:p w14:paraId="635B8F05">
      <w:pPr>
        <w:numPr>
          <w:ilvl w:val="0"/>
          <w:numId w:val="4"/>
        </w:numPr>
        <w:adjustRightInd w:val="0"/>
        <w:snapToGrid w:val="0"/>
        <w:spacing w:before="156" w:beforeLines="50" w:line="360" w:lineRule="auto"/>
        <w:ind w:left="0" w:leftChars="0" w:firstLine="0" w:firstLineChars="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分包</w:t>
      </w:r>
    </w:p>
    <w:p w14:paraId="19BF1109">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.1投标人拟在中标后将中</w:t>
      </w:r>
      <w:r>
        <w:rPr>
          <w:rFonts w:hint="eastAsia" w:ascii="宋体" w:hAnsi="宋体" w:eastAsia="宋体" w:cs="宋体"/>
          <w:color w:val="auto"/>
          <w:szCs w:val="21"/>
          <w:highlight w:val="none"/>
        </w:rPr>
        <w:t>标项目的非主体、非关键性工作进行分包的，应符合</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规定的分包内容、分包金</w:t>
      </w:r>
      <w:r>
        <w:rPr>
          <w:rFonts w:hint="eastAsia" w:ascii="宋体" w:hAnsi="宋体" w:eastAsia="宋体" w:cs="宋体"/>
          <w:color w:val="auto"/>
          <w:highlight w:val="none"/>
        </w:rPr>
        <w:t>额和资质要求等限制性条件，并在投标文件中载明分包承担主体，且分包承担主体不得再次分包。</w:t>
      </w:r>
    </w:p>
    <w:p w14:paraId="297EB7B7">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.2中标人应当就分包项目向采购人负责，分包承担主体就分包项目承担连带责任。</w:t>
      </w:r>
    </w:p>
    <w:p w14:paraId="2C378840">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3不符合招标文件中有关分包规定的，其</w:t>
      </w:r>
      <w:r>
        <w:rPr>
          <w:rFonts w:hint="eastAsia" w:ascii="宋体" w:hAnsi="宋体" w:eastAsia="宋体" w:cs="宋体"/>
          <w:b/>
          <w:color w:val="auto"/>
          <w:highlight w:val="none"/>
        </w:rPr>
        <w:t>投标无效</w:t>
      </w:r>
      <w:r>
        <w:rPr>
          <w:rFonts w:hint="eastAsia" w:ascii="宋体" w:hAnsi="宋体" w:eastAsia="宋体" w:cs="宋体"/>
          <w:color w:val="auto"/>
          <w:highlight w:val="none"/>
        </w:rPr>
        <w:t>。</w:t>
      </w:r>
    </w:p>
    <w:p w14:paraId="37D5E552">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 电子</w:t>
      </w:r>
      <w:r>
        <w:rPr>
          <w:rFonts w:hint="eastAsia" w:ascii="宋体" w:hAnsi="宋体" w:eastAsia="宋体" w:cs="宋体"/>
          <w:b/>
          <w:bCs/>
          <w:color w:val="auto"/>
          <w:sz w:val="24"/>
          <w:highlight w:val="none"/>
          <w:lang w:eastAsia="zh-CN"/>
        </w:rPr>
        <w:t>投标</w:t>
      </w:r>
      <w:r>
        <w:rPr>
          <w:rFonts w:hint="eastAsia" w:ascii="宋体" w:hAnsi="宋体" w:eastAsia="宋体" w:cs="宋体"/>
          <w:b/>
          <w:bCs/>
          <w:color w:val="auto"/>
          <w:sz w:val="24"/>
          <w:highlight w:val="none"/>
        </w:rPr>
        <w:t>文件的制作和签署</w:t>
      </w:r>
    </w:p>
    <w:p w14:paraId="3876941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.1投标人确认投标后，应当在</w:t>
      </w:r>
      <w:r>
        <w:rPr>
          <w:rFonts w:hint="eastAsia" w:ascii="宋体" w:hAnsi="宋体" w:eastAsia="宋体" w:cs="宋体"/>
          <w:color w:val="auto"/>
          <w:szCs w:val="21"/>
          <w:highlight w:val="none"/>
          <w:lang w:eastAsia="zh-CN"/>
        </w:rPr>
        <w:t>郴州市</w:t>
      </w:r>
      <w:r>
        <w:rPr>
          <w:rFonts w:hint="eastAsia" w:ascii="宋体" w:hAnsi="宋体" w:eastAsia="宋体" w:cs="宋体"/>
          <w:color w:val="auto"/>
          <w:szCs w:val="21"/>
          <w:highlight w:val="none"/>
        </w:rPr>
        <w:t>公共资源交易政府采购电子化平台上认可的“投标文件制作工具软件下载”制作投标文件（ 含澄清、说明文件）并进行固化、加密；</w:t>
      </w:r>
      <w:r>
        <w:rPr>
          <w:rFonts w:hint="eastAsia" w:ascii="宋体" w:hAnsi="宋体" w:eastAsia="宋体" w:cs="宋体"/>
          <w:bCs/>
          <w:color w:val="auto"/>
          <w:szCs w:val="21"/>
          <w:highlight w:val="none"/>
        </w:rPr>
        <w:t>否则将可能影响电子投标文件的上传而导致投标无效。</w:t>
      </w:r>
    </w:p>
    <w:p w14:paraId="6BC9BC4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2投标人应按照电子招标文件格式及投标工具编制资格证明文件，不得将其编制上传到商务和技术文件中。否则，由于编制上传位置失误导致无法进行资格审查，由此所产生的后果和责任由投标人自行承担。</w:t>
      </w:r>
    </w:p>
    <w:p w14:paraId="7D3394B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3 投标人应按照电子招标文件格式及投标工具编制商务、技术及综合评分表相关资料。必须按招标文件目录和节点对应位置上传或填写相应资料，否则，由于编制上传位置失误，系统将判断投标人未提交此项资料，由此造成的后果和责任由投标人自行承担。</w:t>
      </w:r>
    </w:p>
    <w:p w14:paraId="28DA9D1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4投标人应注意压缩电子文件，上传的有关扫描件的尺寸和清晰度应该能够在电脑上被阅读、识别和判断。若投标人未按要求提供证明材料或提供的是部分证明材料或提供不清晰的扫描件复印件，无法阅读、识别和判断的，由此可能导致的不予计分、废标等后果由投标人自行承担。</w:t>
      </w:r>
    </w:p>
    <w:p w14:paraId="16E97C6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.5投标人应在电子投标文件指定签章处采用</w:t>
      </w:r>
      <w:r>
        <w:rPr>
          <w:rFonts w:hint="eastAsia" w:ascii="宋体" w:hAnsi="宋体" w:eastAsia="宋体" w:cs="宋体"/>
          <w:color w:val="auto"/>
          <w:szCs w:val="21"/>
          <w:highlight w:val="none"/>
          <w:lang w:eastAsia="zh-CN"/>
        </w:rPr>
        <w:t>郴州市</w:t>
      </w:r>
      <w:r>
        <w:rPr>
          <w:rFonts w:hint="eastAsia" w:ascii="宋体" w:hAnsi="宋体" w:eastAsia="宋体" w:cs="宋体"/>
          <w:color w:val="auto"/>
          <w:szCs w:val="21"/>
          <w:highlight w:val="none"/>
        </w:rPr>
        <w:t>公共资源交易中心交易平台认可的CA数字证书（含电子印章）进行签章。</w:t>
      </w:r>
    </w:p>
    <w:p w14:paraId="7C91AC3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 xml:space="preserve">.6 </w:t>
      </w:r>
      <w:r>
        <w:rPr>
          <w:rFonts w:hint="eastAsia" w:ascii="宋体" w:hAnsi="宋体" w:eastAsia="宋体" w:cs="宋体"/>
          <w:color w:val="auto"/>
          <w:szCs w:val="21"/>
          <w:highlight w:val="none"/>
          <w:lang w:eastAsia="zh-CN"/>
        </w:rPr>
        <w:t>电子投标文件</w:t>
      </w:r>
      <w:r>
        <w:rPr>
          <w:rFonts w:hint="eastAsia" w:ascii="宋体" w:hAnsi="宋体" w:eastAsia="宋体" w:cs="宋体"/>
          <w:color w:val="auto"/>
          <w:szCs w:val="21"/>
          <w:highlight w:val="none"/>
        </w:rPr>
        <w:t>具有法律效力，若投标文件与招标文件要求不一致，其内容影响中标结果时，责任由投标人自行承担。</w:t>
      </w:r>
    </w:p>
    <w:p w14:paraId="14A9D512">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107C5FA8">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74E7B81A">
      <w:pPr>
        <w:pStyle w:val="4"/>
        <w:keepNext w:val="0"/>
        <w:keepLines w:val="0"/>
        <w:numPr>
          <w:ilvl w:val="0"/>
          <w:numId w:val="5"/>
        </w:numPr>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46" w:name="_Toc20506"/>
      <w:bookmarkStart w:id="47" w:name="_Toc13619"/>
      <w:bookmarkStart w:id="48" w:name="_Toc4485"/>
      <w:bookmarkStart w:id="49" w:name="_Toc29913900"/>
      <w:r>
        <w:rPr>
          <w:rFonts w:hint="eastAsia" w:ascii="宋体" w:hAnsi="宋体" w:eastAsia="宋体" w:cs="宋体"/>
          <w:color w:val="auto"/>
          <w:sz w:val="28"/>
          <w:szCs w:val="28"/>
          <w:highlight w:val="none"/>
        </w:rPr>
        <w:t>投标</w:t>
      </w:r>
      <w:bookmarkEnd w:id="46"/>
      <w:bookmarkEnd w:id="47"/>
      <w:bookmarkEnd w:id="48"/>
      <w:bookmarkEnd w:id="49"/>
    </w:p>
    <w:p w14:paraId="0BB79AE6">
      <w:pPr>
        <w:numPr>
          <w:ilvl w:val="255"/>
          <w:numId w:val="0"/>
        </w:numPr>
        <w:rPr>
          <w:rFonts w:hint="eastAsia" w:ascii="宋体" w:hAnsi="宋体" w:eastAsia="宋体" w:cs="宋体"/>
          <w:color w:val="auto"/>
          <w:highlight w:val="none"/>
        </w:rPr>
      </w:pPr>
      <w:bookmarkStart w:id="50" w:name="_Hlt226715444"/>
      <w:bookmarkEnd w:id="50"/>
      <w:bookmarkStart w:id="51" w:name="_Hlt193622730"/>
      <w:bookmarkEnd w:id="51"/>
    </w:p>
    <w:p w14:paraId="1DE7D825">
      <w:pPr>
        <w:adjustRightInd w:val="0"/>
        <w:snapToGrid w:val="0"/>
        <w:spacing w:before="156" w:beforeLines="50" w:line="360" w:lineRule="auto"/>
        <w:ind w:firstLine="241" w:firstLineChars="100"/>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lang w:val="en-US" w:eastAsia="zh-CN"/>
        </w:rPr>
        <w:t>19</w:t>
      </w:r>
      <w:r>
        <w:rPr>
          <w:rFonts w:hint="eastAsia" w:ascii="宋体" w:hAnsi="宋体" w:eastAsia="宋体" w:cs="宋体"/>
          <w:b/>
          <w:color w:val="auto"/>
          <w:sz w:val="24"/>
          <w:highlight w:val="none"/>
        </w:rPr>
        <w:t>.</w:t>
      </w:r>
      <w:r>
        <w:rPr>
          <w:rFonts w:hint="eastAsia" w:ascii="宋体" w:hAnsi="宋体" w:eastAsia="宋体" w:cs="宋体"/>
          <w:b/>
          <w:bCs/>
          <w:color w:val="auto"/>
          <w:sz w:val="24"/>
          <w:highlight w:val="none"/>
        </w:rPr>
        <w:t xml:space="preserve"> 电子投标文件的加密和提交</w:t>
      </w:r>
    </w:p>
    <w:p w14:paraId="384DED2C">
      <w:pPr>
        <w:spacing w:line="360" w:lineRule="exact"/>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19</w:t>
      </w:r>
      <w:r>
        <w:rPr>
          <w:rFonts w:hint="eastAsia" w:ascii="宋体" w:hAnsi="宋体" w:eastAsia="宋体" w:cs="宋体"/>
          <w:color w:val="auto"/>
          <w:szCs w:val="21"/>
          <w:highlight w:val="none"/>
        </w:rPr>
        <w:t>.1投标人应按照招标文件和交易平台的要求编制数据电文形式的投标文件并通过数字证书进行加密后，</w:t>
      </w:r>
      <w:r>
        <w:rPr>
          <w:rFonts w:hint="eastAsia" w:ascii="宋体" w:hAnsi="宋体" w:eastAsia="宋体" w:cs="宋体"/>
          <w:bCs/>
          <w:color w:val="auto"/>
          <w:szCs w:val="21"/>
          <w:highlight w:val="none"/>
        </w:rPr>
        <w:t>在招标文件【投标须知前附表】规定的开标时间前将电子投标文件上传到交易平台的对应项目。</w:t>
      </w:r>
      <w:r>
        <w:rPr>
          <w:rFonts w:hint="eastAsia" w:ascii="宋体" w:hAnsi="宋体" w:eastAsia="宋体" w:cs="宋体"/>
          <w:color w:val="auto"/>
          <w:szCs w:val="21"/>
          <w:highlight w:val="none"/>
        </w:rPr>
        <w:t>未按要求加密或逾期上传提交的投标文件，交易平台将无法接受, 采购代理机构不予受理。</w:t>
      </w:r>
    </w:p>
    <w:p w14:paraId="01FAF141">
      <w:pPr>
        <w:spacing w:line="36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19</w:t>
      </w:r>
      <w:r>
        <w:rPr>
          <w:rFonts w:hint="eastAsia" w:ascii="宋体" w:hAnsi="宋体" w:eastAsia="宋体" w:cs="宋体"/>
          <w:color w:val="auto"/>
          <w:highlight w:val="none"/>
        </w:rPr>
        <w:t>.2采购代理机构不接受投标截止时间后递交的纸质、电子、传真等所有形式的投标文件。</w:t>
      </w:r>
    </w:p>
    <w:p w14:paraId="471DCFE2">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19</w:t>
      </w:r>
      <w:r>
        <w:rPr>
          <w:rFonts w:hint="eastAsia" w:ascii="宋体" w:hAnsi="宋体" w:eastAsia="宋体" w:cs="宋体"/>
          <w:bCs/>
          <w:color w:val="auto"/>
          <w:szCs w:val="21"/>
          <w:highlight w:val="none"/>
        </w:rPr>
        <w:t>.3</w:t>
      </w:r>
      <w:r>
        <w:rPr>
          <w:rFonts w:hint="eastAsia" w:ascii="宋体" w:hAnsi="宋体" w:eastAsia="宋体" w:cs="宋体"/>
          <w:color w:val="auto"/>
          <w:highlight w:val="none"/>
        </w:rPr>
        <w:t>建议投标人于开标前一个工作日完成投标文件的制作与上传，</w:t>
      </w:r>
      <w:r>
        <w:rPr>
          <w:rFonts w:hint="eastAsia" w:ascii="宋体" w:hAnsi="宋体" w:eastAsia="宋体" w:cs="宋体"/>
          <w:bCs/>
          <w:color w:val="auto"/>
          <w:szCs w:val="21"/>
          <w:highlight w:val="none"/>
        </w:rPr>
        <w:t>系统将显示“上传成功”。如遇系统提示“上传未成功”，投标人应及时重新提交文件或与系统运维机构联系。</w:t>
      </w:r>
      <w:r>
        <w:rPr>
          <w:rFonts w:hint="eastAsia" w:ascii="宋体" w:hAnsi="宋体" w:eastAsia="宋体" w:cs="宋体"/>
          <w:color w:val="auto"/>
          <w:highlight w:val="none"/>
        </w:rPr>
        <w:t>由于投标人对电子投标操作不熟悉或自身电脑、网络等原因导致不能在投标截止时间之前上传提交投标文件的，</w:t>
      </w:r>
      <w:r>
        <w:rPr>
          <w:rFonts w:hint="eastAsia" w:ascii="宋体" w:hAnsi="宋体" w:eastAsia="宋体" w:cs="宋体"/>
          <w:bCs/>
          <w:color w:val="auto"/>
          <w:szCs w:val="21"/>
          <w:highlight w:val="none"/>
        </w:rPr>
        <w:t>由此造成的后果和责任由投标人自行承担。</w:t>
      </w:r>
    </w:p>
    <w:p w14:paraId="2A9B19C0">
      <w:pPr>
        <w:adjustRightInd w:val="0"/>
        <w:snapToGrid w:val="0"/>
        <w:spacing w:before="156" w:beforeLines="50" w:line="360" w:lineRule="auto"/>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0</w:t>
      </w:r>
      <w:r>
        <w:rPr>
          <w:rFonts w:hint="eastAsia" w:ascii="宋体" w:hAnsi="宋体" w:eastAsia="宋体" w:cs="宋体"/>
          <w:b/>
          <w:bCs/>
          <w:color w:val="auto"/>
          <w:sz w:val="24"/>
          <w:highlight w:val="none"/>
        </w:rPr>
        <w:t>.电子投标文件的修改和撤回</w:t>
      </w:r>
    </w:p>
    <w:p w14:paraId="3EDE3796">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0</w:t>
      </w:r>
      <w:r>
        <w:rPr>
          <w:rFonts w:hint="eastAsia" w:ascii="宋体" w:hAnsi="宋体" w:eastAsia="宋体" w:cs="宋体"/>
          <w:bCs/>
          <w:color w:val="auto"/>
          <w:szCs w:val="21"/>
          <w:highlight w:val="none"/>
        </w:rPr>
        <w:t>.1投标人在招标文件规定的投标截止时间前，可以撤回已上传的投标文件，也可以撤回并修改后再重新上传。</w:t>
      </w:r>
    </w:p>
    <w:p w14:paraId="0E88D6E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0</w:t>
      </w:r>
      <w:r>
        <w:rPr>
          <w:rFonts w:hint="eastAsia" w:ascii="宋体" w:hAnsi="宋体" w:eastAsia="宋体" w:cs="宋体"/>
          <w:bCs/>
          <w:color w:val="auto"/>
          <w:szCs w:val="21"/>
          <w:highlight w:val="none"/>
        </w:rPr>
        <w:t>.2采购人、采购代理机构发布了修改、澄清文件的，投标人应按照修改、澄清后的招标文件要求重新编制投标文件并上传至交易平台。</w:t>
      </w:r>
    </w:p>
    <w:p w14:paraId="43068521">
      <w:pPr>
        <w:adjustRightInd w:val="0"/>
        <w:snapToGrid w:val="0"/>
        <w:spacing w:before="156" w:beforeLines="50" w:line="360" w:lineRule="auto"/>
        <w:ind w:firstLine="482" w:firstLineChars="200"/>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 xml:space="preserve"> 串通投标行为</w:t>
      </w:r>
    </w:p>
    <w:p w14:paraId="02F45FE0">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2</w:t>
      </w:r>
      <w:r>
        <w:rPr>
          <w:rFonts w:hint="eastAsia" w:ascii="宋体" w:hAnsi="宋体" w:eastAsia="宋体" w:cs="宋体"/>
          <w:color w:val="auto"/>
          <w:spacing w:val="-6"/>
          <w:szCs w:val="21"/>
          <w:highlight w:val="none"/>
          <w:lang w:val="en-US" w:eastAsia="zh-CN"/>
        </w:rPr>
        <w:t>1</w:t>
      </w:r>
      <w:r>
        <w:rPr>
          <w:rFonts w:hint="eastAsia" w:ascii="宋体" w:hAnsi="宋体" w:eastAsia="宋体" w:cs="宋体"/>
          <w:color w:val="auto"/>
          <w:spacing w:val="-6"/>
          <w:szCs w:val="21"/>
          <w:highlight w:val="none"/>
        </w:rPr>
        <w:t>.1有下列情形之一的，属于恶意串通，对投标人依照政府采购法第七十七条第一款的规定追究法律责任：</w:t>
      </w:r>
    </w:p>
    <w:p w14:paraId="424B14BE">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（1）投标人直接或者间接从采购人或者采购代理机构处获得其他投标人的相关情况并修改其投标文件；</w:t>
      </w:r>
    </w:p>
    <w:p w14:paraId="79C336EE">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（2）投标人按照采购人或者采购代理机构的授意撤换、修改投标文件；</w:t>
      </w:r>
    </w:p>
    <w:p w14:paraId="76E6AB7D">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（3）投标人之间协商报价、技术方案等投标文件的实质性内容；</w:t>
      </w:r>
    </w:p>
    <w:p w14:paraId="235744E5">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（4）属于同一集团、协会、商会等组织成员的投标人按照该组织要求协同参加政府采购活动；</w:t>
      </w:r>
    </w:p>
    <w:p w14:paraId="7A163CF5">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（5）投标人之间事先约定由某一特定投标人中标；</w:t>
      </w:r>
    </w:p>
    <w:p w14:paraId="5FF6C5E8">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（6）投标人之间商定部分投标人放弃参加政府采购活动或者放弃中标；</w:t>
      </w:r>
    </w:p>
    <w:p w14:paraId="62751D9D">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（7）投标人与采购人或者采购代理机构之间、投标人相互之间，为谋求特定投标人中标或者排斥其他投标人的其他串通行为。</w:t>
      </w:r>
    </w:p>
    <w:p w14:paraId="7A420E0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.2有下列情形之一的，视为投标人串通投标，其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18FD88F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（1）不同投标人的投标文件由同一单位或者个人编制；</w:t>
      </w:r>
    </w:p>
    <w:p w14:paraId="3191427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（2）不同投标人委托同一单位或者个人办理投标事宜；</w:t>
      </w:r>
    </w:p>
    <w:p w14:paraId="3337168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（3）不同投标人的投标文件载明的项目管理成员或者联系人员为同一人；</w:t>
      </w:r>
    </w:p>
    <w:p w14:paraId="4CCF3F5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（4）不同投标人的投标文件异常一致或者投标报价呈规律性差异；</w:t>
      </w:r>
    </w:p>
    <w:p w14:paraId="6F3681A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（5）不同投标人的投标文件相互签章；</w:t>
      </w:r>
    </w:p>
    <w:p w14:paraId="2D341841">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不同投标人的文件制作机器码或文件创建标识码或电脑IP地址一致的；</w:t>
      </w:r>
    </w:p>
    <w:p w14:paraId="628A1AAB">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法律、行政法规或规章规定的其他串通行为。</w:t>
      </w:r>
    </w:p>
    <w:p w14:paraId="222A266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p>
    <w:p w14:paraId="2C60319F">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52" w:name="_Toc29913901"/>
      <w:bookmarkStart w:id="53" w:name="_Toc26112"/>
      <w:bookmarkStart w:id="54" w:name="_Toc30757"/>
      <w:bookmarkStart w:id="55" w:name="_Toc5746"/>
      <w:r>
        <w:rPr>
          <w:rFonts w:hint="eastAsia" w:ascii="宋体" w:hAnsi="宋体" w:eastAsia="宋体" w:cs="宋体"/>
          <w:color w:val="auto"/>
          <w:sz w:val="28"/>
          <w:szCs w:val="28"/>
          <w:highlight w:val="none"/>
        </w:rPr>
        <w:t>五、开标，资格审查和评标</w:t>
      </w:r>
      <w:bookmarkEnd w:id="52"/>
      <w:bookmarkEnd w:id="53"/>
      <w:bookmarkEnd w:id="54"/>
      <w:bookmarkEnd w:id="55"/>
    </w:p>
    <w:p w14:paraId="781DD3E0">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 开标</w:t>
      </w:r>
    </w:p>
    <w:p w14:paraId="561ED16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 xml:space="preserve">.1开标时，出现下列情形之一的，采购代理机构不予受理： </w:t>
      </w:r>
    </w:p>
    <w:p w14:paraId="38AF1F8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（1）经检查数字证书无效的电子投标文件； </w:t>
      </w:r>
    </w:p>
    <w:p w14:paraId="18524CC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（2）电子投标文件未按照招标文件的要求进行加密的； </w:t>
      </w:r>
    </w:p>
    <w:p w14:paraId="1FC7DA5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（3）电子投标文件未按招标文件要求上传至交易平台的；</w:t>
      </w:r>
    </w:p>
    <w:p w14:paraId="49436DE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（4）投标人未按照</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规定的方式及时间解密电子投标文件的；</w:t>
      </w:r>
    </w:p>
    <w:p w14:paraId="5964310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（5）其它违反法律、法规的情形。</w:t>
      </w:r>
    </w:p>
    <w:p w14:paraId="37619D9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.2采购人或者采购代理机构应按招标文件规定的时间、地点在交易平台上组织公开开标，并邀请投标人参加。</w:t>
      </w:r>
    </w:p>
    <w:p w14:paraId="77ADE2D4">
      <w:pPr>
        <w:spacing w:line="400" w:lineRule="atLeast"/>
        <w:ind w:firstLine="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.3</w:t>
      </w:r>
      <w:r>
        <w:rPr>
          <w:rFonts w:hint="eastAsia" w:ascii="宋体" w:hAnsi="宋体" w:eastAsia="宋体" w:cs="宋体"/>
          <w:color w:val="auto"/>
          <w:highlight w:val="none"/>
        </w:rPr>
        <w:t>投标人在开标时间前提前登录网上开标系统，</w:t>
      </w:r>
      <w:r>
        <w:rPr>
          <w:rFonts w:hint="eastAsia" w:ascii="宋体" w:hAnsi="宋体" w:eastAsia="宋体" w:cs="宋体"/>
          <w:color w:val="auto"/>
          <w:szCs w:val="21"/>
          <w:highlight w:val="none"/>
        </w:rPr>
        <w:t>通过网上开标系统参加开标会</w:t>
      </w:r>
      <w:r>
        <w:rPr>
          <w:rFonts w:hint="eastAsia" w:ascii="宋体" w:hAnsi="宋体" w:eastAsia="宋体" w:cs="宋体"/>
          <w:color w:val="auto"/>
          <w:highlight w:val="none"/>
        </w:rPr>
        <w:t>。</w:t>
      </w:r>
    </w:p>
    <w:p w14:paraId="2F05D5C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 xml:space="preserve">开标程序。采购代理机构在投标截止时间后，按下列程序进行开标： </w:t>
      </w:r>
    </w:p>
    <w:p w14:paraId="1D9D825D">
      <w:pPr>
        <w:spacing w:line="400" w:lineRule="atLeast"/>
        <w:ind w:firstLine="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（1）宣读。投标截止时间，采购代理机构登根据系统显示宣布报名的投标人数量和上传了投标文件的投标人数量。</w:t>
      </w:r>
    </w:p>
    <w:p w14:paraId="313A123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（2）解密。采购代理机构在系统发出解密指令。</w:t>
      </w:r>
      <w:r>
        <w:rPr>
          <w:rFonts w:hint="eastAsia" w:ascii="宋体" w:hAnsi="宋体" w:eastAsia="宋体" w:cs="宋体"/>
          <w:color w:val="auto"/>
          <w:highlight w:val="none"/>
        </w:rPr>
        <w:t>投标人根据系统发出投标文件解密指令提示后在规定时间内使用加密投标文件的CA数字证书进行投标文件解密。解密时限见第二章第一节《投标须知前附表》，投标文件在解密时限内解密成功的为有效投标人，未解密或解密失败，视为撤销其投标文件，开标继续进行。当</w:t>
      </w:r>
      <w:r>
        <w:rPr>
          <w:rFonts w:hint="eastAsia" w:ascii="宋体" w:hAnsi="宋体" w:eastAsia="宋体" w:cs="宋体"/>
          <w:color w:val="auto"/>
          <w:szCs w:val="21"/>
          <w:highlight w:val="none"/>
        </w:rPr>
        <w:t>解密成功的投标人不足3家时，开标不再继续。</w:t>
      </w:r>
    </w:p>
    <w:p w14:paraId="3950C226">
      <w:pPr>
        <w:spacing w:line="400" w:lineRule="atLeast"/>
        <w:ind w:firstLine="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（3）唱标。</w:t>
      </w:r>
      <w:r>
        <w:rPr>
          <w:rFonts w:hint="eastAsia" w:ascii="宋体" w:hAnsi="宋体" w:eastAsia="宋体" w:cs="宋体"/>
          <w:color w:val="auto"/>
          <w:highlight w:val="none"/>
        </w:rPr>
        <w:t>以投标人《开标一览表》为准，由系统在线公布投标人名单、开标关键数据情况。电子交易系统在线即时生成《开标记录表》，所有解密成功的投标人可以在线即时查看、下载。</w:t>
      </w:r>
    </w:p>
    <w:p w14:paraId="722BE1F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（4）确认。投标人</w:t>
      </w:r>
      <w:r>
        <w:rPr>
          <w:rFonts w:hint="eastAsia" w:ascii="宋体" w:hAnsi="宋体" w:cs="宋体"/>
          <w:color w:val="auto"/>
          <w:szCs w:val="21"/>
          <w:highlight w:val="none"/>
          <w:lang w:eastAsia="zh-CN"/>
        </w:rPr>
        <w:t>法定代表人（单位负责人）或授权代表人</w:t>
      </w:r>
      <w:r>
        <w:rPr>
          <w:rFonts w:hint="eastAsia" w:ascii="宋体" w:hAnsi="宋体" w:eastAsia="宋体" w:cs="宋体"/>
          <w:color w:val="auto"/>
          <w:szCs w:val="21"/>
          <w:highlight w:val="none"/>
        </w:rPr>
        <w:t>应在规定的时间内通过电子交易系统在《开标记录表》上进行确认。投标人未在规定的时间进行确认的，视同认可开标结果</w:t>
      </w:r>
      <w:r>
        <w:rPr>
          <w:rFonts w:hint="eastAsia" w:ascii="宋体" w:hAnsi="宋体" w:eastAsia="宋体" w:cs="宋体"/>
          <w:color w:val="auto"/>
          <w:szCs w:val="21"/>
          <w:highlight w:val="none"/>
          <w:lang w:eastAsia="zh-CN"/>
        </w:rPr>
        <w:t>，显示为“默认确认”</w:t>
      </w:r>
      <w:r>
        <w:rPr>
          <w:rFonts w:hint="eastAsia" w:ascii="宋体" w:hAnsi="宋体" w:eastAsia="宋体" w:cs="宋体"/>
          <w:color w:val="auto"/>
          <w:szCs w:val="21"/>
          <w:highlight w:val="none"/>
        </w:rPr>
        <w:t>。</w:t>
      </w:r>
    </w:p>
    <w:p w14:paraId="7AB4374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 投标人代表对开标过程和开标记录有疑义，以及认为采购人或者采购代理机构相关工作人员有《政府采购法实施条例》第九条第一款需要回避的情形的，应当场提出询问或者回避申请。</w:t>
      </w:r>
    </w:p>
    <w:p w14:paraId="69BE85A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2.6</w:t>
      </w:r>
      <w:r>
        <w:rPr>
          <w:rFonts w:hint="eastAsia" w:ascii="宋体" w:hAnsi="宋体" w:eastAsia="宋体" w:cs="宋体"/>
          <w:color w:val="auto"/>
          <w:szCs w:val="21"/>
          <w:highlight w:val="none"/>
        </w:rPr>
        <w:t>采购人或者采购代理机构对投标人代表当场提出的询问或者回避申请，按《政府采购法实施条例》有关规定及时处理。</w:t>
      </w:r>
    </w:p>
    <w:p w14:paraId="4B73A717">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开标时，出现下列情形之一的，视为投标人撤销其投标。</w:t>
      </w:r>
    </w:p>
    <w:p w14:paraId="33F022CD">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（1）投标人未按要求配置开标所需的软硬件设备，导致解密失败的；</w:t>
      </w:r>
    </w:p>
    <w:p w14:paraId="0CC6731F">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（2）投标人电脑故障或无法上网，导致解密失败的； </w:t>
      </w:r>
    </w:p>
    <w:p w14:paraId="33F17B2D">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（3）投标人电子CA证书发生故障、失效、错误等，导致解密失败的；</w:t>
      </w:r>
    </w:p>
    <w:p w14:paraId="226798AA">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（4）解密时间超过规定时限的；</w:t>
      </w:r>
    </w:p>
    <w:p w14:paraId="43A6FE1C">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（5）其他由于投标人自身原因导致解密失效的情形。</w:t>
      </w:r>
    </w:p>
    <w:p w14:paraId="6B4F6B20">
      <w:pPr>
        <w:spacing w:line="400" w:lineRule="exact"/>
        <w:ind w:firstLine="720"/>
        <w:rPr>
          <w:rFonts w:hint="eastAsia" w:ascii="宋体" w:hAnsi="宋体" w:eastAsia="宋体" w:cs="宋体"/>
          <w:b/>
          <w:color w:val="auto"/>
          <w:highlight w:val="none"/>
        </w:rPr>
      </w:pPr>
    </w:p>
    <w:p w14:paraId="5316FA62">
      <w:pPr>
        <w:adjustRightInd w:val="0"/>
        <w:snapToGrid w:val="0"/>
        <w:spacing w:before="156" w:beforeLines="50" w:line="360" w:lineRule="auto"/>
        <w:jc w:val="left"/>
        <w:rPr>
          <w:rFonts w:hint="eastAsia" w:ascii="宋体" w:hAnsi="宋体" w:eastAsia="宋体" w:cs="宋体"/>
          <w:b/>
          <w:color w:val="auto"/>
          <w:sz w:val="24"/>
          <w:highlight w:val="none"/>
        </w:rPr>
      </w:pPr>
      <w:r>
        <w:rPr>
          <w:rStyle w:val="47"/>
          <w:rFonts w:hint="eastAsia" w:ascii="宋体" w:hAnsi="宋体" w:eastAsia="宋体" w:cs="宋体"/>
          <w:color w:val="auto"/>
          <w:sz w:val="24"/>
          <w:highlight w:val="none"/>
        </w:rPr>
        <w:t>2</w:t>
      </w:r>
      <w:r>
        <w:rPr>
          <w:rStyle w:val="47"/>
          <w:rFonts w:hint="eastAsia" w:ascii="宋体" w:hAnsi="宋体" w:eastAsia="宋体" w:cs="宋体"/>
          <w:color w:val="auto"/>
          <w:sz w:val="24"/>
          <w:highlight w:val="none"/>
          <w:lang w:val="en-US" w:eastAsia="zh-CN"/>
        </w:rPr>
        <w:t>3</w:t>
      </w:r>
      <w:r>
        <w:rPr>
          <w:rStyle w:val="47"/>
          <w:rFonts w:hint="eastAsia" w:ascii="宋体" w:hAnsi="宋体" w:eastAsia="宋体" w:cs="宋体"/>
          <w:color w:val="auto"/>
          <w:sz w:val="24"/>
          <w:highlight w:val="none"/>
        </w:rPr>
        <w:t>.</w:t>
      </w:r>
      <w:r>
        <w:rPr>
          <w:rFonts w:hint="eastAsia" w:ascii="宋体" w:hAnsi="宋体" w:eastAsia="宋体" w:cs="宋体"/>
          <w:b/>
          <w:color w:val="auto"/>
          <w:sz w:val="24"/>
          <w:highlight w:val="none"/>
        </w:rPr>
        <w:t xml:space="preserve"> 资格审查</w:t>
      </w:r>
    </w:p>
    <w:p w14:paraId="18B68CC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.1开标结束后，采购人、采购代理机构依法按照第三章“资格审查”规定组织资格审查。</w:t>
      </w:r>
    </w:p>
    <w:p w14:paraId="6655539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.2资格审查结束后，采购人、采购代理机构应将资格审查结果告知评标委员会。资格审查不合格投标人不进入评标；经资格审查合格投标人少于3家的，不得评标。</w:t>
      </w:r>
    </w:p>
    <w:p w14:paraId="38AD04E6">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 xml:space="preserve"> 评标委员会</w:t>
      </w:r>
    </w:p>
    <w:p w14:paraId="2650920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.1评标由依法组建的评标委员会负责，评标委员会由采购人代表和</w:t>
      </w:r>
      <w:r>
        <w:rPr>
          <w:rFonts w:hint="eastAsia" w:ascii="宋体" w:hAnsi="宋体" w:eastAsia="宋体" w:cs="宋体"/>
          <w:color w:val="auto"/>
          <w:szCs w:val="21"/>
          <w:highlight w:val="none"/>
          <w:lang w:eastAsia="zh-CN"/>
        </w:rPr>
        <w:t>评标专家</w:t>
      </w:r>
      <w:r>
        <w:rPr>
          <w:rFonts w:hint="eastAsia" w:ascii="宋体" w:hAnsi="宋体" w:eastAsia="宋体" w:cs="宋体"/>
          <w:color w:val="auto"/>
          <w:szCs w:val="21"/>
          <w:highlight w:val="none"/>
        </w:rPr>
        <w:t>组成。</w:t>
      </w:r>
    </w:p>
    <w:p w14:paraId="07D30A1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.2评标委员会成员有下列情形之一的，应当回避：</w:t>
      </w:r>
    </w:p>
    <w:p w14:paraId="2DA6DDF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（1）参加采购活动前三年内,与投标人存在劳动关系,或者担任过投标人的董事、监事,或者是投标人的控股股东或实际控制人；</w:t>
      </w:r>
    </w:p>
    <w:p w14:paraId="53EF0D2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（2）与投标人的法定代表人或者负责人有夫妻、直系血亲、三代以内旁系血亲或者近姻亲关系；</w:t>
      </w:r>
    </w:p>
    <w:p w14:paraId="53A2B03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（3）与投标人有其他可能影响政府采购活动公平、公正进行的关系。</w:t>
      </w:r>
    </w:p>
    <w:p w14:paraId="3DD5FAF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.3评标委员会负责具体评标事务，并独立履行下列职责：</w:t>
      </w:r>
    </w:p>
    <w:p w14:paraId="73CF46E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（1）审查、评价投标文件是否符合招标文件的商务、技术等实质性要求；</w:t>
      </w:r>
    </w:p>
    <w:p w14:paraId="1D67FFE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（2）要求投标人对投标文件有关事项作出澄清或者说明；</w:t>
      </w:r>
    </w:p>
    <w:p w14:paraId="4373609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（3）对投标文件进行比较和评价；</w:t>
      </w:r>
    </w:p>
    <w:p w14:paraId="295EA61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（4）确定中标候选人名单，以及根据采购人委托直接确定中标人。</w:t>
      </w:r>
    </w:p>
    <w:p w14:paraId="4123F31D">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w:t>
      </w:r>
      <w:r>
        <w:rPr>
          <w:rFonts w:hint="eastAsia" w:ascii="宋体" w:hAnsi="宋体" w:eastAsia="宋体" w:cs="宋体"/>
          <w:b/>
          <w:bCs/>
          <w:color w:val="auto"/>
          <w:sz w:val="24"/>
          <w:highlight w:val="none"/>
        </w:rPr>
        <w:t xml:space="preserve"> 评标</w:t>
      </w:r>
    </w:p>
    <w:p w14:paraId="3B0BCD8C">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.1评标委员会按照</w:t>
      </w:r>
      <w:r>
        <w:rPr>
          <w:rFonts w:hint="eastAsia" w:ascii="宋体" w:hAnsi="宋体" w:eastAsia="宋体" w:cs="宋体"/>
          <w:bCs/>
          <w:color w:val="auto"/>
          <w:highlight w:val="none"/>
        </w:rPr>
        <w:t>第四章“评标方法及标准”</w:t>
      </w:r>
      <w:r>
        <w:rPr>
          <w:rFonts w:hint="eastAsia" w:ascii="宋体" w:hAnsi="宋体" w:eastAsia="宋体" w:cs="宋体"/>
          <w:color w:val="auto"/>
          <w:highlight w:val="none"/>
        </w:rPr>
        <w:t>规定的评标方法、评审因素、标准和程序以及有关法律、法规及规章对投标文件进行评审。</w:t>
      </w:r>
    </w:p>
    <w:p w14:paraId="659AF652">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56" w:name="_Toc29913902"/>
      <w:bookmarkStart w:id="57" w:name="_Toc28111"/>
      <w:bookmarkStart w:id="58" w:name="_Toc26254"/>
      <w:bookmarkStart w:id="59" w:name="_Toc1276"/>
      <w:r>
        <w:rPr>
          <w:rFonts w:hint="eastAsia" w:ascii="宋体" w:hAnsi="宋体" w:eastAsia="宋体" w:cs="宋体"/>
          <w:color w:val="auto"/>
          <w:sz w:val="28"/>
          <w:szCs w:val="28"/>
          <w:highlight w:val="none"/>
        </w:rPr>
        <w:t>六、中标信息公布</w:t>
      </w:r>
      <w:bookmarkEnd w:id="56"/>
      <w:bookmarkEnd w:id="57"/>
      <w:bookmarkEnd w:id="58"/>
      <w:bookmarkEnd w:id="59"/>
    </w:p>
    <w:p w14:paraId="3B99EAD8">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6</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bCs/>
          <w:color w:val="auto"/>
          <w:sz w:val="24"/>
          <w:highlight w:val="none"/>
        </w:rPr>
        <w:t>中标通知书与中标信息公布</w:t>
      </w:r>
    </w:p>
    <w:p w14:paraId="4E8AF96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.1采购代理机构应当在评标结束后</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个工作日内将评标报告送采购人。</w:t>
      </w:r>
    </w:p>
    <w:p w14:paraId="1019BF7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.2采购人应当自收到评标报告之日起</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个工作日内，在评标报告确定的中标候选人名单中按顺序确定中标人。中标候选人并列的，按照</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规定的方式确定中标人；招标文件未规定的，采取随机抽取的方式确定。</w:t>
      </w:r>
    </w:p>
    <w:p w14:paraId="7E9C4F9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.3采购人、采购代理机构应当自采购人确定</w:t>
      </w:r>
      <w:r>
        <w:rPr>
          <w:rFonts w:hint="eastAsia" w:ascii="宋体" w:hAnsi="宋体" w:eastAsia="宋体" w:cs="宋体"/>
          <w:color w:val="auto"/>
          <w:szCs w:val="21"/>
          <w:highlight w:val="none"/>
          <w:lang w:eastAsia="zh-CN"/>
        </w:rPr>
        <w:t>中标投标人</w:t>
      </w:r>
      <w:r>
        <w:rPr>
          <w:rFonts w:hint="eastAsia" w:ascii="宋体" w:hAnsi="宋体" w:eastAsia="宋体" w:cs="宋体"/>
          <w:color w:val="auto"/>
          <w:szCs w:val="21"/>
          <w:highlight w:val="none"/>
        </w:rPr>
        <w:t>之日起2个工作日内，发出中标通知书，并在招标公告指定媒体上公告中标结果，招标文件随中标结果同时公告，中标结果公告期限为１个工作日。</w:t>
      </w:r>
    </w:p>
    <w:p w14:paraId="37A534E7">
      <w:pPr>
        <w:numPr>
          <w:ilvl w:val="0"/>
          <w:numId w:val="6"/>
        </w:num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投标人询问及</w:t>
      </w:r>
      <w:r>
        <w:rPr>
          <w:rFonts w:hint="eastAsia" w:ascii="宋体" w:hAnsi="宋体" w:eastAsia="宋体" w:cs="宋体"/>
          <w:b/>
          <w:bCs/>
          <w:color w:val="auto"/>
          <w:sz w:val="24"/>
          <w:highlight w:val="none"/>
        </w:rPr>
        <w:t>质疑</w:t>
      </w:r>
    </w:p>
    <w:p w14:paraId="08B2BA2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.1投标人对政府采购活动事项有疑问的，可以向采购人、采购代理机构提出询问。采购人或采购代理机构将在3个工作日内作出答复。</w:t>
      </w:r>
    </w:p>
    <w:p w14:paraId="421580E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投标人认为招标文件、采购过程和中标结果使自己的权益受到损害的，可以在知道或者应知其权益受到损害之日起7个工作日内，按照《湖南省财政厅关于印发＜政府采购质疑答复和投诉处理操作规程＞的通知》(</w:t>
      </w:r>
      <w:r>
        <w:rPr>
          <w:rFonts w:hint="eastAsia" w:ascii="宋体" w:hAnsi="宋体" w:cs="宋体"/>
          <w:color w:val="auto"/>
          <w:szCs w:val="21"/>
          <w:highlight w:val="none"/>
          <w:lang w:eastAsia="zh-CN"/>
        </w:rPr>
        <w:t>湘财购〔2024〕67 号</w:t>
      </w:r>
      <w:r>
        <w:rPr>
          <w:rFonts w:hint="eastAsia" w:ascii="宋体" w:hAnsi="宋体" w:eastAsia="宋体" w:cs="宋体"/>
          <w:color w:val="auto"/>
          <w:szCs w:val="21"/>
          <w:highlight w:val="none"/>
        </w:rPr>
        <w:t>)规定，</w:t>
      </w:r>
      <w:r>
        <w:rPr>
          <w:rFonts w:hint="eastAsia" w:ascii="宋体" w:hAnsi="宋体" w:eastAsia="宋体" w:cs="宋体"/>
          <w:color w:val="auto"/>
          <w:szCs w:val="21"/>
          <w:highlight w:val="none"/>
          <w:lang w:eastAsia="zh-CN"/>
        </w:rPr>
        <w:t>在法定质疑期内以纸质书面形式一次性向采购人、采购代理机构提出针对同一采购程序环节的质疑。</w:t>
      </w:r>
    </w:p>
    <w:p w14:paraId="50917BC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eastAsia="宋体" w:cs="宋体"/>
          <w:b/>
          <w:color w:val="auto"/>
          <w:szCs w:val="21"/>
          <w:highlight w:val="none"/>
        </w:rPr>
        <w:t>【申请人须知前附表】</w:t>
      </w:r>
      <w:r>
        <w:rPr>
          <w:rFonts w:hint="eastAsia" w:ascii="宋体" w:hAnsi="宋体" w:eastAsia="宋体" w:cs="宋体"/>
          <w:color w:val="auto"/>
          <w:szCs w:val="21"/>
          <w:highlight w:val="none"/>
        </w:rPr>
        <w:t xml:space="preserve">。  </w:t>
      </w:r>
    </w:p>
    <w:p w14:paraId="2F4C7B0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.4采购人、采购代理机构按照《湖南省财政厅关于印发＜政府采购质疑答复和投诉处理操作规程＞的通知》规定进行质疑答复。</w:t>
      </w:r>
    </w:p>
    <w:p w14:paraId="5B8FDAE9">
      <w:pPr>
        <w:adjustRightInd w:val="0"/>
        <w:snapToGrid w:val="0"/>
        <w:spacing w:before="156" w:beforeLines="50" w:line="360" w:lineRule="auto"/>
        <w:ind w:firstLine="420" w:firstLineChars="200"/>
        <w:jc w:val="left"/>
        <w:rPr>
          <w:rFonts w:hint="eastAsia" w:ascii="宋体" w:hAnsi="宋体" w:eastAsia="宋体" w:cs="宋体"/>
          <w:b/>
          <w:bCs/>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32B395BB">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60" w:name="_Toc29913903"/>
      <w:bookmarkStart w:id="61" w:name="_Toc20707"/>
      <w:bookmarkStart w:id="62" w:name="_Toc1193"/>
      <w:bookmarkStart w:id="63" w:name="_Toc17703"/>
      <w:r>
        <w:rPr>
          <w:rFonts w:hint="eastAsia" w:ascii="宋体" w:hAnsi="宋体" w:eastAsia="宋体" w:cs="宋体"/>
          <w:color w:val="auto"/>
          <w:sz w:val="28"/>
          <w:szCs w:val="28"/>
          <w:highlight w:val="none"/>
        </w:rPr>
        <w:t>七、合同签订</w:t>
      </w:r>
      <w:bookmarkEnd w:id="60"/>
      <w:bookmarkEnd w:id="61"/>
      <w:bookmarkEnd w:id="62"/>
      <w:bookmarkEnd w:id="63"/>
    </w:p>
    <w:p w14:paraId="4C0759D4">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 签订合同</w:t>
      </w:r>
    </w:p>
    <w:p w14:paraId="34399D7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.1采购人应自中标通知书发出之日起</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日内，按中标通知书指定的时间、地点与中标人签订政府采购合同。所签订的合同不得对招标文件确定的事项和中标人投标文件作实质性修改。</w:t>
      </w:r>
    </w:p>
    <w:p w14:paraId="09CBE45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.2招标文件、中标人的投标文件均为签订合同的依据。</w:t>
      </w:r>
    </w:p>
    <w:p w14:paraId="3605EED8">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.3联</w:t>
      </w:r>
      <w:r>
        <w:rPr>
          <w:rFonts w:hint="eastAsia" w:ascii="宋体" w:hAnsi="宋体" w:eastAsia="宋体" w:cs="宋体"/>
          <w:color w:val="auto"/>
          <w:spacing w:val="-2"/>
          <w:kern w:val="0"/>
          <w:szCs w:val="21"/>
          <w:highlight w:val="none"/>
        </w:rPr>
        <w:t>合</w:t>
      </w:r>
      <w:r>
        <w:rPr>
          <w:rFonts w:hint="eastAsia" w:ascii="宋体" w:hAnsi="宋体" w:eastAsia="宋体" w:cs="宋体"/>
          <w:color w:val="auto"/>
          <w:kern w:val="0"/>
          <w:szCs w:val="21"/>
          <w:highlight w:val="none"/>
        </w:rPr>
        <w:t>体</w:t>
      </w:r>
      <w:r>
        <w:rPr>
          <w:rFonts w:hint="eastAsia" w:ascii="宋体" w:hAnsi="宋体" w:eastAsia="宋体" w:cs="宋体"/>
          <w:color w:val="auto"/>
          <w:spacing w:val="-2"/>
          <w:kern w:val="0"/>
          <w:szCs w:val="21"/>
          <w:highlight w:val="none"/>
        </w:rPr>
        <w:t>中</w:t>
      </w:r>
      <w:r>
        <w:rPr>
          <w:rFonts w:hint="eastAsia" w:ascii="宋体" w:hAnsi="宋体" w:eastAsia="宋体" w:cs="宋体"/>
          <w:color w:val="auto"/>
          <w:kern w:val="0"/>
          <w:szCs w:val="21"/>
          <w:highlight w:val="none"/>
        </w:rPr>
        <w:t>标的</w:t>
      </w:r>
      <w:r>
        <w:rPr>
          <w:rFonts w:hint="eastAsia" w:ascii="宋体" w:hAnsi="宋体" w:eastAsia="宋体" w:cs="宋体"/>
          <w:color w:val="auto"/>
          <w:spacing w:val="-14"/>
          <w:kern w:val="0"/>
          <w:szCs w:val="21"/>
          <w:highlight w:val="none"/>
        </w:rPr>
        <w:t>，</w:t>
      </w:r>
      <w:r>
        <w:rPr>
          <w:rFonts w:hint="eastAsia" w:ascii="宋体" w:hAnsi="宋体" w:eastAsia="宋体" w:cs="宋体"/>
          <w:color w:val="auto"/>
          <w:kern w:val="0"/>
          <w:szCs w:val="21"/>
          <w:highlight w:val="none"/>
        </w:rPr>
        <w:t>联</w:t>
      </w:r>
      <w:r>
        <w:rPr>
          <w:rFonts w:hint="eastAsia" w:ascii="宋体" w:hAnsi="宋体" w:eastAsia="宋体" w:cs="宋体"/>
          <w:color w:val="auto"/>
          <w:spacing w:val="-2"/>
          <w:kern w:val="0"/>
          <w:szCs w:val="21"/>
          <w:highlight w:val="none"/>
        </w:rPr>
        <w:t>合</w:t>
      </w:r>
      <w:r>
        <w:rPr>
          <w:rFonts w:hint="eastAsia" w:ascii="宋体" w:hAnsi="宋体" w:eastAsia="宋体" w:cs="宋体"/>
          <w:color w:val="auto"/>
          <w:kern w:val="0"/>
          <w:szCs w:val="21"/>
          <w:highlight w:val="none"/>
        </w:rPr>
        <w:t>体各</w:t>
      </w:r>
      <w:r>
        <w:rPr>
          <w:rFonts w:hint="eastAsia" w:ascii="宋体" w:hAnsi="宋体" w:eastAsia="宋体" w:cs="宋体"/>
          <w:color w:val="auto"/>
          <w:spacing w:val="-2"/>
          <w:kern w:val="0"/>
          <w:szCs w:val="21"/>
          <w:highlight w:val="none"/>
        </w:rPr>
        <w:t>方</w:t>
      </w:r>
      <w:r>
        <w:rPr>
          <w:rFonts w:hint="eastAsia" w:ascii="宋体" w:hAnsi="宋体" w:eastAsia="宋体" w:cs="宋体"/>
          <w:color w:val="auto"/>
          <w:kern w:val="0"/>
          <w:szCs w:val="21"/>
          <w:highlight w:val="none"/>
        </w:rPr>
        <w:t>应</w:t>
      </w:r>
      <w:r>
        <w:rPr>
          <w:rFonts w:hint="eastAsia" w:ascii="宋体" w:hAnsi="宋体" w:eastAsia="宋体" w:cs="宋体"/>
          <w:color w:val="auto"/>
          <w:spacing w:val="-2"/>
          <w:kern w:val="0"/>
          <w:szCs w:val="21"/>
          <w:highlight w:val="none"/>
        </w:rPr>
        <w:t>当</w:t>
      </w:r>
      <w:r>
        <w:rPr>
          <w:rFonts w:hint="eastAsia" w:ascii="宋体" w:hAnsi="宋体" w:eastAsia="宋体" w:cs="宋体"/>
          <w:color w:val="auto"/>
          <w:kern w:val="0"/>
          <w:szCs w:val="21"/>
          <w:highlight w:val="none"/>
        </w:rPr>
        <w:t>共</w:t>
      </w:r>
      <w:r>
        <w:rPr>
          <w:rFonts w:hint="eastAsia" w:ascii="宋体" w:hAnsi="宋体" w:eastAsia="宋体" w:cs="宋体"/>
          <w:color w:val="auto"/>
          <w:spacing w:val="-2"/>
          <w:kern w:val="0"/>
          <w:szCs w:val="21"/>
          <w:highlight w:val="none"/>
        </w:rPr>
        <w:t>同</w:t>
      </w:r>
      <w:r>
        <w:rPr>
          <w:rFonts w:hint="eastAsia" w:ascii="宋体" w:hAnsi="宋体" w:eastAsia="宋体" w:cs="宋体"/>
          <w:color w:val="auto"/>
          <w:kern w:val="0"/>
          <w:szCs w:val="21"/>
          <w:highlight w:val="none"/>
        </w:rPr>
        <w:t>与</w:t>
      </w:r>
      <w:r>
        <w:rPr>
          <w:rFonts w:hint="eastAsia" w:ascii="宋体" w:hAnsi="宋体" w:eastAsia="宋体" w:cs="宋体"/>
          <w:color w:val="auto"/>
          <w:spacing w:val="-2"/>
          <w:kern w:val="0"/>
          <w:szCs w:val="21"/>
          <w:highlight w:val="none"/>
        </w:rPr>
        <w:t>采购人</w:t>
      </w:r>
      <w:r>
        <w:rPr>
          <w:rFonts w:hint="eastAsia" w:ascii="宋体" w:hAnsi="宋体" w:eastAsia="宋体" w:cs="宋体"/>
          <w:color w:val="auto"/>
          <w:kern w:val="0"/>
          <w:szCs w:val="21"/>
          <w:highlight w:val="none"/>
        </w:rPr>
        <w:t>签订</w:t>
      </w:r>
      <w:r>
        <w:rPr>
          <w:rFonts w:hint="eastAsia" w:ascii="宋体" w:hAnsi="宋体" w:eastAsia="宋体" w:cs="宋体"/>
          <w:color w:val="auto"/>
          <w:spacing w:val="-2"/>
          <w:kern w:val="0"/>
          <w:szCs w:val="21"/>
          <w:highlight w:val="none"/>
        </w:rPr>
        <w:t>合</w:t>
      </w:r>
      <w:r>
        <w:rPr>
          <w:rFonts w:hint="eastAsia" w:ascii="宋体" w:hAnsi="宋体" w:eastAsia="宋体" w:cs="宋体"/>
          <w:color w:val="auto"/>
          <w:kern w:val="0"/>
          <w:szCs w:val="21"/>
          <w:highlight w:val="none"/>
        </w:rPr>
        <w:t>同</w:t>
      </w:r>
      <w:r>
        <w:rPr>
          <w:rFonts w:hint="eastAsia" w:ascii="宋体" w:hAnsi="宋体" w:eastAsia="宋体" w:cs="宋体"/>
          <w:color w:val="auto"/>
          <w:spacing w:val="-14"/>
          <w:kern w:val="0"/>
          <w:szCs w:val="21"/>
          <w:highlight w:val="none"/>
        </w:rPr>
        <w:t>，</w:t>
      </w:r>
      <w:r>
        <w:rPr>
          <w:rFonts w:hint="eastAsia" w:ascii="宋体" w:hAnsi="宋体" w:eastAsia="宋体" w:cs="宋体"/>
          <w:color w:val="auto"/>
          <w:kern w:val="0"/>
          <w:szCs w:val="21"/>
          <w:highlight w:val="none"/>
        </w:rPr>
        <w:t>就</w:t>
      </w:r>
      <w:r>
        <w:rPr>
          <w:rFonts w:hint="eastAsia" w:ascii="宋体" w:hAnsi="宋体" w:eastAsia="宋体" w:cs="宋体"/>
          <w:color w:val="auto"/>
          <w:spacing w:val="-2"/>
          <w:kern w:val="0"/>
          <w:szCs w:val="21"/>
          <w:highlight w:val="none"/>
        </w:rPr>
        <w:t>中</w:t>
      </w:r>
      <w:r>
        <w:rPr>
          <w:rFonts w:hint="eastAsia" w:ascii="宋体" w:hAnsi="宋体" w:eastAsia="宋体" w:cs="宋体"/>
          <w:color w:val="auto"/>
          <w:kern w:val="0"/>
          <w:szCs w:val="21"/>
          <w:highlight w:val="none"/>
        </w:rPr>
        <w:t>标</w:t>
      </w:r>
      <w:r>
        <w:rPr>
          <w:rFonts w:hint="eastAsia" w:ascii="宋体" w:hAnsi="宋体" w:eastAsia="宋体" w:cs="宋体"/>
          <w:color w:val="auto"/>
          <w:spacing w:val="-2"/>
          <w:kern w:val="0"/>
          <w:szCs w:val="21"/>
          <w:highlight w:val="none"/>
        </w:rPr>
        <w:t>项</w:t>
      </w:r>
      <w:r>
        <w:rPr>
          <w:rFonts w:hint="eastAsia" w:ascii="宋体" w:hAnsi="宋体" w:eastAsia="宋体" w:cs="宋体"/>
          <w:color w:val="auto"/>
          <w:kern w:val="0"/>
          <w:szCs w:val="21"/>
          <w:highlight w:val="none"/>
        </w:rPr>
        <w:t>目</w:t>
      </w:r>
      <w:r>
        <w:rPr>
          <w:rFonts w:hint="eastAsia" w:ascii="宋体" w:hAnsi="宋体" w:eastAsia="宋体" w:cs="宋体"/>
          <w:color w:val="auto"/>
          <w:spacing w:val="-2"/>
          <w:kern w:val="0"/>
          <w:szCs w:val="21"/>
          <w:highlight w:val="none"/>
        </w:rPr>
        <w:t>向</w:t>
      </w:r>
      <w:r>
        <w:rPr>
          <w:rFonts w:hint="eastAsia" w:ascii="宋体" w:hAnsi="宋体" w:eastAsia="宋体" w:cs="宋体"/>
          <w:color w:val="auto"/>
          <w:kern w:val="0"/>
          <w:szCs w:val="21"/>
          <w:highlight w:val="none"/>
        </w:rPr>
        <w:t>采购人承</w:t>
      </w:r>
      <w:r>
        <w:rPr>
          <w:rFonts w:hint="eastAsia" w:ascii="宋体" w:hAnsi="宋体" w:eastAsia="宋体" w:cs="宋体"/>
          <w:color w:val="auto"/>
          <w:spacing w:val="-2"/>
          <w:kern w:val="0"/>
          <w:szCs w:val="21"/>
          <w:highlight w:val="none"/>
        </w:rPr>
        <w:t>担</w:t>
      </w:r>
      <w:r>
        <w:rPr>
          <w:rFonts w:hint="eastAsia" w:ascii="宋体" w:hAnsi="宋体" w:eastAsia="宋体" w:cs="宋体"/>
          <w:color w:val="auto"/>
          <w:kern w:val="0"/>
          <w:szCs w:val="21"/>
          <w:highlight w:val="none"/>
        </w:rPr>
        <w:t>连带责</w:t>
      </w:r>
      <w:r>
        <w:rPr>
          <w:rFonts w:hint="eastAsia" w:ascii="宋体" w:hAnsi="宋体" w:eastAsia="宋体" w:cs="宋体"/>
          <w:color w:val="auto"/>
          <w:spacing w:val="-2"/>
          <w:kern w:val="0"/>
          <w:szCs w:val="21"/>
          <w:highlight w:val="none"/>
        </w:rPr>
        <w:t>任</w:t>
      </w:r>
      <w:r>
        <w:rPr>
          <w:rFonts w:hint="eastAsia" w:ascii="宋体" w:hAnsi="宋体" w:eastAsia="宋体" w:cs="宋体"/>
          <w:color w:val="auto"/>
          <w:kern w:val="0"/>
          <w:szCs w:val="21"/>
          <w:highlight w:val="none"/>
        </w:rPr>
        <w:t>。</w:t>
      </w:r>
    </w:p>
    <w:p w14:paraId="7E79DC8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.4中标合同将在招标公告指定媒体上公告，但合同中涉及国家秘密、商业秘密的内容除外。</w:t>
      </w:r>
    </w:p>
    <w:p w14:paraId="0F1B7F60">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.5中标人</w:t>
      </w:r>
      <w:r>
        <w:rPr>
          <w:rFonts w:hint="eastAsia" w:ascii="宋体" w:hAnsi="宋体" w:eastAsia="宋体" w:cs="宋体"/>
          <w:bCs/>
          <w:color w:val="auto"/>
          <w:szCs w:val="21"/>
          <w:highlight w:val="none"/>
        </w:rPr>
        <w:t>应当按照合同约定依法履行合同义务。政府采购合同的履行、违约责任和解决争议的方法等适用《</w:t>
      </w:r>
      <w:r>
        <w:rPr>
          <w:rFonts w:hint="eastAsia" w:ascii="宋体" w:hAnsi="宋体" w:eastAsia="宋体" w:cs="宋体"/>
          <w:bCs/>
          <w:color w:val="auto"/>
          <w:szCs w:val="21"/>
          <w:highlight w:val="none"/>
          <w:lang w:eastAsia="zh-CN"/>
        </w:rPr>
        <w:t>中华人民共和国民法典</w:t>
      </w:r>
      <w:r>
        <w:rPr>
          <w:rFonts w:hint="eastAsia" w:ascii="宋体" w:hAnsi="宋体" w:eastAsia="宋体" w:cs="宋体"/>
          <w:bCs/>
          <w:color w:val="auto"/>
          <w:szCs w:val="21"/>
          <w:highlight w:val="none"/>
        </w:rPr>
        <w:t>》。</w:t>
      </w:r>
    </w:p>
    <w:p w14:paraId="375C9445">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29</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 xml:space="preserve"> 政府采购合同履行中</w:t>
      </w:r>
      <w:r>
        <w:rPr>
          <w:rFonts w:hint="eastAsia" w:ascii="宋体" w:hAnsi="宋体" w:eastAsia="宋体" w:cs="宋体"/>
          <w:b/>
          <w:bCs/>
          <w:color w:val="auto"/>
          <w:sz w:val="24"/>
          <w:highlight w:val="none"/>
        </w:rPr>
        <w:t>数量的变更</w:t>
      </w:r>
    </w:p>
    <w:p w14:paraId="3E0425E2">
      <w:pPr>
        <w:adjustRightInd w:val="0"/>
        <w:snapToGrid w:val="0"/>
        <w:spacing w:before="156" w:beforeLines="50" w:line="360" w:lineRule="auto"/>
        <w:ind w:firstLine="42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highlight w:val="none"/>
          <w:lang w:val="en-US" w:eastAsia="zh-CN"/>
        </w:rPr>
        <w:t>29</w:t>
      </w:r>
      <w:r>
        <w:rPr>
          <w:rFonts w:hint="eastAsia" w:ascii="宋体" w:hAnsi="宋体" w:eastAsia="宋体" w:cs="宋体"/>
          <w:color w:val="auto"/>
          <w:highlight w:val="none"/>
        </w:rPr>
        <w:t>.1政府采购合同履行中，采购人需追加与合同标的相同的服务或包含的配套服务的，在不改变合同其他条款的前提下，可以与中标人协商签订补充合同，但所有补充合同的采购金额不得超过原合同采购金额的百分之十。</w:t>
      </w:r>
    </w:p>
    <w:p w14:paraId="5BCC0233">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64" w:name="_Toc14155"/>
      <w:bookmarkStart w:id="65" w:name="_Toc13234"/>
      <w:bookmarkStart w:id="66" w:name="_Toc29913904"/>
      <w:bookmarkStart w:id="67" w:name="_Toc8027"/>
      <w:r>
        <w:rPr>
          <w:rFonts w:hint="eastAsia" w:ascii="宋体" w:hAnsi="宋体" w:eastAsia="宋体" w:cs="宋体"/>
          <w:color w:val="auto"/>
          <w:sz w:val="28"/>
          <w:szCs w:val="28"/>
          <w:highlight w:val="none"/>
        </w:rPr>
        <w:t>八、政府采购政策</w:t>
      </w:r>
      <w:bookmarkEnd w:id="64"/>
      <w:bookmarkEnd w:id="65"/>
      <w:bookmarkEnd w:id="66"/>
      <w:bookmarkEnd w:id="67"/>
    </w:p>
    <w:p w14:paraId="66652864">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0</w:t>
      </w:r>
      <w:r>
        <w:rPr>
          <w:rFonts w:hint="eastAsia" w:ascii="宋体" w:hAnsi="宋体" w:eastAsia="宋体" w:cs="宋体"/>
          <w:b/>
          <w:bCs/>
          <w:color w:val="auto"/>
          <w:sz w:val="24"/>
          <w:highlight w:val="none"/>
        </w:rPr>
        <w:t>.</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rPr>
        <w:t>政府采购政策</w:t>
      </w:r>
    </w:p>
    <w:p w14:paraId="4A988999">
      <w:pPr>
        <w:adjustRightInd w:val="0"/>
        <w:snapToGrid w:val="0"/>
        <w:spacing w:before="156" w:beforeLines="50"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.1优先采购：</w:t>
      </w:r>
    </w:p>
    <w:p w14:paraId="7C38C50D">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zCs w:val="21"/>
          <w:highlight w:val="none"/>
        </w:rPr>
        <w:t>纳入财政部会同国务院有关部门发布的节能产品、环境标志产品政府采购品目清单，实施政府优先采购的，评审时按招标文件第四章第一节有关规定给予一定比例的价格折扣或者加分；</w:t>
      </w:r>
      <w:r>
        <w:rPr>
          <w:rFonts w:hint="eastAsia" w:ascii="宋体" w:hAnsi="宋体" w:eastAsia="宋体" w:cs="宋体"/>
          <w:color w:val="auto"/>
          <w:highlight w:val="none"/>
        </w:rPr>
        <w:t xml:space="preserve"> </w:t>
      </w:r>
    </w:p>
    <w:p w14:paraId="18BBC21C">
      <w:pPr>
        <w:adjustRightInd w:val="0"/>
        <w:snapToGrid w:val="0"/>
        <w:spacing w:before="156" w:beforeLines="50"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.2强制采购：</w:t>
      </w:r>
    </w:p>
    <w:p w14:paraId="149CA19D">
      <w:pPr>
        <w:adjustRightInd w:val="0"/>
        <w:snapToGrid w:val="0"/>
        <w:spacing w:before="156" w:beforeLines="50"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（1）纳入财政部会同国务院有关部门发布的节能产品政府采购品目清单，实施政府强制采购的（品目清单标注</w:t>
      </w:r>
      <w:r>
        <w:rPr>
          <w:rFonts w:hint="eastAsia" w:ascii="宋体" w:hAnsi="宋体" w:eastAsia="宋体" w:cs="宋体"/>
          <w:color w:val="auto"/>
          <w:kern w:val="0"/>
          <w:highlight w:val="none"/>
        </w:rPr>
        <w:sym w:font="Wingdings" w:char="F0AB"/>
      </w:r>
      <w:r>
        <w:rPr>
          <w:rFonts w:hint="eastAsia" w:ascii="宋体" w:hAnsi="宋体" w:eastAsia="宋体" w:cs="宋体"/>
          <w:color w:val="auto"/>
          <w:kern w:val="0"/>
          <w:highlight w:val="none"/>
        </w:rPr>
        <w:t>符号产品），投标人投标产品应当取得国家确定的认证机构出具的、处于有效期之内的节能产品认证证书，否则其</w:t>
      </w:r>
      <w:r>
        <w:rPr>
          <w:rFonts w:hint="eastAsia" w:ascii="宋体" w:hAnsi="宋体" w:eastAsia="宋体" w:cs="宋体"/>
          <w:b/>
          <w:color w:val="auto"/>
          <w:kern w:val="0"/>
          <w:szCs w:val="21"/>
          <w:highlight w:val="none"/>
        </w:rPr>
        <w:t>投标无效</w:t>
      </w:r>
      <w:r>
        <w:rPr>
          <w:rFonts w:hint="eastAsia" w:ascii="宋体" w:hAnsi="宋体" w:eastAsia="宋体" w:cs="宋体"/>
          <w:color w:val="auto"/>
          <w:kern w:val="0"/>
          <w:highlight w:val="none"/>
        </w:rPr>
        <w:t>。</w:t>
      </w:r>
    </w:p>
    <w:p w14:paraId="7C82CF78">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.3价格评审优惠：</w:t>
      </w:r>
    </w:p>
    <w:p w14:paraId="2D26021B">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4391A680">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2F2E7E7A">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3AE580DF">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（3）符合中小企业划分标准的个体工商户视同中小企业，享受评审中价格扣除等促进中小企业发展的政府采购政策。</w:t>
      </w:r>
    </w:p>
    <w:p w14:paraId="170A5110">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（4）监狱企业、残疾人福利性单位视同小型、微型企业，享受评审中价格扣除等促进中小企业发展的政府采购政策。</w:t>
      </w:r>
    </w:p>
    <w:p w14:paraId="4CC0F35D">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（5）与大企业的负责人为同一人，或者与大企业存在直接控股、管理关系的中小企业，不享受评审中价格扣除等促进中小企业发展的政府采购政策。 </w:t>
      </w:r>
    </w:p>
    <w:p w14:paraId="6597C530">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（6）本章第1.2款规定采购项目或者采购包属于“预留采购份额”的，预留部分不再享受本款“价格评审优惠”的小微企业扶持政策。</w:t>
      </w:r>
    </w:p>
    <w:p w14:paraId="6B864680">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.4政府采购政策交叉与叠加</w:t>
      </w:r>
    </w:p>
    <w:p w14:paraId="20763D56">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（1）投标产品取得两个及以上优先采购产品认证的，评审时只有其中一项产品能享受优先采购优惠（投标人自行选择，并在投标文件中并填报相关信息及数据）</w:t>
      </w:r>
    </w:p>
    <w:p w14:paraId="644C8FEE">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（2）投标人同时符合小型、微型企业及监狱企业、残疾人福利性单位要求的，评审时只有一种类型享受价格评审优惠政策；</w:t>
      </w:r>
    </w:p>
    <w:p w14:paraId="2D09E833">
      <w:pPr>
        <w:shd w:val="clear" w:color="auto" w:fill="auto"/>
        <w:adjustRightInd w:val="0"/>
        <w:snapToGrid w:val="0"/>
        <w:spacing w:before="156" w:beforeLines="50" w:line="360" w:lineRule="auto"/>
        <w:ind w:firstLine="420" w:firstLineChars="200"/>
        <w:jc w:val="left"/>
        <w:rPr>
          <w:rFonts w:hint="eastAsia" w:ascii="宋体" w:hAnsi="宋体"/>
          <w:color w:val="auto"/>
          <w:highlight w:val="none"/>
          <w:shd w:val="clear" w:color="auto" w:fill="auto"/>
        </w:rPr>
      </w:pPr>
      <w:r>
        <w:rPr>
          <w:rFonts w:hint="eastAsia" w:ascii="宋体" w:hAnsi="宋体"/>
          <w:color w:val="auto"/>
          <w:highlight w:val="none"/>
          <w:shd w:val="clear" w:color="auto" w:fill="auto"/>
        </w:rPr>
        <w:t>（3）小型和微型企业的价格评审优惠可以与同时属于“节能产品”、“环境标志产品”中的一项优先采购优惠累加计算。</w:t>
      </w:r>
    </w:p>
    <w:p w14:paraId="21F185F1">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.5在货物采购项目中，供应商提供的货物既有中小企业制造货物，也有大型企业制造货物的，不享受政府采购中小企业扶持政策。</w:t>
      </w:r>
    </w:p>
    <w:p w14:paraId="2EAAA9C3">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.6投标人符合本章第3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.1款、第3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.2款、第3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.3款规定的，应提供相关证明资料。</w:t>
      </w:r>
    </w:p>
    <w:p w14:paraId="00D396DA">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（1）节能产品、环境标志产品：提供国家确定的认证机构出具的、处于有效期之内的节能产品、环境标志产品认证证书。</w:t>
      </w:r>
    </w:p>
    <w:p w14:paraId="66EA9DA6">
      <w:pPr>
        <w:shd w:val="clear" w:color="auto" w:fill="auto"/>
        <w:adjustRightInd w:val="0"/>
        <w:snapToGrid w:val="0"/>
        <w:spacing w:before="156" w:beforeLines="50" w:line="360" w:lineRule="auto"/>
        <w:ind w:firstLine="420" w:firstLineChars="200"/>
        <w:jc w:val="left"/>
        <w:rPr>
          <w:rFonts w:ascii="宋体" w:hAnsi="宋体"/>
          <w:color w:val="auto"/>
          <w:szCs w:val="21"/>
          <w:highlight w:val="none"/>
          <w:shd w:val="clear" w:color="auto" w:fill="auto"/>
        </w:rPr>
      </w:pPr>
      <w:r>
        <w:rPr>
          <w:rFonts w:hint="eastAsia" w:ascii="宋体" w:hAnsi="宋体"/>
          <w:color w:val="auto"/>
          <w:highlight w:val="none"/>
          <w:shd w:val="clear" w:color="auto" w:fill="auto"/>
        </w:rPr>
        <w:t>（2）中小企业：货物类采购项目，按《关于印发＜政府采购促进中小企业发展办法＞的通知》(财库[2020]46号)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r>
        <w:rPr>
          <w:rFonts w:hint="eastAsia" w:ascii="宋体" w:hAnsi="宋体"/>
          <w:color w:val="auto"/>
          <w:szCs w:val="21"/>
          <w:highlight w:val="none"/>
          <w:shd w:val="clear" w:color="auto" w:fill="auto"/>
        </w:rPr>
        <w:t>。</w:t>
      </w:r>
    </w:p>
    <w:p w14:paraId="6D2DB2C1">
      <w:pPr>
        <w:pStyle w:val="58"/>
        <w:shd w:val="clear" w:color="auto" w:fill="auto"/>
        <w:spacing w:line="360" w:lineRule="auto"/>
        <w:rPr>
          <w:rFonts w:ascii="宋体" w:hAnsi="宋体"/>
          <w:color w:val="auto"/>
          <w:szCs w:val="24"/>
          <w:highlight w:val="none"/>
          <w:shd w:val="clear" w:color="auto" w:fill="auto"/>
        </w:rPr>
      </w:pPr>
      <w:r>
        <w:rPr>
          <w:rFonts w:hint="eastAsia" w:ascii="宋体" w:hAnsi="宋体"/>
          <w:color w:val="auto"/>
          <w:szCs w:val="24"/>
          <w:highlight w:val="none"/>
          <w:shd w:val="clear" w:color="auto" w:fill="auto"/>
        </w:rPr>
        <w:t>（3）监狱企业：按《关于政府采购支持监狱企业发展有关问题的通知》(财库〔2014〕68号)文件规定提供证明文件。</w:t>
      </w:r>
    </w:p>
    <w:p w14:paraId="69D4C285">
      <w:pPr>
        <w:pStyle w:val="58"/>
        <w:shd w:val="clear" w:color="auto" w:fill="auto"/>
        <w:spacing w:line="360" w:lineRule="auto"/>
        <w:rPr>
          <w:rFonts w:ascii="宋体" w:hAnsi="宋体"/>
          <w:color w:val="auto"/>
          <w:szCs w:val="24"/>
          <w:highlight w:val="none"/>
          <w:shd w:val="clear" w:color="auto" w:fill="auto"/>
        </w:rPr>
      </w:pPr>
      <w:r>
        <w:rPr>
          <w:rFonts w:hint="eastAsia" w:ascii="宋体" w:hAnsi="宋体"/>
          <w:color w:val="auto"/>
          <w:szCs w:val="24"/>
          <w:highlight w:val="none"/>
          <w:shd w:val="clear" w:color="auto" w:fill="auto"/>
        </w:rPr>
        <w:t>（4）残疾人福利性单位：按《关于促进残疾人就业政府采购政策的通知》(财库〔2017〕141号)文件规定提供《残疾人福利性单位声明函》（格式）。</w:t>
      </w:r>
    </w:p>
    <w:p w14:paraId="124C992E">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.7执行中小企业预留采购份额政策的规定：</w:t>
      </w:r>
    </w:p>
    <w:p w14:paraId="6D005803">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（1）预留份额的采购项目或者采购包，应明确该项目或相关采购包专门面向中小企业采购，并作为供应商资格条件。</w:t>
      </w:r>
    </w:p>
    <w:p w14:paraId="4DEDF898">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（2）要求以联合体形式参加或者合同分包的，应明确联合协议或者分包意向协议中中小企业合同金额应当达到的比例，并作为供应商资格条件。</w:t>
      </w:r>
    </w:p>
    <w:p w14:paraId="4F27BAC8">
      <w:pPr>
        <w:shd w:val="clear" w:color="auto" w:fill="auto"/>
        <w:adjustRightInd w:val="0"/>
        <w:snapToGrid w:val="0"/>
        <w:spacing w:before="156" w:beforeLines="50" w:line="360" w:lineRule="auto"/>
        <w:ind w:firstLine="420" w:firstLineChars="200"/>
        <w:jc w:val="left"/>
        <w:rPr>
          <w:rFonts w:ascii="宋体" w:hAnsi="宋体"/>
          <w:color w:val="auto"/>
          <w:highlight w:val="none"/>
          <w:shd w:val="clear" w:color="auto" w:fill="auto"/>
        </w:rPr>
      </w:pPr>
      <w:r>
        <w:rPr>
          <w:rFonts w:hint="eastAsia" w:ascii="宋体" w:hAnsi="宋体"/>
          <w:color w:val="auto"/>
          <w:highlight w:val="none"/>
          <w:shd w:val="clear" w:color="auto" w:fill="auto"/>
        </w:rPr>
        <w:t>（3）组成联合体或者接受分包合同的中小企业与联合体内其他企业(成员)、分包企业(投标人)之间不得存在直接控股、管理关系。</w:t>
      </w:r>
    </w:p>
    <w:p w14:paraId="56974346">
      <w:pPr>
        <w:shd w:val="clear" w:color="auto" w:fill="auto"/>
        <w:adjustRightInd w:val="0"/>
        <w:snapToGrid w:val="0"/>
        <w:spacing w:before="156" w:beforeLines="50" w:line="360" w:lineRule="auto"/>
        <w:ind w:firstLine="420" w:firstLineChars="200"/>
        <w:jc w:val="left"/>
        <w:rPr>
          <w:rFonts w:hint="eastAsia" w:ascii="宋体" w:hAnsi="宋体"/>
          <w:color w:val="auto"/>
          <w:highlight w:val="none"/>
          <w:shd w:val="clear" w:color="auto" w:fill="auto"/>
        </w:rPr>
      </w:pPr>
      <w:r>
        <w:rPr>
          <w:rFonts w:hint="eastAsia" w:ascii="宋体" w:hAnsi="宋体"/>
          <w:color w:val="auto"/>
          <w:highlight w:val="none"/>
          <w:shd w:val="clear" w:color="auto" w:fill="auto"/>
        </w:rPr>
        <w:t>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.8采购进口产品</w:t>
      </w:r>
    </w:p>
    <w:p w14:paraId="1A70A868">
      <w:pPr>
        <w:shd w:val="clear" w:color="auto" w:fill="auto"/>
        <w:adjustRightInd w:val="0"/>
        <w:snapToGrid w:val="0"/>
        <w:spacing w:before="156" w:beforeLines="50" w:line="360" w:lineRule="auto"/>
        <w:ind w:firstLine="420" w:firstLineChars="200"/>
        <w:jc w:val="left"/>
        <w:rPr>
          <w:rFonts w:hint="eastAsia" w:ascii="宋体" w:hAnsi="宋体"/>
          <w:color w:val="auto"/>
          <w:highlight w:val="none"/>
          <w:shd w:val="clear" w:color="auto" w:fill="auto"/>
        </w:rPr>
      </w:pPr>
      <w:r>
        <w:rPr>
          <w:rFonts w:hint="eastAsia" w:ascii="宋体" w:hAnsi="宋体" w:cs="宋体"/>
          <w:color w:val="auto"/>
          <w:kern w:val="0"/>
          <w:szCs w:val="21"/>
          <w:highlight w:val="none"/>
          <w:shd w:val="clear" w:color="auto" w:fill="auto"/>
        </w:rPr>
        <w:t>进口产品是指符合《政府采购进口产品管理办法》（财库〔2007〕119号）和《关于政府采购进口产品管理有关问题的通知》（财办库〔2008〕248号）文件规定的产品。除</w:t>
      </w:r>
      <w:r>
        <w:rPr>
          <w:rFonts w:hint="eastAsia" w:ascii="宋体" w:hAnsi="宋体"/>
          <w:b/>
          <w:color w:val="auto"/>
          <w:szCs w:val="21"/>
          <w:highlight w:val="none"/>
          <w:shd w:val="clear" w:color="auto" w:fill="auto"/>
        </w:rPr>
        <w:t>【投标须知前附表】</w:t>
      </w:r>
      <w:r>
        <w:rPr>
          <w:rFonts w:hint="eastAsia" w:ascii="宋体" w:hAnsi="宋体" w:cs="宋体"/>
          <w:color w:val="auto"/>
          <w:kern w:val="0"/>
          <w:szCs w:val="21"/>
          <w:highlight w:val="none"/>
          <w:shd w:val="clear" w:color="auto" w:fill="auto"/>
        </w:rPr>
        <w:t>另有规定外，采购项目</w:t>
      </w:r>
      <w:r>
        <w:rPr>
          <w:rFonts w:hint="eastAsia" w:ascii="宋体" w:hAnsi="宋体" w:cs="宋体"/>
          <w:b/>
          <w:color w:val="auto"/>
          <w:kern w:val="0"/>
          <w:szCs w:val="21"/>
          <w:highlight w:val="none"/>
          <w:shd w:val="clear" w:color="auto" w:fill="auto"/>
        </w:rPr>
        <w:t>拒绝进口产品参加投标</w:t>
      </w:r>
      <w:r>
        <w:rPr>
          <w:rFonts w:hint="eastAsia" w:ascii="宋体" w:hAnsi="宋体" w:cs="宋体"/>
          <w:color w:val="auto"/>
          <w:kern w:val="0"/>
          <w:szCs w:val="21"/>
          <w:highlight w:val="none"/>
          <w:shd w:val="clear" w:color="auto" w:fill="auto"/>
        </w:rPr>
        <w:t>。本款规定同意购买进口产品的，不限制满足招标文件要求的国内产品参与投标竞争。</w:t>
      </w:r>
    </w:p>
    <w:p w14:paraId="7D2B240E">
      <w:pPr>
        <w:shd w:val="clear" w:color="auto" w:fill="auto"/>
        <w:adjustRightInd w:val="0"/>
        <w:snapToGrid w:val="0"/>
        <w:spacing w:before="156" w:beforeLines="50" w:line="360" w:lineRule="auto"/>
        <w:ind w:firstLine="420" w:firstLineChars="200"/>
        <w:jc w:val="left"/>
        <w:rPr>
          <w:rFonts w:hint="eastAsia" w:ascii="宋体" w:hAnsi="宋体"/>
          <w:color w:val="auto"/>
          <w:highlight w:val="none"/>
          <w:shd w:val="clear" w:color="auto" w:fill="auto"/>
        </w:rPr>
      </w:pPr>
      <w:r>
        <w:rPr>
          <w:rFonts w:hint="eastAsia" w:ascii="宋体" w:hAnsi="宋体"/>
          <w:color w:val="auto"/>
          <w:highlight w:val="none"/>
          <w:shd w:val="clear" w:color="auto" w:fill="auto"/>
        </w:rPr>
        <w:t>3</w:t>
      </w:r>
      <w:r>
        <w:rPr>
          <w:rFonts w:hint="eastAsia" w:ascii="宋体" w:hAnsi="宋体"/>
          <w:color w:val="auto"/>
          <w:highlight w:val="none"/>
          <w:shd w:val="clear" w:color="auto" w:fill="auto"/>
          <w:lang w:val="en-US" w:eastAsia="zh-CN"/>
        </w:rPr>
        <w:t>0</w:t>
      </w:r>
      <w:r>
        <w:rPr>
          <w:rFonts w:hint="eastAsia" w:ascii="宋体" w:hAnsi="宋体"/>
          <w:color w:val="auto"/>
          <w:highlight w:val="none"/>
          <w:shd w:val="clear" w:color="auto" w:fill="auto"/>
        </w:rPr>
        <w:t>.9投标人有融资、担保需求的，可登陆中国湖南政府采购网查询相关银行、担保机构业务。</w:t>
      </w:r>
    </w:p>
    <w:p w14:paraId="63297317">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68" w:name="_Toc29504"/>
      <w:bookmarkStart w:id="69" w:name="_Toc21705"/>
      <w:bookmarkStart w:id="70" w:name="_Toc4249"/>
      <w:bookmarkStart w:id="71" w:name="_Toc29913905"/>
      <w:r>
        <w:rPr>
          <w:rFonts w:hint="eastAsia" w:ascii="宋体" w:hAnsi="宋体" w:eastAsia="宋体" w:cs="宋体"/>
          <w:color w:val="auto"/>
          <w:sz w:val="28"/>
          <w:szCs w:val="28"/>
          <w:highlight w:val="none"/>
        </w:rPr>
        <w:t>九、其他规定</w:t>
      </w:r>
      <w:bookmarkEnd w:id="68"/>
      <w:bookmarkEnd w:id="69"/>
      <w:bookmarkEnd w:id="70"/>
      <w:bookmarkEnd w:id="71"/>
    </w:p>
    <w:p w14:paraId="287B8EC6">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rPr>
        <w:t>招标不足三家处理</w:t>
      </w:r>
    </w:p>
    <w:p w14:paraId="569AD62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.1公开招标数额标准以上的采购项目，投标截止后投标人不足3家或者通过资格审查或符合性审查的投标人不足3家的，除采购任务取消情形外，按照以下方式处理：</w:t>
      </w:r>
    </w:p>
    <w:p w14:paraId="71B10D9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（1）招标文件存在不合理条款或者招标程序不符合规定的，采购人、采购代理机构改正后依法重新招标；</w:t>
      </w:r>
    </w:p>
    <w:p w14:paraId="1DE0C4E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（2）招标文件没有不合理条款、招标程序符合规定，需要采用其他采购方式采购的，采购人应当依法报财政部门批准。</w:t>
      </w:r>
    </w:p>
    <w:p w14:paraId="33B299D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.2属上款第（2）项情形的，评标委员会应出具招标文件没有不合理条款的论证意见。</w:t>
      </w:r>
    </w:p>
    <w:p w14:paraId="45C54D97">
      <w:pPr>
        <w:adjustRightInd w:val="0"/>
        <w:snapToGrid w:val="0"/>
        <w:spacing w:before="156" w:beforeLines="50" w:line="360" w:lineRule="auto"/>
        <w:jc w:val="left"/>
        <w:rPr>
          <w:rFonts w:hint="eastAsia" w:ascii="宋体" w:hAnsi="宋体" w:eastAsia="宋体" w:cs="宋体"/>
          <w:b/>
          <w:color w:val="auto"/>
          <w:sz w:val="24"/>
          <w:highlight w:val="none"/>
          <w:lang w:eastAsia="zh-CN"/>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 xml:space="preserve"> </w:t>
      </w:r>
      <w:r>
        <w:rPr>
          <w:rFonts w:hint="eastAsia" w:ascii="宋体" w:hAnsi="宋体" w:eastAsia="宋体" w:cs="宋体"/>
          <w:b/>
          <w:color w:val="auto"/>
          <w:sz w:val="24"/>
          <w:highlight w:val="none"/>
          <w:lang w:eastAsia="zh-CN"/>
        </w:rPr>
        <w:t>采购代理服务费</w:t>
      </w:r>
    </w:p>
    <w:p w14:paraId="0C9149E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采购代理服务费</w:t>
      </w:r>
      <w:r>
        <w:rPr>
          <w:rFonts w:hint="eastAsia" w:ascii="宋体" w:hAnsi="宋体" w:eastAsia="宋体" w:cs="宋体"/>
          <w:color w:val="auto"/>
          <w:szCs w:val="21"/>
          <w:highlight w:val="none"/>
        </w:rPr>
        <w:t>由采购人支付。</w:t>
      </w:r>
    </w:p>
    <w:p w14:paraId="4DDEAF1D">
      <w:pPr>
        <w:adjustRightInd w:val="0"/>
        <w:snapToGrid w:val="0"/>
        <w:spacing w:before="156" w:beforeLines="50" w:line="360" w:lineRule="auto"/>
        <w:ind w:firstLine="0" w:firstLineChars="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 需要补充的其他内容</w:t>
      </w:r>
    </w:p>
    <w:p w14:paraId="0978A5A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.1招标文件需要补充的其他内容见【投标须知前附表】。</w:t>
      </w:r>
    </w:p>
    <w:p w14:paraId="30A8EC38">
      <w:pPr>
        <w:adjustRightInd w:val="0"/>
        <w:snapToGrid w:val="0"/>
        <w:spacing w:before="156" w:beforeLines="50" w:line="360" w:lineRule="auto"/>
        <w:ind w:firstLine="0"/>
        <w:jc w:val="left"/>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rPr>
        <w:t>.电子招投标的应急措施</w:t>
      </w:r>
    </w:p>
    <w:p w14:paraId="5B67B6F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.1电子开标、评标如出现下列情形，导致系统短时间内无法恢复正常运行，影响到招投标</w:t>
      </w:r>
      <w:r>
        <w:rPr>
          <w:rFonts w:hint="eastAsia" w:ascii="宋体" w:hAnsi="宋体" w:eastAsia="宋体" w:cs="宋体"/>
          <w:bCs/>
          <w:color w:val="auto"/>
          <w:szCs w:val="21"/>
          <w:highlight w:val="none"/>
        </w:rPr>
        <w:t>活动无法继续开展</w:t>
      </w:r>
      <w:r>
        <w:rPr>
          <w:rFonts w:hint="eastAsia" w:ascii="宋体" w:hAnsi="宋体" w:eastAsia="宋体" w:cs="宋体"/>
          <w:color w:val="auto"/>
          <w:szCs w:val="21"/>
          <w:highlight w:val="none"/>
        </w:rPr>
        <w:t xml:space="preserve">时，按交易中心应急预案措施执行： </w:t>
      </w:r>
    </w:p>
    <w:p w14:paraId="58F9191B">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（1）系统服务器发生故障，无法访问或无法使用系统； </w:t>
      </w:r>
    </w:p>
    <w:p w14:paraId="0D916081">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（2）系统的软件或数据库出现错误，不能进行正常操作； </w:t>
      </w:r>
    </w:p>
    <w:p w14:paraId="3AB38EB4">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（3）系统发现有安全漏洞，有潜在的泄密危险； </w:t>
      </w:r>
    </w:p>
    <w:p w14:paraId="111DB9FE">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（4）病毒发作或受到外来病毒的攻击；</w:t>
      </w:r>
    </w:p>
    <w:p w14:paraId="30688D68">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（5）网络故障，无法访问或无法使用系统；</w:t>
      </w:r>
    </w:p>
    <w:p w14:paraId="28250FCC">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（6）电力中断等其他特殊情况。</w:t>
      </w:r>
    </w:p>
    <w:p w14:paraId="706DED70">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.2出现上述情况之一时，经交易中心相关部门确认：</w:t>
      </w:r>
      <w:r>
        <w:rPr>
          <w:rFonts w:hint="eastAsia" w:ascii="宋体" w:hAnsi="宋体" w:eastAsia="宋体" w:cs="宋体"/>
          <w:bCs/>
          <w:color w:val="auto"/>
          <w:szCs w:val="21"/>
          <w:highlight w:val="none"/>
        </w:rPr>
        <w:t>采购人或采购代理机构可选择采取如下措施，投标人不得对此持有异议。</w:t>
      </w:r>
    </w:p>
    <w:p w14:paraId="784C7007">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（1）酌情延长投标文件文件解密时间，采取远程解密等，以保障招投标活动的继续实施；</w:t>
      </w:r>
    </w:p>
    <w:p w14:paraId="6698C7D3">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（2）项目作延期开标处理，待系统恢复后再进行开标活动；</w:t>
      </w:r>
    </w:p>
    <w:p w14:paraId="7060AD4C">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（3）对已在评标的项目，评标委员会酌情延期进行评审，待系统恢复后再进行评审工作。</w:t>
      </w:r>
    </w:p>
    <w:p w14:paraId="791F3C82">
      <w:pPr>
        <w:pStyle w:val="23"/>
        <w:adjustRightInd w:val="0"/>
        <w:snapToGrid w:val="0"/>
        <w:spacing w:line="360" w:lineRule="auto"/>
        <w:ind w:firstLine="0"/>
        <w:jc w:val="center"/>
        <w:outlineLvl w:val="0"/>
        <w:rPr>
          <w:rFonts w:hint="eastAsia" w:ascii="宋体" w:hAnsi="宋体" w:eastAsia="宋体" w:cs="宋体"/>
          <w:color w:val="auto"/>
          <w:sz w:val="32"/>
          <w:szCs w:val="32"/>
          <w:highlight w:val="none"/>
        </w:rPr>
      </w:pPr>
      <w:r>
        <w:rPr>
          <w:rFonts w:hint="eastAsia" w:ascii="宋体" w:hAnsi="宋体" w:eastAsia="宋体" w:cs="宋体"/>
          <w:color w:val="auto"/>
          <w:highlight w:val="none"/>
        </w:rPr>
        <w:br w:type="page"/>
      </w:r>
      <w:bookmarkStart w:id="72" w:name="_Toc29913906"/>
      <w:bookmarkStart w:id="73" w:name="_Toc8014"/>
      <w:bookmarkStart w:id="74" w:name="_Toc19262"/>
      <w:r>
        <w:rPr>
          <w:rFonts w:hint="eastAsia" w:ascii="宋体" w:hAnsi="宋体" w:eastAsia="宋体" w:cs="宋体"/>
          <w:b/>
          <w:color w:val="auto"/>
          <w:sz w:val="32"/>
          <w:szCs w:val="32"/>
          <w:highlight w:val="none"/>
        </w:rPr>
        <w:t>第三章 资格审查</w:t>
      </w:r>
      <w:bookmarkEnd w:id="72"/>
      <w:bookmarkEnd w:id="73"/>
      <w:bookmarkEnd w:id="74"/>
    </w:p>
    <w:p w14:paraId="680B8D0E">
      <w:pPr>
        <w:pStyle w:val="4"/>
        <w:adjustRightInd w:val="0"/>
        <w:snapToGrid w:val="0"/>
        <w:spacing w:before="156" w:beforeLines="50" w:after="0" w:line="360" w:lineRule="auto"/>
        <w:rPr>
          <w:rFonts w:hint="eastAsia" w:ascii="宋体" w:hAnsi="宋体" w:eastAsia="宋体" w:cs="宋体"/>
          <w:color w:val="auto"/>
          <w:sz w:val="24"/>
          <w:szCs w:val="24"/>
          <w:highlight w:val="none"/>
        </w:rPr>
      </w:pPr>
      <w:bookmarkStart w:id="75" w:name="_Toc6313"/>
      <w:bookmarkStart w:id="76" w:name="_Toc15106"/>
      <w:bookmarkStart w:id="77" w:name="_Toc6307"/>
      <w:bookmarkStart w:id="78" w:name="_Toc29913907"/>
      <w:r>
        <w:rPr>
          <w:rFonts w:hint="eastAsia" w:ascii="宋体" w:hAnsi="宋体" w:eastAsia="宋体" w:cs="宋体"/>
          <w:color w:val="auto"/>
          <w:sz w:val="24"/>
          <w:szCs w:val="24"/>
          <w:highlight w:val="none"/>
        </w:rPr>
        <w:t>1．资格审查主体</w:t>
      </w:r>
      <w:bookmarkEnd w:id="75"/>
      <w:bookmarkEnd w:id="76"/>
      <w:bookmarkEnd w:id="77"/>
      <w:bookmarkEnd w:id="78"/>
    </w:p>
    <w:p w14:paraId="2742EDD6">
      <w:pPr>
        <w:adjustRightInd w:val="0"/>
        <w:snapToGrid w:val="0"/>
        <w:spacing w:before="156" w:beforeLines="50" w:line="360" w:lineRule="auto"/>
        <w:ind w:firstLine="417" w:firstLineChars="199"/>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1.1资格审查主体：采购人、采购代理机构负责资格审查。</w:t>
      </w:r>
    </w:p>
    <w:p w14:paraId="08F21829">
      <w:pPr>
        <w:pStyle w:val="4"/>
        <w:adjustRightInd w:val="0"/>
        <w:snapToGrid w:val="0"/>
        <w:spacing w:before="156" w:beforeLines="50" w:after="0" w:line="360" w:lineRule="auto"/>
        <w:rPr>
          <w:rFonts w:hint="eastAsia" w:ascii="宋体" w:hAnsi="宋体" w:eastAsia="宋体" w:cs="宋体"/>
          <w:color w:val="auto"/>
          <w:sz w:val="24"/>
          <w:szCs w:val="24"/>
          <w:highlight w:val="none"/>
        </w:rPr>
      </w:pPr>
      <w:bookmarkStart w:id="79" w:name="_Toc15161"/>
      <w:bookmarkStart w:id="80" w:name="_Toc29312"/>
      <w:bookmarkStart w:id="81" w:name="_Toc29913908"/>
      <w:bookmarkStart w:id="82" w:name="_Toc6810"/>
      <w:r>
        <w:rPr>
          <w:rFonts w:hint="eastAsia" w:ascii="宋体" w:hAnsi="宋体" w:eastAsia="宋体" w:cs="宋体"/>
          <w:color w:val="auto"/>
          <w:sz w:val="24"/>
          <w:szCs w:val="24"/>
          <w:highlight w:val="none"/>
        </w:rPr>
        <w:t>2．资格审查</w:t>
      </w:r>
      <w:bookmarkEnd w:id="79"/>
      <w:bookmarkEnd w:id="80"/>
      <w:bookmarkEnd w:id="81"/>
      <w:bookmarkEnd w:id="82"/>
    </w:p>
    <w:p w14:paraId="0A75FFC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2.1资格审查依据法律法规和招标文件的规定，对投标文件中的资格证明文件、投标报价等进行审查，以确定投标供应商是否具备投标资格。</w:t>
      </w:r>
    </w:p>
    <w:p w14:paraId="48272AF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2.2在资格审查时，投标人存在下列情况之一的，资格审查不合格，其投标无效：</w:t>
      </w:r>
    </w:p>
    <w:p w14:paraId="46BF70C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（1）不具备招标文件中规定的资格要求的，或提交的资格证明文件不符合招标文件要求的；</w:t>
      </w:r>
    </w:p>
    <w:p w14:paraId="284DF44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（2）联合体投标未提交联合体协议书，或未提交联合体各方资格证明文件的；</w:t>
      </w:r>
    </w:p>
    <w:p w14:paraId="3BB51E4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（3）投标文件的资格证明文件未按照招标文件要求进行电子签名、盖章的；</w:t>
      </w:r>
    </w:p>
    <w:p w14:paraId="5F65812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）投标报价超过招标文件中规定的预算金额或者最高限价的；</w:t>
      </w:r>
    </w:p>
    <w:p w14:paraId="19DBF4A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）法律、法规和招标文件规定的其他投标无效情形的。</w:t>
      </w:r>
    </w:p>
    <w:p w14:paraId="4BA5F38D">
      <w:pPr>
        <w:adjustRightInd w:val="0"/>
        <w:snapToGrid w:val="0"/>
        <w:spacing w:before="156" w:beforeLines="50" w:line="360" w:lineRule="auto"/>
        <w:ind w:firstLine="420" w:firstLineChars="200"/>
        <w:jc w:val="left"/>
        <w:rPr>
          <w:rFonts w:hint="eastAsia" w:ascii="宋体" w:hAnsi="宋体" w:eastAsia="宋体" w:cs="宋体"/>
          <w:b/>
          <w:color w:val="auto"/>
          <w:sz w:val="32"/>
          <w:szCs w:val="32"/>
          <w:highlight w:val="none"/>
        </w:rPr>
      </w:pPr>
      <w:r>
        <w:rPr>
          <w:rFonts w:hint="eastAsia" w:ascii="宋体" w:hAnsi="宋体" w:eastAsia="宋体" w:cs="宋体"/>
          <w:color w:val="auto"/>
          <w:highlight w:val="none"/>
        </w:rPr>
        <w:t>2.3信用记录。开标结束后</w:t>
      </w:r>
      <w:r>
        <w:rPr>
          <w:rFonts w:hint="eastAsia" w:ascii="宋体" w:hAnsi="宋体" w:eastAsia="宋体" w:cs="宋体"/>
          <w:color w:val="auto"/>
          <w:szCs w:val="21"/>
          <w:highlight w:val="none"/>
        </w:rPr>
        <w:t>资格审查时，采购人、采购代理机构将对投标人信用记录进行甄别。</w:t>
      </w:r>
    </w:p>
    <w:p w14:paraId="5A47475A">
      <w:pPr>
        <w:adjustRightInd w:val="0"/>
        <w:snapToGrid w:val="0"/>
        <w:spacing w:before="156" w:beforeLines="50" w:line="360" w:lineRule="auto"/>
        <w:ind w:firstLine="422" w:firstLineChars="200"/>
        <w:jc w:val="left"/>
        <w:rPr>
          <w:rFonts w:ascii="宋体" w:hAnsi="宋体"/>
          <w:color w:val="auto"/>
          <w:szCs w:val="21"/>
          <w:highlight w:val="none"/>
        </w:rPr>
      </w:pPr>
      <w:r>
        <w:rPr>
          <w:rFonts w:hint="eastAsia" w:ascii="宋体" w:hAnsi="宋体"/>
          <w:b/>
          <w:bCs/>
          <w:color w:val="auto"/>
          <w:szCs w:val="21"/>
          <w:highlight w:val="none"/>
        </w:rPr>
        <w:t>（1）信用信息查询的查询渠道：</w:t>
      </w:r>
      <w:r>
        <w:rPr>
          <w:rFonts w:hint="eastAsia" w:ascii="宋体" w:hAnsi="宋体"/>
          <w:color w:val="auto"/>
          <w:szCs w:val="21"/>
          <w:highlight w:val="none"/>
        </w:rPr>
        <w:t>信用中国网（www.creditchina.gov.cn）、信用湖南(https:y/creditfgwhunan.gov.en)、信用郴州(http:/xycz.czs.gov.cn/ )、中国政府采购网(www.ccgp.gov.cn )、湖南省政府采购网(htp://www.ccgp-hunan.gov.cn/)；</w:t>
      </w:r>
    </w:p>
    <w:p w14:paraId="0CE9C15C">
      <w:pPr>
        <w:adjustRightInd w:val="0"/>
        <w:snapToGrid w:val="0"/>
        <w:spacing w:before="156" w:beforeLines="50" w:line="360" w:lineRule="auto"/>
        <w:ind w:firstLine="422" w:firstLineChars="200"/>
        <w:jc w:val="left"/>
        <w:rPr>
          <w:rFonts w:ascii="宋体" w:hAnsi="宋体"/>
          <w:color w:val="auto"/>
          <w:szCs w:val="21"/>
          <w:highlight w:val="none"/>
        </w:rPr>
      </w:pPr>
      <w:r>
        <w:rPr>
          <w:rFonts w:hint="eastAsia" w:ascii="宋体" w:hAnsi="宋体"/>
          <w:b/>
          <w:bCs/>
          <w:color w:val="auto"/>
          <w:szCs w:val="21"/>
          <w:highlight w:val="none"/>
        </w:rPr>
        <w:t>（2）不良信用记录是指：投标人在</w:t>
      </w:r>
      <w:r>
        <w:rPr>
          <w:rFonts w:hint="eastAsia" w:ascii="宋体" w:hAnsi="宋体"/>
          <w:color w:val="auto"/>
          <w:szCs w:val="21"/>
          <w:highlight w:val="none"/>
        </w:rPr>
        <w:t>“信用中国”、“信用湖南”、“信用郴州”网站被列入失信被执行人和重大税收违法案件当事人名单，或在“中国政府采购网”、"湖南省政府采购网”网站被列人政府采购严重违法失信行为记录名单。</w:t>
      </w:r>
      <w:r>
        <w:rPr>
          <w:rFonts w:hint="eastAsia" w:ascii="宋体" w:hAnsi="宋体"/>
          <w:b/>
          <w:bCs/>
          <w:color w:val="auto"/>
          <w:szCs w:val="21"/>
          <w:highlight w:val="none"/>
        </w:rPr>
        <w:t>投标人有上述不良信用记</w:t>
      </w:r>
      <w:r>
        <w:rPr>
          <w:rFonts w:hint="eastAsia" w:ascii="宋体" w:hAnsi="宋体"/>
          <w:b/>
          <w:bCs/>
          <w:color w:val="auto"/>
          <w:szCs w:val="21"/>
          <w:highlight w:val="none"/>
          <w:lang w:val="en-US" w:eastAsia="zh-CN"/>
        </w:rPr>
        <w:t>录投标无效，其中，列人政府采购严重违法失信行为记录名单的，按处罚结果执行。</w:t>
      </w:r>
    </w:p>
    <w:p w14:paraId="28AE217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（3）联合体形式投标的，联合体成员存在不良信用记录的，视同联合体存在不良信用记录。</w:t>
      </w:r>
    </w:p>
    <w:p w14:paraId="080CCD8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（4）信用信息查询记录和证据留存具体方式：</w:t>
      </w:r>
      <w:r>
        <w:rPr>
          <w:rFonts w:hint="eastAsia" w:ascii="宋体" w:hAnsi="宋体" w:eastAsia="宋体" w:cs="宋体"/>
          <w:color w:val="auto"/>
          <w:sz w:val="22"/>
          <w:szCs w:val="22"/>
          <w:highlight w:val="none"/>
        </w:rPr>
        <w:t>由投</w:t>
      </w:r>
      <w:r>
        <w:rPr>
          <w:rFonts w:hint="eastAsia" w:ascii="宋体" w:hAnsi="宋体" w:eastAsia="宋体" w:cs="宋体"/>
          <w:color w:val="auto"/>
          <w:sz w:val="21"/>
          <w:szCs w:val="21"/>
          <w:highlight w:val="none"/>
        </w:rPr>
        <w:t>标人</w:t>
      </w:r>
      <w:r>
        <w:rPr>
          <w:rFonts w:hint="eastAsia" w:ascii="宋体" w:hAnsi="宋体" w:eastAsia="宋体" w:cs="宋体"/>
          <w:bCs/>
          <w:color w:val="auto"/>
          <w:sz w:val="21"/>
          <w:szCs w:val="21"/>
          <w:highlight w:val="none"/>
        </w:rPr>
        <w:t>在本项目招标</w:t>
      </w:r>
      <w:r>
        <w:rPr>
          <w:rFonts w:hint="eastAsia" w:ascii="宋体" w:hAnsi="宋体" w:eastAsia="宋体" w:cs="宋体"/>
          <w:bCs/>
          <w:color w:val="auto"/>
          <w:sz w:val="21"/>
          <w:szCs w:val="21"/>
          <w:highlight w:val="none"/>
          <w:lang w:eastAsia="zh-CN"/>
        </w:rPr>
        <w:t>公告发布时间之后</w:t>
      </w:r>
      <w:r>
        <w:rPr>
          <w:rFonts w:hint="eastAsia" w:ascii="宋体" w:hAnsi="宋体" w:eastAsia="宋体" w:cs="宋体"/>
          <w:bCs/>
          <w:color w:val="auto"/>
          <w:sz w:val="21"/>
          <w:szCs w:val="21"/>
          <w:highlight w:val="none"/>
        </w:rPr>
        <w:t>且</w:t>
      </w:r>
      <w:r>
        <w:rPr>
          <w:rFonts w:hint="eastAsia" w:ascii="宋体" w:hAnsi="宋体" w:eastAsia="宋体" w:cs="宋体"/>
          <w:color w:val="auto"/>
          <w:sz w:val="21"/>
          <w:szCs w:val="21"/>
          <w:highlight w:val="none"/>
        </w:rPr>
        <w:t>在投标截止时间前自行在指定网站查询并提供查询结果截</w:t>
      </w:r>
      <w:r>
        <w:rPr>
          <w:rFonts w:hint="eastAsia" w:ascii="宋体" w:hAnsi="宋体" w:eastAsia="宋体" w:cs="宋体"/>
          <w:color w:val="auto"/>
          <w:sz w:val="22"/>
          <w:szCs w:val="22"/>
          <w:highlight w:val="none"/>
        </w:rPr>
        <w:t>图资料。开标时间之后，本章指定网站信息发生的任何变更均不再作为资格审查依据。</w:t>
      </w:r>
    </w:p>
    <w:p w14:paraId="098BC5B2">
      <w:pPr>
        <w:pStyle w:val="4"/>
        <w:adjustRightInd w:val="0"/>
        <w:snapToGrid w:val="0"/>
        <w:spacing w:before="156" w:beforeLines="50" w:after="0" w:line="360" w:lineRule="auto"/>
        <w:rPr>
          <w:rFonts w:hint="eastAsia" w:ascii="宋体" w:hAnsi="宋体" w:eastAsia="宋体" w:cs="宋体"/>
          <w:color w:val="auto"/>
          <w:sz w:val="24"/>
          <w:szCs w:val="24"/>
          <w:highlight w:val="none"/>
        </w:rPr>
      </w:pPr>
      <w:bookmarkStart w:id="83" w:name="_Toc22283"/>
      <w:bookmarkStart w:id="84" w:name="_Toc27363"/>
      <w:bookmarkStart w:id="85" w:name="_Toc30489"/>
      <w:bookmarkStart w:id="86" w:name="_Toc29913909"/>
      <w:r>
        <w:rPr>
          <w:rFonts w:hint="eastAsia" w:ascii="宋体" w:hAnsi="宋体" w:eastAsia="宋体" w:cs="宋体"/>
          <w:color w:val="auto"/>
          <w:sz w:val="24"/>
          <w:szCs w:val="24"/>
          <w:highlight w:val="none"/>
        </w:rPr>
        <w:t>3．资格审查结果</w:t>
      </w:r>
      <w:bookmarkEnd w:id="83"/>
      <w:bookmarkEnd w:id="84"/>
      <w:bookmarkEnd w:id="85"/>
      <w:bookmarkEnd w:id="86"/>
    </w:p>
    <w:p w14:paraId="0706566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3.1未通过资格审查的投标人，采购人、采购代理机构应当告知其未通过的原因。</w:t>
      </w:r>
    </w:p>
    <w:p w14:paraId="7E94ED2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3.2资格审查结束后，采购人、采购代理机构应将资格审查结果告知评标委员会。</w:t>
      </w:r>
    </w:p>
    <w:p w14:paraId="18F8A4F8">
      <w:pPr>
        <w:adjustRightInd w:val="0"/>
        <w:snapToGrid w:val="0"/>
        <w:spacing w:before="156" w:beforeLines="50" w:line="360" w:lineRule="auto"/>
        <w:ind w:firstLine="420" w:firstLineChars="200"/>
        <w:jc w:val="left"/>
        <w:rPr>
          <w:rFonts w:hint="eastAsia" w:ascii="宋体" w:hAnsi="宋体" w:eastAsia="宋体" w:cs="宋体"/>
          <w:b/>
          <w:bCs/>
          <w:color w:val="auto"/>
          <w:sz w:val="32"/>
          <w:highlight w:val="none"/>
        </w:rPr>
      </w:pPr>
      <w:r>
        <w:rPr>
          <w:rFonts w:hint="eastAsia" w:ascii="宋体" w:hAnsi="宋体" w:eastAsia="宋体" w:cs="宋体"/>
          <w:color w:val="auto"/>
          <w:highlight w:val="none"/>
        </w:rPr>
        <w:br w:type="page"/>
      </w:r>
    </w:p>
    <w:p w14:paraId="5C29B6D4">
      <w:pPr>
        <w:pStyle w:val="5"/>
        <w:adjustRightInd w:val="0"/>
        <w:snapToGrid w:val="0"/>
        <w:spacing w:before="0" w:after="0" w:line="360" w:lineRule="auto"/>
        <w:rPr>
          <w:rFonts w:hint="eastAsia" w:ascii="宋体" w:hAnsi="宋体" w:eastAsia="宋体" w:cs="宋体"/>
          <w:color w:val="auto"/>
          <w:sz w:val="21"/>
          <w:szCs w:val="21"/>
          <w:highlight w:val="none"/>
        </w:rPr>
      </w:pPr>
      <w:bookmarkStart w:id="87" w:name="_Toc20651210"/>
      <w:bookmarkStart w:id="88" w:name="_Toc3093"/>
      <w:bookmarkStart w:id="89" w:name="_Toc11994"/>
      <w:bookmarkStart w:id="90" w:name="_Toc27072"/>
      <w:bookmarkStart w:id="91" w:name="_Toc29913910"/>
      <w:r>
        <w:rPr>
          <w:rFonts w:hint="eastAsia" w:ascii="宋体" w:hAnsi="宋体" w:eastAsia="宋体" w:cs="宋体"/>
          <w:color w:val="auto"/>
          <w:sz w:val="21"/>
          <w:szCs w:val="21"/>
          <w:highlight w:val="none"/>
        </w:rPr>
        <w:t>附表1资格审查表</w:t>
      </w:r>
      <w:bookmarkEnd w:id="87"/>
      <w:bookmarkEnd w:id="88"/>
      <w:bookmarkEnd w:id="89"/>
      <w:bookmarkEnd w:id="90"/>
    </w:p>
    <w:p w14:paraId="6B152EF9">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资格审查表</w:t>
      </w:r>
    </w:p>
    <w:tbl>
      <w:tblPr>
        <w:tblStyle w:val="44"/>
        <w:tblW w:w="883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11"/>
        <w:gridCol w:w="3653"/>
        <w:gridCol w:w="4474"/>
      </w:tblGrid>
      <w:tr w14:paraId="5AEACA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2" w:hRule="atLeast"/>
        </w:trPr>
        <w:tc>
          <w:tcPr>
            <w:tcW w:w="711" w:type="dxa"/>
            <w:noWrap w:val="0"/>
            <w:vAlign w:val="center"/>
          </w:tcPr>
          <w:p w14:paraId="42B3CFC3">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3653" w:type="dxa"/>
            <w:noWrap w:val="0"/>
            <w:vAlign w:val="center"/>
          </w:tcPr>
          <w:p w14:paraId="3D87E44C">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审查项目</w:t>
            </w:r>
          </w:p>
        </w:tc>
        <w:tc>
          <w:tcPr>
            <w:tcW w:w="4474" w:type="dxa"/>
            <w:noWrap w:val="0"/>
            <w:vAlign w:val="center"/>
          </w:tcPr>
          <w:p w14:paraId="0DBCB4C6">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审查标准</w:t>
            </w:r>
          </w:p>
        </w:tc>
      </w:tr>
      <w:tr w14:paraId="1CDAD4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6" w:hRule="atLeast"/>
        </w:trPr>
        <w:tc>
          <w:tcPr>
            <w:tcW w:w="711" w:type="dxa"/>
            <w:noWrap w:val="0"/>
            <w:vAlign w:val="center"/>
          </w:tcPr>
          <w:p w14:paraId="557F02B1">
            <w:pPr>
              <w:adjustRightInd w:val="0"/>
              <w:snapToGrid w:val="0"/>
              <w:spacing w:before="156" w:beforeLines="50"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3653" w:type="dxa"/>
            <w:noWrap w:val="0"/>
            <w:vAlign w:val="center"/>
          </w:tcPr>
          <w:p w14:paraId="65478CB6">
            <w:pPr>
              <w:adjustRightInd w:val="0"/>
              <w:snapToGrid w:val="0"/>
              <w:spacing w:before="156" w:beforeLines="50" w:line="360" w:lineRule="auto"/>
              <w:rPr>
                <w:rFonts w:ascii="宋体" w:hAnsi="宋体" w:cs="宋体"/>
                <w:color w:val="auto"/>
                <w:kern w:val="0"/>
                <w:szCs w:val="21"/>
                <w:highlight w:val="none"/>
              </w:rPr>
            </w:pPr>
            <w:r>
              <w:rPr>
                <w:rFonts w:hint="eastAsia" w:ascii="宋体" w:hAnsi="宋体" w:cs="宋体"/>
                <w:color w:val="auto"/>
                <w:kern w:val="0"/>
                <w:szCs w:val="21"/>
                <w:highlight w:val="none"/>
              </w:rPr>
              <w:t>基本资格证明资料</w:t>
            </w:r>
          </w:p>
        </w:tc>
        <w:tc>
          <w:tcPr>
            <w:tcW w:w="4474" w:type="dxa"/>
            <w:noWrap w:val="0"/>
            <w:vAlign w:val="top"/>
          </w:tcPr>
          <w:p w14:paraId="0F220211">
            <w:pPr>
              <w:pStyle w:val="58"/>
              <w:ind w:firstLine="0" w:firstLineChars="0"/>
              <w:rPr>
                <w:rFonts w:hint="eastAsia"/>
                <w:color w:val="auto"/>
                <w:highlight w:val="none"/>
              </w:rPr>
            </w:pPr>
            <w:r>
              <w:rPr>
                <w:rFonts w:hint="eastAsia" w:ascii="宋体" w:hAnsi="宋体" w:cs="宋体"/>
                <w:color w:val="auto"/>
                <w:highlight w:val="none"/>
              </w:rPr>
              <w:t>按照招标文件要求提交：1.1</w:t>
            </w:r>
            <w:r>
              <w:rPr>
                <w:rFonts w:hint="eastAsia" w:ascii="宋体" w:hAnsi="宋体"/>
                <w:b/>
                <w:color w:val="auto"/>
                <w:highlight w:val="none"/>
              </w:rPr>
              <w:t>法人或者其他组织的营业执照等主体资格证明文件，自然人的身份证明</w:t>
            </w:r>
            <w:r>
              <w:rPr>
                <w:rFonts w:hint="eastAsia" w:ascii="宋体" w:hAnsi="宋体"/>
                <w:color w:val="auto"/>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r>
              <w:rPr>
                <w:rFonts w:hint="eastAsia" w:ascii="宋体" w:hAnsi="宋体" w:cs="宋体"/>
                <w:color w:val="auto"/>
                <w:highlight w:val="none"/>
              </w:rPr>
              <w:t>；</w:t>
            </w:r>
          </w:p>
        </w:tc>
      </w:tr>
      <w:tr w14:paraId="387789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711" w:type="dxa"/>
            <w:noWrap w:val="0"/>
            <w:vAlign w:val="center"/>
          </w:tcPr>
          <w:p w14:paraId="6C4EEFC4">
            <w:pPr>
              <w:adjustRightInd w:val="0"/>
              <w:snapToGrid w:val="0"/>
              <w:spacing w:before="156"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3653" w:type="dxa"/>
            <w:noWrap w:val="0"/>
            <w:vAlign w:val="center"/>
          </w:tcPr>
          <w:p w14:paraId="43E7145E">
            <w:pPr>
              <w:adjustRightInd w:val="0"/>
              <w:snapToGrid w:val="0"/>
              <w:spacing w:before="156" w:beforeLines="50" w:line="360"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特定资格证明材料</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如有</w:t>
            </w:r>
            <w:r>
              <w:rPr>
                <w:rFonts w:hint="eastAsia" w:ascii="宋体" w:hAnsi="宋体" w:cs="宋体"/>
                <w:color w:val="auto"/>
                <w:kern w:val="0"/>
                <w:szCs w:val="21"/>
                <w:highlight w:val="none"/>
                <w:lang w:eastAsia="zh-CN"/>
              </w:rPr>
              <w:t>）</w:t>
            </w:r>
          </w:p>
        </w:tc>
        <w:tc>
          <w:tcPr>
            <w:tcW w:w="4474" w:type="dxa"/>
            <w:noWrap w:val="0"/>
            <w:vAlign w:val="center"/>
          </w:tcPr>
          <w:p w14:paraId="0879D90B">
            <w:pPr>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按照招标文件要求提供特定资格证明材料的</w:t>
            </w:r>
          </w:p>
        </w:tc>
      </w:tr>
      <w:tr w14:paraId="53DA8B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95" w:hRule="atLeast"/>
        </w:trPr>
        <w:tc>
          <w:tcPr>
            <w:tcW w:w="711" w:type="dxa"/>
            <w:noWrap w:val="0"/>
            <w:vAlign w:val="center"/>
          </w:tcPr>
          <w:p w14:paraId="5F0DCCC1">
            <w:pPr>
              <w:adjustRightInd w:val="0"/>
              <w:snapToGrid w:val="0"/>
              <w:spacing w:before="156" w:beforeLines="50"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p>
        </w:tc>
        <w:tc>
          <w:tcPr>
            <w:tcW w:w="3653" w:type="dxa"/>
            <w:noWrap w:val="0"/>
            <w:vAlign w:val="center"/>
          </w:tcPr>
          <w:p w14:paraId="75BB0367">
            <w:pPr>
              <w:adjustRightInd w:val="0"/>
              <w:snapToGrid w:val="0"/>
              <w:spacing w:before="156" w:beforeLines="50" w:line="360" w:lineRule="auto"/>
              <w:rPr>
                <w:rFonts w:hint="eastAsia" w:ascii="宋体" w:hAnsi="宋体" w:cs="宋体"/>
                <w:color w:val="auto"/>
                <w:kern w:val="0"/>
                <w:szCs w:val="21"/>
                <w:highlight w:val="none"/>
              </w:rPr>
            </w:pPr>
            <w:r>
              <w:rPr>
                <w:rFonts w:hint="eastAsia" w:ascii="宋体" w:hAnsi="宋体" w:eastAsia="宋体" w:cs="宋体"/>
                <w:color w:val="auto"/>
                <w:kern w:val="0"/>
                <w:szCs w:val="21"/>
                <w:highlight w:val="none"/>
                <w:lang w:bidi="ar"/>
              </w:rPr>
              <w:t>按湘财购[2022]17号文件规定：符合法定条件的</w:t>
            </w:r>
            <w:r>
              <w:rPr>
                <w:rFonts w:hint="eastAsia" w:ascii="宋体" w:hAnsi="宋体" w:eastAsia="宋体" w:cs="宋体"/>
                <w:color w:val="auto"/>
                <w:kern w:val="0"/>
                <w:szCs w:val="21"/>
                <w:highlight w:val="none"/>
                <w:lang w:eastAsia="zh-CN" w:bidi="ar"/>
              </w:rPr>
              <w:t>投标人</w:t>
            </w:r>
            <w:r>
              <w:rPr>
                <w:rFonts w:hint="eastAsia" w:ascii="宋体" w:hAnsi="宋体" w:eastAsia="宋体" w:cs="宋体"/>
                <w:color w:val="auto"/>
                <w:kern w:val="0"/>
                <w:szCs w:val="21"/>
                <w:highlight w:val="none"/>
                <w:lang w:bidi="ar"/>
              </w:rPr>
              <w:t>凭《湖南省政府采购供应商资格承诺函》参与政府采购活动，也可通过在金融机构办理电子增信取得对应信用星级参与政府采购活动和电子卖场交易，无需提供财务状况、缴纳税收和社会保障资金等资格证明材料。</w:t>
            </w:r>
            <w:r>
              <w:rPr>
                <w:rFonts w:hint="eastAsia" w:ascii="宋体" w:hAnsi="宋体" w:eastAsia="宋体" w:cs="宋体"/>
                <w:color w:val="auto"/>
                <w:szCs w:val="21"/>
                <w:highlight w:val="none"/>
              </w:rPr>
              <w:t>湖南省政府采购供应商资格承诺函</w:t>
            </w:r>
            <w:r>
              <w:rPr>
                <w:rFonts w:hint="eastAsia" w:ascii="宋体" w:hAnsi="宋体" w:eastAsia="宋体" w:cs="宋体"/>
                <w:color w:val="auto"/>
                <w:szCs w:val="21"/>
                <w:highlight w:val="none"/>
                <w:lang w:eastAsia="zh-CN"/>
              </w:rPr>
              <w:t>。</w:t>
            </w:r>
          </w:p>
        </w:tc>
        <w:tc>
          <w:tcPr>
            <w:tcW w:w="4474" w:type="dxa"/>
            <w:noWrap w:val="0"/>
            <w:vAlign w:val="center"/>
          </w:tcPr>
          <w:p w14:paraId="1BE12D29">
            <w:pPr>
              <w:adjustRightInd w:val="0"/>
              <w:snapToGrid w:val="0"/>
              <w:spacing w:before="156" w:beforeLines="50" w:line="360" w:lineRule="auto"/>
              <w:jc w:val="left"/>
              <w:rPr>
                <w:rFonts w:hint="eastAsia" w:ascii="宋体" w:hAnsi="宋体" w:cs="宋体"/>
                <w:color w:val="auto"/>
                <w:kern w:val="0"/>
                <w:szCs w:val="21"/>
                <w:highlight w:val="none"/>
              </w:rPr>
            </w:pPr>
            <w:r>
              <w:rPr>
                <w:rFonts w:hint="eastAsia" w:ascii="宋体" w:hAnsi="宋体" w:cs="宋体"/>
                <w:color w:val="auto"/>
                <w:szCs w:val="21"/>
                <w:highlight w:val="none"/>
              </w:rPr>
              <w:t>供应商提交《湖南省政府采购供应商资格承诺函》</w:t>
            </w:r>
            <w:r>
              <w:rPr>
                <w:rFonts w:hint="eastAsia" w:ascii="宋体" w:hAnsi="宋体" w:eastAsia="宋体" w:cs="宋体"/>
                <w:color w:val="auto"/>
                <w:szCs w:val="21"/>
                <w:highlight w:val="none"/>
              </w:rPr>
              <w:t>，内容填写完整，签字盖章齐全。</w:t>
            </w:r>
          </w:p>
        </w:tc>
      </w:tr>
      <w:tr w14:paraId="764DBA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34" w:hRule="atLeast"/>
        </w:trPr>
        <w:tc>
          <w:tcPr>
            <w:tcW w:w="711" w:type="dxa"/>
            <w:noWrap w:val="0"/>
            <w:vAlign w:val="center"/>
          </w:tcPr>
          <w:p w14:paraId="006D2061">
            <w:pPr>
              <w:adjustRightInd w:val="0"/>
              <w:snapToGrid w:val="0"/>
              <w:spacing w:before="156" w:beforeLines="50" w:line="360" w:lineRule="auto"/>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w:t>
            </w:r>
          </w:p>
        </w:tc>
        <w:tc>
          <w:tcPr>
            <w:tcW w:w="3653" w:type="dxa"/>
            <w:noWrap w:val="0"/>
            <w:vAlign w:val="center"/>
          </w:tcPr>
          <w:p w14:paraId="16D359C5">
            <w:pPr>
              <w:adjustRightInd w:val="0"/>
              <w:snapToGrid w:val="0"/>
              <w:spacing w:before="156" w:beforeLines="5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单位负责人为同一人或者存在直接控股、管理关系的书面说明</w:t>
            </w:r>
          </w:p>
        </w:tc>
        <w:tc>
          <w:tcPr>
            <w:tcW w:w="4474" w:type="dxa"/>
            <w:noWrap w:val="0"/>
            <w:vAlign w:val="center"/>
          </w:tcPr>
          <w:p w14:paraId="0D1629CE">
            <w:pPr>
              <w:adjustRightInd w:val="0"/>
              <w:snapToGrid w:val="0"/>
              <w:spacing w:before="156" w:beforeLines="50"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供应商提交《投标人资格声明》，内容填写完整，签字盖章齐全。</w:t>
            </w:r>
          </w:p>
        </w:tc>
      </w:tr>
      <w:tr w14:paraId="1AE434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34" w:hRule="atLeast"/>
        </w:trPr>
        <w:tc>
          <w:tcPr>
            <w:tcW w:w="711" w:type="dxa"/>
            <w:noWrap w:val="0"/>
            <w:vAlign w:val="center"/>
          </w:tcPr>
          <w:p w14:paraId="2B60C027">
            <w:pPr>
              <w:adjustRightInd w:val="0"/>
              <w:snapToGrid w:val="0"/>
              <w:spacing w:before="156" w:beforeLines="50" w:line="360" w:lineRule="auto"/>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p>
        </w:tc>
        <w:tc>
          <w:tcPr>
            <w:tcW w:w="3653" w:type="dxa"/>
            <w:noWrap w:val="0"/>
            <w:vAlign w:val="top"/>
          </w:tcPr>
          <w:p w14:paraId="42D8DD5C">
            <w:pPr>
              <w:adjustRightInd w:val="0"/>
              <w:snapToGrid w:val="0"/>
              <w:spacing w:before="156" w:beforeLines="5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为本采购项目提供整体设计、规范编制或者项目管理、监理、检测等服务的，不得再参加此项目的其他招标采购活动</w:t>
            </w:r>
          </w:p>
        </w:tc>
        <w:tc>
          <w:tcPr>
            <w:tcW w:w="4474" w:type="dxa"/>
            <w:noWrap w:val="0"/>
            <w:vAlign w:val="center"/>
          </w:tcPr>
          <w:p w14:paraId="2B023B1E">
            <w:pPr>
              <w:adjustRightInd w:val="0"/>
              <w:snapToGrid w:val="0"/>
              <w:spacing w:before="156" w:beforeLines="50"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供应商提交《投标人资格声明》，内容填写完整，签字盖章齐全。</w:t>
            </w:r>
          </w:p>
        </w:tc>
      </w:tr>
      <w:tr w14:paraId="52FCF2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43" w:hRule="atLeast"/>
        </w:trPr>
        <w:tc>
          <w:tcPr>
            <w:tcW w:w="711" w:type="dxa"/>
            <w:noWrap w:val="0"/>
            <w:vAlign w:val="center"/>
          </w:tcPr>
          <w:p w14:paraId="5AC40C28">
            <w:pPr>
              <w:adjustRightInd w:val="0"/>
              <w:snapToGrid w:val="0"/>
              <w:spacing w:before="156" w:beforeLines="50"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3653" w:type="dxa"/>
            <w:noWrap w:val="0"/>
            <w:vAlign w:val="center"/>
          </w:tcPr>
          <w:p w14:paraId="3B358C30">
            <w:pPr>
              <w:adjustRightInd w:val="0"/>
              <w:snapToGrid w:val="0"/>
              <w:spacing w:before="156" w:beforeLines="50" w:line="360" w:lineRule="auto"/>
              <w:rPr>
                <w:rFonts w:ascii="宋体" w:hAnsi="宋体" w:cs="宋体"/>
                <w:color w:val="auto"/>
                <w:kern w:val="0"/>
                <w:szCs w:val="21"/>
                <w:highlight w:val="none"/>
              </w:rPr>
            </w:pPr>
            <w:r>
              <w:rPr>
                <w:rFonts w:hint="eastAsia" w:ascii="宋体" w:hAnsi="宋体" w:cs="宋体"/>
                <w:color w:val="auto"/>
                <w:kern w:val="0"/>
                <w:szCs w:val="21"/>
                <w:highlight w:val="none"/>
              </w:rPr>
              <w:t>法定代表人身份证明或者授权委托书</w:t>
            </w:r>
          </w:p>
        </w:tc>
        <w:tc>
          <w:tcPr>
            <w:tcW w:w="4474" w:type="dxa"/>
            <w:noWrap w:val="0"/>
            <w:vAlign w:val="center"/>
          </w:tcPr>
          <w:p w14:paraId="53B23F1C">
            <w:pPr>
              <w:adjustRightInd w:val="0"/>
              <w:snapToGrid w:val="0"/>
              <w:spacing w:before="156" w:beforeLines="50" w:line="360" w:lineRule="auto"/>
              <w:jc w:val="left"/>
              <w:rPr>
                <w:rFonts w:hint="eastAsia" w:ascii="宋体" w:hAnsi="宋体" w:cs="宋体"/>
                <w:color w:val="auto"/>
                <w:kern w:val="0"/>
                <w:szCs w:val="21"/>
                <w:highlight w:val="none"/>
              </w:rPr>
            </w:pPr>
            <w:r>
              <w:rPr>
                <w:rFonts w:hint="eastAsia" w:ascii="宋体" w:hAnsi="宋体" w:cs="宋体"/>
                <w:color w:val="auto"/>
                <w:szCs w:val="21"/>
                <w:highlight w:val="none"/>
              </w:rPr>
              <w:t>法人提交法定代表人身份证明原件扫描件或者法定代表人授权委托书原件扫描件，自然人提交身份证原件扫描件;</w:t>
            </w:r>
          </w:p>
        </w:tc>
      </w:tr>
      <w:tr w14:paraId="26A592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711" w:type="dxa"/>
            <w:noWrap w:val="0"/>
            <w:vAlign w:val="center"/>
          </w:tcPr>
          <w:p w14:paraId="2FA7F0ED">
            <w:pPr>
              <w:adjustRightInd w:val="0"/>
              <w:snapToGrid w:val="0"/>
              <w:spacing w:before="156" w:beforeLines="50"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3653" w:type="dxa"/>
            <w:noWrap w:val="0"/>
            <w:vAlign w:val="center"/>
          </w:tcPr>
          <w:p w14:paraId="1FA167C6">
            <w:pPr>
              <w:adjustRightInd w:val="0"/>
              <w:snapToGrid w:val="0"/>
              <w:spacing w:before="156" w:beforeLines="50" w:line="360" w:lineRule="auto"/>
              <w:rPr>
                <w:rFonts w:ascii="宋体" w:hAnsi="宋体" w:cs="宋体"/>
                <w:color w:val="auto"/>
                <w:kern w:val="0"/>
                <w:szCs w:val="21"/>
                <w:highlight w:val="none"/>
              </w:rPr>
            </w:pPr>
            <w:r>
              <w:rPr>
                <w:rFonts w:hint="eastAsia" w:ascii="宋体" w:hAnsi="宋体" w:cs="宋体"/>
                <w:color w:val="auto"/>
                <w:kern w:val="0"/>
                <w:szCs w:val="21"/>
                <w:highlight w:val="none"/>
              </w:rPr>
              <w:t>签署、盖章</w:t>
            </w:r>
          </w:p>
        </w:tc>
        <w:tc>
          <w:tcPr>
            <w:tcW w:w="4474" w:type="dxa"/>
            <w:noWrap w:val="0"/>
            <w:vAlign w:val="center"/>
          </w:tcPr>
          <w:p w14:paraId="3C507674">
            <w:pPr>
              <w:adjustRightInd w:val="0"/>
              <w:snapToGrid w:val="0"/>
              <w:spacing w:before="156" w:beforeLines="50"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资格证明文件是否按照招标文件规定签署、盖章的</w:t>
            </w:r>
          </w:p>
        </w:tc>
      </w:tr>
      <w:tr w14:paraId="2155A3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711" w:type="dxa"/>
            <w:noWrap w:val="0"/>
            <w:vAlign w:val="center"/>
          </w:tcPr>
          <w:p w14:paraId="0D7FBE90">
            <w:pPr>
              <w:adjustRightInd w:val="0"/>
              <w:snapToGrid w:val="0"/>
              <w:spacing w:before="156" w:beforeLines="50"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3653" w:type="dxa"/>
            <w:noWrap w:val="0"/>
            <w:vAlign w:val="center"/>
          </w:tcPr>
          <w:p w14:paraId="43A122A5">
            <w:pPr>
              <w:adjustRightInd w:val="0"/>
              <w:snapToGrid w:val="0"/>
              <w:spacing w:before="156" w:beforeLines="50" w:line="360" w:lineRule="auto"/>
              <w:rPr>
                <w:rFonts w:ascii="宋体" w:hAnsi="宋体" w:cs="宋体"/>
                <w:color w:val="auto"/>
                <w:kern w:val="0"/>
                <w:szCs w:val="21"/>
                <w:highlight w:val="none"/>
              </w:rPr>
            </w:pPr>
            <w:r>
              <w:rPr>
                <w:rFonts w:hint="eastAsia" w:ascii="宋体" w:hAnsi="宋体" w:cs="宋体"/>
                <w:color w:val="auto"/>
                <w:kern w:val="0"/>
                <w:szCs w:val="21"/>
                <w:highlight w:val="none"/>
              </w:rPr>
              <w:t>信用记录</w:t>
            </w:r>
          </w:p>
        </w:tc>
        <w:tc>
          <w:tcPr>
            <w:tcW w:w="4474" w:type="dxa"/>
            <w:noWrap w:val="0"/>
            <w:vAlign w:val="center"/>
          </w:tcPr>
          <w:p w14:paraId="2C468919">
            <w:pPr>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信用记录符合要求的 </w:t>
            </w:r>
          </w:p>
        </w:tc>
      </w:tr>
      <w:tr w14:paraId="57E004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34" w:hRule="atLeast"/>
        </w:trPr>
        <w:tc>
          <w:tcPr>
            <w:tcW w:w="711" w:type="dxa"/>
            <w:noWrap w:val="0"/>
            <w:vAlign w:val="center"/>
          </w:tcPr>
          <w:p w14:paraId="4D5E3EE9">
            <w:pPr>
              <w:adjustRightInd w:val="0"/>
              <w:snapToGrid w:val="0"/>
              <w:spacing w:before="156" w:beforeLines="50"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9</w:t>
            </w:r>
          </w:p>
        </w:tc>
        <w:tc>
          <w:tcPr>
            <w:tcW w:w="3653" w:type="dxa"/>
            <w:noWrap w:val="0"/>
            <w:vAlign w:val="center"/>
          </w:tcPr>
          <w:p w14:paraId="2D228D77">
            <w:pPr>
              <w:adjustRightInd w:val="0"/>
              <w:snapToGrid w:val="0"/>
              <w:spacing w:before="156" w:beforeLines="50" w:line="360" w:lineRule="auto"/>
              <w:rPr>
                <w:rFonts w:ascii="宋体" w:hAnsi="宋体" w:cs="宋体"/>
                <w:color w:val="auto"/>
                <w:kern w:val="0"/>
                <w:szCs w:val="21"/>
                <w:highlight w:val="none"/>
              </w:rPr>
            </w:pPr>
            <w:r>
              <w:rPr>
                <w:rFonts w:hint="eastAsia" w:ascii="宋体" w:hAnsi="宋体" w:cs="宋体"/>
                <w:color w:val="auto"/>
                <w:kern w:val="0"/>
                <w:szCs w:val="21"/>
                <w:highlight w:val="none"/>
              </w:rPr>
              <w:t>其他</w:t>
            </w:r>
          </w:p>
        </w:tc>
        <w:tc>
          <w:tcPr>
            <w:tcW w:w="4474" w:type="dxa"/>
            <w:noWrap w:val="0"/>
            <w:vAlign w:val="center"/>
          </w:tcPr>
          <w:p w14:paraId="24F0D611">
            <w:pPr>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不存在法律、法规和招标文件规定的其他投标无效情形</w:t>
            </w:r>
          </w:p>
        </w:tc>
      </w:tr>
      <w:tr w14:paraId="1B32D7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2" w:hRule="atLeast"/>
        </w:trPr>
        <w:tc>
          <w:tcPr>
            <w:tcW w:w="711" w:type="dxa"/>
            <w:noWrap w:val="0"/>
            <w:vAlign w:val="center"/>
          </w:tcPr>
          <w:p w14:paraId="499983D7">
            <w:pPr>
              <w:adjustRightInd w:val="0"/>
              <w:snapToGrid w:val="0"/>
              <w:spacing w:before="156" w:beforeLines="50" w:line="360"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w:t>
            </w:r>
          </w:p>
        </w:tc>
        <w:tc>
          <w:tcPr>
            <w:tcW w:w="3653" w:type="dxa"/>
            <w:noWrap w:val="0"/>
            <w:vAlign w:val="top"/>
          </w:tcPr>
          <w:p w14:paraId="31D47C98">
            <w:pPr>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474" w:type="dxa"/>
            <w:noWrap w:val="0"/>
            <w:vAlign w:val="center"/>
          </w:tcPr>
          <w:p w14:paraId="2E955AB9">
            <w:pPr>
              <w:adjustRightInd w:val="0"/>
              <w:snapToGrid w:val="0"/>
              <w:spacing w:before="156" w:beforeLines="50" w:line="360" w:lineRule="auto"/>
              <w:jc w:val="center"/>
              <w:rPr>
                <w:rFonts w:ascii="宋体" w:hAnsi="宋体" w:cs="宋体"/>
                <w:color w:val="auto"/>
                <w:kern w:val="0"/>
                <w:szCs w:val="21"/>
                <w:highlight w:val="none"/>
              </w:rPr>
            </w:pPr>
          </w:p>
        </w:tc>
      </w:tr>
      <w:tr w14:paraId="66C224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711" w:type="dxa"/>
            <w:noWrap w:val="0"/>
            <w:vAlign w:val="center"/>
          </w:tcPr>
          <w:p w14:paraId="0E564AD6">
            <w:pPr>
              <w:adjustRightInd w:val="0"/>
              <w:snapToGrid w:val="0"/>
              <w:spacing w:before="156" w:beforeLines="50" w:line="360" w:lineRule="auto"/>
              <w:jc w:val="center"/>
              <w:rPr>
                <w:rFonts w:ascii="宋体" w:hAnsi="宋体" w:cs="宋体"/>
                <w:color w:val="auto"/>
                <w:kern w:val="0"/>
                <w:sz w:val="20"/>
                <w:szCs w:val="21"/>
                <w:highlight w:val="none"/>
              </w:rPr>
            </w:pPr>
            <w:r>
              <w:rPr>
                <w:rFonts w:hint="eastAsia" w:ascii="宋体" w:hAnsi="宋体" w:cs="宋体"/>
                <w:color w:val="auto"/>
                <w:kern w:val="0"/>
                <w:szCs w:val="21"/>
                <w:highlight w:val="none"/>
              </w:rPr>
              <w:t>结论</w:t>
            </w:r>
          </w:p>
        </w:tc>
        <w:tc>
          <w:tcPr>
            <w:tcW w:w="8127" w:type="dxa"/>
            <w:gridSpan w:val="2"/>
            <w:noWrap w:val="0"/>
            <w:vAlign w:val="center"/>
          </w:tcPr>
          <w:p w14:paraId="67537306">
            <w:pPr>
              <w:adjustRightInd w:val="0"/>
              <w:snapToGrid w:val="0"/>
              <w:spacing w:before="156" w:beforeLines="50" w:line="360" w:lineRule="auto"/>
              <w:jc w:val="center"/>
              <w:rPr>
                <w:rFonts w:ascii="宋体" w:hAnsi="宋体" w:cs="宋体"/>
                <w:color w:val="auto"/>
                <w:kern w:val="0"/>
                <w:szCs w:val="21"/>
                <w:highlight w:val="none"/>
              </w:rPr>
            </w:pPr>
          </w:p>
        </w:tc>
      </w:tr>
    </w:tbl>
    <w:p w14:paraId="0E69D372">
      <w:pPr>
        <w:widowControl/>
        <w:jc w:val="left"/>
        <w:rPr>
          <w:rFonts w:hint="eastAsia" w:ascii="宋体" w:hAnsi="宋体" w:eastAsia="宋体" w:cs="宋体"/>
          <w:bCs/>
          <w:color w:val="auto"/>
          <w:szCs w:val="21"/>
          <w:highlight w:val="none"/>
        </w:rPr>
      </w:pPr>
      <w:r>
        <w:rPr>
          <w:rFonts w:hint="eastAsia" w:ascii="宋体" w:hAnsi="宋体" w:eastAsia="宋体" w:cs="宋体"/>
          <w:color w:val="auto"/>
          <w:highlight w:val="none"/>
        </w:rPr>
        <w:t>注：符合的因素</w:t>
      </w:r>
      <w:r>
        <w:rPr>
          <w:rFonts w:hint="eastAsia" w:ascii="宋体" w:hAnsi="宋体" w:eastAsia="宋体" w:cs="宋体"/>
          <w:color w:val="auto"/>
          <w:highlight w:val="none"/>
          <w:lang w:eastAsia="zh-CN"/>
        </w:rPr>
        <w:t>记“通过”</w:t>
      </w:r>
      <w:r>
        <w:rPr>
          <w:rFonts w:hint="eastAsia" w:ascii="宋体" w:hAnsi="宋体" w:eastAsia="宋体" w:cs="宋体"/>
          <w:color w:val="auto"/>
          <w:highlight w:val="none"/>
        </w:rPr>
        <w:t>，不符合的因素</w:t>
      </w:r>
      <w:r>
        <w:rPr>
          <w:rFonts w:hint="eastAsia" w:ascii="宋体" w:hAnsi="宋体" w:eastAsia="宋体" w:cs="宋体"/>
          <w:color w:val="auto"/>
          <w:highlight w:val="none"/>
          <w:lang w:eastAsia="zh-CN"/>
        </w:rPr>
        <w:t>记“不通过”</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结论填写“通过”或“不通过”</w:t>
      </w:r>
      <w:r>
        <w:rPr>
          <w:rFonts w:hint="eastAsia" w:ascii="宋体" w:hAnsi="宋体" w:eastAsia="宋体" w:cs="宋体"/>
          <w:color w:val="auto"/>
          <w:highlight w:val="none"/>
        </w:rPr>
        <w:t>。只要有一项不符合要求的属于不合格投标人，不合格投标人不能进入下一步评审。合格投标人数量少于3个的，不得评标。</w:t>
      </w:r>
    </w:p>
    <w:p w14:paraId="2E8512F5">
      <w:pPr>
        <w:pStyle w:val="5"/>
        <w:adjustRightInd w:val="0"/>
        <w:snapToGrid w:val="0"/>
        <w:spacing w:before="0" w:after="0" w:line="360" w:lineRule="auto"/>
        <w:rPr>
          <w:rFonts w:hint="eastAsia" w:ascii="宋体" w:hAnsi="宋体" w:eastAsia="宋体" w:cs="宋体"/>
          <w:b w:val="0"/>
          <w:color w:val="auto"/>
          <w:sz w:val="21"/>
          <w:szCs w:val="21"/>
          <w:highlight w:val="none"/>
        </w:rPr>
      </w:pPr>
      <w:bookmarkStart w:id="92" w:name="_Toc14940"/>
      <w:bookmarkStart w:id="93" w:name="_Toc29855"/>
      <w:bookmarkStart w:id="94" w:name="_Toc17460"/>
    </w:p>
    <w:p w14:paraId="4ED4A56B">
      <w:pPr>
        <w:pStyle w:val="5"/>
        <w:adjustRightInd w:val="0"/>
        <w:snapToGrid w:val="0"/>
        <w:spacing w:before="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附表2 资格审查结果一览表</w:t>
      </w:r>
      <w:bookmarkEnd w:id="92"/>
      <w:bookmarkEnd w:id="93"/>
      <w:bookmarkEnd w:id="94"/>
    </w:p>
    <w:p w14:paraId="51D0CE21">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资格审查结果一览表</w:t>
      </w:r>
    </w:p>
    <w:tbl>
      <w:tblPr>
        <w:tblStyle w:val="4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E474A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77B9F054">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963" w:type="dxa"/>
            <w:noWrap w:val="0"/>
            <w:vAlign w:val="center"/>
          </w:tcPr>
          <w:p w14:paraId="5601F557">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投标人名称</w:t>
            </w:r>
          </w:p>
        </w:tc>
        <w:tc>
          <w:tcPr>
            <w:tcW w:w="2439" w:type="dxa"/>
            <w:noWrap w:val="0"/>
            <w:vAlign w:val="center"/>
          </w:tcPr>
          <w:p w14:paraId="04D07669">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资格审查结果</w:t>
            </w:r>
          </w:p>
          <w:p w14:paraId="12A99203">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（合格/不合格）</w:t>
            </w:r>
          </w:p>
        </w:tc>
        <w:tc>
          <w:tcPr>
            <w:tcW w:w="2961" w:type="dxa"/>
            <w:noWrap w:val="0"/>
            <w:vAlign w:val="center"/>
          </w:tcPr>
          <w:p w14:paraId="72AE6F95">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资格审查不合格原因</w:t>
            </w:r>
          </w:p>
        </w:tc>
      </w:tr>
      <w:tr w14:paraId="4835B6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C277B45">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277C4613">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7D4C961D">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B8EF549">
            <w:pPr>
              <w:adjustRightInd w:val="0"/>
              <w:snapToGrid w:val="0"/>
              <w:spacing w:line="360" w:lineRule="auto"/>
              <w:rPr>
                <w:rFonts w:hint="eastAsia" w:ascii="宋体" w:hAnsi="宋体" w:eastAsia="宋体" w:cs="宋体"/>
                <w:color w:val="auto"/>
                <w:kern w:val="0"/>
                <w:sz w:val="24"/>
                <w:highlight w:val="none"/>
              </w:rPr>
            </w:pPr>
          </w:p>
        </w:tc>
      </w:tr>
      <w:tr w14:paraId="496AC4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39B1DD3">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5411E332">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23447F22">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2021CC74">
            <w:pPr>
              <w:adjustRightInd w:val="0"/>
              <w:snapToGrid w:val="0"/>
              <w:spacing w:line="360" w:lineRule="auto"/>
              <w:rPr>
                <w:rFonts w:hint="eastAsia" w:ascii="宋体" w:hAnsi="宋体" w:eastAsia="宋体" w:cs="宋体"/>
                <w:color w:val="auto"/>
                <w:kern w:val="0"/>
                <w:sz w:val="24"/>
                <w:highlight w:val="none"/>
              </w:rPr>
            </w:pPr>
          </w:p>
        </w:tc>
      </w:tr>
      <w:tr w14:paraId="1457B7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A8C11CC">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03DDA6B4">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65B7783">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3A4C4077">
            <w:pPr>
              <w:adjustRightInd w:val="0"/>
              <w:snapToGrid w:val="0"/>
              <w:spacing w:line="360" w:lineRule="auto"/>
              <w:rPr>
                <w:rFonts w:hint="eastAsia" w:ascii="宋体" w:hAnsi="宋体" w:eastAsia="宋体" w:cs="宋体"/>
                <w:color w:val="auto"/>
                <w:kern w:val="0"/>
                <w:sz w:val="24"/>
                <w:highlight w:val="none"/>
              </w:rPr>
            </w:pPr>
          </w:p>
        </w:tc>
      </w:tr>
      <w:tr w14:paraId="5EB696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0A1B6B2">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3929FCBB">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5261AFC8">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6FC8491">
            <w:pPr>
              <w:adjustRightInd w:val="0"/>
              <w:snapToGrid w:val="0"/>
              <w:spacing w:line="360" w:lineRule="auto"/>
              <w:rPr>
                <w:rFonts w:hint="eastAsia" w:ascii="宋体" w:hAnsi="宋体" w:eastAsia="宋体" w:cs="宋体"/>
                <w:color w:val="auto"/>
                <w:kern w:val="0"/>
                <w:sz w:val="24"/>
                <w:highlight w:val="none"/>
              </w:rPr>
            </w:pPr>
          </w:p>
        </w:tc>
      </w:tr>
      <w:tr w14:paraId="610082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D2E3D43">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47B0FBAC">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EDD75F0">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70342721">
            <w:pPr>
              <w:adjustRightInd w:val="0"/>
              <w:snapToGrid w:val="0"/>
              <w:spacing w:line="360" w:lineRule="auto"/>
              <w:rPr>
                <w:rFonts w:hint="eastAsia" w:ascii="宋体" w:hAnsi="宋体" w:eastAsia="宋体" w:cs="宋体"/>
                <w:color w:val="auto"/>
                <w:kern w:val="0"/>
                <w:sz w:val="24"/>
                <w:highlight w:val="none"/>
              </w:rPr>
            </w:pPr>
          </w:p>
        </w:tc>
      </w:tr>
      <w:tr w14:paraId="60176C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D36F00C">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6ECE24A8">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2B02CDAC">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5AC832F8">
            <w:pPr>
              <w:adjustRightInd w:val="0"/>
              <w:snapToGrid w:val="0"/>
              <w:spacing w:line="360" w:lineRule="auto"/>
              <w:rPr>
                <w:rFonts w:hint="eastAsia" w:ascii="宋体" w:hAnsi="宋体" w:eastAsia="宋体" w:cs="宋体"/>
                <w:color w:val="auto"/>
                <w:kern w:val="0"/>
                <w:sz w:val="24"/>
                <w:highlight w:val="none"/>
              </w:rPr>
            </w:pPr>
          </w:p>
        </w:tc>
      </w:tr>
      <w:tr w14:paraId="4A207C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A0C3A64">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130D8B6D">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37CF754E">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25BD6F58">
            <w:pPr>
              <w:adjustRightInd w:val="0"/>
              <w:snapToGrid w:val="0"/>
              <w:spacing w:line="360" w:lineRule="auto"/>
              <w:rPr>
                <w:rFonts w:hint="eastAsia" w:ascii="宋体" w:hAnsi="宋体" w:eastAsia="宋体" w:cs="宋体"/>
                <w:color w:val="auto"/>
                <w:kern w:val="0"/>
                <w:sz w:val="24"/>
                <w:highlight w:val="none"/>
              </w:rPr>
            </w:pPr>
          </w:p>
        </w:tc>
      </w:tr>
    </w:tbl>
    <w:p w14:paraId="06BEDF75">
      <w:pPr>
        <w:widowControl/>
        <w:jc w:val="left"/>
        <w:rPr>
          <w:rFonts w:hint="eastAsia" w:ascii="宋体" w:hAnsi="宋体" w:eastAsia="宋体" w:cs="宋体"/>
          <w:color w:val="auto"/>
          <w:sz w:val="24"/>
          <w:highlight w:val="none"/>
        </w:rPr>
      </w:pPr>
    </w:p>
    <w:p w14:paraId="3FFAD82C">
      <w:pPr>
        <w:pStyle w:val="5"/>
        <w:adjustRightInd w:val="0"/>
        <w:snapToGrid w:val="0"/>
        <w:spacing w:before="0" w:after="0" w:line="360" w:lineRule="auto"/>
        <w:rPr>
          <w:rFonts w:hint="eastAsia" w:ascii="宋体" w:hAnsi="宋体" w:eastAsia="宋体" w:cs="宋体"/>
          <w:b w:val="0"/>
          <w:color w:val="auto"/>
          <w:sz w:val="21"/>
          <w:szCs w:val="21"/>
          <w:highlight w:val="none"/>
        </w:rPr>
      </w:pPr>
      <w:bookmarkStart w:id="95" w:name="_Toc6157"/>
      <w:bookmarkStart w:id="96" w:name="_Toc8517"/>
      <w:bookmarkStart w:id="97" w:name="_Toc141"/>
    </w:p>
    <w:p w14:paraId="62AE5915">
      <w:pPr>
        <w:rPr>
          <w:rFonts w:hint="eastAsia" w:ascii="宋体" w:hAnsi="宋体" w:eastAsia="宋体" w:cs="宋体"/>
          <w:b w:val="0"/>
          <w:color w:val="auto"/>
          <w:sz w:val="21"/>
          <w:szCs w:val="21"/>
          <w:highlight w:val="none"/>
        </w:rPr>
      </w:pPr>
    </w:p>
    <w:p w14:paraId="1C0BE23B">
      <w:pPr>
        <w:rPr>
          <w:rFonts w:hint="eastAsia" w:ascii="宋体" w:hAnsi="宋体" w:eastAsia="宋体" w:cs="宋体"/>
          <w:b w:val="0"/>
          <w:color w:val="auto"/>
          <w:sz w:val="21"/>
          <w:szCs w:val="21"/>
          <w:highlight w:val="none"/>
        </w:rPr>
      </w:pPr>
    </w:p>
    <w:p w14:paraId="6FEA513A">
      <w:pPr>
        <w:rPr>
          <w:rFonts w:hint="eastAsia" w:ascii="宋体" w:hAnsi="宋体" w:eastAsia="宋体" w:cs="宋体"/>
          <w:b w:val="0"/>
          <w:color w:val="auto"/>
          <w:sz w:val="21"/>
          <w:szCs w:val="21"/>
          <w:highlight w:val="none"/>
        </w:rPr>
      </w:pPr>
    </w:p>
    <w:p w14:paraId="4B4D5322">
      <w:pPr>
        <w:pStyle w:val="5"/>
        <w:adjustRightInd w:val="0"/>
        <w:snapToGrid w:val="0"/>
        <w:spacing w:before="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附表3 资格审查合格投标人名单</w:t>
      </w:r>
      <w:bookmarkEnd w:id="95"/>
      <w:bookmarkEnd w:id="96"/>
      <w:bookmarkEnd w:id="97"/>
    </w:p>
    <w:p w14:paraId="7CE58AF2">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资格审查合格投标人名单</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7EDB10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993" w:type="dxa"/>
            <w:noWrap w:val="0"/>
            <w:vAlign w:val="center"/>
          </w:tcPr>
          <w:p w14:paraId="25CD9E59">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7796" w:type="dxa"/>
            <w:noWrap w:val="0"/>
            <w:vAlign w:val="center"/>
          </w:tcPr>
          <w:p w14:paraId="20A0D634">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合格投标人名称</w:t>
            </w:r>
          </w:p>
        </w:tc>
      </w:tr>
      <w:tr w14:paraId="107D1C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7A133C7">
            <w:pPr>
              <w:adjustRightInd w:val="0"/>
              <w:snapToGrid w:val="0"/>
              <w:spacing w:line="360" w:lineRule="auto"/>
              <w:rPr>
                <w:rFonts w:hint="eastAsia" w:ascii="宋体" w:hAnsi="宋体" w:eastAsia="宋体" w:cs="宋体"/>
                <w:color w:val="auto"/>
                <w:kern w:val="0"/>
                <w:szCs w:val="21"/>
                <w:highlight w:val="none"/>
              </w:rPr>
            </w:pPr>
          </w:p>
        </w:tc>
        <w:tc>
          <w:tcPr>
            <w:tcW w:w="7796" w:type="dxa"/>
            <w:noWrap w:val="0"/>
            <w:vAlign w:val="top"/>
          </w:tcPr>
          <w:p w14:paraId="40B1295B">
            <w:pPr>
              <w:adjustRightInd w:val="0"/>
              <w:snapToGrid w:val="0"/>
              <w:spacing w:line="360" w:lineRule="auto"/>
              <w:rPr>
                <w:rFonts w:hint="eastAsia" w:ascii="宋体" w:hAnsi="宋体" w:eastAsia="宋体" w:cs="宋体"/>
                <w:color w:val="auto"/>
                <w:kern w:val="0"/>
                <w:szCs w:val="21"/>
                <w:highlight w:val="none"/>
              </w:rPr>
            </w:pPr>
          </w:p>
        </w:tc>
      </w:tr>
      <w:tr w14:paraId="7B9608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9F275EB">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1EA407F0">
            <w:pPr>
              <w:adjustRightInd w:val="0"/>
              <w:snapToGrid w:val="0"/>
              <w:spacing w:line="360" w:lineRule="auto"/>
              <w:rPr>
                <w:rFonts w:hint="eastAsia" w:ascii="宋体" w:hAnsi="宋体" w:eastAsia="宋体" w:cs="宋体"/>
                <w:color w:val="auto"/>
                <w:kern w:val="0"/>
                <w:sz w:val="24"/>
                <w:highlight w:val="none"/>
              </w:rPr>
            </w:pPr>
          </w:p>
        </w:tc>
      </w:tr>
      <w:tr w14:paraId="46D6DC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3E37337">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748400A4">
            <w:pPr>
              <w:adjustRightInd w:val="0"/>
              <w:snapToGrid w:val="0"/>
              <w:spacing w:line="360" w:lineRule="auto"/>
              <w:rPr>
                <w:rFonts w:hint="eastAsia" w:ascii="宋体" w:hAnsi="宋体" w:eastAsia="宋体" w:cs="宋体"/>
                <w:color w:val="auto"/>
                <w:kern w:val="0"/>
                <w:sz w:val="24"/>
                <w:highlight w:val="none"/>
              </w:rPr>
            </w:pPr>
          </w:p>
        </w:tc>
      </w:tr>
      <w:tr w14:paraId="0058BB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004E78F">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1CE044F3">
            <w:pPr>
              <w:adjustRightInd w:val="0"/>
              <w:snapToGrid w:val="0"/>
              <w:spacing w:line="360" w:lineRule="auto"/>
              <w:rPr>
                <w:rFonts w:hint="eastAsia" w:ascii="宋体" w:hAnsi="宋体" w:eastAsia="宋体" w:cs="宋体"/>
                <w:color w:val="auto"/>
                <w:kern w:val="0"/>
                <w:sz w:val="24"/>
                <w:highlight w:val="none"/>
              </w:rPr>
            </w:pPr>
          </w:p>
        </w:tc>
      </w:tr>
      <w:tr w14:paraId="26F6D9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7ECA698">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13BBF7AE">
            <w:pPr>
              <w:adjustRightInd w:val="0"/>
              <w:snapToGrid w:val="0"/>
              <w:spacing w:line="360" w:lineRule="auto"/>
              <w:rPr>
                <w:rFonts w:hint="eastAsia" w:ascii="宋体" w:hAnsi="宋体" w:eastAsia="宋体" w:cs="宋体"/>
                <w:color w:val="auto"/>
                <w:kern w:val="0"/>
                <w:sz w:val="24"/>
                <w:highlight w:val="none"/>
              </w:rPr>
            </w:pPr>
          </w:p>
        </w:tc>
      </w:tr>
      <w:tr w14:paraId="7748F1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B2B49BB">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72F5AED2">
            <w:pPr>
              <w:adjustRightInd w:val="0"/>
              <w:snapToGrid w:val="0"/>
              <w:spacing w:line="360" w:lineRule="auto"/>
              <w:rPr>
                <w:rFonts w:hint="eastAsia" w:ascii="宋体" w:hAnsi="宋体" w:eastAsia="宋体" w:cs="宋体"/>
                <w:color w:val="auto"/>
                <w:kern w:val="0"/>
                <w:sz w:val="24"/>
                <w:highlight w:val="none"/>
              </w:rPr>
            </w:pPr>
          </w:p>
        </w:tc>
      </w:tr>
    </w:tbl>
    <w:p w14:paraId="4672083A">
      <w:pPr>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说明：本表中投标人排名不分先后。不合格的投标人不能进入下一步评审。</w:t>
      </w:r>
      <w:r>
        <w:rPr>
          <w:rFonts w:hint="eastAsia" w:ascii="宋体" w:hAnsi="宋体" w:eastAsia="宋体" w:cs="宋体"/>
          <w:color w:val="auto"/>
          <w:kern w:val="0"/>
          <w:szCs w:val="21"/>
          <w:highlight w:val="none"/>
        </w:rPr>
        <w:t>合格投标人数量少于3个的，不得评标。</w:t>
      </w:r>
    </w:p>
    <w:p w14:paraId="2480FD07">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eastAsia="zh-CN"/>
        </w:rPr>
        <w:t>代表</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电子</w:t>
      </w:r>
      <w:r>
        <w:rPr>
          <w:rFonts w:hint="eastAsia" w:ascii="宋体" w:hAnsi="宋体" w:eastAsia="宋体" w:cs="宋体"/>
          <w:color w:val="auto"/>
          <w:szCs w:val="21"/>
          <w:highlight w:val="none"/>
        </w:rPr>
        <w:t>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A25847F">
      <w:pPr>
        <w:pStyle w:val="23"/>
        <w:adjustRightInd w:val="0"/>
        <w:snapToGrid w:val="0"/>
        <w:spacing w:line="360" w:lineRule="auto"/>
        <w:jc w:val="both"/>
        <w:outlineLvl w:val="0"/>
        <w:rPr>
          <w:rFonts w:hint="eastAsia" w:ascii="宋体" w:hAnsi="宋体" w:eastAsia="宋体" w:cs="宋体"/>
          <w:b/>
          <w:color w:val="auto"/>
          <w:sz w:val="28"/>
          <w:szCs w:val="28"/>
          <w:highlight w:val="none"/>
        </w:rPr>
      </w:pPr>
      <w:bookmarkStart w:id="98" w:name="_Toc20049"/>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r>
        <w:rPr>
          <w:rFonts w:hint="eastAsia" w:ascii="宋体" w:hAnsi="宋体" w:eastAsia="宋体" w:cs="宋体"/>
          <w:color w:val="auto"/>
          <w:highlight w:val="none"/>
        </w:rPr>
        <w:br w:type="page"/>
      </w:r>
      <w:bookmarkStart w:id="99" w:name="_Toc15313"/>
      <w:r>
        <w:rPr>
          <w:rFonts w:hint="eastAsia" w:ascii="宋体" w:hAnsi="宋体" w:eastAsia="宋体" w:cs="宋体"/>
          <w:b/>
          <w:color w:val="auto"/>
          <w:sz w:val="32"/>
          <w:szCs w:val="32"/>
          <w:highlight w:val="none"/>
        </w:rPr>
        <w:t>第四章 评标方法及标准（综合评分法）</w:t>
      </w:r>
      <w:bookmarkEnd w:id="91"/>
      <w:bookmarkEnd w:id="98"/>
      <w:bookmarkEnd w:id="99"/>
    </w:p>
    <w:p w14:paraId="791389F8">
      <w:pPr>
        <w:pStyle w:val="3"/>
        <w:adjustRightInd w:val="0"/>
        <w:snapToGrid w:val="0"/>
        <w:jc w:val="center"/>
        <w:rPr>
          <w:rFonts w:hint="eastAsia" w:ascii="宋体" w:hAnsi="宋体" w:eastAsia="宋体" w:cs="宋体"/>
          <w:color w:val="auto"/>
          <w:sz w:val="28"/>
          <w:szCs w:val="28"/>
          <w:highlight w:val="none"/>
        </w:rPr>
      </w:pPr>
      <w:bookmarkStart w:id="100" w:name="_Toc29913911"/>
      <w:bookmarkStart w:id="101" w:name="_Toc6248"/>
      <w:bookmarkStart w:id="102" w:name="_Toc27055"/>
      <w:bookmarkStart w:id="103" w:name="_Toc2502"/>
      <w:r>
        <w:rPr>
          <w:rFonts w:hint="eastAsia" w:ascii="宋体" w:hAnsi="宋体" w:eastAsia="宋体" w:cs="宋体"/>
          <w:color w:val="auto"/>
          <w:sz w:val="28"/>
          <w:szCs w:val="28"/>
          <w:highlight w:val="none"/>
        </w:rPr>
        <w:t>第一节 评标方法及标准前附表</w:t>
      </w:r>
      <w:bookmarkEnd w:id="100"/>
      <w:bookmarkEnd w:id="101"/>
      <w:bookmarkEnd w:id="102"/>
      <w:bookmarkEnd w:id="103"/>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0"/>
        <w:gridCol w:w="2271"/>
        <w:gridCol w:w="4818"/>
      </w:tblGrid>
      <w:tr w14:paraId="1EA780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double" w:color="auto" w:sz="4" w:space="0"/>
              <w:bottom w:val="single" w:color="auto" w:sz="6" w:space="0"/>
            </w:tcBorders>
          </w:tcPr>
          <w:p w14:paraId="5252FB14">
            <w:pPr>
              <w:adjustRightInd w:val="0"/>
              <w:snapToGrid w:val="0"/>
              <w:spacing w:before="156" w:beforeLines="5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条款号</w:t>
            </w:r>
          </w:p>
        </w:tc>
        <w:tc>
          <w:tcPr>
            <w:tcW w:w="2271" w:type="dxa"/>
            <w:tcBorders>
              <w:top w:val="double" w:color="auto" w:sz="4" w:space="0"/>
              <w:bottom w:val="single" w:color="auto" w:sz="6" w:space="0"/>
            </w:tcBorders>
          </w:tcPr>
          <w:p w14:paraId="44431BB8">
            <w:pPr>
              <w:adjustRightInd w:val="0"/>
              <w:snapToGrid w:val="0"/>
              <w:spacing w:before="156" w:beforeLines="5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条款名称</w:t>
            </w:r>
          </w:p>
        </w:tc>
        <w:tc>
          <w:tcPr>
            <w:tcW w:w="4818" w:type="dxa"/>
            <w:tcBorders>
              <w:top w:val="double" w:color="auto" w:sz="4" w:space="0"/>
              <w:bottom w:val="single" w:color="auto" w:sz="6" w:space="0"/>
            </w:tcBorders>
          </w:tcPr>
          <w:p w14:paraId="05A1B9DF">
            <w:pPr>
              <w:adjustRightInd w:val="0"/>
              <w:snapToGrid w:val="0"/>
              <w:spacing w:before="156" w:beforeLines="5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编列内容规定</w:t>
            </w:r>
          </w:p>
        </w:tc>
      </w:tr>
      <w:tr w14:paraId="78838C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734F4A74">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kern w:val="0"/>
                <w:szCs w:val="21"/>
                <w:highlight w:val="none"/>
                <w:lang w:val="zh-CN"/>
              </w:rPr>
              <w:t>款</w:t>
            </w:r>
          </w:p>
        </w:tc>
        <w:tc>
          <w:tcPr>
            <w:tcW w:w="2271" w:type="dxa"/>
            <w:tcBorders>
              <w:top w:val="single" w:color="auto" w:sz="6" w:space="0"/>
              <w:bottom w:val="single" w:color="auto" w:sz="6" w:space="0"/>
            </w:tcBorders>
            <w:vAlign w:val="center"/>
          </w:tcPr>
          <w:p w14:paraId="39942FB0">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评标方法</w:t>
            </w:r>
          </w:p>
        </w:tc>
        <w:tc>
          <w:tcPr>
            <w:tcW w:w="4818" w:type="dxa"/>
            <w:tcBorders>
              <w:top w:val="single" w:color="auto" w:sz="6" w:space="0"/>
              <w:bottom w:val="single" w:color="auto" w:sz="6" w:space="0"/>
            </w:tcBorders>
            <w:vAlign w:val="center"/>
          </w:tcPr>
          <w:p w14:paraId="41E26879">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w:t>
            </w:r>
          </w:p>
        </w:tc>
      </w:tr>
      <w:tr w14:paraId="1486FA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2ADB933D">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第3.4</w:t>
            </w:r>
            <w:r>
              <w:rPr>
                <w:rFonts w:hint="eastAsia" w:ascii="宋体" w:hAnsi="宋体" w:eastAsia="宋体" w:cs="宋体"/>
                <w:color w:val="auto"/>
                <w:kern w:val="0"/>
                <w:szCs w:val="21"/>
                <w:highlight w:val="none"/>
                <w:lang w:val="zh-CN"/>
              </w:rPr>
              <w:t>款</w:t>
            </w:r>
          </w:p>
        </w:tc>
        <w:tc>
          <w:tcPr>
            <w:tcW w:w="2271" w:type="dxa"/>
            <w:tcBorders>
              <w:top w:val="single" w:color="auto" w:sz="6" w:space="0"/>
              <w:bottom w:val="single" w:color="auto" w:sz="6" w:space="0"/>
            </w:tcBorders>
            <w:vAlign w:val="center"/>
          </w:tcPr>
          <w:p w14:paraId="3D65B419">
            <w:pPr>
              <w:adjustRightInd w:val="0"/>
              <w:snapToGrid w:val="0"/>
              <w:spacing w:before="156" w:beforeLines="50"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服务中配套货物非单一产品采购项目的核心产品</w:t>
            </w:r>
            <w:r>
              <w:rPr>
                <w:rFonts w:hint="eastAsia" w:ascii="宋体" w:hAnsi="宋体" w:eastAsia="宋体" w:cs="宋体"/>
                <w:color w:val="auto"/>
                <w:szCs w:val="21"/>
                <w:highlight w:val="none"/>
                <w:lang w:eastAsia="zh-CN"/>
              </w:rPr>
              <w:t>（本项目不适用）</w:t>
            </w:r>
          </w:p>
        </w:tc>
        <w:tc>
          <w:tcPr>
            <w:tcW w:w="4818" w:type="dxa"/>
            <w:tcBorders>
              <w:top w:val="single" w:color="auto" w:sz="6" w:space="0"/>
              <w:bottom w:val="single" w:color="auto" w:sz="6" w:space="0"/>
            </w:tcBorders>
            <w:vAlign w:val="center"/>
          </w:tcPr>
          <w:p w14:paraId="01091F05">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highlight w:val="none"/>
              </w:rPr>
              <w:t>核心产品为：</w:t>
            </w:r>
            <w:r>
              <w:rPr>
                <w:rFonts w:hint="eastAsia" w:ascii="宋体" w:hAnsi="宋体" w:eastAsia="宋体" w:cs="宋体"/>
                <w:color w:val="auto"/>
                <w:szCs w:val="21"/>
                <w:highlight w:val="none"/>
                <w:u w:val="single"/>
              </w:rPr>
              <w:softHyphen/>
            </w:r>
            <w:r>
              <w:rPr>
                <w:rFonts w:hint="eastAsia" w:ascii="宋体" w:hAnsi="宋体" w:eastAsia="宋体" w:cs="宋体"/>
                <w:color w:val="auto"/>
                <w:szCs w:val="21"/>
                <w:highlight w:val="none"/>
                <w:u w:val="single"/>
              </w:rPr>
              <w:softHyphen/>
            </w:r>
            <w:r>
              <w:rPr>
                <w:rFonts w:hint="eastAsia" w:ascii="宋体" w:hAnsi="宋体" w:eastAsia="宋体" w:cs="宋体"/>
                <w:color w:val="auto"/>
                <w:szCs w:val="21"/>
                <w:highlight w:val="none"/>
                <w:u w:val="single"/>
              </w:rPr>
              <w:softHyphen/>
            </w:r>
            <w:r>
              <w:rPr>
                <w:rFonts w:hint="eastAsia" w:ascii="宋体" w:hAnsi="宋体" w:eastAsia="宋体" w:cs="宋体"/>
                <w:color w:val="auto"/>
                <w:szCs w:val="21"/>
                <w:highlight w:val="none"/>
                <w:u w:val="single"/>
              </w:rPr>
              <w:softHyphen/>
            </w:r>
            <w:r>
              <w:rPr>
                <w:rFonts w:hint="eastAsia" w:ascii="宋体" w:hAnsi="宋体" w:eastAsia="宋体" w:cs="宋体"/>
                <w:color w:val="auto"/>
                <w:szCs w:val="21"/>
                <w:highlight w:val="none"/>
                <w:u w:val="single"/>
              </w:rPr>
              <w:t>__</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_</w:t>
            </w:r>
            <w:r>
              <w:rPr>
                <w:rFonts w:hint="eastAsia" w:ascii="宋体" w:hAnsi="宋体" w:eastAsia="宋体" w:cs="宋体"/>
                <w:color w:val="auto"/>
                <w:highlight w:val="none"/>
              </w:rPr>
              <w:t>。</w:t>
            </w:r>
            <w:r>
              <w:rPr>
                <w:rFonts w:hint="eastAsia" w:ascii="宋体" w:hAnsi="宋体" w:eastAsia="宋体" w:cs="宋体"/>
                <w:color w:val="auto"/>
                <w:kern w:val="0"/>
                <w:highlight w:val="none"/>
              </w:rPr>
              <w:t>（提示：根据采购项目技术构成、产品价格比重等合理确定具体产品为核心产品）</w:t>
            </w:r>
          </w:p>
        </w:tc>
      </w:tr>
      <w:tr w14:paraId="5E48B8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722013D6">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第4.2</w:t>
            </w:r>
            <w:r>
              <w:rPr>
                <w:rFonts w:hint="eastAsia" w:ascii="宋体" w:hAnsi="宋体" w:eastAsia="宋体" w:cs="宋体"/>
                <w:color w:val="auto"/>
                <w:kern w:val="0"/>
                <w:szCs w:val="21"/>
                <w:highlight w:val="none"/>
                <w:lang w:val="zh-CN"/>
              </w:rPr>
              <w:t>款</w:t>
            </w:r>
          </w:p>
        </w:tc>
        <w:tc>
          <w:tcPr>
            <w:tcW w:w="2271" w:type="dxa"/>
            <w:tcBorders>
              <w:top w:val="single" w:color="auto" w:sz="6" w:space="0"/>
              <w:bottom w:val="single" w:color="auto" w:sz="6" w:space="0"/>
            </w:tcBorders>
            <w:vAlign w:val="center"/>
          </w:tcPr>
          <w:p w14:paraId="13619F17">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投标文件报价出现前后不一致的修正</w:t>
            </w:r>
          </w:p>
        </w:tc>
        <w:tc>
          <w:tcPr>
            <w:tcW w:w="4818" w:type="dxa"/>
            <w:tcBorders>
              <w:top w:val="single" w:color="auto" w:sz="6" w:space="0"/>
              <w:bottom w:val="single" w:color="auto" w:sz="6" w:space="0"/>
            </w:tcBorders>
            <w:vAlign w:val="center"/>
          </w:tcPr>
          <w:p w14:paraId="0C28CBAB">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详见第4.2款</w:t>
            </w:r>
          </w:p>
        </w:tc>
      </w:tr>
      <w:tr w14:paraId="3F8404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6067D2F4">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第5.2</w:t>
            </w:r>
            <w:r>
              <w:rPr>
                <w:rFonts w:hint="eastAsia" w:ascii="宋体" w:hAnsi="宋体" w:eastAsia="宋体" w:cs="宋体"/>
                <w:color w:val="auto"/>
                <w:kern w:val="0"/>
                <w:szCs w:val="21"/>
                <w:highlight w:val="none"/>
                <w:lang w:val="zh-CN"/>
              </w:rPr>
              <w:t>项</w:t>
            </w:r>
          </w:p>
        </w:tc>
        <w:tc>
          <w:tcPr>
            <w:tcW w:w="2271" w:type="dxa"/>
            <w:tcBorders>
              <w:top w:val="single" w:color="auto" w:sz="6" w:space="0"/>
              <w:bottom w:val="single" w:color="auto" w:sz="6" w:space="0"/>
            </w:tcBorders>
            <w:vAlign w:val="center"/>
          </w:tcPr>
          <w:p w14:paraId="3384F537">
            <w:pPr>
              <w:adjustRightInd w:val="0"/>
              <w:snapToGrid w:val="0"/>
              <w:spacing w:before="156" w:beforeLines="50"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相同品牌产品</w:t>
            </w:r>
          </w:p>
          <w:p w14:paraId="26B23F62">
            <w:pPr>
              <w:adjustRightInd w:val="0"/>
              <w:snapToGrid w:val="0"/>
              <w:spacing w:before="156" w:beforeLines="50"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评审得分相同的规定</w:t>
            </w:r>
            <w:r>
              <w:rPr>
                <w:rFonts w:hint="eastAsia" w:ascii="宋体" w:hAnsi="宋体" w:eastAsia="宋体" w:cs="宋体"/>
                <w:color w:val="auto"/>
                <w:szCs w:val="21"/>
                <w:highlight w:val="none"/>
                <w:lang w:eastAsia="zh-CN"/>
              </w:rPr>
              <w:t>（本项目不适用）</w:t>
            </w:r>
          </w:p>
        </w:tc>
        <w:tc>
          <w:tcPr>
            <w:tcW w:w="4818" w:type="dxa"/>
            <w:tcBorders>
              <w:top w:val="single" w:color="auto" w:sz="6" w:space="0"/>
              <w:bottom w:val="single" w:color="auto" w:sz="6" w:space="0"/>
            </w:tcBorders>
            <w:vAlign w:val="center"/>
          </w:tcPr>
          <w:p w14:paraId="4D6D7160">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highlight w:val="none"/>
              </w:rPr>
              <w:t xml:space="preserve">□ 得分相同的，按投标报价由低到高顺序排列。得分且投标报价相同的，按技术指标优劣顺序排列。（提示：也可另行规定）  </w:t>
            </w:r>
          </w:p>
          <w:p w14:paraId="248430DA">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highlight w:val="none"/>
              </w:rPr>
              <w:t>□ 随机抽取方式确定。</w:t>
            </w:r>
          </w:p>
        </w:tc>
      </w:tr>
      <w:tr w14:paraId="09C959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700" w:type="dxa"/>
            <w:tcBorders>
              <w:top w:val="single" w:color="auto" w:sz="6" w:space="0"/>
            </w:tcBorders>
            <w:vAlign w:val="center"/>
          </w:tcPr>
          <w:p w14:paraId="78A647D0">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项</w:t>
            </w:r>
          </w:p>
        </w:tc>
        <w:tc>
          <w:tcPr>
            <w:tcW w:w="2271" w:type="dxa"/>
            <w:tcBorders>
              <w:top w:val="single" w:color="auto" w:sz="6" w:space="0"/>
            </w:tcBorders>
            <w:vAlign w:val="center"/>
          </w:tcPr>
          <w:p w14:paraId="4C2B7167">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价格评审优惠</w:t>
            </w:r>
          </w:p>
          <w:p w14:paraId="484F1FCF">
            <w:pPr>
              <w:pStyle w:val="58"/>
              <w:spacing w:line="240" w:lineRule="auto"/>
              <w:ind w:left="0" w:leftChars="0" w:firstLine="210" w:firstLineChars="100"/>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（本项目不适用）</w:t>
            </w:r>
          </w:p>
        </w:tc>
        <w:tc>
          <w:tcPr>
            <w:tcW w:w="4818" w:type="dxa"/>
            <w:tcBorders>
              <w:top w:val="single" w:color="auto" w:sz="6" w:space="0"/>
              <w:bottom w:val="single" w:color="auto" w:sz="4" w:space="0"/>
            </w:tcBorders>
            <w:vAlign w:val="center"/>
          </w:tcPr>
          <w:p w14:paraId="72339E4B">
            <w:pPr>
              <w:spacing w:line="240" w:lineRule="auto"/>
              <w:rPr>
                <w:rFonts w:hint="eastAsia" w:ascii="宋体" w:hAnsi="宋体" w:eastAsia="宋体" w:cs="宋体"/>
                <w:b w:val="0"/>
                <w:bCs/>
                <w:color w:val="auto"/>
                <w:szCs w:val="21"/>
                <w:highlight w:val="none"/>
                <w:lang w:val="en-US" w:eastAsia="zh-CN"/>
              </w:rPr>
            </w:pPr>
            <w:r>
              <w:rPr>
                <w:rFonts w:hint="eastAsia" w:ascii="宋体" w:hAnsi="宋体" w:eastAsia="宋体" w:cs="宋体"/>
                <w:color w:val="auto"/>
                <w:szCs w:val="21"/>
                <w:highlight w:val="none"/>
              </w:rPr>
              <w:t>1.非专门面向中小企业采购：给予小型和微型企业产品的价格给予</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0%的扣除，用扣除后的价格参与评审，本项目具体扣除比例为</w:t>
            </w:r>
            <w:r>
              <w:rPr>
                <w:rFonts w:hint="eastAsia" w:ascii="宋体" w:hAnsi="宋体" w:eastAsia="宋体" w:cs="宋体"/>
                <w:b/>
                <w:bCs/>
                <w:color w:val="auto"/>
                <w:szCs w:val="21"/>
                <w:highlight w:val="none"/>
                <w:u w:val="single"/>
                <w:lang w:val="en-US" w:eastAsia="zh-CN"/>
              </w:rPr>
              <w:t xml:space="preserve"> </w:t>
            </w:r>
            <w:r>
              <w:rPr>
                <w:rFonts w:hint="eastAsia" w:ascii="宋体" w:hAnsi="宋体" w:cs="宋体"/>
                <w:b/>
                <w:bCs/>
                <w:color w:val="auto"/>
                <w:szCs w:val="21"/>
                <w:highlight w:val="none"/>
                <w:u w:val="single"/>
                <w:lang w:val="en-US" w:eastAsia="zh-CN"/>
              </w:rPr>
              <w:t xml:space="preserve">10 </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w:t>
            </w:r>
          </w:p>
          <w:p w14:paraId="3FB80151">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2.监狱企业、残疾人福利性单位视同小型、微型企业，享受评审中价格扣除等促进中小企业发展的政府采购政策。</w:t>
            </w:r>
          </w:p>
          <w:p w14:paraId="5DDFC56B">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3.投标人同时符合小型、微型企业及监狱企业、残疾人福利性单位要求的，评审时只有一种类型享受价格评审优惠政策；</w:t>
            </w:r>
          </w:p>
          <w:p w14:paraId="17C55CD8">
            <w:pPr>
              <w:snapToGrid w:val="0"/>
              <w:spacing w:line="24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Cs w:val="21"/>
                <w:highlight w:val="none"/>
              </w:rPr>
              <w:t>4.小型和微型企业的价格评审优惠可以与同时属于“节能产品”、“环境标志产品”中的一项优先采购优惠累加计算。</w:t>
            </w:r>
          </w:p>
        </w:tc>
      </w:tr>
      <w:tr w14:paraId="23C536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4" w:hRule="atLeast"/>
        </w:trPr>
        <w:tc>
          <w:tcPr>
            <w:tcW w:w="1700" w:type="dxa"/>
            <w:tcBorders>
              <w:top w:val="single" w:color="auto" w:sz="6" w:space="0"/>
              <w:bottom w:val="single" w:color="auto" w:sz="6" w:space="0"/>
              <w:right w:val="single" w:color="auto" w:sz="6" w:space="0"/>
            </w:tcBorders>
            <w:vAlign w:val="center"/>
          </w:tcPr>
          <w:p w14:paraId="1202A4F6">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w:t>
            </w:r>
            <w:r>
              <w:rPr>
                <w:rFonts w:hint="eastAsia" w:ascii="宋体" w:hAnsi="宋体" w:eastAsia="宋体" w:cs="宋体"/>
                <w:color w:val="auto"/>
                <w:kern w:val="0"/>
                <w:szCs w:val="21"/>
                <w:highlight w:val="none"/>
                <w:lang w:val="zh-CN"/>
              </w:rPr>
              <w:t>项</w:t>
            </w:r>
          </w:p>
        </w:tc>
        <w:tc>
          <w:tcPr>
            <w:tcW w:w="2271" w:type="dxa"/>
            <w:tcBorders>
              <w:top w:val="single" w:color="auto" w:sz="6" w:space="0"/>
              <w:left w:val="single" w:color="auto" w:sz="6" w:space="0"/>
              <w:right w:val="single" w:color="auto" w:sz="6" w:space="0"/>
            </w:tcBorders>
            <w:vAlign w:val="center"/>
          </w:tcPr>
          <w:p w14:paraId="24E89256">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优先采购</w:t>
            </w:r>
          </w:p>
          <w:p w14:paraId="75DB561D">
            <w:pPr>
              <w:adjustRightInd w:val="0"/>
              <w:snapToGrid w:val="0"/>
              <w:spacing w:before="156" w:beforeLines="50" w:line="24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（本项目不适用）</w:t>
            </w:r>
          </w:p>
        </w:tc>
        <w:tc>
          <w:tcPr>
            <w:tcW w:w="4818" w:type="dxa"/>
            <w:tcBorders>
              <w:top w:val="single" w:color="auto" w:sz="6" w:space="0"/>
              <w:left w:val="single" w:color="auto" w:sz="6" w:space="0"/>
              <w:bottom w:val="single" w:color="auto" w:sz="6" w:space="0"/>
            </w:tcBorders>
            <w:vAlign w:val="center"/>
          </w:tcPr>
          <w:p w14:paraId="4C365E4C">
            <w:pPr>
              <w:widowControl/>
              <w:spacing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①非强制采购节能产品:</w:t>
            </w:r>
            <w:r>
              <w:rPr>
                <w:rFonts w:hint="eastAsia" w:ascii="宋体" w:hAnsi="宋体" w:eastAsia="宋体" w:cs="宋体"/>
                <w:color w:val="auto"/>
                <w:szCs w:val="21"/>
                <w:highlight w:val="none"/>
              </w:rPr>
              <w:t>对于技术和价格分，应分别给予</w:t>
            </w:r>
            <w:r>
              <w:rPr>
                <w:rFonts w:hint="eastAsia" w:ascii="宋体" w:hAnsi="宋体" w:eastAsia="宋体" w:cs="宋体"/>
                <w:color w:val="auto"/>
                <w:kern w:val="0"/>
                <w:szCs w:val="21"/>
                <w:highlight w:val="none"/>
              </w:rPr>
              <w:t>一级评标因素权重</w:t>
            </w:r>
            <w:r>
              <w:rPr>
                <w:rFonts w:hint="eastAsia" w:ascii="宋体" w:hAnsi="宋体" w:eastAsia="宋体" w:cs="宋体"/>
                <w:color w:val="auto"/>
                <w:szCs w:val="21"/>
                <w:highlight w:val="none"/>
              </w:rPr>
              <w:t>4%-8%的加分。本项目具体加分比例分别为 ：技术</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%、价格</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w:t>
            </w:r>
          </w:p>
          <w:p w14:paraId="66C46A35">
            <w:pPr>
              <w:widowControl/>
              <w:spacing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②环境标志产品:</w:t>
            </w:r>
            <w:r>
              <w:rPr>
                <w:rFonts w:hint="eastAsia" w:ascii="宋体" w:hAnsi="宋体" w:eastAsia="宋体" w:cs="宋体"/>
                <w:color w:val="auto"/>
                <w:szCs w:val="21"/>
                <w:highlight w:val="none"/>
              </w:rPr>
              <w:t>对于技术和价格分，应分别给予</w:t>
            </w:r>
            <w:r>
              <w:rPr>
                <w:rFonts w:hint="eastAsia" w:ascii="宋体" w:hAnsi="宋体" w:eastAsia="宋体" w:cs="宋体"/>
                <w:color w:val="auto"/>
                <w:kern w:val="0"/>
                <w:szCs w:val="21"/>
                <w:highlight w:val="none"/>
              </w:rPr>
              <w:t>一级评标因素权重</w:t>
            </w:r>
            <w:r>
              <w:rPr>
                <w:rFonts w:hint="eastAsia" w:ascii="宋体" w:hAnsi="宋体" w:eastAsia="宋体" w:cs="宋体"/>
                <w:color w:val="auto"/>
                <w:szCs w:val="21"/>
                <w:highlight w:val="none"/>
              </w:rPr>
              <w:t>4%-8%的加分。本项目具体加分比例分别为 ：技术</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%、价格</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 xml:space="preserve">    注：以上</w:t>
            </w:r>
            <w:r>
              <w:rPr>
                <w:rFonts w:hint="eastAsia" w:ascii="宋体" w:hAnsi="宋体" w:eastAsia="宋体" w:cs="宋体"/>
                <w:color w:val="auto"/>
                <w:kern w:val="0"/>
                <w:szCs w:val="21"/>
                <w:highlight w:val="none"/>
                <w:lang w:eastAsia="zh-CN"/>
              </w:rPr>
              <w:t>二</w:t>
            </w:r>
            <w:r>
              <w:rPr>
                <w:rFonts w:hint="eastAsia" w:ascii="宋体" w:hAnsi="宋体" w:eastAsia="宋体" w:cs="宋体"/>
                <w:color w:val="auto"/>
                <w:kern w:val="0"/>
                <w:szCs w:val="21"/>
                <w:highlight w:val="none"/>
              </w:rPr>
              <w:t>项优先采购产品中，</w:t>
            </w:r>
            <w:r>
              <w:rPr>
                <w:rFonts w:hint="eastAsia" w:ascii="宋体" w:hAnsi="宋体" w:eastAsia="宋体" w:cs="宋体"/>
                <w:color w:val="auto"/>
                <w:highlight w:val="none"/>
              </w:rPr>
              <w:t>投标产品取得两项及以上优先采购产品认证的，评审时只有其中一项产品能享受优先采购优惠。</w:t>
            </w:r>
          </w:p>
        </w:tc>
      </w:tr>
      <w:tr w14:paraId="600EB5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700" w:type="dxa"/>
            <w:tcBorders>
              <w:top w:val="single" w:color="auto" w:sz="6" w:space="0"/>
              <w:bottom w:val="double" w:color="auto" w:sz="4" w:space="0"/>
            </w:tcBorders>
            <w:vAlign w:val="center"/>
          </w:tcPr>
          <w:p w14:paraId="1EC4B7EA">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第6.1</w:t>
            </w:r>
            <w:r>
              <w:rPr>
                <w:rFonts w:hint="eastAsia" w:ascii="宋体" w:hAnsi="宋体" w:eastAsia="宋体" w:cs="宋体"/>
                <w:color w:val="auto"/>
                <w:kern w:val="0"/>
                <w:szCs w:val="21"/>
                <w:highlight w:val="none"/>
                <w:lang w:val="zh-CN"/>
              </w:rPr>
              <w:t>款</w:t>
            </w:r>
          </w:p>
        </w:tc>
        <w:tc>
          <w:tcPr>
            <w:tcW w:w="2271" w:type="dxa"/>
            <w:tcBorders>
              <w:top w:val="single" w:color="auto" w:sz="6" w:space="0"/>
              <w:bottom w:val="double" w:color="auto" w:sz="4" w:space="0"/>
              <w:right w:val="single" w:color="auto" w:sz="6" w:space="0"/>
            </w:tcBorders>
            <w:vAlign w:val="center"/>
          </w:tcPr>
          <w:p w14:paraId="10EDCFD3">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中标候选人并列的确定中标人的方式</w:t>
            </w:r>
          </w:p>
        </w:tc>
        <w:tc>
          <w:tcPr>
            <w:tcW w:w="4818" w:type="dxa"/>
            <w:tcBorders>
              <w:top w:val="single" w:color="auto" w:sz="6" w:space="0"/>
              <w:left w:val="single" w:color="auto" w:sz="6" w:space="0"/>
              <w:bottom w:val="double" w:color="auto" w:sz="4" w:space="0"/>
              <w:right w:val="double" w:color="auto" w:sz="4" w:space="0"/>
            </w:tcBorders>
            <w:vAlign w:val="center"/>
          </w:tcPr>
          <w:p w14:paraId="6A56FDBA">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评标结果按评审后得分由高到低顺序排列。投标人评标总得分相同的，依次按照投标报价得分、技术部分得分由高至低顺序排序。总得分相同且投标报价得分相同且技术部分得分相同的由采购人随机抽取确定排序。投标文件满足招标文件全部实质性要求</w:t>
            </w:r>
            <w:r>
              <w:rPr>
                <w:rFonts w:hint="eastAsia" w:ascii="宋体" w:hAnsi="宋体" w:eastAsia="宋体" w:cs="宋体"/>
                <w:bCs/>
                <w:color w:val="auto"/>
                <w:szCs w:val="21"/>
                <w:highlight w:val="none"/>
              </w:rPr>
              <w:t>，且按照评审因素的量化指标评审得分最高的投标人为排名第一的中标候选人</w:t>
            </w:r>
            <w:r>
              <w:rPr>
                <w:rFonts w:hint="eastAsia" w:ascii="宋体" w:hAnsi="宋体" w:eastAsia="宋体" w:cs="宋体"/>
                <w:color w:val="auto"/>
                <w:kern w:val="0"/>
                <w:szCs w:val="21"/>
                <w:highlight w:val="none"/>
              </w:rPr>
              <w:t>。</w:t>
            </w:r>
          </w:p>
        </w:tc>
      </w:tr>
    </w:tbl>
    <w:p w14:paraId="3FF7ADB4">
      <w:pPr>
        <w:pStyle w:val="3"/>
        <w:adjustRightInd w:val="0"/>
        <w:snapToGrid w:val="0"/>
        <w:jc w:val="center"/>
        <w:rPr>
          <w:rFonts w:hint="eastAsia" w:ascii="宋体" w:hAnsi="宋体" w:eastAsia="宋体" w:cs="宋体"/>
          <w:color w:val="auto"/>
          <w:sz w:val="28"/>
          <w:szCs w:val="28"/>
          <w:highlight w:val="none"/>
        </w:rPr>
      </w:pPr>
      <w:r>
        <w:rPr>
          <w:rFonts w:hint="eastAsia" w:ascii="宋体" w:hAnsi="宋体" w:eastAsia="宋体" w:cs="宋体"/>
          <w:color w:val="auto"/>
          <w:highlight w:val="none"/>
        </w:rPr>
        <w:br w:type="page"/>
      </w:r>
      <w:bookmarkStart w:id="104" w:name="_Toc29913912"/>
      <w:bookmarkStart w:id="105" w:name="_Toc5866"/>
      <w:bookmarkStart w:id="106" w:name="_Toc12691"/>
      <w:bookmarkStart w:id="107" w:name="_Toc15572"/>
      <w:r>
        <w:rPr>
          <w:rFonts w:hint="eastAsia" w:ascii="宋体" w:hAnsi="宋体" w:eastAsia="宋体" w:cs="宋体"/>
          <w:color w:val="auto"/>
          <w:sz w:val="28"/>
          <w:szCs w:val="28"/>
          <w:highlight w:val="none"/>
        </w:rPr>
        <w:t>第二节 评标方法及标准</w:t>
      </w:r>
      <w:bookmarkEnd w:id="104"/>
      <w:bookmarkEnd w:id="105"/>
      <w:bookmarkEnd w:id="106"/>
      <w:bookmarkEnd w:id="107"/>
    </w:p>
    <w:p w14:paraId="3F4E30BF">
      <w:pPr>
        <w:pStyle w:val="4"/>
        <w:keepNext w:val="0"/>
        <w:keepLines w:val="0"/>
        <w:adjustRightInd w:val="0"/>
        <w:snapToGrid w:val="0"/>
        <w:spacing w:before="156" w:beforeLines="50" w:after="0" w:line="360" w:lineRule="auto"/>
        <w:rPr>
          <w:rFonts w:hint="eastAsia" w:ascii="宋体" w:hAnsi="宋体" w:eastAsia="宋体" w:cs="宋体"/>
          <w:color w:val="auto"/>
          <w:sz w:val="24"/>
          <w:szCs w:val="24"/>
          <w:highlight w:val="none"/>
        </w:rPr>
      </w:pPr>
      <w:bookmarkStart w:id="108" w:name="_Toc29913913"/>
      <w:bookmarkStart w:id="109" w:name="_Toc14423"/>
      <w:bookmarkStart w:id="110" w:name="_Toc13213"/>
      <w:bookmarkStart w:id="111" w:name="_Toc723"/>
      <w:r>
        <w:rPr>
          <w:rFonts w:hint="eastAsia" w:ascii="宋体" w:hAnsi="宋体" w:eastAsia="宋体" w:cs="宋体"/>
          <w:color w:val="auto"/>
          <w:sz w:val="24"/>
          <w:szCs w:val="24"/>
          <w:highlight w:val="none"/>
        </w:rPr>
        <w:t>1．评标方法</w:t>
      </w:r>
      <w:bookmarkEnd w:id="108"/>
      <w:bookmarkEnd w:id="109"/>
      <w:bookmarkEnd w:id="110"/>
      <w:bookmarkEnd w:id="111"/>
    </w:p>
    <w:p w14:paraId="0557FE4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1.1综合评分法，指投标文件满足招标文件全部实质性要求，且按照评审因素的量化指标评审得分最高的投标人为中标候选人的评标方法。</w:t>
      </w:r>
    </w:p>
    <w:p w14:paraId="1AF16FB9">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1.2本采购项目评标方法见本章第一节“评标规范前附表”（以下简称</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w:t>
      </w:r>
    </w:p>
    <w:p w14:paraId="038C3A12">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12" w:name="_Toc29913914"/>
      <w:bookmarkStart w:id="113" w:name="_Toc30974"/>
      <w:bookmarkStart w:id="114" w:name="_Toc3899"/>
      <w:bookmarkStart w:id="115" w:name="_Toc30157"/>
      <w:r>
        <w:rPr>
          <w:rFonts w:hint="eastAsia" w:ascii="宋体" w:hAnsi="宋体" w:eastAsia="宋体" w:cs="宋体"/>
          <w:bCs w:val="0"/>
          <w:color w:val="auto"/>
          <w:sz w:val="24"/>
          <w:szCs w:val="24"/>
          <w:highlight w:val="none"/>
        </w:rPr>
        <w:t>2．评标程序</w:t>
      </w:r>
      <w:bookmarkEnd w:id="112"/>
      <w:bookmarkEnd w:id="113"/>
      <w:bookmarkEnd w:id="114"/>
      <w:bookmarkEnd w:id="115"/>
    </w:p>
    <w:p w14:paraId="68CA61B9">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2.1评标程序分为投标文件符合性审查、澄清有关问题、比较和评价、推荐中标候选人。</w:t>
      </w:r>
    </w:p>
    <w:p w14:paraId="5B5E9122">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16" w:name="_Toc29913915"/>
      <w:bookmarkStart w:id="117" w:name="_Toc5640"/>
      <w:bookmarkStart w:id="118" w:name="_Toc9800"/>
      <w:bookmarkStart w:id="119" w:name="_Toc2535"/>
      <w:r>
        <w:rPr>
          <w:rFonts w:hint="eastAsia" w:ascii="宋体" w:hAnsi="宋体" w:eastAsia="宋体" w:cs="宋体"/>
          <w:bCs w:val="0"/>
          <w:color w:val="auto"/>
          <w:sz w:val="24"/>
          <w:szCs w:val="24"/>
          <w:highlight w:val="none"/>
        </w:rPr>
        <w:t>3．投标文件的符合性审查</w:t>
      </w:r>
      <w:bookmarkEnd w:id="116"/>
      <w:bookmarkEnd w:id="117"/>
      <w:bookmarkEnd w:id="118"/>
      <w:bookmarkEnd w:id="119"/>
    </w:p>
    <w:p w14:paraId="28A1A3F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3.1资格审查结束后，评标委员会依法按照本章第三节“投标文件的符合性审查”规定进行投标文件符合性。</w:t>
      </w:r>
    </w:p>
    <w:p w14:paraId="1C22588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3.2符合性审查合格投标人少于3家的，应予废标。</w:t>
      </w:r>
    </w:p>
    <w:p w14:paraId="1FE8960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3.3单一产品采购项目：提供相同品牌产品的不同投标人参加同一合同项下投标的，按一家投标人计算。提供不同品牌产品的投标人不足三家的，应予废标。</w:t>
      </w:r>
    </w:p>
    <w:p w14:paraId="78CEEB1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3.4非单一产品采购项目：采购人或者采购代理机构将在</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中载明核心产品。多家投标人提供的核心产品品牌相同的，视为相同品牌，按本章本节第3.3款规定处理。</w:t>
      </w:r>
    </w:p>
    <w:p w14:paraId="2314E568">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20" w:name="_Toc26178"/>
      <w:bookmarkStart w:id="121" w:name="_Toc29913916"/>
      <w:bookmarkStart w:id="122" w:name="_Toc22848"/>
      <w:bookmarkStart w:id="123" w:name="_Toc483"/>
      <w:r>
        <w:rPr>
          <w:rFonts w:hint="eastAsia" w:ascii="宋体" w:hAnsi="宋体" w:eastAsia="宋体" w:cs="宋体"/>
          <w:bCs w:val="0"/>
          <w:color w:val="auto"/>
          <w:sz w:val="24"/>
          <w:szCs w:val="24"/>
          <w:highlight w:val="none"/>
        </w:rPr>
        <w:t>4．投标文件的澄清</w:t>
      </w:r>
      <w:bookmarkEnd w:id="120"/>
      <w:bookmarkEnd w:id="121"/>
      <w:bookmarkEnd w:id="122"/>
      <w:bookmarkEnd w:id="123"/>
    </w:p>
    <w:p w14:paraId="39D3377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4.1对于投标文件中含义不明确、同类问题表述不一致或者有明显文字和计算错误的内容，评标委员会应当以数据电文形式要求投标人作出必要的澄清、说明或者补正。</w:t>
      </w:r>
    </w:p>
    <w:p w14:paraId="27016C7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4.2投标文件的投标报价出现前后不一致的，除</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另有规定外，按照下列规定修正：</w:t>
      </w:r>
    </w:p>
    <w:p w14:paraId="41AD7E0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（1）投标文件中开标一览表内容与投标文件中相应内容不一致的，以开标一览表为准；</w:t>
      </w:r>
    </w:p>
    <w:p w14:paraId="4924E32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72CE4E6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（3）单价金额小数点或者百分比有明显错位的，以开标一览表的总价为准，并修改单价；</w:t>
      </w:r>
    </w:p>
    <w:p w14:paraId="10E43A6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1073A6A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4.3投标文件报价同时出现两种以上不一致的，按照前款规定的顺序修正。修正后的报价由投标人代表电子签名或者加盖单位电子章确认后产生约束力，投标人不确认的，其投标无效。</w:t>
      </w:r>
    </w:p>
    <w:p w14:paraId="43A16B7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4.4投标人的澄清、说明或者补正应当采用数据电文形式，并加盖电子公章，或者由法定代表人或其授权的代表电子签名，并按评标委员会的通知要求递交至交易平台。投标人的澄清、说明或者补正不得超出投标文件的范围或者改变投标文件的实质性内容。</w:t>
      </w:r>
    </w:p>
    <w:p w14:paraId="10BA00F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4.5有效的澄清材料，是投标文件的补充材料，成为投标文件的组成部分。</w:t>
      </w:r>
    </w:p>
    <w:p w14:paraId="2A88ED4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4.6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投标无效处理。</w:t>
      </w:r>
    </w:p>
    <w:p w14:paraId="2B0A2EA7">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24" w:name="_Toc5596"/>
      <w:bookmarkStart w:id="125" w:name="_Toc13546"/>
      <w:bookmarkStart w:id="126" w:name="_Toc29913917"/>
      <w:r>
        <w:rPr>
          <w:rFonts w:hint="eastAsia" w:ascii="宋体" w:hAnsi="宋体" w:eastAsia="宋体" w:cs="宋体"/>
          <w:bCs w:val="0"/>
          <w:color w:val="auto"/>
          <w:sz w:val="24"/>
          <w:szCs w:val="24"/>
          <w:highlight w:val="none"/>
        </w:rPr>
        <w:t>5．投标文件的比较与评价</w:t>
      </w:r>
      <w:bookmarkEnd w:id="124"/>
      <w:bookmarkEnd w:id="125"/>
      <w:bookmarkEnd w:id="126"/>
    </w:p>
    <w:p w14:paraId="47EDD707">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5.1评标委员会依法按照本章第三节“投标文件的比较与评价”规定，对资格性检查和符合性检查合格的投标文件进行比较和评价。</w:t>
      </w:r>
    </w:p>
    <w:p w14:paraId="58CAF608">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5.2单一产品采购项目：</w:t>
      </w:r>
    </w:p>
    <w:p w14:paraId="0AB370D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规定的方式确定一个投标人获得中标人推荐资格，招标文件未规定的采取随机抽取方式确定，其他同品牌投标人</w:t>
      </w:r>
      <w:r>
        <w:rPr>
          <w:rFonts w:hint="eastAsia" w:ascii="宋体" w:hAnsi="宋体" w:eastAsia="宋体" w:cs="宋体"/>
          <w:b/>
          <w:color w:val="auto"/>
          <w:szCs w:val="21"/>
          <w:highlight w:val="none"/>
        </w:rPr>
        <w:t>不作为中标候选人</w:t>
      </w:r>
      <w:r>
        <w:rPr>
          <w:rFonts w:hint="eastAsia" w:ascii="宋体" w:hAnsi="宋体" w:eastAsia="宋体" w:cs="宋体"/>
          <w:color w:val="auto"/>
          <w:szCs w:val="21"/>
          <w:highlight w:val="none"/>
        </w:rPr>
        <w:t>。</w:t>
      </w:r>
    </w:p>
    <w:p w14:paraId="01A46518">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5.3非单一产品采购项目：多家投标人提供的核心产品品牌相同的，视为相同品牌，按本章本节第 5.2 款规定处理。</w:t>
      </w:r>
    </w:p>
    <w:p w14:paraId="4D2CF771">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政府采购政策：</w:t>
      </w:r>
    </w:p>
    <w:p w14:paraId="7DD6DC1B">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bCs/>
          <w:color w:val="auto"/>
          <w:szCs w:val="21"/>
          <w:highlight w:val="none"/>
        </w:rPr>
        <w:t>价格评审优惠：</w:t>
      </w:r>
      <w:r>
        <w:rPr>
          <w:rFonts w:hint="eastAsia" w:ascii="宋体" w:hAnsi="宋体" w:eastAsia="宋体" w:cs="宋体"/>
          <w:color w:val="auto"/>
          <w:szCs w:val="21"/>
          <w:highlight w:val="none"/>
        </w:rPr>
        <w:t>按</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及第二章“投标须知”的相关规定给予一定的价格折扣。</w:t>
      </w:r>
    </w:p>
    <w:p w14:paraId="56E62869">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（2）优先采购：</w:t>
      </w:r>
      <w:r>
        <w:rPr>
          <w:rFonts w:hint="eastAsia" w:ascii="宋体" w:hAnsi="宋体" w:eastAsia="宋体" w:cs="宋体"/>
          <w:bCs/>
          <w:color w:val="auto"/>
          <w:szCs w:val="21"/>
          <w:highlight w:val="none"/>
        </w:rPr>
        <w:t>评审时按</w:t>
      </w:r>
      <w:r>
        <w:rPr>
          <w:rFonts w:hint="eastAsia" w:ascii="宋体" w:hAnsi="宋体" w:eastAsia="宋体" w:cs="宋体"/>
          <w:b/>
          <w:color w:val="auto"/>
          <w:szCs w:val="21"/>
          <w:highlight w:val="none"/>
        </w:rPr>
        <w:t>【评标方法及标准前附表】</w:t>
      </w:r>
      <w:r>
        <w:rPr>
          <w:rFonts w:hint="eastAsia" w:ascii="宋体" w:hAnsi="宋体" w:eastAsia="宋体" w:cs="宋体"/>
          <w:bCs/>
          <w:color w:val="auto"/>
          <w:szCs w:val="21"/>
          <w:highlight w:val="none"/>
        </w:rPr>
        <w:t>及第二章</w:t>
      </w:r>
      <w:r>
        <w:rPr>
          <w:rFonts w:hint="eastAsia" w:ascii="宋体" w:hAnsi="宋体" w:eastAsia="宋体" w:cs="宋体"/>
          <w:color w:val="auto"/>
          <w:szCs w:val="21"/>
          <w:highlight w:val="none"/>
        </w:rPr>
        <w:t>“投标须知”</w:t>
      </w:r>
      <w:r>
        <w:rPr>
          <w:rFonts w:hint="eastAsia" w:ascii="宋体" w:hAnsi="宋体" w:eastAsia="宋体" w:cs="宋体"/>
          <w:bCs/>
          <w:color w:val="auto"/>
          <w:szCs w:val="21"/>
          <w:highlight w:val="none"/>
        </w:rPr>
        <w:t>的相关规定给予价格折扣或者加分。</w:t>
      </w:r>
    </w:p>
    <w:p w14:paraId="3765AD27">
      <w:pPr>
        <w:pStyle w:val="4"/>
        <w:keepNext w:val="0"/>
        <w:keepLines w:val="0"/>
        <w:adjustRightInd w:val="0"/>
        <w:snapToGrid w:val="0"/>
        <w:spacing w:before="156" w:beforeLines="50" w:after="0" w:line="360" w:lineRule="auto"/>
        <w:rPr>
          <w:rFonts w:hint="eastAsia" w:ascii="宋体" w:hAnsi="宋体" w:eastAsia="宋体" w:cs="宋体"/>
          <w:color w:val="auto"/>
          <w:sz w:val="24"/>
          <w:szCs w:val="24"/>
          <w:highlight w:val="none"/>
        </w:rPr>
      </w:pPr>
      <w:bookmarkStart w:id="127" w:name="_Toc5370"/>
      <w:bookmarkStart w:id="128" w:name="_Toc23499"/>
      <w:bookmarkStart w:id="129" w:name="_Toc29913918"/>
      <w:r>
        <w:rPr>
          <w:rFonts w:hint="eastAsia" w:ascii="宋体" w:hAnsi="宋体" w:eastAsia="宋体" w:cs="宋体"/>
          <w:bCs w:val="0"/>
          <w:color w:val="auto"/>
          <w:sz w:val="24"/>
          <w:szCs w:val="24"/>
          <w:highlight w:val="none"/>
        </w:rPr>
        <w:t>6．</w:t>
      </w:r>
      <w:r>
        <w:rPr>
          <w:rFonts w:hint="eastAsia" w:ascii="宋体" w:hAnsi="宋体" w:eastAsia="宋体" w:cs="宋体"/>
          <w:color w:val="auto"/>
          <w:sz w:val="24"/>
          <w:szCs w:val="24"/>
          <w:highlight w:val="none"/>
        </w:rPr>
        <w:t>推荐中标候选人</w:t>
      </w:r>
      <w:bookmarkEnd w:id="127"/>
      <w:bookmarkEnd w:id="128"/>
      <w:bookmarkEnd w:id="129"/>
    </w:p>
    <w:p w14:paraId="5291C72F">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综合评分法：评标结果按评审后得分由高到低顺序排列。得分相同的，按投标报价由低到高顺序排列。得分且投标报价相同的并列，按</w:t>
      </w:r>
      <w:r>
        <w:rPr>
          <w:rFonts w:hint="eastAsia" w:ascii="宋体" w:hAnsi="宋体" w:eastAsia="宋体" w:cs="宋体"/>
          <w:b/>
          <w:bCs/>
          <w:color w:val="auto"/>
          <w:szCs w:val="21"/>
          <w:highlight w:val="none"/>
        </w:rPr>
        <w:t>【评标方法及标准前附表】</w:t>
      </w:r>
      <w:r>
        <w:rPr>
          <w:rFonts w:hint="eastAsia" w:ascii="宋体" w:hAnsi="宋体" w:eastAsia="宋体" w:cs="宋体"/>
          <w:bCs/>
          <w:color w:val="auto"/>
          <w:szCs w:val="21"/>
          <w:highlight w:val="none"/>
        </w:rPr>
        <w:t>规定的方式确定中标人；招标文件未规定的，采取随机抽取的方式确定。</w:t>
      </w:r>
    </w:p>
    <w:p w14:paraId="5AA768A7">
      <w:pPr>
        <w:pStyle w:val="4"/>
        <w:keepNext w:val="0"/>
        <w:keepLines w:val="0"/>
        <w:adjustRightInd w:val="0"/>
        <w:snapToGrid w:val="0"/>
        <w:spacing w:before="156" w:beforeLines="50" w:after="0" w:line="360" w:lineRule="auto"/>
        <w:rPr>
          <w:rFonts w:hint="eastAsia" w:ascii="宋体" w:hAnsi="宋体" w:eastAsia="宋体" w:cs="宋体"/>
          <w:color w:val="auto"/>
          <w:sz w:val="24"/>
          <w:szCs w:val="24"/>
          <w:highlight w:val="none"/>
        </w:rPr>
      </w:pPr>
      <w:bookmarkStart w:id="130" w:name="_Toc11040"/>
      <w:bookmarkStart w:id="131" w:name="_Toc29913919"/>
      <w:bookmarkStart w:id="132" w:name="_Toc27411"/>
      <w:r>
        <w:rPr>
          <w:rFonts w:hint="eastAsia" w:ascii="宋体" w:hAnsi="宋体" w:eastAsia="宋体" w:cs="宋体"/>
          <w:bCs w:val="0"/>
          <w:color w:val="auto"/>
          <w:sz w:val="24"/>
          <w:szCs w:val="24"/>
          <w:highlight w:val="none"/>
        </w:rPr>
        <w:t>7．</w:t>
      </w:r>
      <w:r>
        <w:rPr>
          <w:rFonts w:hint="eastAsia" w:ascii="宋体" w:hAnsi="宋体" w:eastAsia="宋体" w:cs="宋体"/>
          <w:color w:val="auto"/>
          <w:sz w:val="24"/>
          <w:szCs w:val="24"/>
          <w:highlight w:val="none"/>
        </w:rPr>
        <w:t>编写评标报告</w:t>
      </w:r>
      <w:bookmarkEnd w:id="130"/>
      <w:bookmarkEnd w:id="131"/>
      <w:bookmarkEnd w:id="132"/>
    </w:p>
    <w:p w14:paraId="6E6156D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7.1评标</w:t>
      </w:r>
      <w:r>
        <w:rPr>
          <w:rFonts w:hint="eastAsia" w:ascii="宋体" w:hAnsi="宋体" w:eastAsia="宋体" w:cs="宋体"/>
          <w:bCs/>
          <w:color w:val="auto"/>
          <w:szCs w:val="21"/>
          <w:highlight w:val="none"/>
        </w:rPr>
        <w:t>委员会</w:t>
      </w:r>
      <w:r>
        <w:rPr>
          <w:rFonts w:hint="eastAsia" w:ascii="宋体" w:hAnsi="宋体" w:eastAsia="宋体" w:cs="宋体"/>
          <w:color w:val="auto"/>
          <w:szCs w:val="21"/>
          <w:highlight w:val="none"/>
        </w:rPr>
        <w:t>根据全体评标成员电子签名的原始评标记录和评标结果编写评标报告。</w:t>
      </w:r>
    </w:p>
    <w:p w14:paraId="56D7EDAF">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7.2</w:t>
      </w:r>
      <w:r>
        <w:rPr>
          <w:rFonts w:hint="eastAsia" w:ascii="宋体" w:hAnsi="宋体" w:eastAsia="宋体" w:cs="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2BEA61C4">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33" w:name="_Toc22429"/>
      <w:bookmarkStart w:id="134" w:name="_Toc29913920"/>
      <w:bookmarkStart w:id="135" w:name="_Toc9642"/>
      <w:r>
        <w:rPr>
          <w:rFonts w:hint="eastAsia" w:ascii="宋体" w:hAnsi="宋体" w:eastAsia="宋体" w:cs="宋体"/>
          <w:bCs w:val="0"/>
          <w:color w:val="auto"/>
          <w:sz w:val="24"/>
          <w:szCs w:val="24"/>
          <w:highlight w:val="none"/>
        </w:rPr>
        <w:t>8．</w:t>
      </w:r>
      <w:r>
        <w:rPr>
          <w:rFonts w:hint="eastAsia" w:ascii="宋体" w:hAnsi="宋体" w:eastAsia="宋体" w:cs="宋体"/>
          <w:color w:val="auto"/>
          <w:sz w:val="24"/>
          <w:szCs w:val="24"/>
          <w:highlight w:val="none"/>
        </w:rPr>
        <w:t>评标报告</w:t>
      </w:r>
      <w:r>
        <w:rPr>
          <w:rFonts w:hint="eastAsia" w:ascii="宋体" w:hAnsi="宋体" w:eastAsia="宋体" w:cs="宋体"/>
          <w:bCs w:val="0"/>
          <w:color w:val="auto"/>
          <w:sz w:val="24"/>
          <w:szCs w:val="24"/>
          <w:highlight w:val="none"/>
        </w:rPr>
        <w:t>复核</w:t>
      </w:r>
      <w:bookmarkEnd w:id="133"/>
      <w:bookmarkEnd w:id="134"/>
      <w:bookmarkEnd w:id="135"/>
    </w:p>
    <w:p w14:paraId="50C5C953">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8.1汇总结束后，评标委员会应当进行复核，特别要对拟推荐为中标候选供应商的、报价最低的、投标文件被认定为无效的进行重点复核。</w:t>
      </w:r>
    </w:p>
    <w:p w14:paraId="4905961D">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8.2汇总完成后，除下列情形外，任何人不得修改评标结果：</w:t>
      </w:r>
    </w:p>
    <w:p w14:paraId="01FCF2C1">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（1）分值汇总计算错误的；</w:t>
      </w:r>
    </w:p>
    <w:p w14:paraId="2DAA913C">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（2）分项评分超出评分标准范围的；</w:t>
      </w:r>
    </w:p>
    <w:p w14:paraId="72EF2DB6">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（3）评标委员会成员对客观评审因素评分不一致的；</w:t>
      </w:r>
    </w:p>
    <w:p w14:paraId="4A49774F">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（4）经评标委员会认定评分畸高、畸低的。</w:t>
      </w:r>
    </w:p>
    <w:p w14:paraId="76DBAEB5">
      <w:pPr>
        <w:adjustRightInd w:val="0"/>
        <w:snapToGrid w:val="0"/>
        <w:spacing w:before="156" w:beforeLines="50" w:line="360" w:lineRule="auto"/>
        <w:ind w:firstLine="420" w:firstLineChars="200"/>
        <w:jc w:val="left"/>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674ED79">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36" w:name="_Toc29913921"/>
      <w:bookmarkStart w:id="137" w:name="_Toc4206"/>
      <w:bookmarkStart w:id="138" w:name="_Toc22688"/>
      <w:r>
        <w:rPr>
          <w:rFonts w:hint="eastAsia" w:ascii="宋体" w:hAnsi="宋体" w:eastAsia="宋体" w:cs="宋体"/>
          <w:color w:val="auto"/>
          <w:sz w:val="24"/>
          <w:szCs w:val="24"/>
          <w:highlight w:val="none"/>
        </w:rPr>
        <w:t>9．</w:t>
      </w:r>
      <w:r>
        <w:rPr>
          <w:rFonts w:hint="eastAsia" w:ascii="宋体" w:hAnsi="宋体" w:eastAsia="宋体" w:cs="宋体"/>
          <w:bCs w:val="0"/>
          <w:color w:val="auto"/>
          <w:sz w:val="24"/>
          <w:szCs w:val="24"/>
          <w:highlight w:val="none"/>
        </w:rPr>
        <w:t>停止评标</w:t>
      </w:r>
      <w:bookmarkEnd w:id="136"/>
      <w:bookmarkEnd w:id="137"/>
      <w:bookmarkEnd w:id="138"/>
    </w:p>
    <w:p w14:paraId="6DA3F8DE">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9.1</w:t>
      </w:r>
      <w:r>
        <w:rPr>
          <w:rFonts w:hint="eastAsia" w:ascii="宋体" w:hAnsi="宋体" w:eastAsia="宋体" w:cs="宋体"/>
          <w:color w:val="auto"/>
          <w:kern w:val="0"/>
          <w:szCs w:val="21"/>
          <w:highlight w:val="none"/>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03BCFDB4">
      <w:pPr>
        <w:pStyle w:val="4"/>
        <w:bidi w:val="0"/>
        <w:rPr>
          <w:rFonts w:hint="eastAsia" w:ascii="宋体" w:hAnsi="宋体" w:eastAsia="宋体" w:cs="宋体"/>
          <w:color w:val="auto"/>
          <w:sz w:val="28"/>
          <w:szCs w:val="28"/>
          <w:highlight w:val="none"/>
        </w:rPr>
      </w:pPr>
      <w:bookmarkStart w:id="139" w:name="_Toc18913"/>
      <w:r>
        <w:rPr>
          <w:rFonts w:hint="eastAsia" w:ascii="宋体" w:hAnsi="宋体" w:eastAsia="宋体" w:cs="宋体"/>
          <w:color w:val="auto"/>
          <w:sz w:val="28"/>
          <w:szCs w:val="28"/>
          <w:highlight w:val="none"/>
        </w:rPr>
        <w:t>10.废标</w:t>
      </w:r>
      <w:bookmarkEnd w:id="139"/>
    </w:p>
    <w:p w14:paraId="0C5389A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 根据有关法律法规和招标文件的有关规定，如出现下列情况之一的，应予以废标：</w:t>
      </w:r>
    </w:p>
    <w:p w14:paraId="087385E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（1）符合专业条件的投标人或者对招标文件作实质响应的投标人不足三家的；</w:t>
      </w:r>
    </w:p>
    <w:p w14:paraId="66546F5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4272DB5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（3）投标人的报价均超过</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项目采购预算，</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不能支付的；</w:t>
      </w:r>
    </w:p>
    <w:p w14:paraId="303C2DC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（4）因重大变故，采购任务取消的。</w:t>
      </w:r>
    </w:p>
    <w:p w14:paraId="667C91E6">
      <w:pPr>
        <w:pStyle w:val="4"/>
        <w:keepNext w:val="0"/>
        <w:keepLines w:val="0"/>
        <w:adjustRightInd w:val="0"/>
        <w:snapToGrid w:val="0"/>
        <w:spacing w:before="156" w:beforeLines="50" w:after="0" w:line="360" w:lineRule="auto"/>
        <w:rPr>
          <w:rFonts w:hint="eastAsia" w:ascii="宋体" w:hAnsi="宋体" w:eastAsia="宋体" w:cs="宋体"/>
          <w:bCs w:val="0"/>
          <w:color w:val="auto"/>
          <w:sz w:val="24"/>
          <w:szCs w:val="24"/>
          <w:highlight w:val="none"/>
        </w:rPr>
      </w:pPr>
      <w:bookmarkStart w:id="140" w:name="_Toc5188"/>
      <w:bookmarkStart w:id="141" w:name="_Toc29913922"/>
      <w:bookmarkStart w:id="142" w:name="_Toc881"/>
      <w:r>
        <w:rPr>
          <w:rFonts w:hint="eastAsia" w:ascii="宋体" w:hAnsi="宋体" w:eastAsia="宋体" w:cs="宋体"/>
          <w:color w:val="auto"/>
          <w:kern w:val="0"/>
          <w:sz w:val="24"/>
          <w:szCs w:val="24"/>
          <w:highlight w:val="none"/>
        </w:rPr>
        <w:t>11．重新组建评标委员会进行评标</w:t>
      </w:r>
      <w:bookmarkEnd w:id="140"/>
      <w:bookmarkEnd w:id="141"/>
      <w:bookmarkEnd w:id="142"/>
    </w:p>
    <w:p w14:paraId="7B1D46F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11.1评标委员会或者其成员存在下列情形导致评标结果无效的，采购人、采购代理机构可以重新组建评标委员会进行评标，并书面报告本级财政部门，但采购合同已经履行的除外：</w:t>
      </w:r>
    </w:p>
    <w:p w14:paraId="21804CA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（1）评标委员会组成不符合《政府采购货物和服务招标投标管理办法》规定的；</w:t>
      </w:r>
    </w:p>
    <w:p w14:paraId="584572C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（2）有《政府采购货物和服务招标投标管理办法》第六十二条第一至五项情形的；</w:t>
      </w:r>
    </w:p>
    <w:p w14:paraId="756B933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（3）评标委员会及其成员独立评标受到非法干预的；</w:t>
      </w:r>
    </w:p>
    <w:p w14:paraId="63724F0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（4）有政府采购法实施条例第七十五条规定的违法行为的。</w:t>
      </w:r>
    </w:p>
    <w:p w14:paraId="782723CE">
      <w:pPr>
        <w:adjustRightInd w:val="0"/>
        <w:snapToGrid w:val="0"/>
        <w:spacing w:before="156" w:beforeLines="50" w:line="360" w:lineRule="auto"/>
        <w:ind w:firstLine="420" w:firstLineChars="200"/>
        <w:jc w:val="left"/>
        <w:rPr>
          <w:rFonts w:hint="eastAsia" w:ascii="宋体" w:hAnsi="宋体" w:eastAsia="宋体" w:cs="宋体"/>
          <w:b/>
          <w:color w:val="auto"/>
          <w:sz w:val="32"/>
          <w:szCs w:val="32"/>
          <w:highlight w:val="none"/>
        </w:rPr>
      </w:pPr>
      <w:r>
        <w:rPr>
          <w:rFonts w:hint="eastAsia" w:ascii="宋体" w:hAnsi="宋体" w:eastAsia="宋体" w:cs="宋体"/>
          <w:color w:val="auto"/>
          <w:szCs w:val="21"/>
          <w:highlight w:val="none"/>
        </w:rPr>
        <w:t>11.2有违法违规行为的原评标委员会成员不得参加重新组建的评标委员会。</w:t>
      </w:r>
      <w:r>
        <w:rPr>
          <w:rFonts w:hint="eastAsia" w:ascii="宋体" w:hAnsi="宋体" w:eastAsia="宋体" w:cs="宋体"/>
          <w:b/>
          <w:color w:val="auto"/>
          <w:sz w:val="32"/>
          <w:szCs w:val="32"/>
          <w:highlight w:val="none"/>
        </w:rPr>
        <w:br w:type="page"/>
      </w:r>
    </w:p>
    <w:p w14:paraId="57B21F56">
      <w:pPr>
        <w:pStyle w:val="3"/>
        <w:adjustRightInd w:val="0"/>
        <w:snapToGrid w:val="0"/>
        <w:jc w:val="center"/>
        <w:rPr>
          <w:rFonts w:hint="eastAsia" w:ascii="宋体" w:hAnsi="宋体" w:eastAsia="宋体" w:cs="宋体"/>
          <w:color w:val="auto"/>
          <w:sz w:val="28"/>
          <w:szCs w:val="28"/>
          <w:highlight w:val="none"/>
        </w:rPr>
      </w:pPr>
      <w:bookmarkStart w:id="143" w:name="_Toc10641"/>
      <w:bookmarkStart w:id="144" w:name="_Toc29913923"/>
      <w:bookmarkStart w:id="145" w:name="_Toc30098"/>
      <w:r>
        <w:rPr>
          <w:rFonts w:hint="eastAsia" w:ascii="宋体" w:hAnsi="宋体" w:eastAsia="宋体" w:cs="宋体"/>
          <w:color w:val="auto"/>
          <w:sz w:val="28"/>
          <w:szCs w:val="28"/>
          <w:highlight w:val="none"/>
        </w:rPr>
        <w:t>第三节 投标文件的符合性审查</w:t>
      </w:r>
      <w:bookmarkEnd w:id="143"/>
      <w:bookmarkEnd w:id="144"/>
      <w:bookmarkEnd w:id="145"/>
    </w:p>
    <w:p w14:paraId="0B12B1B1">
      <w:pPr>
        <w:adjustRightInd w:val="0"/>
        <w:snapToGrid w:val="0"/>
        <w:spacing w:before="156" w:beforeLines="50"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1.符合性审查</w:t>
      </w:r>
    </w:p>
    <w:p w14:paraId="26945F61">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w:t>
      </w:r>
      <w:r>
        <w:rPr>
          <w:rFonts w:hint="eastAsia" w:ascii="宋体" w:hAnsi="宋体" w:eastAsia="宋体" w:cs="宋体"/>
          <w:color w:val="auto"/>
          <w:szCs w:val="21"/>
          <w:highlight w:val="none"/>
        </w:rPr>
        <w:t>评标委员会应</w:t>
      </w:r>
      <w:r>
        <w:rPr>
          <w:rFonts w:hint="eastAsia" w:ascii="宋体" w:hAnsi="宋体" w:eastAsia="宋体" w:cs="宋体"/>
          <w:color w:val="auto"/>
          <w:highlight w:val="none"/>
        </w:rPr>
        <w:t>对符合资格条件的投标人的投标文件进行符合性审查，以确定其是否满足招标文件的实质性要求。</w:t>
      </w:r>
    </w:p>
    <w:p w14:paraId="1D21DC8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40AD525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（2）投标人不得通过修正或撤销不合要求的偏离从而使其投标成为实质上响应的投标。</w:t>
      </w:r>
    </w:p>
    <w:p w14:paraId="09DEFCE8">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Cs w:val="21"/>
          <w:highlight w:val="none"/>
        </w:rPr>
        <w:t>1.2</w:t>
      </w:r>
      <w:r>
        <w:rPr>
          <w:rFonts w:hint="eastAsia" w:ascii="宋体" w:hAnsi="宋体" w:eastAsia="宋体" w:cs="宋体"/>
          <w:color w:val="auto"/>
          <w:highlight w:val="none"/>
        </w:rPr>
        <w:t>未通过符合性审查的投标人，其投标将被认定为投标无效，不能进入下一阶段评审。通过符合性审查的投标人数量不足 3 家的，不得作进一步的比较和评价。</w:t>
      </w:r>
    </w:p>
    <w:p w14:paraId="4315410F">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2.投标无效</w:t>
      </w:r>
    </w:p>
    <w:p w14:paraId="6DBACF7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2.1投标人存在下列情况之一的，符合性审查不合格，投标无效：</w:t>
      </w:r>
    </w:p>
    <w:p w14:paraId="14D5018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（1）投标文件中</w:t>
      </w:r>
      <w:r>
        <w:rPr>
          <w:rFonts w:hint="eastAsia" w:ascii="宋体" w:hAnsi="宋体" w:eastAsia="宋体" w:cs="宋体"/>
          <w:color w:val="auto"/>
          <w:szCs w:val="21"/>
          <w:highlight w:val="none"/>
          <w:lang w:eastAsia="zh-CN"/>
        </w:rPr>
        <w:t>商务和技术文件</w:t>
      </w:r>
      <w:r>
        <w:rPr>
          <w:rFonts w:hint="eastAsia" w:ascii="宋体" w:hAnsi="宋体" w:eastAsia="宋体" w:cs="宋体"/>
          <w:color w:val="auto"/>
          <w:szCs w:val="21"/>
          <w:highlight w:val="none"/>
        </w:rPr>
        <w:t>未按照招标文件规定要求签署、盖章的；</w:t>
      </w:r>
    </w:p>
    <w:p w14:paraId="383A1C9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（2）投标文件没有对招标文件的实质性要求和条件作出响应，或者对招标文件的偏离超出招标文件规定的偏离</w:t>
      </w:r>
      <w:r>
        <w:rPr>
          <w:rFonts w:hint="eastAsia" w:ascii="宋体" w:hAnsi="宋体" w:eastAsia="宋体" w:cs="宋体"/>
          <w:color w:val="auto"/>
          <w:highlight w:val="none"/>
        </w:rPr>
        <w:t>范围和幅度</w:t>
      </w:r>
      <w:r>
        <w:rPr>
          <w:rFonts w:hint="eastAsia" w:ascii="宋体" w:hAnsi="宋体" w:eastAsia="宋体" w:cs="宋体"/>
          <w:color w:val="auto"/>
          <w:szCs w:val="21"/>
          <w:highlight w:val="none"/>
        </w:rPr>
        <w:t>；</w:t>
      </w:r>
    </w:p>
    <w:p w14:paraId="70CEA4F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（3）投标有效期不足的；</w:t>
      </w:r>
    </w:p>
    <w:p w14:paraId="7510757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（4）投标文件含有采购人不能接受的附加条件的；</w:t>
      </w:r>
    </w:p>
    <w:p w14:paraId="2968934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（5）不符合本节第1.1款规定符合性审查标准的；</w:t>
      </w:r>
    </w:p>
    <w:p w14:paraId="08A91F0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（6）法律、法规和招标文件规定的其他投标无效情形的。</w:t>
      </w:r>
    </w:p>
    <w:p w14:paraId="03FEF070">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2.2在评标过程中发现投标人有不遵循公平竞争的原则，恶意串通，妨碍其他投标人的竞争行为，损害采购人或者其他投标人的合法权益的，评标委员会应当认定其</w:t>
      </w:r>
      <w:r>
        <w:rPr>
          <w:rFonts w:hint="eastAsia" w:ascii="宋体" w:hAnsi="宋体" w:eastAsia="宋体" w:cs="宋体"/>
          <w:b/>
          <w:color w:val="auto"/>
          <w:kern w:val="0"/>
          <w:szCs w:val="21"/>
          <w:highlight w:val="none"/>
        </w:rPr>
        <w:t>投标无效</w:t>
      </w:r>
      <w:r>
        <w:rPr>
          <w:rFonts w:hint="eastAsia" w:ascii="宋体" w:hAnsi="宋体" w:eastAsia="宋体" w:cs="宋体"/>
          <w:color w:val="auto"/>
          <w:kern w:val="0"/>
          <w:szCs w:val="21"/>
          <w:highlight w:val="none"/>
        </w:rPr>
        <w:t>，并书面报告本级财政部门。</w:t>
      </w:r>
    </w:p>
    <w:p w14:paraId="15EFB00E">
      <w:pPr>
        <w:rPr>
          <w:rFonts w:hint="eastAsia" w:ascii="宋体" w:hAnsi="宋体" w:eastAsia="宋体" w:cs="宋体"/>
          <w:color w:val="auto"/>
          <w:highlight w:val="none"/>
        </w:rPr>
      </w:pPr>
    </w:p>
    <w:p w14:paraId="564C0DE3">
      <w:pPr>
        <w:rPr>
          <w:rFonts w:hint="eastAsia" w:ascii="宋体" w:hAnsi="宋体" w:eastAsia="宋体" w:cs="宋体"/>
          <w:color w:val="auto"/>
          <w:highlight w:val="none"/>
        </w:rPr>
      </w:pPr>
    </w:p>
    <w:p w14:paraId="4B8D1770">
      <w:pPr>
        <w:widowControl/>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p>
    <w:p w14:paraId="6E7B23B2">
      <w:pPr>
        <w:pStyle w:val="4"/>
        <w:adjustRightInd w:val="0"/>
        <w:snapToGrid w:val="0"/>
        <w:spacing w:before="156" w:beforeLines="50" w:after="0" w:line="360" w:lineRule="auto"/>
        <w:rPr>
          <w:rFonts w:hint="eastAsia" w:ascii="宋体" w:hAnsi="宋体" w:eastAsia="宋体" w:cs="宋体"/>
          <w:color w:val="auto"/>
          <w:sz w:val="21"/>
          <w:szCs w:val="21"/>
          <w:highlight w:val="none"/>
        </w:rPr>
      </w:pPr>
      <w:bookmarkStart w:id="146" w:name="_Toc16957"/>
      <w:bookmarkStart w:id="147" w:name="_Toc20651227"/>
      <w:bookmarkStart w:id="148" w:name="_Toc20064"/>
      <w:bookmarkStart w:id="149" w:name="_Toc29913924"/>
      <w:r>
        <w:rPr>
          <w:rFonts w:hint="eastAsia" w:ascii="宋体" w:hAnsi="宋体" w:eastAsia="宋体" w:cs="宋体"/>
          <w:color w:val="auto"/>
          <w:sz w:val="21"/>
          <w:szCs w:val="21"/>
          <w:highlight w:val="none"/>
        </w:rPr>
        <w:t>附表1 符合性审查表</w:t>
      </w:r>
      <w:bookmarkEnd w:id="146"/>
      <w:bookmarkEnd w:id="147"/>
      <w:bookmarkEnd w:id="148"/>
    </w:p>
    <w:p w14:paraId="4B583DF5">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符合性审查表</w:t>
      </w:r>
    </w:p>
    <w:p w14:paraId="2498540B">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tbl>
      <w:tblPr>
        <w:tblStyle w:val="4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691"/>
      </w:tblGrid>
      <w:tr w14:paraId="5CD581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632EEDDF">
            <w:pPr>
              <w:adjustRightInd w:val="0"/>
              <w:snapToGrid w:val="0"/>
              <w:spacing w:before="156" w:beforeLines="50"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686" w:type="dxa"/>
            <w:noWrap w:val="0"/>
            <w:vAlign w:val="center"/>
          </w:tcPr>
          <w:p w14:paraId="3E4C1162">
            <w:pPr>
              <w:adjustRightInd w:val="0"/>
              <w:snapToGrid w:val="0"/>
              <w:spacing w:before="156" w:beforeLines="50"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审查项目</w:t>
            </w:r>
          </w:p>
        </w:tc>
        <w:tc>
          <w:tcPr>
            <w:tcW w:w="5691" w:type="dxa"/>
            <w:noWrap w:val="0"/>
            <w:vAlign w:val="center"/>
          </w:tcPr>
          <w:p w14:paraId="39845A44">
            <w:pPr>
              <w:adjustRightInd w:val="0"/>
              <w:snapToGrid w:val="0"/>
              <w:spacing w:before="156" w:beforeLines="50"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审查标准</w:t>
            </w:r>
          </w:p>
        </w:tc>
      </w:tr>
      <w:tr w14:paraId="6EA544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3AF142BD">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2686" w:type="dxa"/>
            <w:noWrap w:val="0"/>
            <w:vAlign w:val="center"/>
          </w:tcPr>
          <w:p w14:paraId="5BA7447A">
            <w:pPr>
              <w:adjustRightInd w:val="0"/>
              <w:snapToGrid w:val="0"/>
              <w:spacing w:before="156" w:beforeLines="5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合同履行期限</w:t>
            </w:r>
          </w:p>
        </w:tc>
        <w:tc>
          <w:tcPr>
            <w:tcW w:w="5691" w:type="dxa"/>
            <w:noWrap w:val="0"/>
            <w:vAlign w:val="center"/>
          </w:tcPr>
          <w:p w14:paraId="08A7F640">
            <w:pPr>
              <w:adjustRightInd w:val="0"/>
              <w:snapToGrid w:val="0"/>
              <w:spacing w:before="156" w:beforeLines="5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是否响应招标文件</w:t>
            </w:r>
          </w:p>
        </w:tc>
      </w:tr>
      <w:tr w14:paraId="511C5F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FD65340">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2686" w:type="dxa"/>
            <w:noWrap w:val="0"/>
            <w:vAlign w:val="center"/>
          </w:tcPr>
          <w:p w14:paraId="74320FAF">
            <w:pPr>
              <w:rPr>
                <w:rFonts w:hint="eastAsia" w:ascii="宋体" w:hAnsi="宋体" w:eastAsia="宋体" w:cs="宋体"/>
                <w:color w:val="auto"/>
                <w:kern w:val="0"/>
                <w:szCs w:val="21"/>
                <w:highlight w:val="none"/>
              </w:rPr>
            </w:pPr>
            <w:r>
              <w:rPr>
                <w:rFonts w:hint="eastAsia" w:ascii="宋体" w:hAnsi="宋体" w:eastAsia="宋体" w:cs="宋体"/>
                <w:color w:val="auto"/>
                <w:highlight w:val="none"/>
              </w:rPr>
              <w:t>投标有效期</w:t>
            </w:r>
          </w:p>
        </w:tc>
        <w:tc>
          <w:tcPr>
            <w:tcW w:w="5691" w:type="dxa"/>
            <w:noWrap w:val="0"/>
            <w:vAlign w:val="center"/>
          </w:tcPr>
          <w:p w14:paraId="38CA9D5F">
            <w:pPr>
              <w:rPr>
                <w:rFonts w:hint="eastAsia" w:ascii="宋体" w:hAnsi="宋体" w:eastAsia="宋体" w:cs="宋体"/>
                <w:color w:val="auto"/>
                <w:kern w:val="0"/>
                <w:szCs w:val="21"/>
                <w:highlight w:val="none"/>
              </w:rPr>
            </w:pPr>
            <w:r>
              <w:rPr>
                <w:rFonts w:hint="eastAsia" w:ascii="宋体" w:hAnsi="宋体" w:eastAsia="宋体" w:cs="宋体"/>
                <w:color w:val="auto"/>
                <w:highlight w:val="none"/>
              </w:rPr>
              <w:t>是否符合招标文件的规定</w:t>
            </w:r>
          </w:p>
        </w:tc>
      </w:tr>
      <w:tr w14:paraId="026149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4CB0A1BF">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2686" w:type="dxa"/>
            <w:noWrap w:val="0"/>
            <w:vAlign w:val="center"/>
          </w:tcPr>
          <w:p w14:paraId="58E746FA">
            <w:pPr>
              <w:rPr>
                <w:rFonts w:hint="eastAsia" w:ascii="宋体" w:hAnsi="宋体" w:eastAsia="宋体" w:cs="宋体"/>
                <w:color w:val="auto"/>
                <w:kern w:val="0"/>
                <w:szCs w:val="21"/>
                <w:highlight w:val="none"/>
              </w:rPr>
            </w:pPr>
            <w:r>
              <w:rPr>
                <w:rFonts w:hint="eastAsia" w:ascii="宋体" w:hAnsi="宋体" w:eastAsia="宋体" w:cs="宋体"/>
                <w:color w:val="auto"/>
                <w:highlight w:val="none"/>
              </w:rPr>
              <w:t>投标文件中商务和技术文件的签署、盖章</w:t>
            </w:r>
          </w:p>
        </w:tc>
        <w:tc>
          <w:tcPr>
            <w:tcW w:w="5691" w:type="dxa"/>
            <w:noWrap w:val="0"/>
            <w:vAlign w:val="center"/>
          </w:tcPr>
          <w:p w14:paraId="3238FDC2">
            <w:pPr>
              <w:rPr>
                <w:rFonts w:hint="eastAsia" w:ascii="宋体" w:hAnsi="宋体" w:eastAsia="宋体" w:cs="宋体"/>
                <w:color w:val="auto"/>
                <w:kern w:val="0"/>
                <w:szCs w:val="21"/>
                <w:highlight w:val="none"/>
              </w:rPr>
            </w:pPr>
            <w:r>
              <w:rPr>
                <w:rFonts w:hint="eastAsia" w:ascii="宋体" w:hAnsi="宋体" w:eastAsia="宋体" w:cs="宋体"/>
                <w:color w:val="auto"/>
                <w:highlight w:val="none"/>
              </w:rPr>
              <w:t>是否符合招标文件的规定</w:t>
            </w:r>
          </w:p>
        </w:tc>
      </w:tr>
      <w:tr w14:paraId="2EB5FD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4C3FC9B">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2686" w:type="dxa"/>
            <w:noWrap w:val="0"/>
            <w:vAlign w:val="center"/>
          </w:tcPr>
          <w:p w14:paraId="7DDF6CA5">
            <w:pPr>
              <w:rPr>
                <w:rFonts w:hint="eastAsia" w:ascii="宋体" w:hAnsi="宋体" w:eastAsia="宋体" w:cs="宋体"/>
                <w:color w:val="auto"/>
                <w:kern w:val="0"/>
                <w:szCs w:val="21"/>
                <w:highlight w:val="none"/>
              </w:rPr>
            </w:pPr>
            <w:r>
              <w:rPr>
                <w:rFonts w:hint="eastAsia" w:ascii="宋体" w:hAnsi="宋体" w:eastAsia="宋体" w:cs="宋体"/>
                <w:color w:val="auto"/>
                <w:highlight w:val="none"/>
              </w:rPr>
              <w:t>投标人对采购项目内容只允许有一个投标报价，否则其投标无效。</w:t>
            </w:r>
          </w:p>
        </w:tc>
        <w:tc>
          <w:tcPr>
            <w:tcW w:w="5691" w:type="dxa"/>
            <w:noWrap w:val="0"/>
            <w:vAlign w:val="center"/>
          </w:tcPr>
          <w:p w14:paraId="7C502DE4">
            <w:pPr>
              <w:rPr>
                <w:rFonts w:hint="eastAsia" w:ascii="宋体" w:hAnsi="宋体" w:eastAsia="宋体" w:cs="宋体"/>
                <w:color w:val="auto"/>
                <w:kern w:val="0"/>
                <w:szCs w:val="21"/>
                <w:highlight w:val="none"/>
              </w:rPr>
            </w:pPr>
            <w:r>
              <w:rPr>
                <w:rFonts w:hint="eastAsia" w:ascii="宋体" w:hAnsi="宋体" w:eastAsia="宋体" w:cs="宋体"/>
                <w:color w:val="auto"/>
                <w:highlight w:val="none"/>
              </w:rPr>
              <w:t>是否符合招标文件的规定</w:t>
            </w:r>
          </w:p>
        </w:tc>
      </w:tr>
      <w:tr w14:paraId="16D76A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22432AF6">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2686" w:type="dxa"/>
            <w:noWrap w:val="0"/>
            <w:vAlign w:val="center"/>
          </w:tcPr>
          <w:p w14:paraId="529EA7E0">
            <w:pPr>
              <w:adjustRightInd w:val="0"/>
              <w:snapToGrid w:val="0"/>
              <w:spacing w:before="156" w:beforeLines="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投标报价</w:t>
            </w:r>
          </w:p>
        </w:tc>
        <w:tc>
          <w:tcPr>
            <w:tcW w:w="5691" w:type="dxa"/>
            <w:noWrap w:val="0"/>
            <w:vAlign w:val="center"/>
          </w:tcPr>
          <w:p w14:paraId="557B25C3">
            <w:pPr>
              <w:adjustRightInd w:val="0"/>
              <w:snapToGrid w:val="0"/>
              <w:spacing w:before="156" w:beforeLines="50"/>
              <w:rPr>
                <w:rFonts w:hint="eastAsia" w:ascii="宋体" w:hAnsi="宋体" w:eastAsia="宋体" w:cs="宋体"/>
                <w:color w:val="auto"/>
                <w:kern w:val="0"/>
                <w:szCs w:val="21"/>
                <w:highlight w:val="none"/>
                <w:lang w:eastAsia="zh-CN"/>
              </w:rPr>
            </w:pPr>
            <w:r>
              <w:rPr>
                <w:rFonts w:hint="eastAsia" w:ascii="宋体" w:hAnsi="宋体" w:eastAsia="宋体" w:cs="宋体"/>
                <w:color w:val="auto"/>
                <w:szCs w:val="21"/>
                <w:highlight w:val="none"/>
                <w:lang w:eastAsia="zh-CN"/>
              </w:rPr>
              <w:t>投标报价不得超过采购项目预算或最高限价</w:t>
            </w:r>
            <w:r>
              <w:rPr>
                <w:rFonts w:hint="eastAsia" w:ascii="宋体" w:hAnsi="宋体" w:eastAsia="宋体" w:cs="宋体"/>
                <w:color w:val="auto"/>
                <w:kern w:val="0"/>
                <w:szCs w:val="21"/>
                <w:highlight w:val="none"/>
              </w:rPr>
              <w:t>。</w:t>
            </w:r>
          </w:p>
        </w:tc>
      </w:tr>
      <w:tr w14:paraId="1FBA6A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33F758A">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2686" w:type="dxa"/>
            <w:noWrap w:val="0"/>
            <w:vAlign w:val="center"/>
          </w:tcPr>
          <w:p w14:paraId="63EE086E">
            <w:pPr>
              <w:adjustRightInd w:val="0"/>
              <w:snapToGrid w:val="0"/>
              <w:spacing w:before="156" w:beforeLines="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投标文件载明的投标范围符合招标文件规定的招标范围</w:t>
            </w:r>
          </w:p>
        </w:tc>
        <w:tc>
          <w:tcPr>
            <w:tcW w:w="5691" w:type="dxa"/>
            <w:noWrap w:val="0"/>
            <w:vAlign w:val="center"/>
          </w:tcPr>
          <w:p w14:paraId="23BF626D">
            <w:pPr>
              <w:adjustRightInd w:val="0"/>
              <w:snapToGrid w:val="0"/>
              <w:spacing w:before="156" w:beforeLines="5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没有缺漏招标文件所要求的内容</w:t>
            </w:r>
          </w:p>
        </w:tc>
      </w:tr>
      <w:tr w14:paraId="0D3FB2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28162E57">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2686" w:type="dxa"/>
            <w:noWrap w:val="0"/>
            <w:vAlign w:val="center"/>
          </w:tcPr>
          <w:p w14:paraId="21663E15">
            <w:pPr>
              <w:adjustRightInd w:val="0"/>
              <w:snapToGrid w:val="0"/>
              <w:spacing w:before="156" w:beforeLines="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投标文件对招标文件的偏离没有超出招标文件规定的偏离范围和幅度</w:t>
            </w:r>
          </w:p>
        </w:tc>
        <w:tc>
          <w:tcPr>
            <w:tcW w:w="5691" w:type="dxa"/>
            <w:noWrap w:val="0"/>
            <w:vAlign w:val="center"/>
          </w:tcPr>
          <w:p w14:paraId="1DC63DC4">
            <w:pPr>
              <w:adjustRightInd w:val="0"/>
              <w:snapToGrid w:val="0"/>
              <w:spacing w:before="156" w:beforeLines="5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是否符合招标文件的规定</w:t>
            </w:r>
          </w:p>
        </w:tc>
      </w:tr>
      <w:tr w14:paraId="46FDA5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A20AD04">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w:t>
            </w:r>
          </w:p>
        </w:tc>
        <w:tc>
          <w:tcPr>
            <w:tcW w:w="2686" w:type="dxa"/>
            <w:noWrap w:val="0"/>
            <w:vAlign w:val="center"/>
          </w:tcPr>
          <w:p w14:paraId="0E571F5B">
            <w:pPr>
              <w:adjustRightInd w:val="0"/>
              <w:snapToGrid w:val="0"/>
              <w:spacing w:before="156" w:beforeLines="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投标文件没有采购人不能接受的附加条件</w:t>
            </w:r>
          </w:p>
        </w:tc>
        <w:tc>
          <w:tcPr>
            <w:tcW w:w="5691" w:type="dxa"/>
            <w:noWrap w:val="0"/>
            <w:vAlign w:val="center"/>
          </w:tcPr>
          <w:p w14:paraId="4505D89A">
            <w:pPr>
              <w:adjustRightInd w:val="0"/>
              <w:snapToGrid w:val="0"/>
              <w:spacing w:before="156" w:beforeLines="5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是否符合招标文件的规定</w:t>
            </w:r>
          </w:p>
        </w:tc>
      </w:tr>
      <w:tr w14:paraId="5E4AA4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4620843D">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w:t>
            </w:r>
          </w:p>
        </w:tc>
        <w:tc>
          <w:tcPr>
            <w:tcW w:w="2686" w:type="dxa"/>
            <w:noWrap w:val="0"/>
            <w:vAlign w:val="center"/>
          </w:tcPr>
          <w:p w14:paraId="37561166">
            <w:pPr>
              <w:adjustRightInd w:val="0"/>
              <w:snapToGrid w:val="0"/>
              <w:spacing w:before="156" w:beforeLines="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符合法律、法规和招标文件中用“拒绝”“不接受”“无效”“不得”等文字规定的实质性条款</w:t>
            </w:r>
          </w:p>
        </w:tc>
        <w:tc>
          <w:tcPr>
            <w:tcW w:w="5691" w:type="dxa"/>
            <w:noWrap w:val="0"/>
            <w:vAlign w:val="center"/>
          </w:tcPr>
          <w:p w14:paraId="72B011AE">
            <w:pPr>
              <w:adjustRightInd w:val="0"/>
              <w:snapToGrid w:val="0"/>
              <w:spacing w:before="156" w:beforeLines="5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是否符合招标文件的规定</w:t>
            </w:r>
          </w:p>
        </w:tc>
      </w:tr>
      <w:tr w14:paraId="623C46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6B711C3A">
            <w:pPr>
              <w:adjustRightInd w:val="0"/>
              <w:snapToGrid w:val="0"/>
              <w:spacing w:before="156" w:beforeLines="50" w:line="360"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w:t>
            </w:r>
          </w:p>
        </w:tc>
        <w:tc>
          <w:tcPr>
            <w:tcW w:w="2686" w:type="dxa"/>
            <w:noWrap w:val="0"/>
            <w:vAlign w:val="center"/>
          </w:tcPr>
          <w:p w14:paraId="03122583">
            <w:pPr>
              <w:adjustRightInd w:val="0"/>
              <w:snapToGrid w:val="0"/>
              <w:spacing w:before="156" w:beforeLines="5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投标报价的其他要求</w:t>
            </w:r>
          </w:p>
        </w:tc>
        <w:tc>
          <w:tcPr>
            <w:tcW w:w="5691" w:type="dxa"/>
            <w:noWrap w:val="0"/>
            <w:vAlign w:val="center"/>
          </w:tcPr>
          <w:p w14:paraId="1CAD7BBB">
            <w:pPr>
              <w:adjustRightInd w:val="0"/>
              <w:snapToGrid w:val="0"/>
              <w:spacing w:before="156" w:beforeLines="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投标报价</w:t>
            </w:r>
            <w:r>
              <w:rPr>
                <w:rFonts w:hint="eastAsia" w:ascii="宋体" w:hAnsi="宋体" w:eastAsia="宋体" w:cs="宋体"/>
                <w:color w:val="auto"/>
                <w:highlight w:val="none"/>
              </w:rPr>
              <w:t>是否符合</w:t>
            </w:r>
            <w:r>
              <w:rPr>
                <w:rFonts w:hint="eastAsia" w:ascii="宋体" w:hAnsi="宋体" w:eastAsia="宋体" w:cs="宋体"/>
                <w:color w:val="auto"/>
                <w:szCs w:val="21"/>
                <w:highlight w:val="none"/>
              </w:rPr>
              <w:t>投标报价的其他要求</w:t>
            </w:r>
          </w:p>
        </w:tc>
      </w:tr>
      <w:tr w14:paraId="135412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249A3D7E">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r>
              <w:rPr>
                <w:rFonts w:hint="eastAsia" w:ascii="宋体" w:hAnsi="宋体" w:eastAsia="宋体" w:cs="宋体"/>
                <w:color w:val="auto"/>
                <w:kern w:val="0"/>
                <w:sz w:val="20"/>
                <w:szCs w:val="21"/>
                <w:highlight w:val="none"/>
              </w:rPr>
              <w:t>结论</w:t>
            </w:r>
          </w:p>
        </w:tc>
        <w:tc>
          <w:tcPr>
            <w:tcW w:w="8377" w:type="dxa"/>
            <w:gridSpan w:val="2"/>
            <w:noWrap w:val="0"/>
            <w:vAlign w:val="center"/>
          </w:tcPr>
          <w:p w14:paraId="2E55D68B">
            <w:pPr>
              <w:adjustRightInd w:val="0"/>
              <w:snapToGrid w:val="0"/>
              <w:spacing w:before="156" w:beforeLines="50" w:line="360" w:lineRule="auto"/>
              <w:jc w:val="center"/>
              <w:rPr>
                <w:rFonts w:hint="eastAsia" w:ascii="宋体" w:hAnsi="宋体" w:eastAsia="宋体" w:cs="宋体"/>
                <w:color w:val="auto"/>
                <w:kern w:val="0"/>
                <w:sz w:val="20"/>
                <w:szCs w:val="21"/>
                <w:highlight w:val="none"/>
              </w:rPr>
            </w:pPr>
          </w:p>
        </w:tc>
      </w:tr>
    </w:tbl>
    <w:p w14:paraId="02235596">
      <w:pPr>
        <w:rPr>
          <w:rFonts w:hint="eastAsia" w:ascii="宋体" w:hAnsi="宋体" w:eastAsia="宋体" w:cs="宋体"/>
          <w:color w:val="auto"/>
          <w:highlight w:val="none"/>
        </w:rPr>
      </w:pPr>
      <w:r>
        <w:rPr>
          <w:rFonts w:hint="eastAsia" w:ascii="宋体" w:hAnsi="宋体" w:eastAsia="宋体" w:cs="宋体"/>
          <w:color w:val="auto"/>
          <w:highlight w:val="none"/>
        </w:rPr>
        <w:t>注：符合的因素</w:t>
      </w:r>
      <w:r>
        <w:rPr>
          <w:rFonts w:hint="eastAsia" w:ascii="宋体" w:hAnsi="宋体" w:eastAsia="宋体" w:cs="宋体"/>
          <w:color w:val="auto"/>
          <w:highlight w:val="none"/>
          <w:lang w:eastAsia="zh-CN"/>
        </w:rPr>
        <w:t>记“通过”</w:t>
      </w:r>
      <w:r>
        <w:rPr>
          <w:rFonts w:hint="eastAsia" w:ascii="宋体" w:hAnsi="宋体" w:eastAsia="宋体" w:cs="宋体"/>
          <w:color w:val="auto"/>
          <w:highlight w:val="none"/>
        </w:rPr>
        <w:t>，不符合的因素</w:t>
      </w:r>
      <w:r>
        <w:rPr>
          <w:rFonts w:hint="eastAsia" w:ascii="宋体" w:hAnsi="宋体" w:eastAsia="宋体" w:cs="宋体"/>
          <w:color w:val="auto"/>
          <w:highlight w:val="none"/>
          <w:lang w:eastAsia="zh-CN"/>
        </w:rPr>
        <w:t>记“不通过”</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结论填写“通过”或“不通过”</w:t>
      </w:r>
      <w:r>
        <w:rPr>
          <w:rFonts w:hint="eastAsia" w:ascii="宋体" w:hAnsi="宋体" w:eastAsia="宋体" w:cs="宋体"/>
          <w:color w:val="auto"/>
          <w:highlight w:val="none"/>
        </w:rPr>
        <w:t>。只要有一项不符合要求的属于不合格投标人，不合格投标人不能进入下一步评审。合格投标人数量少于3个的，不得评标。</w:t>
      </w:r>
    </w:p>
    <w:p w14:paraId="69FD4B16">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594A2FF6">
      <w:pPr>
        <w:pStyle w:val="4"/>
        <w:adjustRightInd w:val="0"/>
        <w:snapToGrid w:val="0"/>
        <w:spacing w:before="156" w:beforeLines="50" w:after="0" w:line="360" w:lineRule="auto"/>
        <w:rPr>
          <w:rFonts w:hint="eastAsia" w:ascii="宋体" w:hAnsi="宋体" w:eastAsia="宋体" w:cs="宋体"/>
          <w:b w:val="0"/>
          <w:bCs w:val="0"/>
          <w:color w:val="auto"/>
          <w:sz w:val="21"/>
          <w:szCs w:val="21"/>
          <w:highlight w:val="none"/>
        </w:rPr>
      </w:pPr>
      <w:bookmarkStart w:id="150" w:name="_Toc3251"/>
      <w:bookmarkStart w:id="151" w:name="_Toc12497"/>
      <w:r>
        <w:rPr>
          <w:rFonts w:hint="eastAsia" w:ascii="宋体" w:hAnsi="宋体" w:eastAsia="宋体" w:cs="宋体"/>
          <w:b w:val="0"/>
          <w:bCs w:val="0"/>
          <w:color w:val="auto"/>
          <w:sz w:val="21"/>
          <w:szCs w:val="21"/>
          <w:highlight w:val="none"/>
        </w:rPr>
        <w:t>附表2 符合性审查结果一览表</w:t>
      </w:r>
      <w:bookmarkEnd w:id="150"/>
      <w:bookmarkEnd w:id="151"/>
    </w:p>
    <w:p w14:paraId="2EC94A99">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符合性审查结果一览表</w:t>
      </w:r>
    </w:p>
    <w:p w14:paraId="2ED5C862">
      <w:pPr>
        <w:adjustRightInd w:val="0"/>
        <w:snapToGrid w:val="0"/>
        <w:spacing w:before="156" w:beforeLines="50" w:line="360" w:lineRule="auto"/>
        <w:rPr>
          <w:rFonts w:hint="eastAsia" w:ascii="宋体" w:hAnsi="宋体" w:eastAsia="宋体" w:cs="宋体"/>
          <w:color w:val="auto"/>
          <w:szCs w:val="21"/>
          <w:highlight w:val="none"/>
        </w:rPr>
      </w:pPr>
    </w:p>
    <w:tbl>
      <w:tblPr>
        <w:tblStyle w:val="4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3FD7AF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87A2F6D">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963" w:type="dxa"/>
            <w:noWrap w:val="0"/>
            <w:vAlign w:val="center"/>
          </w:tcPr>
          <w:p w14:paraId="1C940D6A">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投标人名称</w:t>
            </w:r>
          </w:p>
        </w:tc>
        <w:tc>
          <w:tcPr>
            <w:tcW w:w="2439" w:type="dxa"/>
            <w:noWrap w:val="0"/>
            <w:vAlign w:val="center"/>
          </w:tcPr>
          <w:p w14:paraId="5C35E383">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符合性审查结果</w:t>
            </w:r>
          </w:p>
          <w:p w14:paraId="62F0C9DD">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（合格/不合格）</w:t>
            </w:r>
          </w:p>
        </w:tc>
        <w:tc>
          <w:tcPr>
            <w:tcW w:w="2961" w:type="dxa"/>
            <w:noWrap w:val="0"/>
            <w:vAlign w:val="center"/>
          </w:tcPr>
          <w:p w14:paraId="0BBF49C6">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符合性审查不合格原因</w:t>
            </w:r>
          </w:p>
        </w:tc>
      </w:tr>
      <w:tr w14:paraId="36B090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0441F85">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18526799">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B6A98C0">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388E528E">
            <w:pPr>
              <w:adjustRightInd w:val="0"/>
              <w:snapToGrid w:val="0"/>
              <w:spacing w:line="360" w:lineRule="auto"/>
              <w:rPr>
                <w:rFonts w:hint="eastAsia" w:ascii="宋体" w:hAnsi="宋体" w:eastAsia="宋体" w:cs="宋体"/>
                <w:color w:val="auto"/>
                <w:kern w:val="0"/>
                <w:sz w:val="24"/>
                <w:highlight w:val="none"/>
              </w:rPr>
            </w:pPr>
          </w:p>
        </w:tc>
      </w:tr>
      <w:tr w14:paraId="1E6665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2D6DCF1">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70109EEE">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3F01D883">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52152A7D">
            <w:pPr>
              <w:adjustRightInd w:val="0"/>
              <w:snapToGrid w:val="0"/>
              <w:spacing w:line="360" w:lineRule="auto"/>
              <w:rPr>
                <w:rFonts w:hint="eastAsia" w:ascii="宋体" w:hAnsi="宋体" w:eastAsia="宋体" w:cs="宋体"/>
                <w:color w:val="auto"/>
                <w:kern w:val="0"/>
                <w:sz w:val="24"/>
                <w:highlight w:val="none"/>
              </w:rPr>
            </w:pPr>
          </w:p>
        </w:tc>
      </w:tr>
      <w:tr w14:paraId="10FC13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B482AF9">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5999A9AD">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458B96D1">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72D14D6D">
            <w:pPr>
              <w:adjustRightInd w:val="0"/>
              <w:snapToGrid w:val="0"/>
              <w:spacing w:line="360" w:lineRule="auto"/>
              <w:rPr>
                <w:rFonts w:hint="eastAsia" w:ascii="宋体" w:hAnsi="宋体" w:eastAsia="宋体" w:cs="宋体"/>
                <w:color w:val="auto"/>
                <w:kern w:val="0"/>
                <w:sz w:val="24"/>
                <w:highlight w:val="none"/>
              </w:rPr>
            </w:pPr>
          </w:p>
        </w:tc>
      </w:tr>
      <w:tr w14:paraId="7F0321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AC52D66">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50DCDA09">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849DF8B">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358DA775">
            <w:pPr>
              <w:adjustRightInd w:val="0"/>
              <w:snapToGrid w:val="0"/>
              <w:spacing w:line="360" w:lineRule="auto"/>
              <w:rPr>
                <w:rFonts w:hint="eastAsia" w:ascii="宋体" w:hAnsi="宋体" w:eastAsia="宋体" w:cs="宋体"/>
                <w:color w:val="auto"/>
                <w:kern w:val="0"/>
                <w:sz w:val="24"/>
                <w:highlight w:val="none"/>
              </w:rPr>
            </w:pPr>
          </w:p>
        </w:tc>
      </w:tr>
      <w:tr w14:paraId="234B2E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9EA9BF4">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4BF88922">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BC8F458">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6A6DDD80">
            <w:pPr>
              <w:adjustRightInd w:val="0"/>
              <w:snapToGrid w:val="0"/>
              <w:spacing w:line="360" w:lineRule="auto"/>
              <w:rPr>
                <w:rFonts w:hint="eastAsia" w:ascii="宋体" w:hAnsi="宋体" w:eastAsia="宋体" w:cs="宋体"/>
                <w:color w:val="auto"/>
                <w:kern w:val="0"/>
                <w:sz w:val="24"/>
                <w:highlight w:val="none"/>
              </w:rPr>
            </w:pPr>
          </w:p>
        </w:tc>
      </w:tr>
      <w:tr w14:paraId="1F09FA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A25926A">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1B35317E">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132BAE51">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0CFE5DBE">
            <w:pPr>
              <w:adjustRightInd w:val="0"/>
              <w:snapToGrid w:val="0"/>
              <w:spacing w:line="360" w:lineRule="auto"/>
              <w:rPr>
                <w:rFonts w:hint="eastAsia" w:ascii="宋体" w:hAnsi="宋体" w:eastAsia="宋体" w:cs="宋体"/>
                <w:color w:val="auto"/>
                <w:kern w:val="0"/>
                <w:sz w:val="24"/>
                <w:highlight w:val="none"/>
              </w:rPr>
            </w:pPr>
          </w:p>
        </w:tc>
      </w:tr>
    </w:tbl>
    <w:p w14:paraId="5E408839">
      <w:pPr>
        <w:widowControl/>
        <w:jc w:val="left"/>
        <w:rPr>
          <w:rFonts w:hint="eastAsia" w:ascii="宋体" w:hAnsi="宋体" w:eastAsia="宋体" w:cs="宋体"/>
          <w:bCs/>
          <w:color w:val="auto"/>
          <w:szCs w:val="21"/>
          <w:highlight w:val="none"/>
        </w:rPr>
      </w:pPr>
    </w:p>
    <w:p w14:paraId="48241620">
      <w:pPr>
        <w:pStyle w:val="4"/>
        <w:adjustRightInd w:val="0"/>
        <w:snapToGrid w:val="0"/>
        <w:spacing w:before="156" w:beforeLines="50" w:after="0" w:line="360" w:lineRule="auto"/>
        <w:rPr>
          <w:rFonts w:hint="eastAsia" w:ascii="宋体" w:hAnsi="宋体" w:eastAsia="宋体" w:cs="宋体"/>
          <w:b w:val="0"/>
          <w:bCs w:val="0"/>
          <w:color w:val="auto"/>
          <w:sz w:val="21"/>
          <w:szCs w:val="21"/>
          <w:highlight w:val="none"/>
        </w:rPr>
      </w:pPr>
      <w:bookmarkStart w:id="152" w:name="_Toc21842"/>
      <w:bookmarkStart w:id="153" w:name="_Toc25337"/>
      <w:r>
        <w:rPr>
          <w:rFonts w:hint="eastAsia" w:ascii="宋体" w:hAnsi="宋体" w:eastAsia="宋体" w:cs="宋体"/>
          <w:b w:val="0"/>
          <w:bCs w:val="0"/>
          <w:color w:val="auto"/>
          <w:sz w:val="21"/>
          <w:szCs w:val="21"/>
          <w:highlight w:val="none"/>
        </w:rPr>
        <w:t>附表3 符合性审查合格投标人名单</w:t>
      </w:r>
      <w:bookmarkEnd w:id="152"/>
      <w:bookmarkEnd w:id="153"/>
    </w:p>
    <w:p w14:paraId="28EF812F">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符合性审查合格投标人名单</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2F1C05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5A7BC44A">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7796" w:type="dxa"/>
            <w:noWrap w:val="0"/>
            <w:vAlign w:val="center"/>
          </w:tcPr>
          <w:p w14:paraId="6C672CC2">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合格投标人名称</w:t>
            </w:r>
          </w:p>
        </w:tc>
      </w:tr>
      <w:tr w14:paraId="0056B0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0A81131B">
            <w:pPr>
              <w:adjustRightInd w:val="0"/>
              <w:snapToGrid w:val="0"/>
              <w:spacing w:line="360" w:lineRule="auto"/>
              <w:rPr>
                <w:rFonts w:hint="eastAsia" w:ascii="宋体" w:hAnsi="宋体" w:eastAsia="宋体" w:cs="宋体"/>
                <w:color w:val="auto"/>
                <w:kern w:val="0"/>
                <w:szCs w:val="21"/>
                <w:highlight w:val="none"/>
              </w:rPr>
            </w:pPr>
          </w:p>
        </w:tc>
        <w:tc>
          <w:tcPr>
            <w:tcW w:w="7796" w:type="dxa"/>
            <w:noWrap w:val="0"/>
            <w:vAlign w:val="top"/>
          </w:tcPr>
          <w:p w14:paraId="48570C21">
            <w:pPr>
              <w:adjustRightInd w:val="0"/>
              <w:snapToGrid w:val="0"/>
              <w:spacing w:line="360" w:lineRule="auto"/>
              <w:rPr>
                <w:rFonts w:hint="eastAsia" w:ascii="宋体" w:hAnsi="宋体" w:eastAsia="宋体" w:cs="宋体"/>
                <w:color w:val="auto"/>
                <w:kern w:val="0"/>
                <w:szCs w:val="21"/>
                <w:highlight w:val="none"/>
              </w:rPr>
            </w:pPr>
          </w:p>
        </w:tc>
      </w:tr>
      <w:tr w14:paraId="401B5C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CD3841E">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449D4925">
            <w:pPr>
              <w:adjustRightInd w:val="0"/>
              <w:snapToGrid w:val="0"/>
              <w:spacing w:line="360" w:lineRule="auto"/>
              <w:rPr>
                <w:rFonts w:hint="eastAsia" w:ascii="宋体" w:hAnsi="宋体" w:eastAsia="宋体" w:cs="宋体"/>
                <w:color w:val="auto"/>
                <w:kern w:val="0"/>
                <w:sz w:val="24"/>
                <w:highlight w:val="none"/>
              </w:rPr>
            </w:pPr>
          </w:p>
        </w:tc>
      </w:tr>
      <w:tr w14:paraId="073572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B523915">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6BFE50F4">
            <w:pPr>
              <w:adjustRightInd w:val="0"/>
              <w:snapToGrid w:val="0"/>
              <w:spacing w:line="360" w:lineRule="auto"/>
              <w:rPr>
                <w:rFonts w:hint="eastAsia" w:ascii="宋体" w:hAnsi="宋体" w:eastAsia="宋体" w:cs="宋体"/>
                <w:color w:val="auto"/>
                <w:kern w:val="0"/>
                <w:sz w:val="24"/>
                <w:highlight w:val="none"/>
              </w:rPr>
            </w:pPr>
          </w:p>
        </w:tc>
      </w:tr>
      <w:tr w14:paraId="4DC96C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FE6CBCA">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79DB681E">
            <w:pPr>
              <w:adjustRightInd w:val="0"/>
              <w:snapToGrid w:val="0"/>
              <w:spacing w:line="360" w:lineRule="auto"/>
              <w:rPr>
                <w:rFonts w:hint="eastAsia" w:ascii="宋体" w:hAnsi="宋体" w:eastAsia="宋体" w:cs="宋体"/>
                <w:color w:val="auto"/>
                <w:kern w:val="0"/>
                <w:sz w:val="24"/>
                <w:highlight w:val="none"/>
              </w:rPr>
            </w:pPr>
          </w:p>
        </w:tc>
      </w:tr>
      <w:tr w14:paraId="2AB4D8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8F98130">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50979A02">
            <w:pPr>
              <w:adjustRightInd w:val="0"/>
              <w:snapToGrid w:val="0"/>
              <w:spacing w:line="360" w:lineRule="auto"/>
              <w:rPr>
                <w:rFonts w:hint="eastAsia" w:ascii="宋体" w:hAnsi="宋体" w:eastAsia="宋体" w:cs="宋体"/>
                <w:color w:val="auto"/>
                <w:kern w:val="0"/>
                <w:sz w:val="24"/>
                <w:highlight w:val="none"/>
              </w:rPr>
            </w:pPr>
          </w:p>
        </w:tc>
      </w:tr>
      <w:tr w14:paraId="1A7DAF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24255C2">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74C93A55">
            <w:pPr>
              <w:adjustRightInd w:val="0"/>
              <w:snapToGrid w:val="0"/>
              <w:spacing w:line="360" w:lineRule="auto"/>
              <w:rPr>
                <w:rFonts w:hint="eastAsia" w:ascii="宋体" w:hAnsi="宋体" w:eastAsia="宋体" w:cs="宋体"/>
                <w:color w:val="auto"/>
                <w:kern w:val="0"/>
                <w:sz w:val="24"/>
                <w:highlight w:val="none"/>
              </w:rPr>
            </w:pPr>
          </w:p>
        </w:tc>
      </w:tr>
    </w:tbl>
    <w:p w14:paraId="6E25E16E">
      <w:pPr>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说明：本表中投标人排名不分先后。不合格的投标人不能进入下一步评审。</w:t>
      </w:r>
      <w:r>
        <w:rPr>
          <w:rFonts w:hint="eastAsia" w:ascii="宋体" w:hAnsi="宋体" w:eastAsia="宋体" w:cs="宋体"/>
          <w:color w:val="auto"/>
          <w:kern w:val="0"/>
          <w:szCs w:val="21"/>
          <w:highlight w:val="none"/>
        </w:rPr>
        <w:t>合格投标人数量少于3个的，不得评标。</w:t>
      </w:r>
    </w:p>
    <w:p w14:paraId="06C0BB81">
      <w:pPr>
        <w:adjustRightInd w:val="0"/>
        <w:snapToGrid w:val="0"/>
        <w:spacing w:line="360" w:lineRule="auto"/>
        <w:rPr>
          <w:rFonts w:hint="eastAsia" w:ascii="宋体" w:hAnsi="宋体" w:eastAsia="宋体" w:cs="宋体"/>
          <w:color w:val="auto"/>
          <w:szCs w:val="21"/>
          <w:highlight w:val="none"/>
        </w:rPr>
      </w:pPr>
    </w:p>
    <w:p w14:paraId="09F0C486">
      <w:pPr>
        <w:rPr>
          <w:rFonts w:hint="eastAsia" w:ascii="宋体" w:hAnsi="宋体" w:eastAsia="宋体" w:cs="宋体"/>
          <w:color w:val="auto"/>
          <w:w w:val="90"/>
          <w:highlight w:val="none"/>
        </w:rPr>
      </w:pPr>
      <w:r>
        <w:rPr>
          <w:rFonts w:hint="eastAsia" w:ascii="宋体" w:hAnsi="宋体" w:eastAsia="宋体" w:cs="宋体"/>
          <w:color w:val="auto"/>
          <w:szCs w:val="21"/>
          <w:highlight w:val="none"/>
        </w:rPr>
        <w:t>评标委员会全体成员（</w:t>
      </w:r>
      <w:r>
        <w:rPr>
          <w:rFonts w:hint="eastAsia" w:ascii="宋体" w:hAnsi="宋体" w:eastAsia="宋体" w:cs="宋体"/>
          <w:color w:val="auto"/>
          <w:szCs w:val="21"/>
          <w:highlight w:val="none"/>
          <w:lang w:eastAsia="zh-CN"/>
        </w:rPr>
        <w:t>电子</w:t>
      </w:r>
      <w:r>
        <w:rPr>
          <w:rFonts w:hint="eastAsia" w:ascii="宋体" w:hAnsi="宋体" w:eastAsia="宋体" w:cs="宋体"/>
          <w:color w:val="auto"/>
          <w:szCs w:val="21"/>
          <w:highlight w:val="none"/>
        </w:rPr>
        <w:t>签字）：                                    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日</w:t>
      </w:r>
    </w:p>
    <w:p w14:paraId="03FD4619">
      <w:pPr>
        <w:rPr>
          <w:rFonts w:hint="eastAsia" w:ascii="宋体" w:hAnsi="宋体" w:eastAsia="宋体" w:cs="宋体"/>
          <w:b/>
          <w:color w:val="auto"/>
          <w:sz w:val="32"/>
          <w:szCs w:val="32"/>
          <w:highlight w:val="none"/>
        </w:rPr>
      </w:pPr>
    </w:p>
    <w:p w14:paraId="7FB58CD5">
      <w:pPr>
        <w:pStyle w:val="3"/>
        <w:adjustRightInd w:val="0"/>
        <w:snapToGrid w:val="0"/>
        <w:jc w:val="center"/>
        <w:rPr>
          <w:rFonts w:hint="eastAsia" w:ascii="宋体" w:hAnsi="宋体" w:eastAsia="宋体" w:cs="宋体"/>
          <w:color w:val="auto"/>
          <w:sz w:val="28"/>
          <w:szCs w:val="28"/>
          <w:highlight w:val="none"/>
        </w:rPr>
      </w:pPr>
      <w:r>
        <w:rPr>
          <w:rFonts w:hint="eastAsia" w:ascii="宋体" w:hAnsi="宋体" w:eastAsia="宋体" w:cs="宋体"/>
          <w:b w:val="0"/>
          <w:color w:val="auto"/>
          <w:sz w:val="32"/>
          <w:highlight w:val="none"/>
        </w:rPr>
        <w:br w:type="page"/>
      </w:r>
      <w:bookmarkStart w:id="154" w:name="_Toc23932"/>
      <w:bookmarkStart w:id="155" w:name="_Toc4901"/>
      <w:r>
        <w:rPr>
          <w:rFonts w:hint="eastAsia" w:ascii="宋体" w:hAnsi="宋体" w:eastAsia="宋体" w:cs="宋体"/>
          <w:color w:val="auto"/>
          <w:sz w:val="28"/>
          <w:szCs w:val="28"/>
          <w:highlight w:val="none"/>
        </w:rPr>
        <w:t>第四节 投标文件的比较与评价</w:t>
      </w:r>
      <w:bookmarkEnd w:id="149"/>
      <w:bookmarkEnd w:id="154"/>
      <w:bookmarkEnd w:id="155"/>
    </w:p>
    <w:p w14:paraId="4145578C">
      <w:pPr>
        <w:widowControl/>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color w:val="auto"/>
          <w:highlight w:val="none"/>
        </w:rPr>
        <w:t xml:space="preserve"> </w:t>
      </w:r>
      <w:r>
        <w:rPr>
          <w:rFonts w:hint="eastAsia" w:ascii="宋体" w:hAnsi="宋体" w:eastAsia="宋体" w:cs="宋体"/>
          <w:b/>
          <w:color w:val="auto"/>
          <w:sz w:val="24"/>
          <w:highlight w:val="none"/>
        </w:rPr>
        <w:t>综合评分法</w:t>
      </w:r>
    </w:p>
    <w:p w14:paraId="038A3C77">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1.1综合评分法，指投标文件满足招标文件全部实质性要求，且按照评审因素的量化指标评审得分最高的投标人为中标候选人的评标方法。</w:t>
      </w:r>
    </w:p>
    <w:p w14:paraId="6128E2A1">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3C1BDD14">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1.3未通过符合性审查的投标文件不得进入比较与评价。</w:t>
      </w:r>
    </w:p>
    <w:p w14:paraId="4AADDC07">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color w:val="auto"/>
          <w:highlight w:val="none"/>
        </w:rPr>
        <w:t xml:space="preserve"> </w:t>
      </w:r>
      <w:r>
        <w:rPr>
          <w:rFonts w:hint="eastAsia" w:ascii="宋体" w:hAnsi="宋体" w:eastAsia="宋体" w:cs="宋体"/>
          <w:b/>
          <w:bCs/>
          <w:color w:val="auto"/>
          <w:sz w:val="24"/>
          <w:highlight w:val="none"/>
        </w:rPr>
        <w:t>投标报价的算术修正及政府采购政策调整</w:t>
      </w:r>
    </w:p>
    <w:p w14:paraId="746C2BD7">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2.1如果有算术错误，投标报价将按本章第二节第4.2款、第4.3款规定进行算术修正。</w:t>
      </w:r>
    </w:p>
    <w:p w14:paraId="30AE6B08">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2.2需落实政府采购政策（价格评审优惠）的，按第二章“投标须知”及本章第二节第5.</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（1）项的相关规定进行价格调整。</w:t>
      </w:r>
    </w:p>
    <w:p w14:paraId="55439B29">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2.3按本章本节第2.1款、第2.2款规定，以修正或调整后的价格确定投标人的投标报价和评标基准价，用于投标报价评价。</w:t>
      </w:r>
    </w:p>
    <w:p w14:paraId="5636F501">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color w:val="auto"/>
          <w:highlight w:val="none"/>
        </w:rPr>
        <w:t xml:space="preserve"> </w:t>
      </w:r>
      <w:r>
        <w:rPr>
          <w:rFonts w:hint="eastAsia" w:ascii="宋体" w:hAnsi="宋体" w:eastAsia="宋体" w:cs="宋体"/>
          <w:b/>
          <w:bCs/>
          <w:color w:val="auto"/>
          <w:sz w:val="24"/>
          <w:highlight w:val="none"/>
        </w:rPr>
        <w:t>投标报价评价</w:t>
      </w:r>
    </w:p>
    <w:p w14:paraId="1F94923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3.1投标报价评价：价格分应当采用低价优先法计算，即满足招标文件要求且投标价格最低的投标报价为评标基准价，其价格分为满分（报价权重分）。其他投标人的价格分统一按照下列公式计算：</w:t>
      </w:r>
    </w:p>
    <w:p w14:paraId="6947F32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投标报价得分=（评标基准价</w:t>
      </w:r>
      <w:r>
        <w:rPr>
          <w:rFonts w:hint="eastAsia" w:ascii="宋体" w:hAnsi="宋体" w:eastAsia="宋体" w:cs="宋体"/>
          <w:color w:val="auto"/>
          <w:szCs w:val="21"/>
          <w:highlight w:val="none"/>
          <w:vertAlign w:val="subscript"/>
        </w:rPr>
        <w:t>修正或调整</w:t>
      </w:r>
      <w:r>
        <w:rPr>
          <w:rFonts w:hint="eastAsia" w:ascii="宋体" w:hAnsi="宋体" w:eastAsia="宋体" w:cs="宋体"/>
          <w:color w:val="auto"/>
          <w:szCs w:val="21"/>
          <w:highlight w:val="none"/>
        </w:rPr>
        <w:t>／投标报价</w:t>
      </w:r>
      <w:r>
        <w:rPr>
          <w:rFonts w:hint="eastAsia" w:ascii="宋体" w:hAnsi="宋体" w:eastAsia="宋体" w:cs="宋体"/>
          <w:color w:val="auto"/>
          <w:szCs w:val="21"/>
          <w:highlight w:val="none"/>
          <w:vertAlign w:val="subscript"/>
        </w:rPr>
        <w:t>修正或调整</w:t>
      </w:r>
      <w:r>
        <w:rPr>
          <w:rFonts w:hint="eastAsia" w:ascii="宋体" w:hAnsi="宋体" w:eastAsia="宋体" w:cs="宋体"/>
          <w:color w:val="auto"/>
          <w:szCs w:val="21"/>
          <w:highlight w:val="none"/>
        </w:rPr>
        <w:t>） × 报价权重分</w:t>
      </w:r>
    </w:p>
    <w:p w14:paraId="4CAB992A">
      <w:pPr>
        <w:adjustRightInd w:val="0"/>
        <w:snapToGrid w:val="0"/>
        <w:spacing w:before="156" w:beforeLines="50" w:line="360" w:lineRule="auto"/>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4.</w:t>
      </w:r>
      <w:r>
        <w:rPr>
          <w:rFonts w:hint="eastAsia" w:ascii="宋体" w:hAnsi="宋体" w:eastAsia="宋体" w:cs="宋体"/>
          <w:color w:val="auto"/>
          <w:sz w:val="24"/>
          <w:highlight w:val="none"/>
        </w:rPr>
        <w:t>技术、商务等评分项响应评价及政府采购政策加分</w:t>
      </w:r>
    </w:p>
    <w:p w14:paraId="30D49A5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4.1技术、商务等评分项响应评分。按</w:t>
      </w:r>
      <w:r>
        <w:rPr>
          <w:rFonts w:hint="eastAsia" w:ascii="宋体" w:hAnsi="宋体" w:eastAsia="宋体" w:cs="宋体"/>
          <w:bCs/>
          <w:color w:val="auto"/>
          <w:szCs w:val="21"/>
          <w:highlight w:val="none"/>
        </w:rPr>
        <w:t>本章</w:t>
      </w:r>
      <w:r>
        <w:rPr>
          <w:rFonts w:hint="eastAsia" w:ascii="宋体" w:hAnsi="宋体" w:eastAsia="宋体" w:cs="宋体"/>
          <w:color w:val="auto"/>
          <w:szCs w:val="21"/>
          <w:highlight w:val="none"/>
        </w:rPr>
        <w:t>本节附页1“评标方法及标准表”规定的评标因素和标准，对技术、商务等评分项计算得分。</w:t>
      </w:r>
    </w:p>
    <w:p w14:paraId="1FBDBB1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4.2需落实政府采购政策（优先采购）的，按第二章、本章第二节第5.3（2）项以及本节附页1“评标方法及标准表”的相关规定进行技术、价格、商务项得分(加分)计算。</w:t>
      </w:r>
    </w:p>
    <w:p w14:paraId="6944427C">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5.评标总得分</w:t>
      </w:r>
    </w:p>
    <w:p w14:paraId="5A64C06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5.1评标总得分为投标报价、技术、商务等评分项得分(含优先采购政策加分)之和。</w:t>
      </w:r>
    </w:p>
    <w:p w14:paraId="5DB8175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评标总得分＝A</w:t>
      </w:r>
      <w:r>
        <w:rPr>
          <w:rFonts w:hint="eastAsia" w:ascii="宋体" w:hAnsi="宋体" w:eastAsia="宋体" w:cs="宋体"/>
          <w:color w:val="auto"/>
          <w:szCs w:val="21"/>
          <w:highlight w:val="none"/>
          <w:vertAlign w:val="subscript"/>
        </w:rPr>
        <w:t>投标报价得分</w:t>
      </w:r>
      <w:r>
        <w:rPr>
          <w:rFonts w:hint="eastAsia" w:ascii="宋体" w:hAnsi="宋体" w:eastAsia="宋体" w:cs="宋体"/>
          <w:color w:val="auto"/>
          <w:szCs w:val="21"/>
          <w:highlight w:val="none"/>
        </w:rPr>
        <w:t>＋A</w:t>
      </w:r>
      <w:r>
        <w:rPr>
          <w:rFonts w:hint="eastAsia" w:ascii="宋体" w:hAnsi="宋体" w:eastAsia="宋体" w:cs="宋体"/>
          <w:color w:val="auto"/>
          <w:szCs w:val="21"/>
          <w:highlight w:val="none"/>
          <w:vertAlign w:val="subscript"/>
        </w:rPr>
        <w:t>技术项得分</w:t>
      </w:r>
      <w:r>
        <w:rPr>
          <w:rFonts w:hint="eastAsia" w:ascii="宋体" w:hAnsi="宋体" w:eastAsia="宋体" w:cs="宋体"/>
          <w:color w:val="auto"/>
          <w:szCs w:val="21"/>
          <w:highlight w:val="none"/>
        </w:rPr>
        <w:t>＋A</w:t>
      </w:r>
      <w:r>
        <w:rPr>
          <w:rFonts w:hint="eastAsia" w:ascii="宋体" w:hAnsi="宋体" w:eastAsia="宋体" w:cs="宋体"/>
          <w:color w:val="auto"/>
          <w:szCs w:val="21"/>
          <w:highlight w:val="none"/>
          <w:vertAlign w:val="subscript"/>
        </w:rPr>
        <w:t>商务项得分</w:t>
      </w:r>
      <w:r>
        <w:rPr>
          <w:rFonts w:hint="eastAsia" w:ascii="宋体" w:hAnsi="宋体" w:eastAsia="宋体" w:cs="宋体"/>
          <w:color w:val="auto"/>
          <w:szCs w:val="21"/>
          <w:highlight w:val="none"/>
        </w:rPr>
        <w:t>＋A</w:t>
      </w:r>
      <w:r>
        <w:rPr>
          <w:rFonts w:hint="eastAsia" w:ascii="宋体" w:hAnsi="宋体" w:eastAsia="宋体" w:cs="宋体"/>
          <w:color w:val="auto"/>
          <w:szCs w:val="21"/>
          <w:highlight w:val="none"/>
          <w:vertAlign w:val="subscript"/>
        </w:rPr>
        <w:t>优先采购加分</w:t>
      </w:r>
    </w:p>
    <w:p w14:paraId="1F68F0A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5.2评分分值计算保留小数点后两位，小数点后第三位“四舍五入”。</w:t>
      </w:r>
    </w:p>
    <w:p w14:paraId="367B38B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5.3</w:t>
      </w:r>
      <w:r>
        <w:rPr>
          <w:rFonts w:hint="eastAsia" w:ascii="宋体" w:hAnsi="宋体" w:eastAsia="宋体" w:cs="宋体"/>
          <w:color w:val="auto"/>
          <w:szCs w:val="21"/>
          <w:highlight w:val="none"/>
        </w:rPr>
        <w:t>评标时，评标委员会成员应当独立对满足招标文件全部实质性要求投标人的</w:t>
      </w:r>
      <w:r>
        <w:rPr>
          <w:rFonts w:hint="eastAsia" w:ascii="宋体" w:hAnsi="宋体" w:eastAsia="宋体" w:cs="宋体"/>
          <w:bCs/>
          <w:color w:val="auto"/>
          <w:szCs w:val="21"/>
          <w:highlight w:val="none"/>
        </w:rPr>
        <w:t>投标文件</w:t>
      </w:r>
      <w:r>
        <w:rPr>
          <w:rFonts w:hint="eastAsia" w:ascii="宋体" w:hAnsi="宋体" w:eastAsia="宋体" w:cs="宋体"/>
          <w:color w:val="auto"/>
          <w:szCs w:val="21"/>
          <w:highlight w:val="none"/>
        </w:rPr>
        <w:t>进行评价、评分，然后汇总每个投标人每项评分因素的得分。每个投标人的最终得分为所有评标委员会成员评分的算术平均值。</w:t>
      </w:r>
    </w:p>
    <w:p w14:paraId="0407421B">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6.中标候选人的推荐方法</w:t>
      </w:r>
    </w:p>
    <w:p w14:paraId="5429E0ED">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7BB8337E">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6.2得分且投标报价相同的并列，按本章第二节规定确定中标候选人。</w:t>
      </w:r>
    </w:p>
    <w:p w14:paraId="6C470C2B">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p>
    <w:p w14:paraId="0082A3CE">
      <w:pPr>
        <w:widowControl/>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br w:type="page"/>
      </w:r>
    </w:p>
    <w:p w14:paraId="354DB9FA">
      <w:pPr>
        <w:pStyle w:val="4"/>
        <w:adjustRightInd w:val="0"/>
        <w:snapToGrid w:val="0"/>
        <w:spacing w:before="156" w:beforeLines="50" w:after="0" w:line="360" w:lineRule="auto"/>
        <w:rPr>
          <w:rFonts w:hint="eastAsia" w:ascii="宋体" w:hAnsi="宋体" w:eastAsia="宋体" w:cs="宋体"/>
          <w:color w:val="auto"/>
          <w:sz w:val="21"/>
          <w:szCs w:val="21"/>
          <w:highlight w:val="none"/>
        </w:rPr>
      </w:pPr>
      <w:bookmarkStart w:id="156" w:name="_Toc29913925"/>
      <w:bookmarkStart w:id="157" w:name="_Toc9101"/>
      <w:bookmarkStart w:id="158" w:name="_Toc9218"/>
      <w:r>
        <w:rPr>
          <w:rFonts w:hint="eastAsia" w:ascii="宋体" w:hAnsi="宋体" w:eastAsia="宋体" w:cs="宋体"/>
          <w:color w:val="auto"/>
          <w:sz w:val="21"/>
          <w:szCs w:val="21"/>
          <w:highlight w:val="none"/>
        </w:rPr>
        <w:t>附页1 评标方法及标准表</w:t>
      </w:r>
      <w:bookmarkEnd w:id="156"/>
      <w:bookmarkEnd w:id="157"/>
      <w:bookmarkEnd w:id="158"/>
    </w:p>
    <w:p w14:paraId="1B1C43CD">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评标方法及标准</w:t>
      </w:r>
    </w:p>
    <w:tbl>
      <w:tblPr>
        <w:tblStyle w:val="44"/>
        <w:tblW w:w="8860" w:type="dxa"/>
        <w:jc w:val="center"/>
        <w:tblLayout w:type="fixed"/>
        <w:tblCellMar>
          <w:top w:w="0" w:type="dxa"/>
          <w:left w:w="0" w:type="dxa"/>
          <w:bottom w:w="0" w:type="dxa"/>
          <w:right w:w="0" w:type="dxa"/>
        </w:tblCellMar>
      </w:tblPr>
      <w:tblGrid>
        <w:gridCol w:w="5442"/>
        <w:gridCol w:w="3418"/>
      </w:tblGrid>
      <w:tr w14:paraId="5C65060B">
        <w:tblPrEx>
          <w:tblCellMar>
            <w:top w:w="0" w:type="dxa"/>
            <w:left w:w="0" w:type="dxa"/>
            <w:bottom w:w="0" w:type="dxa"/>
            <w:right w:w="0" w:type="dxa"/>
          </w:tblCellMar>
        </w:tblPrEx>
        <w:trPr>
          <w:jc w:val="center"/>
        </w:trPr>
        <w:tc>
          <w:tcPr>
            <w:tcW w:w="8860" w:type="dxa"/>
            <w:gridSpan w:val="2"/>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EFA5154">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评审因素及权值</w:t>
            </w:r>
          </w:p>
        </w:tc>
      </w:tr>
      <w:tr w14:paraId="0F94C4CF">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54EE931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c>
          <w:tcPr>
            <w:tcW w:w="3418"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7CE0849A">
            <w:pPr>
              <w:widowControl/>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权值</w:t>
            </w:r>
            <w:r>
              <w:rPr>
                <w:rFonts w:hint="eastAsia" w:ascii="宋体" w:hAnsi="宋体" w:eastAsia="宋体" w:cs="宋体"/>
                <w:color w:val="auto"/>
                <w:kern w:val="0"/>
                <w:szCs w:val="21"/>
                <w:highlight w:val="none"/>
                <w:lang w:eastAsia="zh-CN"/>
              </w:rPr>
              <w:t>的取值</w:t>
            </w:r>
          </w:p>
        </w:tc>
      </w:tr>
      <w:tr w14:paraId="196173A0">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F620FC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技术部分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3BD90CB">
            <w:pPr>
              <w:widowControl/>
              <w:jc w:val="center"/>
              <w:rPr>
                <w:rFonts w:hint="eastAsia" w:ascii="宋体" w:hAnsi="宋体" w:eastAsia="宋体" w:cs="宋体"/>
                <w:color w:val="auto"/>
                <w:kern w:val="0"/>
                <w:szCs w:val="21"/>
                <w:highlight w:val="none"/>
                <w:lang w:val="en-US" w:eastAsia="zh-CN"/>
              </w:rPr>
            </w:pPr>
            <w:r>
              <w:rPr>
                <w:rFonts w:hint="eastAsia" w:ascii="宋体" w:hAnsi="宋体" w:cs="Times New Roman"/>
                <w:color w:val="auto"/>
                <w:kern w:val="0"/>
                <w:szCs w:val="21"/>
                <w:highlight w:val="none"/>
                <w:lang w:val="en-US" w:eastAsia="zh-CN"/>
              </w:rPr>
              <w:t>65</w:t>
            </w:r>
            <w:r>
              <w:rPr>
                <w:rFonts w:hint="eastAsia" w:ascii="宋体" w:hAnsi="宋体" w:eastAsia="宋体" w:cs="Times New Roman"/>
                <w:color w:val="auto"/>
                <w:kern w:val="0"/>
                <w:szCs w:val="21"/>
                <w:highlight w:val="none"/>
              </w:rPr>
              <w:t>%</w:t>
            </w:r>
          </w:p>
        </w:tc>
      </w:tr>
      <w:tr w14:paraId="32AD3B60">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00F4C9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商务部分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63BA497">
            <w:pPr>
              <w:widowControl/>
              <w:jc w:val="center"/>
              <w:rPr>
                <w:rFonts w:hint="eastAsia" w:ascii="宋体" w:hAnsi="宋体" w:eastAsia="宋体" w:cs="宋体"/>
                <w:color w:val="auto"/>
                <w:kern w:val="0"/>
                <w:szCs w:val="21"/>
                <w:highlight w:val="none"/>
                <w:lang w:val="en-US" w:eastAsia="zh-CN"/>
              </w:rPr>
            </w:pPr>
            <w:r>
              <w:rPr>
                <w:rFonts w:hint="eastAsia" w:ascii="宋体" w:hAnsi="宋体" w:cs="Times New Roman"/>
                <w:color w:val="auto"/>
                <w:kern w:val="0"/>
                <w:szCs w:val="21"/>
                <w:highlight w:val="none"/>
                <w:lang w:val="en-US" w:eastAsia="zh-CN"/>
              </w:rPr>
              <w:t>25</w:t>
            </w:r>
            <w:r>
              <w:rPr>
                <w:rFonts w:hint="eastAsia" w:ascii="宋体" w:hAnsi="宋体" w:eastAsia="宋体" w:cs="Times New Roman"/>
                <w:color w:val="auto"/>
                <w:kern w:val="0"/>
                <w:szCs w:val="21"/>
                <w:highlight w:val="none"/>
              </w:rPr>
              <w:t>%</w:t>
            </w:r>
          </w:p>
        </w:tc>
      </w:tr>
      <w:tr w14:paraId="12B64F2F">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5CC6FF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B54B777">
            <w:pPr>
              <w:widowControl/>
              <w:jc w:val="center"/>
              <w:rPr>
                <w:rFonts w:hint="eastAsia" w:ascii="宋体" w:hAnsi="宋体" w:eastAsia="宋体" w:cs="宋体"/>
                <w:color w:val="auto"/>
                <w:kern w:val="0"/>
                <w:szCs w:val="21"/>
                <w:highlight w:val="none"/>
                <w:lang w:val="en-US" w:eastAsia="zh-CN"/>
              </w:rPr>
            </w:pPr>
            <w:r>
              <w:rPr>
                <w:rFonts w:hint="eastAsia" w:ascii="宋体" w:hAnsi="宋体" w:cs="Times New Roman"/>
                <w:color w:val="auto"/>
                <w:kern w:val="0"/>
                <w:szCs w:val="21"/>
                <w:highlight w:val="none"/>
                <w:lang w:val="en-US" w:eastAsia="zh-CN"/>
              </w:rPr>
              <w:t>10</w:t>
            </w:r>
            <w:r>
              <w:rPr>
                <w:rFonts w:hint="eastAsia" w:ascii="宋体" w:hAnsi="宋体" w:eastAsia="宋体" w:cs="Times New Roman"/>
                <w:color w:val="auto"/>
                <w:kern w:val="0"/>
                <w:szCs w:val="21"/>
                <w:highlight w:val="none"/>
              </w:rPr>
              <w:t>%</w:t>
            </w:r>
          </w:p>
        </w:tc>
      </w:tr>
    </w:tbl>
    <w:p w14:paraId="767DE1E4">
      <w:pPr>
        <w:widowControl/>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 xml:space="preserve">  </w:t>
      </w:r>
    </w:p>
    <w:tbl>
      <w:tblPr>
        <w:tblStyle w:val="44"/>
        <w:tblW w:w="9200" w:type="dxa"/>
        <w:tblInd w:w="-27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40"/>
        <w:gridCol w:w="1164"/>
        <w:gridCol w:w="6156"/>
        <w:gridCol w:w="940"/>
      </w:tblGrid>
      <w:tr w14:paraId="3C1FB1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40" w:hRule="atLeast"/>
        </w:trPr>
        <w:tc>
          <w:tcPr>
            <w:tcW w:w="9200" w:type="dxa"/>
            <w:gridSpan w:val="4"/>
            <w:noWrap w:val="0"/>
            <w:vAlign w:val="center"/>
          </w:tcPr>
          <w:p w14:paraId="6E6BFB4C">
            <w:pPr>
              <w:jc w:val="center"/>
              <w:rPr>
                <w:rFonts w:hint="eastAsia" w:ascii="宋体" w:hAnsi="宋体" w:eastAsia="宋体" w:cs="宋体"/>
                <w:color w:val="auto"/>
                <w:highlight w:val="none"/>
                <w:lang w:val="en-US" w:eastAsia="zh-Hans"/>
              </w:rPr>
            </w:pPr>
            <w:r>
              <w:rPr>
                <w:rFonts w:hint="eastAsia" w:ascii="Calibri" w:hAnsi="Calibri" w:eastAsia="宋体" w:cs="Times New Roman"/>
                <w:color w:val="auto"/>
                <w:kern w:val="0"/>
                <w:sz w:val="24"/>
                <w:highlight w:val="none"/>
                <w:lang w:val="en-US" w:eastAsia="zh-Hans"/>
              </w:rPr>
              <w:t>综合评分表</w:t>
            </w:r>
          </w:p>
        </w:tc>
      </w:tr>
      <w:tr w14:paraId="39F16B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0" w:type="dxa"/>
            <w:noWrap w:val="0"/>
            <w:vAlign w:val="center"/>
          </w:tcPr>
          <w:p w14:paraId="12FCA748">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评审因素分类</w:t>
            </w:r>
          </w:p>
        </w:tc>
        <w:tc>
          <w:tcPr>
            <w:tcW w:w="1164" w:type="dxa"/>
            <w:noWrap w:val="0"/>
            <w:vAlign w:val="center"/>
          </w:tcPr>
          <w:p w14:paraId="22F269DD">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评审项</w:t>
            </w:r>
          </w:p>
        </w:tc>
        <w:tc>
          <w:tcPr>
            <w:tcW w:w="6156" w:type="dxa"/>
            <w:noWrap w:val="0"/>
            <w:vAlign w:val="center"/>
          </w:tcPr>
          <w:p w14:paraId="63E02143">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详细描述</w:t>
            </w:r>
          </w:p>
        </w:tc>
        <w:tc>
          <w:tcPr>
            <w:tcW w:w="940" w:type="dxa"/>
            <w:noWrap w:val="0"/>
            <w:vAlign w:val="center"/>
          </w:tcPr>
          <w:p w14:paraId="18C67D03">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分值</w:t>
            </w:r>
          </w:p>
        </w:tc>
      </w:tr>
      <w:tr w14:paraId="689BD9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0" w:type="dxa"/>
            <w:vMerge w:val="restart"/>
            <w:noWrap w:val="0"/>
            <w:vAlign w:val="center"/>
          </w:tcPr>
          <w:p w14:paraId="28B854FA">
            <w:pPr>
              <w:jc w:val="both"/>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技术评审</w:t>
            </w:r>
          </w:p>
        </w:tc>
        <w:tc>
          <w:tcPr>
            <w:tcW w:w="1164" w:type="dxa"/>
            <w:noWrap w:val="0"/>
            <w:vAlign w:val="center"/>
          </w:tcPr>
          <w:p w14:paraId="685CF348">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项目需求分析及理解</w:t>
            </w:r>
          </w:p>
        </w:tc>
        <w:tc>
          <w:tcPr>
            <w:tcW w:w="6156" w:type="dxa"/>
            <w:noWrap w:val="0"/>
            <w:vAlign w:val="center"/>
          </w:tcPr>
          <w:p w14:paraId="75F32E1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highlight w:val="none"/>
                <w:lang w:val="en-US" w:eastAsia="zh-Hans"/>
              </w:rPr>
            </w:pPr>
            <w:r>
              <w:rPr>
                <w:rFonts w:hint="eastAsia" w:ascii="宋体" w:hAnsi="宋体" w:eastAsia="宋体" w:cs="宋体"/>
                <w:b/>
                <w:bCs/>
                <w:color w:val="auto"/>
                <w:highlight w:val="none"/>
                <w:lang w:val="en-US" w:eastAsia="zh-Hans"/>
              </w:rPr>
              <w:t>（一）评审内容</w:t>
            </w:r>
          </w:p>
          <w:p w14:paraId="5853B9F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投标人针对本项目采购需求提供的项目需求分析及理解进行评审：</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val="en-US" w:eastAsia="zh-Hans"/>
              </w:rPr>
              <w:t>项目背景</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val="en-US" w:eastAsia="zh-Hans"/>
              </w:rPr>
              <w:t>项目概况</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val="en-US" w:eastAsia="zh-Hans"/>
              </w:rPr>
              <w:t>项目建设目标和范围</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val="en-US" w:eastAsia="zh-Hans"/>
              </w:rPr>
              <w:t>需求分析等。</w:t>
            </w:r>
          </w:p>
          <w:p w14:paraId="3A14ADA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highlight w:val="none"/>
                <w:lang w:val="en-US" w:eastAsia="zh-Hans"/>
              </w:rPr>
            </w:pPr>
            <w:r>
              <w:rPr>
                <w:rFonts w:hint="eastAsia" w:ascii="宋体" w:hAnsi="宋体" w:eastAsia="宋体" w:cs="宋体"/>
                <w:b/>
                <w:bCs/>
                <w:color w:val="auto"/>
                <w:highlight w:val="none"/>
                <w:lang w:val="en-US" w:eastAsia="zh-Hans"/>
              </w:rPr>
              <w:t>（二）评审依据</w:t>
            </w:r>
          </w:p>
          <w:p w14:paraId="11F4595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方案包含上述内容且无内容缺项及符合项目实际情况、针对性强、安排科学合理的计</w:t>
            </w:r>
            <w:r>
              <w:rPr>
                <w:rFonts w:hint="eastAsia" w:ascii="宋体" w:hAnsi="宋体" w:eastAsia="宋体" w:cs="宋体"/>
                <w:color w:val="auto"/>
                <w:highlight w:val="none"/>
                <w:lang w:val="en-US" w:eastAsia="zh-CN"/>
              </w:rPr>
              <w:t>20</w:t>
            </w:r>
            <w:r>
              <w:rPr>
                <w:rFonts w:hint="eastAsia" w:ascii="宋体" w:hAnsi="宋体" w:eastAsia="宋体" w:cs="宋体"/>
                <w:color w:val="auto"/>
                <w:highlight w:val="none"/>
                <w:lang w:val="en-US" w:eastAsia="zh-Hans"/>
              </w:rPr>
              <w:t>分。说明：内容中每有一处缺漏项扣</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val="en-US" w:eastAsia="zh-Hans"/>
              </w:rPr>
              <w:t>分；每有一处欠完善或针对性欠缺的扣</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val="en-US" w:eastAsia="zh-Hans"/>
              </w:rPr>
              <w:t>分，扣完为止。</w:t>
            </w:r>
          </w:p>
          <w:p w14:paraId="0BDD213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Hans"/>
              </w:rPr>
              <w:t>欠完善或针对性欠缺是指存在项目名称错误</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地点区域错误</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方案内容矛盾或表述前后不一致</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仅有框架或标题</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适用的标准（方法）错误</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明显复制其他项目内容</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方案内容与项目需求不一致或没有关联性</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涉及的技术规范标准等与国家标准或行业标准或采购文件要求不一致，相关评审具体实施方案内容与实际实施时存在差异性，计划安排无条理性</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方案内容空洞</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语义表述不清</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存在歧义</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逻辑混乱</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有错别字，内容不完善等；</w:t>
            </w:r>
          </w:p>
          <w:p w14:paraId="76DA3A1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Hans"/>
              </w:rPr>
              <w:t>缺漏项是指该项内容未提供具体的实施方案内容，或者整段内容照搬采购需求；不合理是指非专门针对本项目或者不适用项目的情形，内容不完整或者缺少关键安排,套用其他项目方案</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内容前后矛盾、表述错误。</w:t>
            </w:r>
          </w:p>
        </w:tc>
        <w:tc>
          <w:tcPr>
            <w:tcW w:w="940" w:type="dxa"/>
            <w:noWrap w:val="0"/>
            <w:vAlign w:val="center"/>
          </w:tcPr>
          <w:p w14:paraId="2CC3FC57">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w:t>
            </w:r>
          </w:p>
        </w:tc>
      </w:tr>
      <w:tr w14:paraId="0A396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0" w:type="dxa"/>
            <w:vMerge w:val="continue"/>
            <w:noWrap w:val="0"/>
            <w:vAlign w:val="center"/>
          </w:tcPr>
          <w:p w14:paraId="1701FC79">
            <w:pPr>
              <w:jc w:val="center"/>
              <w:rPr>
                <w:rFonts w:hint="eastAsia" w:ascii="宋体" w:hAnsi="宋体" w:eastAsia="宋体" w:cs="宋体"/>
                <w:color w:val="auto"/>
                <w:highlight w:val="none"/>
              </w:rPr>
            </w:pPr>
          </w:p>
        </w:tc>
        <w:tc>
          <w:tcPr>
            <w:tcW w:w="1164" w:type="dxa"/>
            <w:noWrap w:val="0"/>
            <w:vAlign w:val="center"/>
          </w:tcPr>
          <w:p w14:paraId="42818949">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Hans"/>
              </w:rPr>
              <w:t>总体设计方案</w:t>
            </w:r>
          </w:p>
        </w:tc>
        <w:tc>
          <w:tcPr>
            <w:tcW w:w="6156" w:type="dxa"/>
            <w:noWrap w:val="0"/>
            <w:vAlign w:val="center"/>
          </w:tcPr>
          <w:p w14:paraId="1D83904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highlight w:val="none"/>
                <w:lang w:val="en-US" w:eastAsia="zh-Hans"/>
              </w:rPr>
            </w:pPr>
            <w:r>
              <w:rPr>
                <w:rFonts w:hint="eastAsia" w:ascii="宋体" w:hAnsi="宋体" w:eastAsia="宋体" w:cs="宋体"/>
                <w:b/>
                <w:bCs/>
                <w:color w:val="auto"/>
                <w:highlight w:val="none"/>
                <w:lang w:val="en-US" w:eastAsia="zh-Hans"/>
              </w:rPr>
              <w:t>（一）评审内容</w:t>
            </w:r>
          </w:p>
          <w:p w14:paraId="1E52A0E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投标人针对本项目采购需求提供的总体设计方案进行评审：</w:t>
            </w:r>
          </w:p>
          <w:p w14:paraId="4DDC221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eastAsia="宋体" w:cs="Times New Roman"/>
                <w:color w:val="auto"/>
                <w:szCs w:val="21"/>
                <w:highlight w:val="none"/>
                <w:lang w:val="en-US" w:eastAsia="zh-Hans"/>
              </w:rPr>
              <w:t>设计原则</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val="en-US" w:eastAsia="zh-Hans"/>
              </w:rPr>
              <w:t>技术路线</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Hans"/>
              </w:rPr>
              <w:t>处理流程</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Hans"/>
              </w:rPr>
              <w:t>标准规范体系等</w:t>
            </w:r>
            <w:r>
              <w:rPr>
                <w:rFonts w:hint="eastAsia" w:ascii="宋体" w:hAnsi="宋体" w:eastAsia="宋体" w:cs="Times New Roman"/>
                <w:color w:val="auto"/>
                <w:szCs w:val="21"/>
                <w:highlight w:val="none"/>
                <w:lang w:val="en-US" w:eastAsia="zh-CN"/>
              </w:rPr>
              <w:t>。</w:t>
            </w:r>
          </w:p>
          <w:p w14:paraId="379145A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highlight w:val="none"/>
                <w:lang w:val="en-US" w:eastAsia="zh-Hans"/>
              </w:rPr>
            </w:pPr>
            <w:r>
              <w:rPr>
                <w:rFonts w:hint="eastAsia" w:ascii="宋体" w:hAnsi="宋体" w:eastAsia="宋体" w:cs="宋体"/>
                <w:b/>
                <w:bCs/>
                <w:color w:val="auto"/>
                <w:highlight w:val="none"/>
                <w:lang w:val="en-US" w:eastAsia="zh-Hans"/>
              </w:rPr>
              <w:t>（二）评审依据</w:t>
            </w:r>
          </w:p>
          <w:p w14:paraId="51C0C5F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方案包含上述内容且无内容缺项及符合项目实际情况、针对性强、安排科学合理的计</w:t>
            </w:r>
            <w:r>
              <w:rPr>
                <w:rFonts w:hint="eastAsia" w:ascii="宋体" w:hAnsi="宋体" w:eastAsia="宋体" w:cs="宋体"/>
                <w:color w:val="auto"/>
                <w:highlight w:val="none"/>
                <w:lang w:val="en-US" w:eastAsia="zh-CN"/>
              </w:rPr>
              <w:t>20</w:t>
            </w:r>
            <w:r>
              <w:rPr>
                <w:rFonts w:hint="eastAsia" w:ascii="宋体" w:hAnsi="宋体" w:eastAsia="宋体" w:cs="宋体"/>
                <w:color w:val="auto"/>
                <w:highlight w:val="none"/>
                <w:lang w:val="en-US" w:eastAsia="zh-Hans"/>
              </w:rPr>
              <w:t>分。说明：内容中每有一处缺漏项扣</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val="en-US" w:eastAsia="zh-Hans"/>
              </w:rPr>
              <w:t>分；每有一处欠完善或针对性欠缺的扣</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val="en-US" w:eastAsia="zh-Hans"/>
              </w:rPr>
              <w:t>分，扣完为止。</w:t>
            </w:r>
          </w:p>
          <w:p w14:paraId="7CFCF10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Hans"/>
              </w:rPr>
              <w:t>欠完善或针对性欠缺是指存在项目名称错误</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地点区域错误</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方案内容矛盾或表述前后不一致</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仅有框架或标题</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适用的标准（方法）错误</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明显复制其他项目内容</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方案内容与项目需求不一致或没有关联性</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涉及的技术规范标准等与国家标准或行业标准或采购文件要求不一致，相关评审具体实施方案内容与实际实施时存在差异性，计划安排无条理性</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方案内容空洞</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语义表述不清</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存在歧义</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逻辑混乱</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有错别字，内容不完善等；</w:t>
            </w:r>
          </w:p>
          <w:p w14:paraId="1681362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Hans"/>
              </w:rPr>
              <w:t>缺漏项是指该项内容未提供具体的实施方案内容，或者整段内容照搬采购需求；不合理是指非专门针对本项目或者不适用项目的情形，内容不完整或者缺少关键安排,套用其他项目方案</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内容前后矛盾、表述错误。</w:t>
            </w:r>
          </w:p>
        </w:tc>
        <w:tc>
          <w:tcPr>
            <w:tcW w:w="940" w:type="dxa"/>
            <w:noWrap w:val="0"/>
            <w:vAlign w:val="center"/>
          </w:tcPr>
          <w:p w14:paraId="32BED3CE">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w:t>
            </w:r>
          </w:p>
        </w:tc>
      </w:tr>
      <w:tr w14:paraId="55F13D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4" w:hRule="atLeast"/>
        </w:trPr>
        <w:tc>
          <w:tcPr>
            <w:tcW w:w="940" w:type="dxa"/>
            <w:vMerge w:val="continue"/>
            <w:noWrap w:val="0"/>
            <w:vAlign w:val="center"/>
          </w:tcPr>
          <w:p w14:paraId="64DF2B1D">
            <w:pPr>
              <w:jc w:val="center"/>
              <w:rPr>
                <w:rFonts w:hint="eastAsia" w:ascii="宋体" w:hAnsi="宋体" w:eastAsia="宋体" w:cs="宋体"/>
                <w:color w:val="auto"/>
                <w:highlight w:val="none"/>
              </w:rPr>
            </w:pPr>
          </w:p>
        </w:tc>
        <w:tc>
          <w:tcPr>
            <w:tcW w:w="1164" w:type="dxa"/>
            <w:noWrap w:val="0"/>
            <w:vAlign w:val="center"/>
          </w:tcPr>
          <w:p w14:paraId="66091AFE">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Hans"/>
              </w:rPr>
              <w:t>项目技术方案</w:t>
            </w:r>
          </w:p>
        </w:tc>
        <w:tc>
          <w:tcPr>
            <w:tcW w:w="6156" w:type="dxa"/>
            <w:noWrap w:val="0"/>
            <w:vAlign w:val="center"/>
          </w:tcPr>
          <w:p w14:paraId="18AD430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highlight w:val="none"/>
                <w:lang w:val="en-US" w:eastAsia="zh-Hans"/>
              </w:rPr>
            </w:pPr>
            <w:r>
              <w:rPr>
                <w:rFonts w:hint="eastAsia" w:ascii="宋体" w:hAnsi="宋体" w:eastAsia="宋体" w:cs="宋体"/>
                <w:b/>
                <w:bCs/>
                <w:color w:val="auto"/>
                <w:highlight w:val="none"/>
                <w:lang w:val="en-US" w:eastAsia="zh-Hans"/>
              </w:rPr>
              <w:t>（一）评审内容</w:t>
            </w:r>
          </w:p>
          <w:p w14:paraId="2791F1F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投标人针对本项目采购需求提供的项目技术方案进行评审：</w:t>
            </w:r>
          </w:p>
          <w:p w14:paraId="4FB85CE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1.提供物业专项维修资金办事大厅迁移</w:t>
            </w:r>
            <w:r>
              <w:rPr>
                <w:rFonts w:hint="eastAsia" w:ascii="宋体" w:hAnsi="宋体" w:cs="宋体"/>
                <w:color w:val="auto"/>
                <w:kern w:val="2"/>
                <w:sz w:val="21"/>
                <w:szCs w:val="24"/>
                <w:highlight w:val="none"/>
                <w:lang w:val="en-US" w:eastAsia="zh-CN" w:bidi="ar-SA"/>
              </w:rPr>
              <w:t>功能</w:t>
            </w:r>
            <w:r>
              <w:rPr>
                <w:rFonts w:hint="eastAsia" w:ascii="宋体" w:hAnsi="宋体" w:eastAsia="宋体" w:cs="宋体"/>
                <w:color w:val="auto"/>
                <w:kern w:val="2"/>
                <w:sz w:val="21"/>
                <w:szCs w:val="24"/>
                <w:highlight w:val="none"/>
                <w:lang w:val="en-US" w:eastAsia="zh-CN" w:bidi="ar-SA"/>
              </w:rPr>
              <w:t>技术方案；</w:t>
            </w:r>
          </w:p>
          <w:p w14:paraId="73B158A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2.提供物业专项维修资金催缴提醒功能技术方案；</w:t>
            </w:r>
          </w:p>
          <w:p w14:paraId="010C744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提供物业专项维修资金结算金额冻结功能技术方案；</w:t>
            </w:r>
          </w:p>
          <w:p w14:paraId="0AAC0D14">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rPr>
                <w:rFonts w:hint="default" w:ascii="宋体" w:hAnsi="宋体" w:eastAsia="宋体"/>
                <w:bCs/>
                <w:color w:val="auto"/>
                <w:szCs w:val="21"/>
                <w:highlight w:val="none"/>
                <w:lang w:val="en-US" w:eastAsia="zh-CN"/>
              </w:rPr>
            </w:pPr>
            <w:r>
              <w:rPr>
                <w:rFonts w:hint="eastAsia" w:ascii="宋体" w:hAnsi="宋体" w:eastAsia="宋体" w:cs="宋体"/>
                <w:color w:val="auto"/>
                <w:highlight w:val="none"/>
                <w:lang w:val="en-US" w:eastAsia="zh-CN"/>
              </w:rPr>
              <w:t>4.提供物业专项维修资金数据统计分析功能升级技术方案；</w:t>
            </w:r>
          </w:p>
          <w:p w14:paraId="55AC5A9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5.提供物业专项维修资金财业一体化功能技术方案；</w:t>
            </w:r>
          </w:p>
          <w:p w14:paraId="1A91EFC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6.提供物业专项维修资金消息通知功能技术方案；</w:t>
            </w:r>
          </w:p>
          <w:p w14:paraId="42E4583F">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7.提供物业专项维修资金使用在线申请功能技术方案；</w:t>
            </w:r>
          </w:p>
          <w:p w14:paraId="78C8FE63">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8.提供机构及信用管理功能技术方案；</w:t>
            </w:r>
          </w:p>
          <w:p w14:paraId="453DE44A">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9.提供物业小区设施设备管理功能技术方案；</w:t>
            </w:r>
          </w:p>
          <w:p w14:paraId="31CA8503">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10.提供物业专项维修资金增值收益管理功能技术方案；</w:t>
            </w:r>
          </w:p>
          <w:p w14:paraId="6D6330CC">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11.提供物业专项维修资金缓交管理功能技术方案；</w:t>
            </w:r>
          </w:p>
          <w:p w14:paraId="28116CAC">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bCs/>
                <w:color w:val="auto"/>
                <w:szCs w:val="21"/>
                <w:highlight w:val="none"/>
                <w:lang w:val="en-US" w:eastAsia="zh-CN"/>
              </w:rPr>
            </w:pPr>
            <w:r>
              <w:rPr>
                <w:rFonts w:hint="eastAsia" w:ascii="宋体" w:hAnsi="宋体" w:eastAsia="宋体"/>
                <w:bCs/>
                <w:color w:val="auto"/>
                <w:szCs w:val="21"/>
                <w:highlight w:val="none"/>
                <w:lang w:val="en-US" w:eastAsia="zh-CN"/>
              </w:rPr>
              <w:t>12.提供物业专项维修资金用户注册功能升级技术方案；</w:t>
            </w:r>
          </w:p>
          <w:p w14:paraId="2A67F377">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rPr>
                <w:rFonts w:hint="default" w:ascii="宋体" w:hAnsi="宋体" w:eastAsia="宋体" w:cs="宋体"/>
                <w:color w:val="auto"/>
                <w:highlight w:val="none"/>
                <w:lang w:eastAsia="zh-CN"/>
              </w:rPr>
            </w:pPr>
            <w:r>
              <w:rPr>
                <w:rFonts w:hint="eastAsia" w:ascii="宋体" w:hAnsi="宋体" w:eastAsia="宋体" w:cs="宋体"/>
                <w:color w:val="auto"/>
                <w:highlight w:val="none"/>
                <w:lang w:val="en-US" w:eastAsia="zh-CN"/>
              </w:rPr>
              <w:t>13.提供物业专项维修资金使用在线投票表决功能升级技术方案；</w:t>
            </w:r>
          </w:p>
          <w:p w14:paraId="744AF6D2">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rPr>
                <w:rFonts w:hint="default" w:ascii="宋体" w:hAnsi="宋体" w:eastAsia="宋体"/>
                <w:bCs/>
                <w:color w:val="auto"/>
                <w:szCs w:val="21"/>
                <w:highlight w:val="none"/>
                <w:lang w:eastAsia="zh-CN"/>
              </w:rPr>
            </w:pPr>
            <w:r>
              <w:rPr>
                <w:rFonts w:hint="eastAsia" w:ascii="宋体" w:hAnsi="宋体" w:eastAsia="宋体"/>
                <w:bCs/>
                <w:color w:val="auto"/>
                <w:szCs w:val="21"/>
                <w:highlight w:val="none"/>
                <w:lang w:val="en-US" w:eastAsia="zh-CN"/>
              </w:rPr>
              <w:t>14.提供物业专项维修资金历史数据清理技术方案；</w:t>
            </w:r>
          </w:p>
          <w:p w14:paraId="01F7AE8C">
            <w:pPr>
              <w:keepNext w:val="0"/>
              <w:keepLines w:val="0"/>
              <w:pageBreakBefore w:val="0"/>
              <w:widowControl/>
              <w:numPr>
                <w:ilvl w:val="0"/>
                <w:numId w:val="0"/>
              </w:numPr>
              <w:kinsoku/>
              <w:wordWrap/>
              <w:overflowPunct/>
              <w:topLinePunct w:val="0"/>
              <w:autoSpaceDE/>
              <w:autoSpaceDN/>
              <w:bidi w:val="0"/>
              <w:adjustRightInd/>
              <w:snapToGrid/>
              <w:spacing w:line="360" w:lineRule="exact"/>
              <w:ind w:firstLine="420" w:firstLineChars="200"/>
              <w:jc w:val="both"/>
              <w:textAlignment w:val="auto"/>
              <w:rPr>
                <w:rFonts w:hint="default" w:ascii="宋体" w:hAnsi="宋体" w:eastAsia="宋体"/>
                <w:bCs/>
                <w:color w:val="auto"/>
                <w:szCs w:val="21"/>
                <w:highlight w:val="none"/>
                <w:lang w:val="en" w:eastAsia="zh-CN"/>
              </w:rPr>
            </w:pPr>
            <w:r>
              <w:rPr>
                <w:rFonts w:hint="eastAsia" w:ascii="宋体" w:hAnsi="宋体" w:eastAsia="宋体"/>
                <w:bCs/>
                <w:color w:val="auto"/>
                <w:szCs w:val="21"/>
                <w:highlight w:val="none"/>
                <w:lang w:val="en-US" w:eastAsia="zh-CN"/>
              </w:rPr>
              <w:t>15.提供第三方服务技术方案。</w:t>
            </w:r>
          </w:p>
          <w:p w14:paraId="4F7E57A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highlight w:val="none"/>
                <w:lang w:val="en-US" w:eastAsia="zh-Hans"/>
              </w:rPr>
            </w:pPr>
            <w:r>
              <w:rPr>
                <w:rFonts w:hint="eastAsia" w:ascii="宋体" w:hAnsi="宋体" w:eastAsia="宋体" w:cs="宋体"/>
                <w:b/>
                <w:bCs/>
                <w:color w:val="auto"/>
                <w:highlight w:val="none"/>
                <w:lang w:val="en-US" w:eastAsia="zh-Hans"/>
              </w:rPr>
              <w:t>（二）评审依据</w:t>
            </w:r>
          </w:p>
          <w:p w14:paraId="5ED46E6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方案包含上述内容且无内容缺项及符合项目实际情况、针对性强、安排科学合理的计</w:t>
            </w:r>
            <w:r>
              <w:rPr>
                <w:rFonts w:hint="eastAsia" w:ascii="宋体" w:hAnsi="宋体" w:eastAsia="宋体" w:cs="宋体"/>
                <w:color w:val="auto"/>
                <w:highlight w:val="none"/>
                <w:lang w:val="en-US" w:eastAsia="zh-CN"/>
              </w:rPr>
              <w:t>60</w:t>
            </w:r>
            <w:r>
              <w:rPr>
                <w:rFonts w:hint="eastAsia" w:ascii="宋体" w:hAnsi="宋体" w:eastAsia="宋体" w:cs="宋体"/>
                <w:color w:val="auto"/>
                <w:highlight w:val="none"/>
                <w:lang w:val="en-US" w:eastAsia="zh-Hans"/>
              </w:rPr>
              <w:t>分。说明：内容中每有一处缺漏项扣</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val="en-US" w:eastAsia="zh-Hans"/>
              </w:rPr>
              <w:t>分；每有一处欠完善或针对性欠缺的扣</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val="en-US" w:eastAsia="zh-Hans"/>
              </w:rPr>
              <w:t>分，扣完为止。</w:t>
            </w:r>
          </w:p>
          <w:p w14:paraId="00CDAE3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Hans"/>
              </w:rPr>
              <w:t>欠完善或针对性欠缺是指存在项目名称错误</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地点区域错误</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方案内容矛盾或表述前后不一致</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仅有框架或标题</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适用的标准（方法）错误</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明显复制其他项目内容</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方案内容与项目需求不一致或没有关联性</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涉及的技术规范标准等与国家标准或行业标准或采购文件要求不一致，相关评审具体实施方案内容与实际实施时存在差异性，计划安排无条理性</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方案内容空洞</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语义表述不清</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存在歧义</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逻辑混乱</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有错别字，内容不完善等；</w:t>
            </w:r>
          </w:p>
          <w:p w14:paraId="29425BD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Hans"/>
              </w:rPr>
              <w:t>缺漏项是指该项内容未提供具体的实施方案内容，或者整段内容照搬采购需求；不合理是指非专门针对本项目或者不适用项目的情形，内容不完整或者缺少关键安排,套用其他项目方案</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lang w:val="en-US" w:eastAsia="zh-Hans"/>
              </w:rPr>
              <w:t>内容前后矛盾、表述错误。</w:t>
            </w:r>
          </w:p>
        </w:tc>
        <w:tc>
          <w:tcPr>
            <w:tcW w:w="940" w:type="dxa"/>
            <w:noWrap w:val="0"/>
            <w:vAlign w:val="center"/>
          </w:tcPr>
          <w:p w14:paraId="41B09E4C">
            <w:pPr>
              <w:jc w:val="center"/>
              <w:rPr>
                <w:rFonts w:hint="default" w:ascii="宋体" w:hAnsi="宋体" w:eastAsia="宋体" w:cs="宋体"/>
                <w:color w:val="auto"/>
                <w:highlight w:val="none"/>
                <w:lang w:val="en-US" w:eastAsia="zh-Hans"/>
              </w:rPr>
            </w:pPr>
            <w:r>
              <w:rPr>
                <w:rFonts w:hint="eastAsia" w:ascii="宋体" w:hAnsi="宋体" w:eastAsia="宋体" w:cs="宋体"/>
                <w:color w:val="auto"/>
                <w:highlight w:val="none"/>
                <w:lang w:val="en-US" w:eastAsia="zh-CN"/>
              </w:rPr>
              <w:t>60</w:t>
            </w:r>
          </w:p>
        </w:tc>
      </w:tr>
      <w:tr w14:paraId="2472EC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0" w:type="dxa"/>
            <w:vMerge w:val="restart"/>
            <w:noWrap w:val="0"/>
            <w:vAlign w:val="center"/>
          </w:tcPr>
          <w:p w14:paraId="01D591A3">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商务评审</w:t>
            </w:r>
          </w:p>
        </w:tc>
        <w:tc>
          <w:tcPr>
            <w:tcW w:w="1164" w:type="dxa"/>
            <w:noWrap w:val="0"/>
            <w:vAlign w:val="center"/>
          </w:tcPr>
          <w:p w14:paraId="45A5BAF2">
            <w:pPr>
              <w:jc w:val="both"/>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类似业绩</w:t>
            </w:r>
          </w:p>
        </w:tc>
        <w:tc>
          <w:tcPr>
            <w:tcW w:w="6156" w:type="dxa"/>
            <w:noWrap w:val="0"/>
            <w:vAlign w:val="center"/>
          </w:tcPr>
          <w:p w14:paraId="30F0CF5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1.投标人近 36 个月内（自投标截止之日往前倒推36个月；业绩判定时间标准：提供合同文件的以合同签订时间为准，仅提供中标通知书无对应合同的，以中标通知书落款时间为准），具备政务管理信息化系统软件开发同类已完工业绩的，得25分。</w:t>
            </w:r>
          </w:p>
          <w:p w14:paraId="1E5D3DC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2.投标人近 36 个月内（自投标截止之日往前倒推36个月；业绩判定时间标准：提供合同文件的以合同签订时间为准，仅提供中标通知书无对应合同的，以中标通知书落款时间为准），具备政务管理系统数据治理、政务管理系统数据清理同类已完工业绩的，得 25 分。</w:t>
            </w:r>
          </w:p>
          <w:p w14:paraId="3281CD9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highlight w:val="none"/>
                <w:lang w:val="en-US" w:eastAsia="zh-CN"/>
              </w:rPr>
              <w:t>注：投标人须提供相关业绩的中标通知书或合同协议的复印件，中标通知书或合同协议内容需体现政务管理系统信息化系统软件开发、政务管理系统数据治理或政务管理系统数据清理类相关建设内容，复印件加盖投标人单位公章，材料无法体现对应业务内容的不计分。</w:t>
            </w:r>
          </w:p>
        </w:tc>
        <w:tc>
          <w:tcPr>
            <w:tcW w:w="940" w:type="dxa"/>
            <w:noWrap w:val="0"/>
            <w:vAlign w:val="center"/>
          </w:tcPr>
          <w:p w14:paraId="2C13F3AF">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50</w:t>
            </w:r>
          </w:p>
        </w:tc>
      </w:tr>
      <w:tr w14:paraId="21D772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0" w:type="dxa"/>
            <w:vMerge w:val="continue"/>
            <w:noWrap w:val="0"/>
            <w:vAlign w:val="center"/>
          </w:tcPr>
          <w:p w14:paraId="0A37B7ED">
            <w:pPr>
              <w:jc w:val="center"/>
              <w:rPr>
                <w:rFonts w:hint="eastAsia" w:ascii="宋体" w:hAnsi="宋体" w:eastAsia="宋体" w:cs="宋体"/>
                <w:color w:val="auto"/>
                <w:highlight w:val="none"/>
              </w:rPr>
            </w:pPr>
          </w:p>
        </w:tc>
        <w:tc>
          <w:tcPr>
            <w:tcW w:w="1164" w:type="dxa"/>
            <w:noWrap w:val="0"/>
            <w:vAlign w:val="center"/>
          </w:tcPr>
          <w:p w14:paraId="0886A46A">
            <w:pPr>
              <w:ind w:left="-107" w:leftChars="-51" w:right="-107" w:rightChars="-51"/>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人员</w:t>
            </w:r>
          </w:p>
          <w:p w14:paraId="1A7D91C9">
            <w:pPr>
              <w:jc w:val="center"/>
              <w:rPr>
                <w:rFonts w:hint="eastAsia" w:ascii="宋体" w:hAnsi="宋体" w:eastAsia="宋体" w:cs="宋体"/>
                <w:color w:val="auto"/>
                <w:highlight w:val="none"/>
                <w:lang w:val="en-US" w:eastAsia="zh-Hans"/>
              </w:rPr>
            </w:pPr>
            <w:r>
              <w:rPr>
                <w:rFonts w:hint="eastAsia" w:ascii="宋体" w:hAnsi="宋体" w:eastAsia="宋体" w:cs="宋体"/>
                <w:color w:val="auto"/>
                <w:szCs w:val="22"/>
                <w:highlight w:val="none"/>
                <w:lang w:val="en-US" w:eastAsia="zh-Hans"/>
              </w:rPr>
              <w:t>实力</w:t>
            </w:r>
          </w:p>
        </w:tc>
        <w:tc>
          <w:tcPr>
            <w:tcW w:w="6156" w:type="dxa"/>
            <w:noWrap w:val="0"/>
            <w:vAlign w:val="center"/>
          </w:tcPr>
          <w:p w14:paraId="55D8DC7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Hans"/>
              </w:rPr>
              <w:t>拟派项目负责人具有省级及以上人社部门颁发的高级信息系统项目管理师证书的，计</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lang w:val="en-US" w:eastAsia="zh-Hans"/>
              </w:rPr>
              <w:t>分。</w:t>
            </w:r>
          </w:p>
          <w:p w14:paraId="2488A75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Hans"/>
              </w:rPr>
              <w:t>拟派项目团队中具有省级及以上人社部门颁发的软件评测师证书，计</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lang w:val="en-US" w:eastAsia="zh-Hans"/>
              </w:rPr>
              <w:t>分。</w:t>
            </w:r>
          </w:p>
          <w:p w14:paraId="09171DC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3</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Hans"/>
              </w:rPr>
              <w:t>拟派项目团队中具有省级及以上人社部门颁发的软件设计师证书，计</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lang w:val="en-US" w:eastAsia="zh-Hans"/>
              </w:rPr>
              <w:t>分。</w:t>
            </w:r>
          </w:p>
          <w:p w14:paraId="40CE28D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4</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Hans"/>
              </w:rPr>
              <w:t>拟派项目团队人员具有注册信息安全专业人员（CISP）证书，计</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lang w:val="en-US" w:eastAsia="zh-Hans"/>
              </w:rPr>
              <w:t>分。</w:t>
            </w:r>
          </w:p>
          <w:p w14:paraId="391BC9C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5</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Hans"/>
              </w:rPr>
              <w:t>拟派项目团队人员具有省级及以上人社部门颁发的中级数据库系统工程师证书，计</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lang w:val="en-US" w:eastAsia="zh-Hans"/>
              </w:rPr>
              <w:t>分。</w:t>
            </w:r>
          </w:p>
          <w:p w14:paraId="76C9634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备注：同一人员所持多类证书仅可计分一次，不重复累加得分。</w:t>
            </w:r>
          </w:p>
          <w:p w14:paraId="04A8342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以上人员须为投标单位在职人员，评审时须提供对应人员证书复印件、投标单位与该人员签订的劳动合同复印件并加盖投标人公章；材料缺失、材料无法佐证人员归属投标单位或证书不在本条认可范围内的，对应分项不予计分。）</w:t>
            </w:r>
          </w:p>
        </w:tc>
        <w:tc>
          <w:tcPr>
            <w:tcW w:w="940" w:type="dxa"/>
            <w:noWrap w:val="0"/>
            <w:vAlign w:val="center"/>
          </w:tcPr>
          <w:p w14:paraId="733F9900">
            <w:pPr>
              <w:jc w:val="center"/>
              <w:rPr>
                <w:rFonts w:hint="default" w:ascii="宋体" w:hAnsi="宋体" w:eastAsia="宋体" w:cs="宋体"/>
                <w:color w:val="auto"/>
                <w:highlight w:val="none"/>
                <w:lang w:val="en-US" w:eastAsia="zh-Hans"/>
              </w:rPr>
            </w:pPr>
            <w:r>
              <w:rPr>
                <w:rFonts w:hint="eastAsia" w:ascii="宋体" w:hAnsi="宋体" w:eastAsia="宋体" w:cs="宋体"/>
                <w:color w:val="auto"/>
                <w:highlight w:val="none"/>
                <w:lang w:val="en-US" w:eastAsia="zh-CN"/>
              </w:rPr>
              <w:t>50</w:t>
            </w:r>
          </w:p>
        </w:tc>
      </w:tr>
      <w:tr w14:paraId="399DFA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0" w:type="dxa"/>
            <w:noWrap w:val="0"/>
            <w:vAlign w:val="center"/>
          </w:tcPr>
          <w:p w14:paraId="044A0FAF">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价格分</w:t>
            </w:r>
          </w:p>
        </w:tc>
        <w:tc>
          <w:tcPr>
            <w:tcW w:w="1164" w:type="dxa"/>
            <w:noWrap w:val="0"/>
            <w:vAlign w:val="center"/>
          </w:tcPr>
          <w:p w14:paraId="7014DBA8">
            <w:pPr>
              <w:jc w:val="center"/>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投标价格得分</w:t>
            </w:r>
          </w:p>
        </w:tc>
        <w:tc>
          <w:tcPr>
            <w:tcW w:w="6156" w:type="dxa"/>
            <w:noWrap w:val="0"/>
            <w:vAlign w:val="center"/>
          </w:tcPr>
          <w:p w14:paraId="2499998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以经评委会-致认定满足招标文件要求且投标价格最低的投标报价为评标基准价,其价格得分计满分。其他投标人的价格得分统一按公式</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eastAsia="zh-Hans"/>
              </w:rPr>
              <w:t>投标报价得分=（评标基准价/投标报价）×价格权值×100</w:t>
            </w:r>
          </w:p>
          <w:p w14:paraId="4FF9AF8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注：政府采购评审中出现下列情形之一的，评审委员会应当启动异常低价投标（响应）审查程序：</w:t>
            </w:r>
          </w:p>
          <w:p w14:paraId="11DD604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1.投标（响应）报价低于全部通过符合性审查供应商投标（响应）报价平均值50%的（不得超过65%），即投标（响应）报价＜全部通过符合性审查供应商投标（响应）报价平均值×50%；</w:t>
            </w:r>
          </w:p>
          <w:p w14:paraId="7C8770D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2.投标（响应）报价低于通过符合性审查的次低报价供应商投标（响应）报价50%的（不得超过65%），即投标（响应）报价＜通过符合性审查的次低报价供应商投标（响应）报价×50%；</w:t>
            </w:r>
          </w:p>
          <w:p w14:paraId="5FF30D7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3.投标（响应）报价低于采购项目最高限价</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lang w:val="en-US" w:eastAsia="zh-Hans"/>
              </w:rPr>
              <w:t>%的（不得超过65%），即投标（响应）报价＜采购项目最高限价×</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lang w:val="en-US" w:eastAsia="zh-Hans"/>
              </w:rPr>
              <w:t>%；</w:t>
            </w:r>
          </w:p>
          <w:p w14:paraId="4C0B442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4.评审委员会基于专业判断，认为供应商报价过低，有可能影响产品质量或者不能诚信履约的其他情形。</w:t>
            </w:r>
          </w:p>
          <w:p w14:paraId="54AE8B1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相关法律法规对供应商报价有规定的，从其规定。</w:t>
            </w:r>
          </w:p>
          <w:p w14:paraId="3266AE0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highlight w:val="none"/>
                <w:lang w:val="en-US" w:eastAsia="zh-Hans"/>
              </w:rPr>
            </w:pPr>
            <w:r>
              <w:rPr>
                <w:rFonts w:hint="eastAsia" w:ascii="宋体" w:hAnsi="宋体" w:eastAsia="宋体" w:cs="宋体"/>
                <w:color w:val="auto"/>
                <w:highlight w:val="none"/>
                <w:lang w:val="en-US" w:eastAsia="zh-Hans"/>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c>
          <w:tcPr>
            <w:tcW w:w="940" w:type="dxa"/>
            <w:noWrap w:val="0"/>
            <w:vAlign w:val="center"/>
          </w:tcPr>
          <w:p w14:paraId="062122BB">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100</w:t>
            </w:r>
          </w:p>
        </w:tc>
      </w:tr>
    </w:tbl>
    <w:p w14:paraId="0D272087">
      <w:pPr>
        <w:widowControl/>
        <w:jc w:val="left"/>
        <w:rPr>
          <w:rFonts w:hint="eastAsia" w:ascii="宋体" w:hAnsi="宋体" w:eastAsia="宋体" w:cs="宋体"/>
          <w:b/>
          <w:bCs/>
          <w:color w:val="auto"/>
          <w:sz w:val="32"/>
          <w:szCs w:val="32"/>
          <w:highlight w:val="none"/>
        </w:rPr>
      </w:pPr>
      <w:r>
        <w:rPr>
          <w:rFonts w:hint="eastAsia" w:ascii="宋体" w:hAnsi="宋体" w:eastAsia="宋体" w:cs="宋体"/>
          <w:b/>
          <w:color w:val="auto"/>
          <w:sz w:val="28"/>
          <w:szCs w:val="28"/>
          <w:highlight w:val="none"/>
        </w:rPr>
        <w:br w:type="page"/>
      </w:r>
    </w:p>
    <w:p w14:paraId="63322A7F">
      <w:pPr>
        <w:pStyle w:val="2"/>
        <w:keepNext w:val="0"/>
        <w:adjustRightInd w:val="0"/>
        <w:snapToGrid w:val="0"/>
        <w:spacing w:before="156" w:beforeLines="50" w:line="360" w:lineRule="auto"/>
        <w:rPr>
          <w:rFonts w:hint="eastAsia" w:ascii="宋体" w:hAnsi="宋体" w:eastAsia="宋体" w:cs="宋体"/>
          <w:color w:val="auto"/>
          <w:sz w:val="32"/>
          <w:szCs w:val="32"/>
          <w:highlight w:val="none"/>
        </w:rPr>
      </w:pPr>
      <w:bookmarkStart w:id="159" w:name="_Toc8671"/>
      <w:bookmarkStart w:id="160" w:name="_Toc29913941"/>
      <w:bookmarkStart w:id="161" w:name="_Toc22482"/>
      <w:r>
        <w:rPr>
          <w:rFonts w:hint="eastAsia" w:ascii="宋体" w:hAnsi="宋体" w:eastAsia="宋体" w:cs="宋体"/>
          <w:color w:val="auto"/>
          <w:sz w:val="32"/>
          <w:szCs w:val="32"/>
          <w:highlight w:val="none"/>
        </w:rPr>
        <w:t>第五章 采购需求</w:t>
      </w:r>
      <w:bookmarkEnd w:id="159"/>
      <w:bookmarkEnd w:id="160"/>
      <w:bookmarkEnd w:id="161"/>
    </w:p>
    <w:p w14:paraId="1A122E52">
      <w:pPr>
        <w:spacing w:line="360" w:lineRule="auto"/>
        <w:rPr>
          <w:rFonts w:hint="eastAsia" w:ascii="宋体" w:hAnsi="宋体" w:eastAsia="宋体" w:cs="宋体"/>
          <w:color w:val="auto"/>
          <w:kern w:val="0"/>
          <w:sz w:val="22"/>
          <w:szCs w:val="22"/>
          <w:highlight w:val="none"/>
          <w:lang w:bidi="ar"/>
        </w:rPr>
      </w:pPr>
      <w:bookmarkStart w:id="162" w:name="_Toc12981"/>
      <w:bookmarkStart w:id="163" w:name="_Toc29913944"/>
      <w:bookmarkStart w:id="164" w:name="_Toc10064"/>
    </w:p>
    <w:p w14:paraId="47F784EE">
      <w:pPr>
        <w:numPr>
          <w:ilvl w:val="0"/>
          <w:numId w:val="7"/>
        </w:numPr>
        <w:spacing w:line="430" w:lineRule="exact"/>
        <w:ind w:left="0" w:leftChars="0" w:firstLine="0" w:firstLineChars="0"/>
        <w:rPr>
          <w:rFonts w:hint="default" w:ascii="宋体" w:hAnsi="宋体" w:eastAsia="宋体" w:cs="Times New Roman"/>
          <w:bCs/>
          <w:color w:val="auto"/>
          <w:szCs w:val="21"/>
          <w:highlight w:val="none"/>
          <w:lang w:val="en-US" w:eastAsia="zh-CN"/>
        </w:rPr>
      </w:pPr>
      <w:r>
        <w:rPr>
          <w:rFonts w:hint="eastAsia" w:ascii="宋体" w:hAnsi="宋体" w:eastAsia="宋体" w:cs="Times New Roman"/>
          <w:b/>
          <w:bCs/>
          <w:color w:val="auto"/>
          <w:sz w:val="24"/>
          <w:highlight w:val="none"/>
          <w:lang w:val="en-US" w:eastAsia="zh-CN"/>
        </w:rPr>
        <w:t>项目背景</w:t>
      </w:r>
    </w:p>
    <w:p w14:paraId="22C73C49">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郴州市物业专项维修资金管理</w:t>
      </w:r>
      <w:r>
        <w:rPr>
          <w:rFonts w:hint="eastAsia" w:ascii="宋体" w:hAnsi="宋体" w:cs="Times New Roman"/>
          <w:bCs/>
          <w:color w:val="auto"/>
          <w:szCs w:val="21"/>
          <w:highlight w:val="none"/>
          <w:lang w:val="en-US" w:eastAsia="zh-CN"/>
        </w:rPr>
        <w:t>平台</w:t>
      </w:r>
      <w:r>
        <w:rPr>
          <w:rFonts w:hint="default" w:ascii="宋体" w:hAnsi="宋体" w:eastAsia="宋体" w:cs="Times New Roman"/>
          <w:bCs/>
          <w:color w:val="auto"/>
          <w:szCs w:val="21"/>
          <w:highlight w:val="none"/>
          <w:lang w:val="en-US" w:eastAsia="zh-CN"/>
        </w:rPr>
        <w:t>系统,自 2012 年 3 月上线,以加强物业维修资金</w:t>
      </w:r>
      <w:r>
        <w:rPr>
          <w:rFonts w:hint="eastAsia" w:ascii="宋体" w:hAnsi="宋体" w:cs="Times New Roman"/>
          <w:bCs/>
          <w:color w:val="auto"/>
          <w:szCs w:val="21"/>
          <w:highlight w:val="none"/>
          <w:lang w:val="en-US" w:eastAsia="zh-CN"/>
        </w:rPr>
        <w:t>交存</w:t>
      </w:r>
      <w:r>
        <w:rPr>
          <w:rFonts w:hint="default" w:ascii="宋体" w:hAnsi="宋体" w:eastAsia="宋体" w:cs="Times New Roman"/>
          <w:bCs/>
          <w:color w:val="auto"/>
          <w:szCs w:val="21"/>
          <w:highlight w:val="none"/>
          <w:lang w:val="en-US" w:eastAsia="zh-CN"/>
        </w:rPr>
        <w:t>、使用、增值、账户等流程标准化管理,实现物业维修资金</w:t>
      </w:r>
      <w:r>
        <w:rPr>
          <w:rFonts w:hint="eastAsia" w:ascii="宋体" w:hAnsi="宋体" w:cs="Times New Roman"/>
          <w:bCs/>
          <w:color w:val="auto"/>
          <w:szCs w:val="21"/>
          <w:highlight w:val="none"/>
          <w:lang w:val="en-US" w:eastAsia="zh-CN"/>
        </w:rPr>
        <w:t>交存</w:t>
      </w:r>
      <w:r>
        <w:rPr>
          <w:rFonts w:hint="default" w:ascii="宋体" w:hAnsi="宋体" w:eastAsia="宋体" w:cs="Times New Roman"/>
          <w:bCs/>
          <w:color w:val="auto"/>
          <w:szCs w:val="21"/>
          <w:highlight w:val="none"/>
          <w:lang w:val="en-US" w:eastAsia="zh-CN"/>
        </w:rPr>
        <w:t>与使用的全程公开、公平、公正,提高物业专项维修资金管理水平,提升信息公开和政务服务水平。参与业务办理与审批的系统用户共计 10 人,涉及业务模块主要包括:基础数据采集、账户管理、自缴管理、归集管理、维修使用管理、总账管理、票据管理、结息管理、分析统计报表、综合查询等。</w:t>
      </w:r>
    </w:p>
    <w:p w14:paraId="0C882146">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郴州市物业维修资金线上服务平台,作为开展物业专项维修资金便民服务的有力补充,依托飞速发展的互联网+信息技术,自 2023 年 7 月上线以来,共计为全市 4.1 万名注册业主提供包括:小区概况、政策法规、办事指南、个人维修资金查询、线上</w:t>
      </w:r>
      <w:r>
        <w:rPr>
          <w:rFonts w:hint="eastAsia" w:ascii="宋体" w:hAnsi="宋体" w:cs="Times New Roman"/>
          <w:bCs/>
          <w:color w:val="auto"/>
          <w:szCs w:val="21"/>
          <w:highlight w:val="none"/>
          <w:lang w:val="en-US" w:eastAsia="zh-CN"/>
        </w:rPr>
        <w:t>交存</w:t>
      </w:r>
      <w:r>
        <w:rPr>
          <w:rFonts w:hint="default" w:ascii="宋体" w:hAnsi="宋体" w:eastAsia="宋体" w:cs="Times New Roman"/>
          <w:bCs/>
          <w:color w:val="auto"/>
          <w:szCs w:val="21"/>
          <w:highlight w:val="none"/>
          <w:lang w:val="en-US" w:eastAsia="zh-CN"/>
        </w:rPr>
        <w:t>、</w:t>
      </w:r>
      <w:r>
        <w:rPr>
          <w:rFonts w:hint="eastAsia" w:ascii="宋体" w:hAnsi="宋体" w:cs="Times New Roman"/>
          <w:bCs/>
          <w:color w:val="auto"/>
          <w:szCs w:val="21"/>
          <w:highlight w:val="none"/>
          <w:lang w:val="en-US" w:eastAsia="zh-CN"/>
        </w:rPr>
        <w:t>使用表决、</w:t>
      </w:r>
      <w:r>
        <w:rPr>
          <w:rFonts w:hint="default" w:ascii="宋体" w:hAnsi="宋体" w:eastAsia="宋体" w:cs="Times New Roman"/>
          <w:bCs/>
          <w:color w:val="auto"/>
          <w:szCs w:val="21"/>
          <w:highlight w:val="none"/>
          <w:lang w:val="en-US" w:eastAsia="zh-CN"/>
        </w:rPr>
        <w:t>电子票据下载、过户电子证明下载、维修使用公示等在内的高效、便捷、全面地维修资金线上服务体验。</w:t>
      </w:r>
    </w:p>
    <w:p w14:paraId="647CDF3A">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截止到目前,郴州市</w:t>
      </w:r>
      <w:r>
        <w:rPr>
          <w:rFonts w:hint="eastAsia" w:ascii="宋体" w:hAnsi="宋体" w:cs="Times New Roman"/>
          <w:bCs/>
          <w:color w:val="auto"/>
          <w:szCs w:val="21"/>
          <w:highlight w:val="none"/>
          <w:lang w:val="en-US" w:eastAsia="zh-CN"/>
        </w:rPr>
        <w:t>本级</w:t>
      </w:r>
      <w:r>
        <w:rPr>
          <w:rFonts w:hint="default" w:ascii="宋体" w:hAnsi="宋体" w:eastAsia="宋体" w:cs="Times New Roman"/>
          <w:bCs/>
          <w:color w:val="auto"/>
          <w:szCs w:val="21"/>
          <w:highlight w:val="none"/>
          <w:lang w:val="en-US" w:eastAsia="zh-CN"/>
        </w:rPr>
        <w:t>物业专项维修资金归集与使用涉及房地产开发楼盘项目有 785个、总楼栋有 6564 栋、总户室有 501250 套,涉及维修资金总金额有32.74亿元。由于历史遗留问题,维修资金部分数据存在不完整和不准确情况,甚至有些混乱,“家底不清楚”现象,与不动产登记、财务数据不一致,导致业务办理过程中遇到许多问题,主要存在的问题有:维修资金基础数据存在不完整和不准确问题,导致维修资金结息难、维修资金追缴难、维修资金使用难、维修资金过户难、维修资金汇总统计难、维修资金信息公示难等一系列问题,导致维修资金窗口办公效率低下,业主利益得不到保障,是当前维修资金管理最头痛的问题。</w:t>
      </w:r>
    </w:p>
    <w:p w14:paraId="4201E27B">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郴州市物业专项维修资金管理</w:t>
      </w:r>
      <w:r>
        <w:rPr>
          <w:rFonts w:hint="eastAsia" w:ascii="宋体" w:hAnsi="宋体" w:cs="Times New Roman"/>
          <w:bCs/>
          <w:color w:val="auto"/>
          <w:szCs w:val="21"/>
          <w:highlight w:val="none"/>
          <w:lang w:val="en-US" w:eastAsia="zh-CN"/>
        </w:rPr>
        <w:t>平台</w:t>
      </w:r>
      <w:r>
        <w:rPr>
          <w:rFonts w:hint="default" w:ascii="宋体" w:hAnsi="宋体" w:eastAsia="宋体" w:cs="Times New Roman"/>
          <w:bCs/>
          <w:color w:val="auto"/>
          <w:szCs w:val="21"/>
          <w:highlight w:val="none"/>
          <w:lang w:val="en-US" w:eastAsia="zh-CN"/>
        </w:rPr>
        <w:t>系统基于郴州市政务云建设,共 4 台服务器。一台应用服务器,一台数据库,一台银行接口,一台线上服务服务器。共使用资源 44 核、144G 内存、2.5TB 硬盘资源。</w:t>
      </w:r>
    </w:p>
    <w:p w14:paraId="40A0A433">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在业务办理方面,郴州市物业专项维修资金管理系统已实现了从基础数据采集到综合查询的全流程覆盖。业主通过线上服务平台,可以随时随地查询个人维修资金账户情况,包括</w:t>
      </w:r>
      <w:r>
        <w:rPr>
          <w:rFonts w:hint="eastAsia" w:ascii="宋体" w:hAnsi="宋体" w:cs="Times New Roman"/>
          <w:bCs/>
          <w:color w:val="auto"/>
          <w:szCs w:val="21"/>
          <w:highlight w:val="none"/>
          <w:lang w:val="en-US" w:eastAsia="zh-CN"/>
        </w:rPr>
        <w:t>交存</w:t>
      </w:r>
      <w:r>
        <w:rPr>
          <w:rFonts w:hint="default" w:ascii="宋体" w:hAnsi="宋体" w:eastAsia="宋体" w:cs="Times New Roman"/>
          <w:bCs/>
          <w:color w:val="auto"/>
          <w:szCs w:val="21"/>
          <w:highlight w:val="none"/>
          <w:lang w:val="en-US" w:eastAsia="zh-CN"/>
        </w:rPr>
        <w:t>记录、使用明细、结息信息等,实现了信息的透明化。同时,系统支持线上</w:t>
      </w:r>
      <w:r>
        <w:rPr>
          <w:rFonts w:hint="eastAsia" w:ascii="宋体" w:hAnsi="宋体" w:cs="Times New Roman"/>
          <w:bCs/>
          <w:color w:val="auto"/>
          <w:szCs w:val="21"/>
          <w:highlight w:val="none"/>
          <w:lang w:val="en-US" w:eastAsia="zh-CN"/>
        </w:rPr>
        <w:t>交存</w:t>
      </w:r>
      <w:r>
        <w:rPr>
          <w:rFonts w:hint="default" w:ascii="宋体" w:hAnsi="宋体" w:eastAsia="宋体" w:cs="Times New Roman"/>
          <w:bCs/>
          <w:color w:val="auto"/>
          <w:szCs w:val="21"/>
          <w:highlight w:val="none"/>
          <w:lang w:val="en-US" w:eastAsia="zh-CN"/>
        </w:rPr>
        <w:t>功能,业主无需到现场即可完成维修资金的</w:t>
      </w:r>
      <w:r>
        <w:rPr>
          <w:rFonts w:hint="eastAsia" w:ascii="宋体" w:hAnsi="宋体" w:cs="Times New Roman"/>
          <w:bCs/>
          <w:color w:val="auto"/>
          <w:szCs w:val="21"/>
          <w:highlight w:val="none"/>
          <w:lang w:val="en-US" w:eastAsia="zh-CN"/>
        </w:rPr>
        <w:t>交存</w:t>
      </w:r>
      <w:r>
        <w:rPr>
          <w:rFonts w:hint="default" w:ascii="宋体" w:hAnsi="宋体" w:eastAsia="宋体" w:cs="Times New Roman"/>
          <w:bCs/>
          <w:color w:val="auto"/>
          <w:szCs w:val="21"/>
          <w:highlight w:val="none"/>
          <w:lang w:val="en-US" w:eastAsia="zh-CN"/>
        </w:rPr>
        <w:t>,极大地方便了业主。此外,系统还提供了电子票据下载和过户电子证明下载服务,进一步简化了业务办理流程,提升了政务服务水平。这些线上服务的推出,不仅提高了业务办理的便捷性和效率,也增强了业主对政务服务的满意度。</w:t>
      </w:r>
    </w:p>
    <w:p w14:paraId="5B6786A8">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郴州市作为湖南省的重要城市,物业专项维修资金的管理规模日益扩大</w:t>
      </w:r>
      <w:r>
        <w:rPr>
          <w:rFonts w:hint="eastAsia" w:ascii="宋体" w:hAnsi="宋体" w:eastAsia="宋体" w:cs="Times New Roman"/>
          <w:bCs/>
          <w:color w:val="auto"/>
          <w:szCs w:val="21"/>
          <w:highlight w:val="none"/>
          <w:lang w:val="en-US" w:eastAsia="zh-CN"/>
        </w:rPr>
        <w:t>，</w:t>
      </w:r>
      <w:r>
        <w:rPr>
          <w:rFonts w:hint="default" w:ascii="宋体" w:hAnsi="宋体" w:eastAsia="宋体" w:cs="Times New Roman"/>
          <w:bCs/>
          <w:color w:val="auto"/>
          <w:szCs w:val="21"/>
          <w:highlight w:val="none"/>
          <w:lang w:val="en-US" w:eastAsia="zh-CN"/>
        </w:rPr>
        <w:t>管理复杂度也随之提升。当前,郴州市在物业专项维修资金管理方面面临着多重挑战:</w:t>
      </w:r>
    </w:p>
    <w:p w14:paraId="618A145E">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首先,资金规模快速增长带来的管理压力。随着新建楼盘的不断增加,物业专项维修资金的归集量急剧上升,如何高效、准确地管理这笔巨额资金,确保其专款专用,成为亟待解决的问题。传统的手工管理方式已难以满足当前的管理需求,亟须通过信息化手段提升管理效率。</w:t>
      </w:r>
    </w:p>
    <w:p w14:paraId="136296BC">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其次,信息透明度与业主参与度不足。业主对物业专项维修资金的使用情况缺乏有效的查询和监督渠道,导致信息不对称,容易引发业主与物业之间的矛盾和纠纷。如何增强资金管理的透明度,提升业主的参与度和满意度,是当前管理中的一大难题。</w:t>
      </w:r>
    </w:p>
    <w:p w14:paraId="1E57DDEA">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再者,系统功能不完善与数据孤岛现象。现有的物业</w:t>
      </w:r>
      <w:r>
        <w:rPr>
          <w:rFonts w:hint="eastAsia" w:ascii="宋体" w:hAnsi="宋体" w:cs="Times New Roman"/>
          <w:bCs/>
          <w:color w:val="auto"/>
          <w:szCs w:val="21"/>
          <w:highlight w:val="none"/>
          <w:lang w:val="en-US" w:eastAsia="zh-CN"/>
        </w:rPr>
        <w:t>专项</w:t>
      </w:r>
      <w:r>
        <w:rPr>
          <w:rFonts w:hint="default" w:ascii="宋体" w:hAnsi="宋体" w:eastAsia="宋体" w:cs="Times New Roman"/>
          <w:bCs/>
          <w:color w:val="auto"/>
          <w:szCs w:val="21"/>
          <w:highlight w:val="none"/>
          <w:lang w:val="en-US" w:eastAsia="zh-CN"/>
        </w:rPr>
        <w:t>维修资金管理系统在功能上存在局限性,如缺乏催缴提醒、结算金额冻结、统计数据筛查等关键功能,导致管理效率低下。同时,由于历史原因,系统中存在大量数据孤岛,不同系统之间的数据无法有效共享和整合,影响了数据的准确性和完整性。此外,随着“互联网+”趋势的深入发展,业主对线上服务的需求日益增长。如何顺应这一趋势,推出更加便捷、高效的线上服务平台,满足业主的多元化需求,也是郴州市物业专项维修资金管理面临的重要挑战。</w:t>
      </w:r>
    </w:p>
    <w:p w14:paraId="15F53374">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国家和地方政府对物业专项维修资金管理建设提出了一系列政策要求,旨在规范资金管理流程,保障业主权益,提升管理效率和服务水平。首先,政策强调建立健全物业专项维修资金管理制度,明确资金归集、使用、管理和监督等各个环节的具体规定,确保资金专款专用,防止挪用和滥用。其次,政策要求加强信息化手段在物业专项维修资金管理中的应用,通过建设统一的管理信息系统,实现资金数据的实时更新、查询和统计分析,提高管理透明度和决策科学性。同时,政策还鼓励各地探索创新管理模式,如引入第三方专业机构参与资金管理,提升专业化水平和服务质量。此外,政策对物业专项维修资金的应急使用机制也提出了明确要求,确保在紧急情况下能够迅速响应,保障业主的生命财产安全。</w:t>
      </w:r>
    </w:p>
    <w:p w14:paraId="65BE41C9">
      <w:pPr>
        <w:numPr>
          <w:ilvl w:val="0"/>
          <w:numId w:val="7"/>
        </w:numPr>
        <w:spacing w:line="430" w:lineRule="exact"/>
        <w:ind w:left="0" w:leftChars="0" w:firstLine="0" w:firstLineChars="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项目建设目标</w:t>
      </w:r>
    </w:p>
    <w:p w14:paraId="7FF61AD0">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系统功能升级：①优化</w:t>
      </w:r>
      <w:r>
        <w:rPr>
          <w:rFonts w:hint="eastAsia" w:ascii="宋体" w:hAnsi="宋体" w:cs="Times New Roman"/>
          <w:bCs/>
          <w:color w:val="auto"/>
          <w:szCs w:val="21"/>
          <w:highlight w:val="none"/>
          <w:lang w:val="en-US" w:eastAsia="zh-CN"/>
        </w:rPr>
        <w:t>管理平台</w:t>
      </w:r>
      <w:r>
        <w:rPr>
          <w:rFonts w:hint="eastAsia" w:ascii="宋体" w:hAnsi="宋体" w:eastAsia="宋体" w:cs="Times New Roman"/>
          <w:bCs/>
          <w:color w:val="auto"/>
          <w:szCs w:val="21"/>
          <w:highlight w:val="none"/>
          <w:lang w:val="en-US" w:eastAsia="zh-CN"/>
        </w:rPr>
        <w:t>，完善智慧监管能力，提升维修资金精细管理水平。完成公众号办事大厅迁移、催缴预警、结算冻结、财业一体化对账、消息通知、小区线上申报、机构信用管理、设施设备全周期管控、增值收益管理、缓交闭环管理、多角色实名注册、线上投票表决及智能数据统计等功能升级改造，规范维修资金归集、使用、增值、催缴、缓交等全链条业务流程，完善安全核验机制与多级审批体系，实现业务闭环管控、精准监管，保障资金运行合规安全。②完善</w:t>
      </w:r>
      <w:r>
        <w:rPr>
          <w:rFonts w:hint="eastAsia" w:ascii="宋体" w:hAnsi="宋体" w:cs="Times New Roman"/>
          <w:bCs/>
          <w:color w:val="auto"/>
          <w:szCs w:val="21"/>
          <w:highlight w:val="none"/>
          <w:lang w:val="en-US" w:eastAsia="zh-CN"/>
        </w:rPr>
        <w:t>办事大厅</w:t>
      </w:r>
      <w:r>
        <w:rPr>
          <w:rFonts w:hint="eastAsia" w:ascii="宋体" w:hAnsi="宋体" w:eastAsia="宋体" w:cs="Times New Roman"/>
          <w:bCs/>
          <w:color w:val="auto"/>
          <w:szCs w:val="21"/>
          <w:highlight w:val="none"/>
          <w:lang w:val="en-US" w:eastAsia="zh-CN"/>
        </w:rPr>
        <w:t>，提升便民服务体验，实现维修资金全程线上办理。打通微信公众号、短信等服务渠道，支持业主信息查询、补缴提醒、投票表决等线上服务，落实信息公示与进度推送，保障业主知情权，做到业务可查、进度可视、掌上可办，减少线下跑动，提升政务服务质量与业主办事体验。</w:t>
      </w:r>
    </w:p>
    <w:p w14:paraId="539D7255">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数据清理：完成物业专项维修资金全量历史存量数据专项治理工作，以不动产登记权属数据完善房屋基础台账信息，修正补录小区、楼栋、户室、产权人、面积等基础数据，建立长效数据同步机制；以财务会计数据核对历年</w:t>
      </w:r>
      <w:r>
        <w:rPr>
          <w:rFonts w:hint="eastAsia" w:ascii="宋体" w:hAnsi="宋体" w:cs="Times New Roman"/>
          <w:bCs/>
          <w:color w:val="auto"/>
          <w:szCs w:val="21"/>
          <w:highlight w:val="none"/>
          <w:lang w:val="en-US" w:eastAsia="zh-CN"/>
        </w:rPr>
        <w:t>交存</w:t>
      </w:r>
      <w:r>
        <w:rPr>
          <w:rFonts w:hint="eastAsia" w:ascii="宋体" w:hAnsi="宋体" w:eastAsia="宋体" w:cs="Times New Roman"/>
          <w:bCs/>
          <w:color w:val="auto"/>
          <w:szCs w:val="21"/>
          <w:highlight w:val="none"/>
          <w:lang w:val="en-US" w:eastAsia="zh-CN"/>
        </w:rPr>
        <w:t>、退款、使用、分摊等业务台账，实现业务数据、财务数据、银行流水数据账账相符、精准一致，建立完整规范的分户明细台账与可追溯数据变更日志。保障基础信息真实准确、账务数据合规可查，为维修资金日常业务办理、计息核算、资金监管、阳光公示、审计核查提供扎实可靠的数据底座。</w:t>
      </w:r>
    </w:p>
    <w:p w14:paraId="6E0083B7">
      <w:pPr>
        <w:numPr>
          <w:ilvl w:val="0"/>
          <w:numId w:val="7"/>
        </w:numPr>
        <w:spacing w:line="430" w:lineRule="exact"/>
        <w:ind w:left="0" w:leftChars="0" w:firstLine="0" w:firstLineChars="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项目建设内容</w:t>
      </w:r>
    </w:p>
    <w:p w14:paraId="7DD14A15">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宋体" w:hAnsi="宋体" w:eastAsia="宋体" w:cs="宋体"/>
          <w:color w:val="auto"/>
          <w:highlight w:val="none"/>
          <w:lang w:val="en-US" w:eastAsia="zh-CN"/>
        </w:rPr>
      </w:pPr>
      <w:r>
        <w:rPr>
          <w:rFonts w:hint="eastAsia" w:ascii="宋体" w:hAnsi="宋体" w:cs="宋体"/>
          <w:color w:val="auto"/>
          <w:kern w:val="0"/>
          <w:sz w:val="20"/>
          <w:szCs w:val="20"/>
          <w:highlight w:val="none"/>
          <w:lang w:val="en-US" w:eastAsia="zh-CN"/>
        </w:rPr>
        <w:t>（一）</w:t>
      </w:r>
      <w:r>
        <w:rPr>
          <w:rFonts w:hint="default" w:ascii="宋体" w:hAnsi="宋体" w:eastAsia="宋体" w:cs="宋体"/>
          <w:color w:val="auto"/>
          <w:kern w:val="0"/>
          <w:sz w:val="20"/>
          <w:szCs w:val="20"/>
          <w:highlight w:val="none"/>
          <w:lang w:val="en-US" w:eastAsia="zh-CN"/>
        </w:rPr>
        <w:t>物业维修资金管理</w:t>
      </w:r>
      <w:r>
        <w:rPr>
          <w:rFonts w:hint="eastAsia" w:ascii="宋体" w:hAnsi="宋体" w:eastAsia="宋体" w:cs="宋体"/>
          <w:color w:val="auto"/>
          <w:kern w:val="0"/>
          <w:sz w:val="20"/>
          <w:szCs w:val="20"/>
          <w:highlight w:val="none"/>
          <w:lang w:val="en-US" w:eastAsia="zh-CN"/>
        </w:rPr>
        <w:t>平台功能</w:t>
      </w:r>
      <w:r>
        <w:rPr>
          <w:rFonts w:hint="default" w:ascii="宋体" w:hAnsi="宋体" w:eastAsia="宋体" w:cs="宋体"/>
          <w:color w:val="auto"/>
          <w:kern w:val="0"/>
          <w:sz w:val="20"/>
          <w:szCs w:val="20"/>
          <w:highlight w:val="none"/>
          <w:lang w:val="en-US" w:eastAsia="zh-CN"/>
        </w:rPr>
        <w:t>升级</w:t>
      </w:r>
      <w:r>
        <w:rPr>
          <w:rFonts w:hint="eastAsia" w:ascii="宋体" w:hAnsi="宋体" w:eastAsia="宋体" w:cs="宋体"/>
          <w:color w:val="auto"/>
          <w:kern w:val="0"/>
          <w:sz w:val="20"/>
          <w:szCs w:val="20"/>
          <w:highlight w:val="none"/>
          <w:lang w:val="en-US" w:eastAsia="zh-CN"/>
        </w:rPr>
        <w:t>：</w:t>
      </w:r>
    </w:p>
    <w:p w14:paraId="09289C89">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物业专项维修资金办事大厅迁移功能需求。要求将当前郴州市本级物业专项维修资金线上办事大厅整体由“郴州住建”微信公众号迁移至“郴州市住房保障服务中心”微信公众号，完成功能迁移、接口对接、数据平移、系统适配、安全校验、调试上线等全部工作，确保迁移后办事大厅功能完整、数据准确、运行稳定。</w:t>
      </w:r>
    </w:p>
    <w:p w14:paraId="7BE61641">
      <w:pPr>
        <w:adjustRightInd w:val="0"/>
        <w:snapToGrid w:val="0"/>
        <w:spacing w:line="440" w:lineRule="exact"/>
        <w:ind w:firstLine="420" w:firstLineChars="200"/>
        <w:jc w:val="left"/>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2.物业专项维修资金催缴提醒功能需求。要求平台对全量户室账户余额开展监测，当账户余额低于实缴金额30%时自动触发预警，在系统端提示经办人员，并以手机短信、微信公众号双渠道向业主发送补缴提醒通知。要求平台依托业主账户交存、使用、结余等数据，智能识别欠费风险主体，实现个性化、精准化催缴提醒。要求平台建立催缴反馈机制，支持业主完成提醒确认、欠费原因反馈等操作，并根据业主反馈动态优化催缴策略。</w:t>
      </w:r>
    </w:p>
    <w:p w14:paraId="2A63A9C4">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3.物业专项维修资金结算金额冻结功能需求。要求平台新增维修资金结算预授权冻结功能，在使用申请环节，对相关受益业主维修资金分户账待分摊余额进行冻结锁定，</w:t>
      </w:r>
      <w:r>
        <w:rPr>
          <w:rFonts w:hint="eastAsia" w:ascii="宋体" w:hAnsi="宋体" w:cs="Times New Roman"/>
          <w:bCs/>
          <w:color w:val="auto"/>
          <w:szCs w:val="21"/>
          <w:highlight w:val="none"/>
          <w:lang w:val="en-US" w:eastAsia="zh-CN"/>
        </w:rPr>
        <w:t>避免</w:t>
      </w:r>
      <w:r>
        <w:rPr>
          <w:rFonts w:hint="eastAsia" w:ascii="宋体" w:hAnsi="宋体" w:eastAsia="宋体" w:cs="Times New Roman"/>
          <w:bCs/>
          <w:color w:val="auto"/>
          <w:szCs w:val="21"/>
          <w:highlight w:val="none"/>
          <w:lang w:val="en-US" w:eastAsia="zh-CN"/>
        </w:rPr>
        <w:t>同一分户账余额被重复用于多个维修项目分摊结算，规范同一分户账多项目分摊结算流程，</w:t>
      </w:r>
      <w:r>
        <w:rPr>
          <w:rFonts w:hint="eastAsia" w:ascii="宋体" w:hAnsi="宋体" w:cs="Times New Roman"/>
          <w:bCs/>
          <w:color w:val="auto"/>
          <w:szCs w:val="21"/>
          <w:highlight w:val="none"/>
          <w:lang w:val="en-US" w:eastAsia="zh-CN"/>
        </w:rPr>
        <w:t>确保平台</w:t>
      </w:r>
      <w:r>
        <w:rPr>
          <w:rFonts w:hint="eastAsia" w:ascii="宋体" w:hAnsi="宋体" w:eastAsia="宋体" w:cs="Times New Roman"/>
          <w:bCs/>
          <w:color w:val="auto"/>
          <w:szCs w:val="21"/>
          <w:highlight w:val="none"/>
          <w:lang w:val="en-US" w:eastAsia="zh-CN"/>
        </w:rPr>
        <w:t>最终分摊金额与</w:t>
      </w:r>
      <w:r>
        <w:rPr>
          <w:rFonts w:hint="eastAsia" w:ascii="宋体" w:hAnsi="宋体" w:cs="Times New Roman"/>
          <w:bCs/>
          <w:color w:val="auto"/>
          <w:szCs w:val="21"/>
          <w:highlight w:val="none"/>
          <w:lang w:val="en-US" w:eastAsia="zh-CN"/>
        </w:rPr>
        <w:t>银行</w:t>
      </w:r>
      <w:r>
        <w:rPr>
          <w:rFonts w:hint="eastAsia" w:ascii="宋体" w:hAnsi="宋体" w:eastAsia="宋体" w:cs="Times New Roman"/>
          <w:bCs/>
          <w:color w:val="auto"/>
          <w:szCs w:val="21"/>
          <w:highlight w:val="none"/>
          <w:lang w:val="en-US" w:eastAsia="zh-CN"/>
        </w:rPr>
        <w:t>实际划拨金额完全一致，</w:t>
      </w:r>
      <w:r>
        <w:rPr>
          <w:rFonts w:hint="eastAsia" w:ascii="宋体" w:hAnsi="宋体" w:cs="Times New Roman"/>
          <w:bCs/>
          <w:color w:val="auto"/>
          <w:szCs w:val="21"/>
          <w:highlight w:val="none"/>
          <w:lang w:val="en-US" w:eastAsia="zh-CN"/>
        </w:rPr>
        <w:t>保障</w:t>
      </w:r>
      <w:r>
        <w:rPr>
          <w:rFonts w:hint="eastAsia" w:ascii="宋体" w:hAnsi="宋体" w:eastAsia="宋体" w:cs="Times New Roman"/>
          <w:bCs/>
          <w:color w:val="auto"/>
          <w:szCs w:val="21"/>
          <w:highlight w:val="none"/>
          <w:lang w:val="en-US" w:eastAsia="zh-CN"/>
        </w:rPr>
        <w:t>资金结算精准合规。</w:t>
      </w:r>
    </w:p>
    <w:p w14:paraId="6B2CB8FB">
      <w:pPr>
        <w:adjustRightInd w:val="0"/>
        <w:snapToGrid w:val="0"/>
        <w:spacing w:line="440" w:lineRule="exact"/>
        <w:ind w:firstLine="420" w:firstLineChars="200"/>
        <w:jc w:val="left"/>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4.物业专项维修资金数据统计分析功能需求。要求优化升级管理平台数据筛查、统计、分析及导出能力，针对海量维修资金</w:t>
      </w:r>
      <w:r>
        <w:rPr>
          <w:rFonts w:hint="eastAsia" w:ascii="宋体" w:hAnsi="宋体" w:cs="Times New Roman"/>
          <w:bCs/>
          <w:color w:val="auto"/>
          <w:szCs w:val="21"/>
          <w:highlight w:val="none"/>
          <w:lang w:val="en-US" w:eastAsia="zh-CN"/>
        </w:rPr>
        <w:t>基础数据和</w:t>
      </w:r>
      <w:r>
        <w:rPr>
          <w:rFonts w:hint="eastAsia" w:ascii="宋体" w:hAnsi="宋体" w:eastAsia="宋体" w:cs="Times New Roman"/>
          <w:bCs/>
          <w:color w:val="auto"/>
          <w:szCs w:val="21"/>
          <w:highlight w:val="none"/>
          <w:lang w:val="en-US" w:eastAsia="zh-CN"/>
        </w:rPr>
        <w:t>业务数据实现高效筛选、精准定位、快速查询与批量导出功能。平台需支持多维度、智能化筛查条件弹性配置，实现快速过滤、提取、汇总所需数据。</w:t>
      </w:r>
    </w:p>
    <w:p w14:paraId="1632C372">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5.物业专项维修资金财业一体化功能需求。</w:t>
      </w:r>
      <w:r>
        <w:rPr>
          <w:rFonts w:hint="eastAsia" w:ascii="宋体" w:hAnsi="宋体" w:cs="Times New Roman"/>
          <w:bCs/>
          <w:color w:val="auto"/>
          <w:szCs w:val="21"/>
          <w:highlight w:val="none"/>
          <w:lang w:val="en-US" w:eastAsia="zh-CN"/>
        </w:rPr>
        <w:t>要求</w:t>
      </w:r>
      <w:r>
        <w:rPr>
          <w:rFonts w:hint="eastAsia" w:ascii="宋体" w:hAnsi="宋体" w:eastAsia="宋体" w:cs="Times New Roman"/>
          <w:bCs/>
          <w:color w:val="auto"/>
          <w:szCs w:val="21"/>
          <w:highlight w:val="none"/>
          <w:lang w:val="en-US" w:eastAsia="zh-CN"/>
        </w:rPr>
        <w:t>实现物业专项维修资金管理平台与财务系统标准化对接、互联互通及实时数据同步，构建业务、财务、银行三方对账体系，建立常态化、自动化、规范化三方对账核验机制。确保资金归集、使用拨付、增值收益、利息派息等全流程业务数据，与</w:t>
      </w:r>
      <w:r>
        <w:rPr>
          <w:rFonts w:hint="eastAsia" w:ascii="宋体" w:hAnsi="宋体" w:cs="Times New Roman"/>
          <w:bCs/>
          <w:color w:val="auto"/>
          <w:szCs w:val="21"/>
          <w:highlight w:val="none"/>
          <w:lang w:val="en-US" w:eastAsia="zh-CN"/>
        </w:rPr>
        <w:t>会计核算</w:t>
      </w:r>
      <w:r>
        <w:rPr>
          <w:rFonts w:hint="eastAsia" w:ascii="宋体" w:hAnsi="宋体" w:eastAsia="宋体" w:cs="Times New Roman"/>
          <w:bCs/>
          <w:color w:val="auto"/>
          <w:szCs w:val="21"/>
          <w:highlight w:val="none"/>
          <w:lang w:val="en-US" w:eastAsia="zh-CN"/>
        </w:rPr>
        <w:t>数据、银行流水数据保持一致；当三方数据出现差异时系统自动预警提示，便于及时核查整改。</w:t>
      </w:r>
      <w:r>
        <w:rPr>
          <w:rFonts w:hint="eastAsia" w:ascii="宋体" w:hAnsi="宋体" w:cs="Times New Roman"/>
          <w:bCs/>
          <w:color w:val="auto"/>
          <w:szCs w:val="21"/>
          <w:highlight w:val="none"/>
          <w:lang w:val="en-US" w:eastAsia="zh-CN"/>
        </w:rPr>
        <w:t>完善</w:t>
      </w:r>
      <w:r>
        <w:rPr>
          <w:rFonts w:hint="eastAsia" w:ascii="宋体" w:hAnsi="宋体" w:eastAsia="宋体" w:cs="Times New Roman"/>
          <w:bCs/>
          <w:color w:val="auto"/>
          <w:szCs w:val="21"/>
          <w:highlight w:val="none"/>
          <w:lang w:val="en-US" w:eastAsia="zh-CN"/>
        </w:rPr>
        <w:t>资金核算管控，消除财业数据脱节问题，夯实资金监管基础。</w:t>
      </w:r>
    </w:p>
    <w:p w14:paraId="3BE54FAA">
      <w:pPr>
        <w:adjustRightInd w:val="0"/>
        <w:snapToGrid w:val="0"/>
        <w:spacing w:line="440" w:lineRule="exact"/>
        <w:ind w:firstLine="420" w:firstLineChars="200"/>
        <w:jc w:val="left"/>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6.物业专项维修资金消息通知功能需求。要求完善管理平台消息智能推送功能，针对维修资金各项业务办理进度、审核状态、办结结果以及业主分户账资金变动等关键信息，通过手机短信、微信公众号双渠道，实时推送至对应业务申请人及相关业主，实现业务动态全程可追溯、可查询，提升业务办理透明度与业主服务体验。</w:t>
      </w:r>
    </w:p>
    <w:p w14:paraId="2992C971">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7.物业专项维修资金使用在线申请功能需求。</w:t>
      </w:r>
      <w:r>
        <w:rPr>
          <w:rFonts w:hint="eastAsia" w:ascii="宋体" w:hAnsi="宋体" w:cs="Times New Roman"/>
          <w:bCs/>
          <w:color w:val="auto"/>
          <w:szCs w:val="21"/>
          <w:highlight w:val="none"/>
          <w:lang w:val="en-US" w:eastAsia="zh-CN"/>
        </w:rPr>
        <w:t>要求管理平台</w:t>
      </w:r>
      <w:r>
        <w:rPr>
          <w:rFonts w:hint="eastAsia" w:ascii="宋体" w:hAnsi="宋体" w:eastAsia="宋体" w:cs="Times New Roman"/>
          <w:bCs/>
          <w:color w:val="auto"/>
          <w:szCs w:val="21"/>
          <w:highlight w:val="none"/>
          <w:lang w:val="en-US" w:eastAsia="zh-CN"/>
        </w:rPr>
        <w:t>实现维修资金使用申请权限下沉至</w:t>
      </w:r>
      <w:r>
        <w:rPr>
          <w:rFonts w:hint="eastAsia" w:ascii="宋体" w:hAnsi="宋体" w:cs="Times New Roman"/>
          <w:bCs/>
          <w:color w:val="auto"/>
          <w:szCs w:val="21"/>
          <w:highlight w:val="none"/>
          <w:lang w:val="en-US" w:eastAsia="zh-CN"/>
        </w:rPr>
        <w:t>物业</w:t>
      </w:r>
      <w:r>
        <w:rPr>
          <w:rFonts w:hint="eastAsia" w:ascii="宋体" w:hAnsi="宋体" w:eastAsia="宋体" w:cs="Times New Roman"/>
          <w:bCs/>
          <w:color w:val="auto"/>
          <w:szCs w:val="21"/>
          <w:highlight w:val="none"/>
          <w:lang w:val="en-US" w:eastAsia="zh-CN"/>
        </w:rPr>
        <w:t>小区层级，搭建独立的小区账号管理模块，为各小区配置专属业务申请账号，实现小区端自主申报业务。支持申请人按照标准化业务流程，通过管理平台线上提交维修资金使用申请，并完整上传项目申报所需资料。管理端支持工作人员对小区申报业务开展线上受理、多级审核、资金划转、资料归档等全流程电子化闭环办理，全面实现维修资金使用业务无纸化、线上化、规范化办理。投标人须无偿配合</w:t>
      </w:r>
      <w:r>
        <w:rPr>
          <w:rFonts w:hint="eastAsia" w:ascii="宋体" w:hAnsi="宋体" w:cs="Times New Roman"/>
          <w:bCs/>
          <w:color w:val="auto"/>
          <w:szCs w:val="21"/>
          <w:highlight w:val="none"/>
          <w:lang w:val="en-US" w:eastAsia="zh-CN"/>
        </w:rPr>
        <w:t>采购人</w:t>
      </w:r>
      <w:r>
        <w:rPr>
          <w:rFonts w:hint="eastAsia" w:ascii="宋体" w:hAnsi="宋体" w:eastAsia="宋体" w:cs="Times New Roman"/>
          <w:bCs/>
          <w:color w:val="auto"/>
          <w:szCs w:val="21"/>
          <w:highlight w:val="none"/>
          <w:lang w:val="en-US" w:eastAsia="zh-CN"/>
        </w:rPr>
        <w:t>后续规范</w:t>
      </w:r>
      <w:r>
        <w:rPr>
          <w:rFonts w:hint="eastAsia" w:ascii="宋体" w:hAnsi="宋体" w:cs="Times New Roman"/>
          <w:bCs/>
          <w:color w:val="auto"/>
          <w:szCs w:val="21"/>
          <w:highlight w:val="none"/>
          <w:lang w:val="en-US" w:eastAsia="zh-CN"/>
        </w:rPr>
        <w:t>使用</w:t>
      </w:r>
      <w:r>
        <w:rPr>
          <w:rFonts w:hint="eastAsia" w:ascii="宋体" w:hAnsi="宋体" w:eastAsia="宋体" w:cs="Times New Roman"/>
          <w:bCs/>
          <w:color w:val="auto"/>
          <w:szCs w:val="21"/>
          <w:highlight w:val="none"/>
          <w:lang w:val="en-US" w:eastAsia="zh-CN"/>
        </w:rPr>
        <w:t>业务、</w:t>
      </w:r>
      <w:r>
        <w:rPr>
          <w:rFonts w:hint="eastAsia" w:ascii="宋体" w:hAnsi="宋体" w:cs="Times New Roman"/>
          <w:bCs/>
          <w:color w:val="auto"/>
          <w:szCs w:val="21"/>
          <w:highlight w:val="none"/>
          <w:lang w:val="en-US" w:eastAsia="zh-CN"/>
        </w:rPr>
        <w:t>优化</w:t>
      </w:r>
      <w:r>
        <w:rPr>
          <w:rFonts w:hint="eastAsia" w:ascii="宋体" w:hAnsi="宋体" w:eastAsia="宋体" w:cs="Times New Roman"/>
          <w:bCs/>
          <w:color w:val="auto"/>
          <w:szCs w:val="21"/>
          <w:highlight w:val="none"/>
          <w:lang w:val="en-US" w:eastAsia="zh-CN"/>
        </w:rPr>
        <w:t>办事流程、</w:t>
      </w:r>
      <w:r>
        <w:rPr>
          <w:rFonts w:hint="eastAsia" w:ascii="宋体" w:hAnsi="宋体" w:cs="Times New Roman"/>
          <w:bCs/>
          <w:color w:val="auto"/>
          <w:szCs w:val="21"/>
          <w:highlight w:val="none"/>
          <w:lang w:val="en-US" w:eastAsia="zh-CN"/>
        </w:rPr>
        <w:t>调整</w:t>
      </w:r>
      <w:r>
        <w:rPr>
          <w:rFonts w:hint="eastAsia" w:ascii="宋体" w:hAnsi="宋体" w:eastAsia="宋体" w:cs="Times New Roman"/>
          <w:bCs/>
          <w:color w:val="auto"/>
          <w:szCs w:val="21"/>
          <w:highlight w:val="none"/>
          <w:lang w:val="en-US" w:eastAsia="zh-CN"/>
        </w:rPr>
        <w:t>审批环节的需求，提供免费迭代升级与适配调整服务，保障系统功能持续贴合最新业务管理要求。</w:t>
      </w:r>
    </w:p>
    <w:p w14:paraId="4E779123">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8.机构及信用管理功能需求。要求将维修资金使用业务全过程涉及的造价咨询、检测机构、维修单位等机构统一纳入平台实施信息化集中管理，搭建规范化的机构备选资源库。要求建立健全机构动态信用评价与考核管理体系，对入驻机构的资质信息、服务履历、项目业绩、服务质量、履约情况进行实时记录与动态考评，实现机构准入、考核、退出全流程管控。</w:t>
      </w:r>
    </w:p>
    <w:p w14:paraId="11F00103">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9.物业小区设施设备管理功能需求。要求结合小区维修资金使用的业务场景，搭建小区共用设施设备信息数据库，完整归集小区各类共用设施设备基础台账信息，全程记录设施设备日常保养、故障维修、更新改造等全周期历史数据，实现</w:t>
      </w:r>
      <w:r>
        <w:rPr>
          <w:rFonts w:hint="eastAsia" w:ascii="宋体" w:hAnsi="宋体" w:cs="Times New Roman"/>
          <w:bCs/>
          <w:color w:val="auto"/>
          <w:szCs w:val="21"/>
          <w:highlight w:val="none"/>
          <w:lang w:val="en-US" w:eastAsia="zh-CN"/>
        </w:rPr>
        <w:t>共用</w:t>
      </w:r>
      <w:r>
        <w:rPr>
          <w:rFonts w:hint="eastAsia" w:ascii="宋体" w:hAnsi="宋体" w:eastAsia="宋体" w:cs="Times New Roman"/>
          <w:bCs/>
          <w:color w:val="auto"/>
          <w:szCs w:val="21"/>
          <w:highlight w:val="none"/>
          <w:lang w:val="en-US" w:eastAsia="zh-CN"/>
        </w:rPr>
        <w:t>设施设备全生命周期数字化、信息化管控。要求支持多维度、多条件的数据查询、统计与分析功能，为设施设备维修、资金使用决策提供数据支撑。</w:t>
      </w:r>
    </w:p>
    <w:p w14:paraId="7E1B3E8F">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10.物业专项维修资金增值收益管理功能需求。要求搭建完整、规范的维修资金增值收益专项管理体系，有效衔接平台资金归集模块与账户管理模块，全面实现维修资金增值收益全流程闭环规范化管理。功能需覆盖增值收益账户统一管控、收益规则执行、收益精准分配、收益台账记录、收益数据汇总统计与智能分析等核心业务，实现维修资金增值安全合规、分配公开透明、全程追溯监管。</w:t>
      </w:r>
    </w:p>
    <w:p w14:paraId="4FC46B3A">
      <w:pPr>
        <w:adjustRightInd w:val="0"/>
        <w:snapToGrid w:val="0"/>
        <w:spacing w:line="440" w:lineRule="exact"/>
        <w:ind w:firstLine="420" w:firstLineChars="200"/>
        <w:jc w:val="left"/>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11.物业专项维修资金缓交管理功能需求。要求实现开发企业维修资金缓交业务的全生命周期信息化闭环管理，全面规范缓交申请登记、过程动态管控、到期预警提醒、核销办结归档等全套业务流程。</w:t>
      </w:r>
      <w:r>
        <w:rPr>
          <w:rFonts w:hint="eastAsia" w:ascii="宋体" w:hAnsi="宋体" w:cs="Times New Roman"/>
          <w:bCs/>
          <w:color w:val="auto"/>
          <w:szCs w:val="21"/>
          <w:highlight w:val="none"/>
          <w:lang w:val="en-US" w:eastAsia="zh-CN"/>
        </w:rPr>
        <w:t>要求</w:t>
      </w:r>
      <w:r>
        <w:rPr>
          <w:rFonts w:hint="eastAsia" w:ascii="宋体" w:hAnsi="宋体" w:eastAsia="宋体" w:cs="Times New Roman"/>
          <w:bCs/>
          <w:color w:val="auto"/>
          <w:szCs w:val="21"/>
          <w:highlight w:val="none"/>
          <w:lang w:val="en-US" w:eastAsia="zh-CN"/>
        </w:rPr>
        <w:t>标准化固化</w:t>
      </w:r>
      <w:r>
        <w:rPr>
          <w:rFonts w:hint="eastAsia" w:ascii="宋体" w:hAnsi="宋体" w:cs="Times New Roman"/>
          <w:bCs/>
          <w:color w:val="auto"/>
          <w:szCs w:val="21"/>
          <w:highlight w:val="none"/>
          <w:lang w:val="en-US" w:eastAsia="zh-CN"/>
        </w:rPr>
        <w:t>交存</w:t>
      </w:r>
      <w:r>
        <w:rPr>
          <w:rFonts w:hint="eastAsia" w:ascii="宋体" w:hAnsi="宋体" w:eastAsia="宋体" w:cs="Times New Roman"/>
          <w:bCs/>
          <w:color w:val="auto"/>
          <w:szCs w:val="21"/>
          <w:highlight w:val="none"/>
          <w:lang w:val="en-US" w:eastAsia="zh-CN"/>
        </w:rPr>
        <w:t>资金批量转户、分户分摊计算规则，自动精准完成</w:t>
      </w:r>
      <w:r>
        <w:rPr>
          <w:rFonts w:hint="eastAsia" w:ascii="宋体" w:hAnsi="宋体" w:cs="Times New Roman"/>
          <w:bCs/>
          <w:color w:val="auto"/>
          <w:szCs w:val="21"/>
          <w:highlight w:val="none"/>
          <w:lang w:val="en-US" w:eastAsia="zh-CN"/>
        </w:rPr>
        <w:t>交存</w:t>
      </w:r>
      <w:r>
        <w:rPr>
          <w:rFonts w:hint="eastAsia" w:ascii="宋体" w:hAnsi="宋体" w:eastAsia="宋体" w:cs="Times New Roman"/>
          <w:bCs/>
          <w:color w:val="auto"/>
          <w:szCs w:val="21"/>
          <w:highlight w:val="none"/>
          <w:lang w:val="en-US" w:eastAsia="zh-CN"/>
        </w:rPr>
        <w:t>金额分户分摊核算，确保分摊数据精准无误</w:t>
      </w:r>
      <w:r>
        <w:rPr>
          <w:rFonts w:hint="default" w:ascii="宋体" w:hAnsi="宋体" w:eastAsia="宋体"/>
          <w:bCs/>
          <w:color w:val="auto"/>
          <w:szCs w:val="21"/>
          <w:highlight w:val="none"/>
          <w:lang w:val="en-US" w:eastAsia="zh-CN"/>
        </w:rPr>
        <w:t>。</w:t>
      </w:r>
      <w:r>
        <w:rPr>
          <w:rFonts w:hint="eastAsia" w:ascii="宋体" w:hAnsi="宋体" w:eastAsia="宋体" w:cs="Times New Roman"/>
          <w:bCs/>
          <w:color w:val="auto"/>
          <w:szCs w:val="21"/>
          <w:highlight w:val="none"/>
          <w:lang w:val="en-US" w:eastAsia="zh-CN"/>
        </w:rPr>
        <w:t>要求配套完善的缓交业务查询与智能统计分析功能，支持按小区、楼栋、开发企业、缓交时段、缓交金额、办结状态等多维度精准查询、筛选、汇总、导出台账数据，可自动生成各类缓交业务统计报表，直观展示缓交总量、剩余缓交额度、办结进度等核心数据。</w:t>
      </w:r>
    </w:p>
    <w:p w14:paraId="7645FF84">
      <w:pPr>
        <w:adjustRightInd w:val="0"/>
        <w:snapToGrid w:val="0"/>
        <w:spacing w:line="440" w:lineRule="exact"/>
        <w:ind w:firstLine="420" w:firstLineChars="200"/>
        <w:jc w:val="left"/>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（二）</w:t>
      </w:r>
      <w:r>
        <w:rPr>
          <w:rFonts w:hint="default" w:ascii="宋体" w:hAnsi="宋体" w:eastAsia="宋体" w:cs="Times New Roman"/>
          <w:bCs/>
          <w:color w:val="auto"/>
          <w:szCs w:val="21"/>
          <w:highlight w:val="none"/>
          <w:lang w:val="en-US" w:eastAsia="zh-CN"/>
        </w:rPr>
        <w:t>物业维修资金线上服务平台升级</w:t>
      </w:r>
      <w:r>
        <w:rPr>
          <w:rFonts w:hint="eastAsia" w:ascii="宋体" w:hAnsi="宋体" w:eastAsia="宋体" w:cs="Times New Roman"/>
          <w:bCs/>
          <w:color w:val="auto"/>
          <w:szCs w:val="21"/>
          <w:highlight w:val="none"/>
          <w:lang w:val="en-US" w:eastAsia="zh-CN"/>
        </w:rPr>
        <w:t>：</w:t>
      </w:r>
    </w:p>
    <w:p w14:paraId="73CD920F">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1.物业专项维修资金用户注册功能需求。</w:t>
      </w:r>
      <w:r>
        <w:rPr>
          <w:rFonts w:hint="eastAsia" w:ascii="宋体" w:hAnsi="宋体" w:cs="Times New Roman"/>
          <w:bCs/>
          <w:color w:val="auto"/>
          <w:szCs w:val="21"/>
          <w:highlight w:val="none"/>
          <w:lang w:val="en-US" w:eastAsia="zh-CN"/>
        </w:rPr>
        <w:t>要求</w:t>
      </w:r>
      <w:r>
        <w:rPr>
          <w:rFonts w:hint="eastAsia" w:ascii="宋体" w:hAnsi="宋体" w:eastAsia="宋体" w:cs="Times New Roman"/>
          <w:bCs/>
          <w:color w:val="auto"/>
          <w:szCs w:val="21"/>
          <w:highlight w:val="none"/>
          <w:lang w:val="en-US" w:eastAsia="zh-CN"/>
        </w:rPr>
        <w:t>全面升级优化平台用户注册及身份核验体系，新增法人及非法人组织业主专属注册角色与账号管理模块。支持法人及非法人组织业主线上完成账号注册、信息备案、业务授权等全流程操作，可授权经办人员办理资金交存、</w:t>
      </w:r>
      <w:r>
        <w:rPr>
          <w:rFonts w:hint="eastAsia" w:ascii="宋体" w:hAnsi="宋体" w:cs="Times New Roman"/>
          <w:bCs/>
          <w:color w:val="auto"/>
          <w:szCs w:val="21"/>
          <w:highlight w:val="none"/>
          <w:lang w:val="en-US" w:eastAsia="zh-CN"/>
        </w:rPr>
        <w:t>使用</w:t>
      </w:r>
      <w:r>
        <w:rPr>
          <w:rFonts w:hint="eastAsia" w:ascii="宋体" w:hAnsi="宋体" w:eastAsia="宋体" w:cs="Times New Roman"/>
          <w:bCs/>
          <w:color w:val="auto"/>
          <w:szCs w:val="21"/>
          <w:highlight w:val="none"/>
          <w:lang w:val="en-US" w:eastAsia="zh-CN"/>
        </w:rPr>
        <w:t>投票等相关业务。同时全面优化自然人业主、</w:t>
      </w:r>
      <w:r>
        <w:rPr>
          <w:rFonts w:hint="eastAsia" w:ascii="宋体" w:hAnsi="宋体" w:cs="Times New Roman"/>
          <w:bCs/>
          <w:color w:val="auto"/>
          <w:szCs w:val="21"/>
          <w:highlight w:val="none"/>
          <w:lang w:val="en-US" w:eastAsia="zh-CN"/>
        </w:rPr>
        <w:t>授权经办人</w:t>
      </w:r>
      <w:r>
        <w:rPr>
          <w:rFonts w:hint="eastAsia" w:ascii="宋体" w:hAnsi="宋体" w:eastAsia="宋体" w:cs="Times New Roman"/>
          <w:bCs/>
          <w:color w:val="auto"/>
          <w:szCs w:val="21"/>
          <w:highlight w:val="none"/>
          <w:lang w:val="en-US" w:eastAsia="zh-CN"/>
        </w:rPr>
        <w:t>的注册核验流程，引入人脸活体比对技术，全面提升平台用户注册的真实性、安全性与规范性。</w:t>
      </w:r>
    </w:p>
    <w:p w14:paraId="72536581">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2.物业专项维修资金使用在线投票表决功能需求。要求对原有在线投票表决模块进行迭代升级，新增法人及非法人组织业主线上投票权限，保障其可正常参与小区维修资金使用事项线上表决。完善投票身份核验机制，采用房产权属信息校验与人脸活体比对双重认证模式，精准核验投票人身份，确保投票主体真实、投票真实。增设物业服务</w:t>
      </w:r>
      <w:r>
        <w:rPr>
          <w:rFonts w:hint="eastAsia" w:ascii="宋体" w:hAnsi="宋体" w:cs="Times New Roman"/>
          <w:bCs/>
          <w:color w:val="auto"/>
          <w:szCs w:val="21"/>
          <w:highlight w:val="none"/>
          <w:lang w:val="en-US" w:eastAsia="zh-CN"/>
        </w:rPr>
        <w:t>人</w:t>
      </w:r>
      <w:r>
        <w:rPr>
          <w:rFonts w:hint="eastAsia" w:ascii="宋体" w:hAnsi="宋体" w:eastAsia="宋体" w:cs="Times New Roman"/>
          <w:bCs/>
          <w:color w:val="auto"/>
          <w:szCs w:val="21"/>
          <w:highlight w:val="none"/>
          <w:lang w:val="en-US" w:eastAsia="zh-CN"/>
        </w:rPr>
        <w:t>、业主委员会的投票提醒催办、数据查询与统计功能，并按管理需求开放对应权限，便于实时查看投票进度、表决明细及最终结果，缩短整体表决周期。</w:t>
      </w:r>
    </w:p>
    <w:p w14:paraId="26F77B13">
      <w:pPr>
        <w:adjustRightInd w:val="0"/>
        <w:snapToGrid w:val="0"/>
        <w:spacing w:line="440" w:lineRule="exact"/>
        <w:ind w:firstLine="420" w:firstLineChars="200"/>
        <w:jc w:val="left"/>
        <w:rPr>
          <w:rFonts w:hint="default" w:ascii="宋体" w:hAnsi="宋体" w:eastAsia="宋体" w:cs="Times New Roman"/>
          <w:bCs/>
          <w:color w:val="auto"/>
          <w:szCs w:val="21"/>
          <w:highlight w:val="none"/>
          <w:lang w:val="en" w:eastAsia="zh-CN"/>
        </w:rPr>
      </w:pPr>
      <w:r>
        <w:rPr>
          <w:rFonts w:hint="eastAsia" w:ascii="宋体" w:hAnsi="宋体" w:cs="Times New Roman"/>
          <w:bCs/>
          <w:color w:val="auto"/>
          <w:szCs w:val="21"/>
          <w:highlight w:val="none"/>
          <w:lang w:val="en-US" w:eastAsia="zh-CN"/>
        </w:rPr>
        <w:t>（三）</w:t>
      </w:r>
      <w:r>
        <w:rPr>
          <w:rFonts w:hint="default" w:ascii="宋体" w:hAnsi="宋体" w:eastAsia="宋体" w:cs="Times New Roman"/>
          <w:bCs/>
          <w:color w:val="auto"/>
          <w:szCs w:val="21"/>
          <w:highlight w:val="none"/>
          <w:lang w:val="en-US" w:eastAsia="zh-CN"/>
        </w:rPr>
        <w:t>物业</w:t>
      </w:r>
      <w:r>
        <w:rPr>
          <w:rFonts w:hint="eastAsia" w:ascii="宋体" w:hAnsi="宋体" w:eastAsia="宋体" w:cs="Times New Roman"/>
          <w:bCs/>
          <w:color w:val="auto"/>
          <w:szCs w:val="21"/>
          <w:highlight w:val="none"/>
          <w:lang w:val="en-US" w:eastAsia="zh-CN"/>
        </w:rPr>
        <w:t>专项</w:t>
      </w:r>
      <w:r>
        <w:rPr>
          <w:rFonts w:hint="default" w:ascii="宋体" w:hAnsi="宋体" w:eastAsia="宋体" w:cs="Times New Roman"/>
          <w:bCs/>
          <w:color w:val="auto"/>
          <w:szCs w:val="21"/>
          <w:highlight w:val="none"/>
          <w:lang w:val="en-US" w:eastAsia="zh-CN"/>
        </w:rPr>
        <w:t>维修资金数据清理</w:t>
      </w:r>
      <w:r>
        <w:rPr>
          <w:rFonts w:hint="default" w:ascii="宋体" w:hAnsi="宋体" w:eastAsia="宋体" w:cs="Times New Roman"/>
          <w:bCs/>
          <w:color w:val="auto"/>
          <w:szCs w:val="21"/>
          <w:highlight w:val="none"/>
          <w:lang w:val="en" w:eastAsia="zh-CN"/>
        </w:rPr>
        <w:t>:</w:t>
      </w:r>
    </w:p>
    <w:p w14:paraId="71D0ECD0">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物业专项维修资金历史数据清理功能需求。要求对物业专项维修资金管理平台全部存量历史数据实施全面梳理、交叉核验、错误修正及标准化规整</w:t>
      </w:r>
      <w:r>
        <w:rPr>
          <w:rFonts w:hint="eastAsia" w:ascii="宋体" w:hAnsi="宋体" w:cs="Times New Roman"/>
          <w:bCs/>
          <w:color w:val="auto"/>
          <w:szCs w:val="21"/>
          <w:highlight w:val="none"/>
          <w:lang w:val="en-US" w:eastAsia="zh-CN"/>
        </w:rPr>
        <w:t>。中标供应商须自行对接本项目平台原建设单位及各相关外部单位，自主协调完成维修资金历史数据、权威基础数据的调取获取工作，从两大维度开展全量历史数据专项清理；数据清理完成后，中标供应商需按照现有物业专项维修资金管理平台统一数据标准，配合平台原建设单位完成清理后标准化数据的导入入库全流程以及完成管理平台与不动产登记系统直接对接数据实时共享等工作，由此产生的协调成本、人工、技术等全部相关费用均包含在投标总报价内，采购人不再另行支付任何费用。</w:t>
      </w:r>
      <w:r>
        <w:rPr>
          <w:rFonts w:hint="eastAsia" w:ascii="宋体" w:hAnsi="宋体" w:eastAsia="宋体" w:cs="Times New Roman"/>
          <w:bCs/>
          <w:color w:val="auto"/>
          <w:szCs w:val="21"/>
          <w:highlight w:val="none"/>
          <w:lang w:val="en-US" w:eastAsia="zh-CN"/>
        </w:rPr>
        <w:t>一是以不动产登记现势权属数据为基准，对平台内小区、楼栋、单元、户室、产权人、建筑面积、房屋用途等全套房屋基础信息逐一比对校验，针对缺失、错误、冗余、不一致的房屋基础信息进行逐条补录、修正与标准化整改，统一房屋数据标准，确保平台内房屋基础数据与不动产登记数据源头一致、真实准确。同步</w:t>
      </w:r>
      <w:r>
        <w:rPr>
          <w:rFonts w:hint="eastAsia" w:ascii="宋体" w:hAnsi="宋体" w:cs="Times New Roman"/>
          <w:bCs/>
          <w:color w:val="auto"/>
          <w:szCs w:val="21"/>
          <w:highlight w:val="none"/>
          <w:lang w:val="en-US" w:eastAsia="zh-CN"/>
        </w:rPr>
        <w:t>完成维修资金管理平台与市不动产登记系统的对接互通、数据共享与动态同步，</w:t>
      </w:r>
      <w:r>
        <w:rPr>
          <w:rFonts w:hint="eastAsia" w:ascii="宋体" w:hAnsi="宋体" w:eastAsia="宋体" w:cs="Times New Roman"/>
          <w:bCs/>
          <w:color w:val="auto"/>
          <w:szCs w:val="21"/>
          <w:highlight w:val="none"/>
          <w:lang w:val="en-US" w:eastAsia="zh-CN"/>
        </w:rPr>
        <w:t>实现后续新增、变更房屋信息</w:t>
      </w:r>
      <w:r>
        <w:rPr>
          <w:rFonts w:hint="eastAsia" w:ascii="宋体" w:hAnsi="宋体" w:cs="Times New Roman"/>
          <w:bCs/>
          <w:color w:val="auto"/>
          <w:szCs w:val="21"/>
          <w:highlight w:val="none"/>
          <w:lang w:val="en-US" w:eastAsia="zh-CN"/>
        </w:rPr>
        <w:t>自动</w:t>
      </w:r>
      <w:r>
        <w:rPr>
          <w:rFonts w:hint="eastAsia" w:ascii="宋体" w:hAnsi="宋体" w:eastAsia="宋体" w:cs="Times New Roman"/>
          <w:bCs/>
          <w:color w:val="auto"/>
          <w:szCs w:val="21"/>
          <w:highlight w:val="none"/>
          <w:lang w:val="en-US" w:eastAsia="zh-CN"/>
        </w:rPr>
        <w:t>同步匹配</w:t>
      </w:r>
      <w:r>
        <w:rPr>
          <w:rFonts w:hint="eastAsia" w:ascii="宋体" w:hAnsi="宋体" w:cs="Times New Roman"/>
          <w:bCs/>
          <w:color w:val="auto"/>
          <w:szCs w:val="21"/>
          <w:highlight w:val="none"/>
          <w:lang w:val="en-US" w:eastAsia="zh-CN"/>
        </w:rPr>
        <w:t>、实时更新</w:t>
      </w:r>
      <w:r>
        <w:rPr>
          <w:rFonts w:hint="eastAsia" w:ascii="宋体" w:hAnsi="宋体" w:eastAsia="宋体" w:cs="Times New Roman"/>
          <w:bCs/>
          <w:color w:val="auto"/>
          <w:szCs w:val="21"/>
          <w:highlight w:val="none"/>
          <w:lang w:val="en-US" w:eastAsia="zh-CN"/>
        </w:rPr>
        <w:t>，长期</w:t>
      </w:r>
      <w:r>
        <w:rPr>
          <w:rFonts w:hint="eastAsia" w:ascii="宋体" w:hAnsi="宋体" w:cs="Times New Roman"/>
          <w:bCs/>
          <w:color w:val="auto"/>
          <w:szCs w:val="21"/>
          <w:highlight w:val="none"/>
          <w:lang w:val="en-US" w:eastAsia="zh-CN"/>
        </w:rPr>
        <w:t>保持</w:t>
      </w:r>
      <w:r>
        <w:rPr>
          <w:rFonts w:hint="eastAsia" w:ascii="宋体" w:hAnsi="宋体" w:eastAsia="宋体" w:cs="Times New Roman"/>
          <w:bCs/>
          <w:color w:val="auto"/>
          <w:szCs w:val="21"/>
          <w:highlight w:val="none"/>
          <w:lang w:val="en-US" w:eastAsia="zh-CN"/>
        </w:rPr>
        <w:t>两边数据统一、一致。二是以物业专项维修资金财务会计凭证、会计账目为基准，全面核查平台历年资金交存、退款、使用、划拨、分摊等全链条业务记录，对存在差额、漏录、错配、对账不符的业务数据逐项溯源修正、补充完善，实现平台业务数据与财务会计数据一一对应、账账相符，全面提升平台历史数据的完整性、准确性、一致性。数据清理全程需保留清理日志记录和溯源机制，实现所有数据清理操作、数据变更行为可全程追溯、可核查，满足维修资金监管核查工作要求。</w:t>
      </w:r>
    </w:p>
    <w:p w14:paraId="5312CC45">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 w:eastAsia="zh-CN"/>
        </w:rPr>
      </w:pPr>
      <w:r>
        <w:rPr>
          <w:rFonts w:hint="eastAsia" w:ascii="宋体" w:hAnsi="宋体" w:cs="Times New Roman"/>
          <w:bCs/>
          <w:color w:val="auto"/>
          <w:szCs w:val="21"/>
          <w:highlight w:val="none"/>
          <w:lang w:val="en" w:eastAsia="zh-CN"/>
        </w:rPr>
        <w:t>（四）</w:t>
      </w:r>
      <w:r>
        <w:rPr>
          <w:rFonts w:hint="eastAsia" w:ascii="宋体" w:hAnsi="宋体" w:eastAsia="宋体" w:cs="Times New Roman"/>
          <w:bCs/>
          <w:color w:val="auto"/>
          <w:szCs w:val="21"/>
          <w:highlight w:val="none"/>
          <w:lang w:val="en" w:eastAsia="zh-CN"/>
        </w:rPr>
        <w:t>第三方服务：</w:t>
      </w:r>
    </w:p>
    <w:p w14:paraId="35568F60">
      <w:pPr>
        <w:adjustRightInd w:val="0"/>
        <w:snapToGrid w:val="0"/>
        <w:spacing w:line="440" w:lineRule="exact"/>
        <w:ind w:firstLine="420" w:firstLineChars="200"/>
        <w:jc w:val="left"/>
        <w:rPr>
          <w:rFonts w:hint="eastAsia" w:ascii="宋体" w:hAnsi="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1.信息化创新功能需求。要求针对物业专项维修资金管理平台按信息化创新有关要求与业务运行现状进行适配</w:t>
      </w:r>
      <w:r>
        <w:rPr>
          <w:rFonts w:hint="eastAsia" w:ascii="宋体" w:hAnsi="宋体" w:cs="Times New Roman"/>
          <w:bCs/>
          <w:color w:val="auto"/>
          <w:szCs w:val="21"/>
          <w:highlight w:val="none"/>
          <w:lang w:val="en-US" w:eastAsia="zh-CN"/>
        </w:rPr>
        <w:t>改造</w:t>
      </w:r>
      <w:r>
        <w:rPr>
          <w:rFonts w:hint="eastAsia" w:ascii="宋体" w:hAnsi="宋体" w:eastAsia="宋体" w:cs="Times New Roman"/>
          <w:bCs/>
          <w:color w:val="auto"/>
          <w:szCs w:val="21"/>
          <w:highlight w:val="none"/>
          <w:lang w:val="en-US" w:eastAsia="zh-CN"/>
        </w:rPr>
        <w:t>，依据国家、省及市政务服务项目建设规范，开展平台信息化创新建设。首先是应用系统的信创迁移适配</w:t>
      </w:r>
      <w:r>
        <w:rPr>
          <w:rFonts w:hint="eastAsia" w:ascii="宋体" w:hAnsi="宋体" w:cs="Times New Roman"/>
          <w:bCs/>
          <w:color w:val="auto"/>
          <w:szCs w:val="21"/>
          <w:highlight w:val="none"/>
          <w:lang w:val="en-US" w:eastAsia="zh-CN"/>
        </w:rPr>
        <w:t>改造</w:t>
      </w:r>
      <w:r>
        <w:rPr>
          <w:rFonts w:hint="eastAsia" w:ascii="宋体" w:hAnsi="宋体" w:eastAsia="宋体" w:cs="Times New Roman"/>
          <w:bCs/>
          <w:color w:val="auto"/>
          <w:szCs w:val="21"/>
          <w:highlight w:val="none"/>
          <w:lang w:val="en-US" w:eastAsia="zh-CN"/>
        </w:rPr>
        <w:t>，包括应用信创数据库适配</w:t>
      </w:r>
      <w:r>
        <w:rPr>
          <w:rFonts w:hint="eastAsia" w:ascii="宋体" w:hAnsi="宋体" w:cs="Times New Roman"/>
          <w:bCs/>
          <w:color w:val="auto"/>
          <w:szCs w:val="21"/>
          <w:highlight w:val="none"/>
          <w:lang w:val="en-US" w:eastAsia="zh-CN"/>
        </w:rPr>
        <w:t>改造</w:t>
      </w:r>
      <w:r>
        <w:rPr>
          <w:rFonts w:hint="eastAsia" w:ascii="宋体" w:hAnsi="宋体" w:eastAsia="宋体" w:cs="Times New Roman"/>
          <w:bCs/>
          <w:color w:val="auto"/>
          <w:szCs w:val="21"/>
          <w:highlight w:val="none"/>
          <w:lang w:val="en-US" w:eastAsia="zh-CN"/>
        </w:rPr>
        <w:t>、应用信创中间件适配</w:t>
      </w:r>
      <w:r>
        <w:rPr>
          <w:rFonts w:hint="eastAsia" w:ascii="宋体" w:hAnsi="宋体" w:cs="Times New Roman"/>
          <w:bCs/>
          <w:color w:val="auto"/>
          <w:szCs w:val="21"/>
          <w:highlight w:val="none"/>
          <w:lang w:val="en-US" w:eastAsia="zh-CN"/>
        </w:rPr>
        <w:t>改造</w:t>
      </w:r>
      <w:r>
        <w:rPr>
          <w:rFonts w:hint="eastAsia" w:ascii="宋体" w:hAnsi="宋体" w:eastAsia="宋体" w:cs="Times New Roman"/>
          <w:bCs/>
          <w:color w:val="auto"/>
          <w:szCs w:val="21"/>
          <w:highlight w:val="none"/>
          <w:lang w:val="en-US" w:eastAsia="zh-CN"/>
        </w:rPr>
        <w:t>、 应用依赖的中间件信创平台适配</w:t>
      </w:r>
      <w:r>
        <w:rPr>
          <w:rFonts w:hint="eastAsia" w:ascii="宋体" w:hAnsi="宋体" w:cs="Times New Roman"/>
          <w:bCs/>
          <w:color w:val="auto"/>
          <w:szCs w:val="21"/>
          <w:highlight w:val="none"/>
          <w:lang w:val="en-US" w:eastAsia="zh-CN"/>
        </w:rPr>
        <w:t>改造</w:t>
      </w:r>
      <w:r>
        <w:rPr>
          <w:rFonts w:hint="eastAsia" w:ascii="宋体" w:hAnsi="宋体" w:eastAsia="宋体" w:cs="Times New Roman"/>
          <w:bCs/>
          <w:color w:val="auto"/>
          <w:szCs w:val="21"/>
          <w:highlight w:val="none"/>
          <w:lang w:val="en-US" w:eastAsia="zh-CN"/>
        </w:rPr>
        <w:t>、应用服务接口及数据交换改造、终端浏览器和外设的信创适配</w:t>
      </w:r>
      <w:r>
        <w:rPr>
          <w:rFonts w:hint="eastAsia" w:ascii="宋体" w:hAnsi="宋体" w:cs="Times New Roman"/>
          <w:bCs/>
          <w:color w:val="auto"/>
          <w:szCs w:val="21"/>
          <w:highlight w:val="none"/>
          <w:lang w:val="en-US" w:eastAsia="zh-CN"/>
        </w:rPr>
        <w:t>等</w:t>
      </w:r>
      <w:r>
        <w:rPr>
          <w:rFonts w:hint="eastAsia" w:ascii="宋体" w:hAnsi="宋体" w:eastAsia="宋体" w:cs="Times New Roman"/>
          <w:bCs/>
          <w:color w:val="auto"/>
          <w:szCs w:val="21"/>
          <w:highlight w:val="none"/>
          <w:lang w:val="en-US" w:eastAsia="zh-CN"/>
        </w:rPr>
        <w:t>，</w:t>
      </w:r>
      <w:r>
        <w:rPr>
          <w:rFonts w:hint="eastAsia" w:ascii="宋体" w:hAnsi="宋体" w:cs="Times New Roman"/>
          <w:bCs/>
          <w:color w:val="auto"/>
          <w:szCs w:val="21"/>
          <w:highlight w:val="none"/>
          <w:lang w:val="en-US" w:eastAsia="zh-CN"/>
        </w:rPr>
        <w:t>要求</w:t>
      </w:r>
      <w:r>
        <w:rPr>
          <w:rFonts w:hint="eastAsia" w:ascii="宋体" w:hAnsi="宋体" w:eastAsia="宋体" w:cs="Times New Roman"/>
          <w:bCs/>
          <w:color w:val="auto"/>
          <w:szCs w:val="21"/>
          <w:highlight w:val="none"/>
          <w:lang w:val="en-US" w:eastAsia="zh-CN"/>
        </w:rPr>
        <w:t>信创适配</w:t>
      </w:r>
      <w:r>
        <w:rPr>
          <w:rFonts w:hint="eastAsia" w:ascii="宋体" w:hAnsi="宋体" w:cs="Times New Roman"/>
          <w:bCs/>
          <w:color w:val="auto"/>
          <w:szCs w:val="21"/>
          <w:highlight w:val="none"/>
          <w:lang w:val="en-US" w:eastAsia="zh-CN"/>
        </w:rPr>
        <w:t>改造</w:t>
      </w:r>
      <w:r>
        <w:rPr>
          <w:rFonts w:hint="eastAsia" w:ascii="宋体" w:hAnsi="宋体" w:eastAsia="宋体" w:cs="Times New Roman"/>
          <w:bCs/>
          <w:color w:val="auto"/>
          <w:szCs w:val="21"/>
          <w:highlight w:val="none"/>
          <w:lang w:val="en-US" w:eastAsia="zh-CN"/>
        </w:rPr>
        <w:t>必须保证不影响系统业务的正常运行，保证使用效果；其次是国产数据库适配及数据迁移，数据迁移的对象包括结构化数据和非结构化数据的迁移，迁移工作包括数据迁移流程、计划以及应急预案的制定，数据迁移设计、数据迁移前备份、数据迁移实验以及数据迁移后测试等，</w:t>
      </w:r>
      <w:r>
        <w:rPr>
          <w:rFonts w:hint="eastAsia" w:ascii="宋体" w:hAnsi="宋体" w:cs="Times New Roman"/>
          <w:bCs/>
          <w:color w:val="auto"/>
          <w:szCs w:val="21"/>
          <w:highlight w:val="none"/>
          <w:lang w:val="en-US" w:eastAsia="zh-CN"/>
        </w:rPr>
        <w:t>要求</w:t>
      </w:r>
      <w:r>
        <w:rPr>
          <w:rFonts w:hint="eastAsia" w:ascii="宋体" w:hAnsi="宋体" w:eastAsia="宋体" w:cs="Times New Roman"/>
          <w:bCs/>
          <w:color w:val="auto"/>
          <w:szCs w:val="21"/>
          <w:highlight w:val="none"/>
          <w:lang w:val="en-US" w:eastAsia="zh-CN"/>
        </w:rPr>
        <w:t>应用系统数据迁移必须保证数据的完整、准确、一致、及时</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最后是国产终端适配，</w:t>
      </w:r>
      <w:r>
        <w:rPr>
          <w:rFonts w:hint="eastAsia" w:ascii="宋体" w:hAnsi="宋体" w:cs="Times New Roman"/>
          <w:bCs/>
          <w:color w:val="auto"/>
          <w:szCs w:val="21"/>
          <w:highlight w:val="none"/>
          <w:lang w:val="en-US" w:eastAsia="zh-CN"/>
        </w:rPr>
        <w:t>要求</w:t>
      </w:r>
      <w:r>
        <w:rPr>
          <w:rFonts w:hint="eastAsia" w:ascii="宋体" w:hAnsi="宋体" w:eastAsia="宋体" w:cs="Times New Roman"/>
          <w:bCs/>
          <w:color w:val="auto"/>
          <w:szCs w:val="21"/>
          <w:highlight w:val="none"/>
          <w:lang w:val="en-US" w:eastAsia="zh-CN"/>
        </w:rPr>
        <w:t>保障业务系统在国产终端环境下正常运行，应用系统必须支持在国产办，公电脑、国产浏览器下的正常访问，</w:t>
      </w:r>
      <w:r>
        <w:rPr>
          <w:rFonts w:hint="eastAsia" w:ascii="宋体" w:hAnsi="宋体" w:cs="Times New Roman"/>
          <w:bCs/>
          <w:color w:val="auto"/>
          <w:szCs w:val="21"/>
          <w:highlight w:val="none"/>
          <w:lang w:val="en-US" w:eastAsia="zh-CN"/>
        </w:rPr>
        <w:t>投标人</w:t>
      </w:r>
      <w:r>
        <w:rPr>
          <w:rFonts w:hint="eastAsia" w:ascii="宋体" w:hAnsi="宋体" w:eastAsia="宋体" w:cs="Times New Roman"/>
          <w:bCs/>
          <w:color w:val="auto"/>
          <w:szCs w:val="21"/>
          <w:highlight w:val="none"/>
          <w:lang w:val="en-US" w:eastAsia="zh-CN"/>
        </w:rPr>
        <w:t>在应用系统开发时，需要重点考虑系统页面的国产化适配，使用适用于国产化环境的插件、组件等</w:t>
      </w:r>
      <w:r>
        <w:rPr>
          <w:rFonts w:hint="eastAsia" w:ascii="宋体" w:hAnsi="宋体" w:cs="Times New Roman"/>
          <w:bCs/>
          <w:color w:val="auto"/>
          <w:szCs w:val="21"/>
          <w:highlight w:val="none"/>
          <w:lang w:val="en-US" w:eastAsia="zh-CN"/>
        </w:rPr>
        <w:t>。本次项目信息化创新建设全过程产生的协调成本、人工、技术、软硬件购置及配套等一切相关费用均包含在投标总报价内，采购人不再另行支付任何费用。</w:t>
      </w:r>
    </w:p>
    <w:p w14:paraId="49495B95">
      <w:pPr>
        <w:adjustRightInd w:val="0"/>
        <w:snapToGrid w:val="0"/>
        <w:spacing w:line="440" w:lineRule="exact"/>
        <w:ind w:firstLine="420" w:firstLineChars="200"/>
        <w:jc w:val="left"/>
        <w:rPr>
          <w:rFonts w:hint="eastAsia" w:ascii="宋体" w:hAnsi="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w:t>
      </w:r>
      <w:r>
        <w:rPr>
          <w:rFonts w:hint="eastAsia" w:ascii="宋体" w:hAnsi="宋体" w:eastAsia="宋体" w:cs="Times New Roman"/>
          <w:bCs/>
          <w:color w:val="auto"/>
          <w:szCs w:val="21"/>
          <w:highlight w:val="none"/>
          <w:lang w:val="en-US" w:eastAsia="zh-CN"/>
        </w:rPr>
        <w:t>账户余额低于30%预警</w:t>
      </w:r>
      <w:r>
        <w:rPr>
          <w:rFonts w:hint="eastAsia" w:ascii="宋体" w:hAnsi="宋体" w:cs="Times New Roman"/>
          <w:bCs/>
          <w:color w:val="auto"/>
          <w:szCs w:val="21"/>
          <w:highlight w:val="none"/>
          <w:lang w:val="en-US" w:eastAsia="zh-CN"/>
        </w:rPr>
        <w:t>、以及业务消息通知等短信发送服务需求。要求根据</w:t>
      </w:r>
      <w:r>
        <w:rPr>
          <w:rFonts w:hint="eastAsia" w:ascii="宋体" w:hAnsi="宋体" w:eastAsia="宋体" w:cs="Times New Roman"/>
          <w:bCs/>
          <w:color w:val="auto"/>
          <w:szCs w:val="21"/>
          <w:highlight w:val="none"/>
          <w:lang w:val="en-US" w:eastAsia="zh-CN"/>
        </w:rPr>
        <w:t>系统平台</w:t>
      </w:r>
      <w:r>
        <w:rPr>
          <w:rFonts w:hint="eastAsia" w:ascii="宋体" w:hAnsi="宋体" w:cs="Times New Roman"/>
          <w:bCs/>
          <w:color w:val="auto"/>
          <w:szCs w:val="21"/>
          <w:highlight w:val="none"/>
          <w:lang w:val="en-US" w:eastAsia="zh-CN"/>
        </w:rPr>
        <w:t>3年免费</w:t>
      </w:r>
      <w:r>
        <w:rPr>
          <w:rFonts w:hint="eastAsia" w:ascii="宋体" w:hAnsi="宋体" w:eastAsia="宋体" w:cs="Times New Roman"/>
          <w:bCs/>
          <w:color w:val="auto"/>
          <w:szCs w:val="21"/>
          <w:highlight w:val="none"/>
          <w:lang w:val="en-US" w:eastAsia="zh-CN"/>
        </w:rPr>
        <w:t>运维期内维修资金账户余额低于30%预警业主账户数量规模</w:t>
      </w:r>
      <w:r>
        <w:rPr>
          <w:rFonts w:hint="eastAsia" w:ascii="宋体" w:hAnsi="宋体" w:cs="Times New Roman"/>
          <w:bCs/>
          <w:color w:val="auto"/>
          <w:szCs w:val="21"/>
          <w:highlight w:val="none"/>
          <w:lang w:val="en-US" w:eastAsia="zh-CN"/>
        </w:rPr>
        <w:t>与系统业务消息通知短信总量评估情况</w:t>
      </w:r>
      <w:r>
        <w:rPr>
          <w:rFonts w:hint="eastAsia" w:ascii="宋体" w:hAnsi="宋体" w:eastAsia="宋体" w:cs="Times New Roman"/>
          <w:bCs/>
          <w:color w:val="auto"/>
          <w:szCs w:val="21"/>
          <w:highlight w:val="none"/>
          <w:lang w:val="en-US" w:eastAsia="zh-CN"/>
        </w:rPr>
        <w:t>，</w:t>
      </w:r>
      <w:r>
        <w:rPr>
          <w:rFonts w:hint="eastAsia" w:ascii="宋体" w:hAnsi="宋体" w:cs="Times New Roman"/>
          <w:bCs/>
          <w:color w:val="auto"/>
          <w:szCs w:val="21"/>
          <w:highlight w:val="none"/>
          <w:lang w:val="en-US" w:eastAsia="zh-CN"/>
        </w:rPr>
        <w:t>投标人</w:t>
      </w:r>
      <w:r>
        <w:rPr>
          <w:rFonts w:hint="eastAsia" w:ascii="宋体" w:hAnsi="宋体" w:eastAsia="宋体" w:cs="Times New Roman"/>
          <w:bCs/>
          <w:color w:val="auto"/>
          <w:szCs w:val="21"/>
          <w:highlight w:val="none"/>
          <w:lang w:val="en-US" w:eastAsia="zh-CN"/>
        </w:rPr>
        <w:t>制定短信发送额度配置计划，</w:t>
      </w:r>
      <w:r>
        <w:rPr>
          <w:rFonts w:hint="eastAsia" w:ascii="宋体" w:hAnsi="宋体" w:cs="Times New Roman"/>
          <w:bCs/>
          <w:color w:val="auto"/>
          <w:szCs w:val="21"/>
          <w:highlight w:val="none"/>
          <w:lang w:val="en-US" w:eastAsia="zh-CN"/>
        </w:rPr>
        <w:t>并依据短信额度配置计划购买短信发送服务，</w:t>
      </w:r>
      <w:r>
        <w:rPr>
          <w:rFonts w:hint="eastAsia" w:ascii="宋体" w:hAnsi="宋体" w:eastAsia="宋体" w:cs="Times New Roman"/>
          <w:bCs/>
          <w:color w:val="auto"/>
          <w:szCs w:val="21"/>
          <w:highlight w:val="none"/>
          <w:lang w:val="en-US" w:eastAsia="zh-CN"/>
        </w:rPr>
        <w:t>确保</w:t>
      </w:r>
      <w:r>
        <w:rPr>
          <w:rFonts w:hint="eastAsia" w:ascii="宋体" w:hAnsi="宋体" w:cs="Times New Roman"/>
          <w:bCs/>
          <w:color w:val="auto"/>
          <w:szCs w:val="21"/>
          <w:highlight w:val="none"/>
          <w:lang w:val="en-US" w:eastAsia="zh-CN"/>
        </w:rPr>
        <w:t>30%</w:t>
      </w:r>
      <w:r>
        <w:rPr>
          <w:rFonts w:hint="eastAsia" w:ascii="宋体" w:hAnsi="宋体" w:eastAsia="宋体" w:cs="Times New Roman"/>
          <w:bCs/>
          <w:color w:val="auto"/>
          <w:szCs w:val="21"/>
          <w:highlight w:val="none"/>
          <w:lang w:val="en-US" w:eastAsia="zh-CN"/>
        </w:rPr>
        <w:t>预警短信</w:t>
      </w:r>
      <w:r>
        <w:rPr>
          <w:rFonts w:hint="eastAsia" w:ascii="宋体" w:hAnsi="宋体" w:cs="Times New Roman"/>
          <w:bCs/>
          <w:color w:val="auto"/>
          <w:szCs w:val="21"/>
          <w:highlight w:val="none"/>
          <w:lang w:val="en-US" w:eastAsia="zh-CN"/>
        </w:rPr>
        <w:t>与系统业务消息通知短信</w:t>
      </w:r>
      <w:r>
        <w:rPr>
          <w:rFonts w:hint="eastAsia" w:ascii="宋体" w:hAnsi="宋体" w:eastAsia="宋体" w:cs="Times New Roman"/>
          <w:bCs/>
          <w:color w:val="auto"/>
          <w:szCs w:val="21"/>
          <w:highlight w:val="none"/>
          <w:lang w:val="en-US" w:eastAsia="zh-CN"/>
        </w:rPr>
        <w:t>能</w:t>
      </w:r>
      <w:r>
        <w:rPr>
          <w:rFonts w:hint="eastAsia" w:ascii="宋体" w:hAnsi="宋体" w:cs="Times New Roman"/>
          <w:bCs/>
          <w:color w:val="auto"/>
          <w:szCs w:val="21"/>
          <w:highlight w:val="none"/>
          <w:lang w:val="en-US" w:eastAsia="zh-CN"/>
        </w:rPr>
        <w:t>保量</w:t>
      </w:r>
      <w:r>
        <w:rPr>
          <w:rFonts w:hint="eastAsia" w:ascii="宋体" w:hAnsi="宋体" w:eastAsia="宋体" w:cs="Times New Roman"/>
          <w:bCs/>
          <w:color w:val="auto"/>
          <w:szCs w:val="21"/>
          <w:highlight w:val="none"/>
          <w:lang w:val="en-US" w:eastAsia="zh-CN"/>
        </w:rPr>
        <w:t>及时发送。</w:t>
      </w:r>
      <w:r>
        <w:rPr>
          <w:rFonts w:hint="eastAsia" w:ascii="宋体" w:hAnsi="宋体" w:cs="Times New Roman"/>
          <w:bCs/>
          <w:color w:val="auto"/>
          <w:szCs w:val="21"/>
          <w:highlight w:val="none"/>
          <w:lang w:val="en-US" w:eastAsia="zh-CN"/>
        </w:rPr>
        <w:t>以上项目短信发送服务过程中涉及的人工、技术、短信资费等一切相关费用均包含在投标总报价内，采购人不再另行支付任何费用。</w:t>
      </w:r>
    </w:p>
    <w:p w14:paraId="2261CBC8">
      <w:pPr>
        <w:adjustRightInd w:val="0"/>
        <w:snapToGrid w:val="0"/>
        <w:spacing w:line="440" w:lineRule="exact"/>
        <w:jc w:val="left"/>
        <w:rPr>
          <w:rFonts w:hint="default" w:ascii="宋体" w:hAnsi="宋体" w:eastAsia="宋体" w:cs="Times New Roman"/>
          <w:bCs/>
          <w:color w:val="auto"/>
          <w:szCs w:val="21"/>
          <w:highlight w:val="none"/>
          <w:lang w:val="en-US" w:eastAsia="zh-CN"/>
        </w:rPr>
      </w:pPr>
    </w:p>
    <w:p w14:paraId="0D858098">
      <w:pPr>
        <w:numPr>
          <w:ilvl w:val="0"/>
          <w:numId w:val="7"/>
        </w:numPr>
        <w:spacing w:line="430" w:lineRule="exact"/>
        <w:ind w:left="0" w:leftChars="0" w:firstLine="0" w:firstLineChars="0"/>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项目实施要求</w:t>
      </w:r>
    </w:p>
    <w:p w14:paraId="2C4FE3CF">
      <w:pPr>
        <w:spacing w:line="43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1</w:t>
      </w:r>
      <w:r>
        <w:rPr>
          <w:rFonts w:hint="eastAsia" w:ascii="宋体" w:hAnsi="宋体" w:cs="Times New Roman"/>
          <w:b/>
          <w:bCs/>
          <w:color w:val="auto"/>
          <w:szCs w:val="21"/>
          <w:highlight w:val="none"/>
          <w:lang w:val="en-US" w:eastAsia="zh-CN"/>
        </w:rPr>
        <w:t>.</w:t>
      </w:r>
      <w:r>
        <w:rPr>
          <w:rFonts w:ascii="宋体" w:hAnsi="宋体" w:eastAsia="宋体" w:cs="Times New Roman"/>
          <w:b/>
          <w:bCs/>
          <w:color w:val="auto"/>
          <w:szCs w:val="21"/>
          <w:highlight w:val="none"/>
        </w:rPr>
        <w:t>项目管理要求</w:t>
      </w:r>
    </w:p>
    <w:p w14:paraId="0FE8493A">
      <w:pPr>
        <w:spacing w:line="430" w:lineRule="exact"/>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1.1</w:t>
      </w:r>
      <w:r>
        <w:rPr>
          <w:rFonts w:ascii="宋体" w:hAnsi="宋体" w:eastAsia="宋体" w:cs="Times New Roman"/>
          <w:color w:val="auto"/>
          <w:highlight w:val="none"/>
        </w:rPr>
        <w:t>投标人应</w:t>
      </w:r>
      <w:r>
        <w:rPr>
          <w:rFonts w:hint="eastAsia" w:ascii="宋体" w:hAnsi="宋体" w:eastAsia="宋体" w:cs="Times New Roman"/>
          <w:color w:val="auto"/>
          <w:highlight w:val="none"/>
          <w:lang w:eastAsia="zh-CN"/>
        </w:rPr>
        <w:t>具备专业技术团队，负责该项目技术团队组成成员须包含</w:t>
      </w:r>
      <w:r>
        <w:rPr>
          <w:rFonts w:ascii="宋体" w:hAnsi="宋体" w:eastAsia="宋体" w:cs="Times New Roman"/>
          <w:color w:val="auto"/>
          <w:highlight w:val="none"/>
        </w:rPr>
        <w:t>软件研发、系统集成、</w:t>
      </w:r>
      <w:r>
        <w:rPr>
          <w:rFonts w:hint="eastAsia" w:ascii="宋体" w:hAnsi="宋体" w:eastAsia="宋体" w:cs="Times New Roman"/>
          <w:color w:val="auto"/>
          <w:highlight w:val="none"/>
          <w:lang w:eastAsia="zh-CN"/>
        </w:rPr>
        <w:t>数据治理、</w:t>
      </w:r>
      <w:r>
        <w:rPr>
          <w:rFonts w:ascii="宋体" w:hAnsi="宋体" w:eastAsia="宋体" w:cs="Times New Roman"/>
          <w:color w:val="auto"/>
          <w:highlight w:val="none"/>
        </w:rPr>
        <w:t>项目管理等</w:t>
      </w:r>
      <w:r>
        <w:rPr>
          <w:rFonts w:hint="eastAsia" w:ascii="宋体" w:hAnsi="宋体" w:eastAsia="宋体" w:cs="Times New Roman"/>
          <w:color w:val="auto"/>
          <w:highlight w:val="none"/>
          <w:lang w:eastAsia="zh-CN"/>
        </w:rPr>
        <w:t>领域技术人员</w:t>
      </w:r>
      <w:r>
        <w:rPr>
          <w:rFonts w:ascii="宋体" w:hAnsi="宋体" w:eastAsia="宋体" w:cs="Times New Roman"/>
          <w:color w:val="auto"/>
          <w:highlight w:val="none"/>
        </w:rPr>
        <w:t>。严格遵循项目管理标准规范，制定项目计划，</w:t>
      </w:r>
      <w:r>
        <w:rPr>
          <w:rFonts w:hint="eastAsia" w:ascii="宋体" w:hAnsi="宋体" w:eastAsia="宋体" w:cs="Times New Roman"/>
          <w:color w:val="auto"/>
          <w:highlight w:val="none"/>
          <w:lang w:eastAsia="zh-CN"/>
        </w:rPr>
        <w:t>定期汇报项目进展情况，</w:t>
      </w:r>
      <w:r>
        <w:rPr>
          <w:rFonts w:ascii="宋体" w:hAnsi="宋体" w:eastAsia="宋体" w:cs="Times New Roman"/>
          <w:color w:val="auto"/>
          <w:highlight w:val="none"/>
        </w:rPr>
        <w:t>确保项目</w:t>
      </w:r>
      <w:r>
        <w:rPr>
          <w:rFonts w:hint="eastAsia" w:ascii="宋体" w:hAnsi="宋体" w:eastAsia="宋体" w:cs="Times New Roman"/>
          <w:color w:val="auto"/>
          <w:highlight w:val="none"/>
          <w:lang w:eastAsia="zh-CN"/>
        </w:rPr>
        <w:t>建设成果如期交付</w:t>
      </w:r>
      <w:r>
        <w:rPr>
          <w:rFonts w:ascii="宋体" w:hAnsi="宋体" w:eastAsia="宋体" w:cs="Times New Roman"/>
          <w:color w:val="auto"/>
          <w:highlight w:val="none"/>
        </w:rPr>
        <w:t>。</w:t>
      </w:r>
    </w:p>
    <w:p w14:paraId="1E7C78EE">
      <w:pPr>
        <w:spacing w:line="430" w:lineRule="exact"/>
        <w:ind w:firstLine="420" w:firstLineChars="200"/>
        <w:rPr>
          <w:rFonts w:hint="eastAsia" w:ascii="宋体" w:hAnsi="宋体" w:eastAsia="宋体" w:cs="Times New Roman"/>
          <w:color w:val="auto"/>
          <w:spacing w:val="-2"/>
          <w:highlight w:val="none"/>
        </w:rPr>
      </w:pPr>
      <w:r>
        <w:rPr>
          <w:rFonts w:hint="eastAsia" w:ascii="宋体" w:hAnsi="宋体" w:eastAsia="宋体" w:cs="Times New Roman"/>
          <w:color w:val="auto"/>
          <w:highlight w:val="none"/>
        </w:rPr>
        <w:t>1.2</w:t>
      </w:r>
      <w:r>
        <w:rPr>
          <w:rFonts w:hint="eastAsia" w:ascii="宋体" w:hAnsi="宋体" w:eastAsia="宋体" w:cs="Times New Roman"/>
          <w:color w:val="auto"/>
          <w:spacing w:val="-2"/>
          <w:highlight w:val="none"/>
        </w:rPr>
        <w:t xml:space="preserve"> 驻场服务人员：中标人须安排专职驻场工程师在郴州市住房保障服务中心提供现场技术服务，驻场工作时间为法定工作日正常上班时段（与采购人办公时间同步）；非工作日、夜间、节假日实行远程 7×24 小时技术响应，紧急故障承诺 4 小时内抵达现场处置。郴州市住房保障服务中心提供驻场办公场地，投标人须提供驻场人员简历、联系方式；驻场人员须严格遵守郴州市住房保障服务中心各项内部管理制度，采购人有权对履职不到位的驻场人员提出更换建议，中标人须在 3 个工作日内调配同等资质人员替换。</w:t>
      </w:r>
    </w:p>
    <w:p w14:paraId="034BD881">
      <w:pPr>
        <w:spacing w:line="43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w:t>
      </w:r>
      <w:r>
        <w:rPr>
          <w:rFonts w:hint="eastAsia" w:ascii="宋体" w:hAnsi="宋体" w:cs="Times New Roman"/>
          <w:b/>
          <w:bCs/>
          <w:color w:val="auto"/>
          <w:szCs w:val="21"/>
          <w:highlight w:val="none"/>
          <w:lang w:val="en-US" w:eastAsia="zh-CN"/>
        </w:rPr>
        <w:t>.</w:t>
      </w:r>
      <w:r>
        <w:rPr>
          <w:rFonts w:hint="eastAsia" w:ascii="宋体" w:hAnsi="宋体" w:eastAsia="宋体" w:cs="Times New Roman"/>
          <w:b/>
          <w:bCs/>
          <w:color w:val="auto"/>
          <w:szCs w:val="21"/>
          <w:highlight w:val="none"/>
        </w:rPr>
        <w:t>项目实施要求</w:t>
      </w:r>
    </w:p>
    <w:p w14:paraId="1A3EF727">
      <w:pPr>
        <w:spacing w:line="43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严格遵循国家及行业相关技术要求与规范，根据项目需求制定精细化项目实施方案和计划，投标方所交付的项目成果，必须全面满足采购文件明确的各项技术要求与规定。针对系统升级部分</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投标人需全流程覆盖需求分析、架构设计、功能开发、多维度测试及全周期技术支持工作；依据既定部署方案完成系统软件的安装调试，并严格按照招标文件约定范围交付软件相关需求成果。针对数据清理部分，投标人需按照项目实施方案、项目需求及行业规范收集、统计、梳理所需清理的历史数据及档案，并严格按照招标文件约定范围交付数据清理成果。针对项目中要求的第三方服务（包括但不限于预警提醒以及业务消息通知等短信发送、旧系统信创改造），投标人需遵循国家、省市有关技术要求和行业规范，并结合项目实际需求，并严格按照招标文件约定范围交付第三方服务成果。</w:t>
      </w:r>
    </w:p>
    <w:p w14:paraId="251923F7">
      <w:pPr>
        <w:spacing w:line="430" w:lineRule="exact"/>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本项目全部建设内容，包括平台功能升级改造、历史存量数据清理、第三方配套服务部署等工作，均须依托现有物业专项维修资金管理平台技术架构、功能模块、业务数据库、安全防护体系及内外交互接口等进行实施，不得脱离管理平台整体架构进行独立重建、另行部署。</w:t>
      </w:r>
    </w:p>
    <w:p w14:paraId="56CFE34D">
      <w:pPr>
        <w:spacing w:line="430" w:lineRule="exact"/>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本项目实施所需现有物业专项维修资金管理平台的源代码查阅调用、系统框架复用、接口调用权限、数据库访问权限、业务数据开放权限、网络权限开通、软硬件资源调用及相关技术协调对接工作，均由中标单位自行负责与管理平台原建设单位沟通对接、完成办理。由此产生的全部对接协调成本、技术改造费用、服务费用及相关风险与法律责任，均由中标单位全权负责、自行承担，采购人不再另行支付额外费用。</w:t>
      </w:r>
    </w:p>
    <w:p w14:paraId="30DCE251">
      <w:pPr>
        <w:spacing w:line="430" w:lineRule="exact"/>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本项目实施须严格遵循国家、省、市相关政策规定与行业标准，保障升级后的物业专项维修资金管理平台在各项技术性能、安全防护能力上满足密码应用安全性评估及网络安全等级保护三级测评要求。</w:t>
      </w:r>
    </w:p>
    <w:p w14:paraId="5A8DD0C3">
      <w:pPr>
        <w:spacing w:line="43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3</w:t>
      </w:r>
      <w:r>
        <w:rPr>
          <w:rFonts w:hint="eastAsia" w:ascii="宋体" w:hAnsi="宋体" w:cs="Times New Roman"/>
          <w:b/>
          <w:bCs/>
          <w:color w:val="auto"/>
          <w:szCs w:val="21"/>
          <w:highlight w:val="none"/>
          <w:lang w:val="en-US" w:eastAsia="zh-CN"/>
        </w:rPr>
        <w:t>.</w:t>
      </w:r>
      <w:r>
        <w:rPr>
          <w:rFonts w:hint="eastAsia" w:ascii="宋体" w:hAnsi="宋体" w:eastAsia="宋体" w:cs="Times New Roman"/>
          <w:b/>
          <w:bCs/>
          <w:color w:val="auto"/>
          <w:szCs w:val="21"/>
          <w:highlight w:val="none"/>
        </w:rPr>
        <w:t>技术支持及培训</w:t>
      </w:r>
      <w:r>
        <w:rPr>
          <w:rFonts w:ascii="宋体" w:hAnsi="宋体" w:eastAsia="宋体" w:cs="Times New Roman"/>
          <w:b/>
          <w:bCs/>
          <w:color w:val="auto"/>
          <w:szCs w:val="21"/>
          <w:highlight w:val="none"/>
        </w:rPr>
        <w:t>要求</w:t>
      </w:r>
    </w:p>
    <w:p w14:paraId="118CB74D">
      <w:pPr>
        <w:numPr>
          <w:ilvl w:val="0"/>
          <w:numId w:val="0"/>
        </w:numPr>
        <w:spacing w:line="430" w:lineRule="exact"/>
        <w:ind w:leftChars="0"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本项目整体免费质保期为3年。质保期内，投标人须针对平台功能升级模块及历史数据清理成果提供全天候技术支持，通过电话、微信、邮件等方式提供技术咨询与运维服务，及时修复平台缺陷、更正异常数据，保障系统稳定合规运行。</w:t>
      </w:r>
    </w:p>
    <w:p w14:paraId="4E1D556E">
      <w:pPr>
        <w:numPr>
          <w:ilvl w:val="0"/>
          <w:numId w:val="0"/>
        </w:numPr>
        <w:spacing w:line="430" w:lineRule="exact"/>
        <w:ind w:leftChars="0" w:firstLine="420" w:firstLineChars="200"/>
        <w:rPr>
          <w:rFonts w:hint="eastAsia" w:ascii="宋体" w:hAnsi="宋体" w:eastAsia="宋体" w:cs="宋体"/>
          <w:color w:val="auto"/>
          <w:highlight w:val="none"/>
          <w:lang w:val="zh-TW" w:eastAsia="zh-TW"/>
        </w:rPr>
      </w:pPr>
      <w:r>
        <w:rPr>
          <w:rFonts w:hint="eastAsia" w:ascii="宋体" w:hAnsi="宋体" w:eastAsia="宋体" w:cs="宋体"/>
          <w:color w:val="auto"/>
          <w:highlight w:val="none"/>
          <w:lang w:val="zh-TW" w:eastAsia="zh-TW"/>
        </w:rPr>
        <w:t>质保期内投标人须提供</w:t>
      </w:r>
      <w:r>
        <w:rPr>
          <w:rFonts w:hint="eastAsia" w:ascii="宋体" w:hAnsi="宋体" w:cs="宋体"/>
          <w:color w:val="auto"/>
          <w:highlight w:val="none"/>
          <w:lang w:val="zh-TW" w:eastAsia="zh-CN"/>
        </w:rPr>
        <w:t>管理平台</w:t>
      </w:r>
      <w:r>
        <w:rPr>
          <w:rFonts w:hint="eastAsia" w:ascii="宋体" w:hAnsi="宋体" w:eastAsia="宋体" w:cs="宋体"/>
          <w:color w:val="auto"/>
          <w:highlight w:val="none"/>
          <w:lang w:val="zh-TW" w:eastAsia="zh-TW"/>
        </w:rPr>
        <w:t>操作培训服务，每年培训不少于3次，保障</w:t>
      </w:r>
      <w:r>
        <w:rPr>
          <w:rFonts w:hint="eastAsia" w:ascii="宋体" w:hAnsi="宋体" w:cs="宋体"/>
          <w:color w:val="auto"/>
          <w:highlight w:val="none"/>
          <w:lang w:val="zh-TW" w:eastAsia="zh-CN"/>
        </w:rPr>
        <w:t>管理机构</w:t>
      </w:r>
      <w:r>
        <w:rPr>
          <w:rFonts w:hint="eastAsia" w:ascii="宋体" w:hAnsi="宋体" w:eastAsia="宋体" w:cs="宋体"/>
          <w:color w:val="auto"/>
          <w:highlight w:val="none"/>
          <w:lang w:val="zh-TW" w:eastAsia="zh-TW"/>
        </w:rPr>
        <w:t>工作人员、物业</w:t>
      </w:r>
      <w:r>
        <w:rPr>
          <w:rFonts w:hint="eastAsia" w:ascii="宋体" w:hAnsi="宋体" w:cs="宋体"/>
          <w:color w:val="auto"/>
          <w:highlight w:val="none"/>
          <w:lang w:val="zh-TW" w:eastAsia="zh-CN"/>
        </w:rPr>
        <w:t>服务人</w:t>
      </w:r>
      <w:r>
        <w:rPr>
          <w:rFonts w:hint="eastAsia" w:ascii="宋体" w:hAnsi="宋体" w:eastAsia="宋体" w:cs="宋体"/>
          <w:color w:val="auto"/>
          <w:highlight w:val="none"/>
          <w:lang w:val="zh-TW" w:eastAsia="zh-TW"/>
        </w:rPr>
        <w:t>、业委会及业主能够熟练使用平台功能。培训可采用集中授课、现场指导、一对一辅导、配套资料宣教等多种形式，投标人负责编制培训材料、部署培训环境、开展授课教学及操作考核；</w:t>
      </w:r>
      <w:r>
        <w:rPr>
          <w:rFonts w:hint="eastAsia" w:ascii="宋体" w:hAnsi="宋体" w:cs="宋体"/>
          <w:color w:val="auto"/>
          <w:highlight w:val="none"/>
          <w:lang w:val="zh-TW" w:eastAsia="zh-CN"/>
        </w:rPr>
        <w:t>采购人</w:t>
      </w:r>
      <w:r>
        <w:rPr>
          <w:rFonts w:hint="eastAsia" w:ascii="宋体" w:hAnsi="宋体" w:eastAsia="宋体" w:cs="宋体"/>
          <w:color w:val="auto"/>
          <w:highlight w:val="none"/>
          <w:lang w:val="zh-TW" w:eastAsia="zh-TW"/>
        </w:rPr>
        <w:t>负责提供培训场地、设备及人员召集组织工作。投标人须提前提交完整年度培训方案，确保培训效果到位。</w:t>
      </w:r>
    </w:p>
    <w:p w14:paraId="4F9A05A1">
      <w:pPr>
        <w:spacing w:line="430" w:lineRule="exact"/>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eastAsia="zh-CN"/>
        </w:rPr>
        <w:t>五</w:t>
      </w:r>
      <w:r>
        <w:rPr>
          <w:rFonts w:hint="eastAsia" w:ascii="宋体" w:hAnsi="宋体" w:eastAsia="宋体" w:cs="Times New Roman"/>
          <w:b/>
          <w:bCs/>
          <w:color w:val="auto"/>
          <w:sz w:val="24"/>
          <w:highlight w:val="none"/>
        </w:rPr>
        <w:t>、验收标准和方法</w:t>
      </w:r>
    </w:p>
    <w:p w14:paraId="3E807229">
      <w:pPr>
        <w:spacing w:line="440" w:lineRule="exact"/>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中标人提供</w:t>
      </w:r>
      <w:r>
        <w:rPr>
          <w:rFonts w:hint="eastAsia" w:ascii="宋体" w:hAnsi="宋体" w:eastAsia="宋体" w:cs="Times New Roman"/>
          <w:bCs/>
          <w:color w:val="auto"/>
          <w:szCs w:val="21"/>
          <w:highlight w:val="none"/>
          <w:lang w:eastAsia="zh-CN"/>
        </w:rPr>
        <w:t>系统功能升级</w:t>
      </w:r>
      <w:r>
        <w:rPr>
          <w:rFonts w:hint="eastAsia" w:ascii="宋体" w:hAnsi="宋体" w:eastAsia="宋体" w:cs="Times New Roman"/>
          <w:bCs/>
          <w:color w:val="auto"/>
          <w:szCs w:val="21"/>
          <w:highlight w:val="none"/>
        </w:rPr>
        <w:t>的源代码、数据库设计文档、接口说明文档</w:t>
      </w:r>
      <w:r>
        <w:rPr>
          <w:rFonts w:hint="eastAsia" w:ascii="宋体" w:hAnsi="宋体" w:eastAsia="宋体" w:cs="Times New Roman"/>
          <w:bCs/>
          <w:color w:val="auto"/>
          <w:szCs w:val="21"/>
          <w:highlight w:val="none"/>
          <w:lang w:eastAsia="zh-CN"/>
        </w:rPr>
        <w:t>、系统建设和数据清理日志</w:t>
      </w:r>
      <w:r>
        <w:rPr>
          <w:rFonts w:hint="eastAsia" w:ascii="宋体" w:hAnsi="宋体" w:cs="Times New Roman"/>
          <w:bCs/>
          <w:color w:val="auto"/>
          <w:szCs w:val="21"/>
          <w:highlight w:val="none"/>
          <w:lang w:eastAsia="zh-CN"/>
        </w:rPr>
        <w:t>及第三方服务</w:t>
      </w:r>
      <w:r>
        <w:rPr>
          <w:rFonts w:hint="default" w:ascii="宋体" w:hAnsi="宋体" w:eastAsia="宋体" w:cs="Times New Roman"/>
          <w:bCs/>
          <w:color w:val="auto"/>
          <w:szCs w:val="21"/>
          <w:highlight w:val="none"/>
          <w:lang w:val="en-US" w:eastAsia="zh-CN"/>
        </w:rPr>
        <w:t>全套文档</w:t>
      </w:r>
      <w:r>
        <w:rPr>
          <w:rFonts w:hint="eastAsia" w:ascii="宋体" w:hAnsi="宋体" w:eastAsia="宋体" w:cs="Times New Roman"/>
          <w:bCs/>
          <w:color w:val="auto"/>
          <w:szCs w:val="21"/>
          <w:highlight w:val="none"/>
          <w:lang w:eastAsia="zh-CN"/>
        </w:rPr>
        <w:t>等文件，归档后移交至</w:t>
      </w:r>
      <w:r>
        <w:rPr>
          <w:rFonts w:hint="eastAsia" w:ascii="宋体" w:hAnsi="宋体" w:cs="Times New Roman"/>
          <w:bCs/>
          <w:color w:val="auto"/>
          <w:szCs w:val="21"/>
          <w:highlight w:val="none"/>
          <w:lang w:eastAsia="zh-CN"/>
        </w:rPr>
        <w:t>采购人</w:t>
      </w:r>
      <w:r>
        <w:rPr>
          <w:rFonts w:hint="eastAsia" w:ascii="宋体" w:hAnsi="宋体" w:eastAsia="宋体" w:cs="Times New Roman"/>
          <w:bCs/>
          <w:color w:val="auto"/>
          <w:szCs w:val="21"/>
          <w:highlight w:val="none"/>
        </w:rPr>
        <w:t>。</w:t>
      </w:r>
    </w:p>
    <w:p w14:paraId="7927700C">
      <w:p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eastAsia="宋体" w:cs="Times New Roman"/>
          <w:bCs/>
          <w:color w:val="auto"/>
          <w:szCs w:val="21"/>
          <w:highlight w:val="none"/>
          <w:lang w:eastAsia="zh-CN"/>
        </w:rPr>
        <w:t>项目</w:t>
      </w:r>
      <w:r>
        <w:rPr>
          <w:rFonts w:hint="eastAsia" w:ascii="宋体" w:hAnsi="宋体" w:eastAsia="宋体" w:cs="Times New Roman"/>
          <w:bCs/>
          <w:color w:val="auto"/>
          <w:szCs w:val="21"/>
          <w:highlight w:val="none"/>
        </w:rPr>
        <w:t>验收由</w:t>
      </w:r>
      <w:r>
        <w:rPr>
          <w:rFonts w:hint="eastAsia" w:ascii="宋体" w:hAnsi="宋体" w:cs="Times New Roman"/>
          <w:bCs/>
          <w:color w:val="auto"/>
          <w:szCs w:val="21"/>
          <w:highlight w:val="none"/>
          <w:lang w:eastAsia="zh-CN"/>
        </w:rPr>
        <w:t>采购人</w:t>
      </w:r>
      <w:r>
        <w:rPr>
          <w:rFonts w:hint="eastAsia" w:ascii="宋体" w:hAnsi="宋体" w:eastAsia="宋体" w:cs="Times New Roman"/>
          <w:bCs/>
          <w:color w:val="auto"/>
          <w:szCs w:val="21"/>
          <w:highlight w:val="none"/>
        </w:rPr>
        <w:t>组织有关专业人员或者委托第三方服务机构，按招标文件技术要求规定的采购要求</w:t>
      </w:r>
      <w:r>
        <w:rPr>
          <w:rFonts w:hint="eastAsia" w:ascii="宋体" w:hAnsi="宋体" w:eastAsia="宋体" w:cs="Times New Roman"/>
          <w:bCs/>
          <w:color w:val="auto"/>
          <w:szCs w:val="21"/>
          <w:highlight w:val="none"/>
          <w:lang w:eastAsia="zh-CN"/>
        </w:rPr>
        <w:t>、行业标准，依据流程</w:t>
      </w:r>
      <w:r>
        <w:rPr>
          <w:rFonts w:hint="eastAsia" w:ascii="宋体" w:hAnsi="宋体" w:eastAsia="宋体" w:cs="Times New Roman"/>
          <w:bCs/>
          <w:color w:val="auto"/>
          <w:szCs w:val="21"/>
          <w:highlight w:val="none"/>
        </w:rPr>
        <w:t>验收</w:t>
      </w:r>
      <w:r>
        <w:rPr>
          <w:rFonts w:hint="eastAsia" w:ascii="宋体" w:hAnsi="宋体" w:eastAsia="宋体" w:cs="Times New Roman"/>
          <w:bCs/>
          <w:color w:val="auto"/>
          <w:szCs w:val="21"/>
          <w:highlight w:val="none"/>
          <w:lang w:eastAsia="zh-CN"/>
        </w:rPr>
        <w:t>。</w:t>
      </w:r>
    </w:p>
    <w:p w14:paraId="1F7835EB">
      <w:pPr>
        <w:numPr>
          <w:ilvl w:val="0"/>
          <w:numId w:val="0"/>
        </w:numPr>
        <w:spacing w:line="440" w:lineRule="exact"/>
        <w:ind w:firstLine="422" w:firstLineChars="200"/>
        <w:rPr>
          <w:rFonts w:hint="eastAsia" w:ascii="宋体" w:hAnsi="宋体" w:eastAsia="宋体" w:cs="Times New Roman"/>
          <w:b/>
          <w:bCs w:val="0"/>
          <w:color w:val="auto"/>
          <w:szCs w:val="21"/>
          <w:highlight w:val="none"/>
          <w:lang w:eastAsia="zh-CN"/>
        </w:rPr>
      </w:pPr>
      <w:r>
        <w:rPr>
          <w:rFonts w:hint="eastAsia" w:ascii="宋体" w:hAnsi="宋体" w:cs="Times New Roman"/>
          <w:b/>
          <w:bCs w:val="0"/>
          <w:color w:val="auto"/>
          <w:szCs w:val="21"/>
          <w:highlight w:val="none"/>
          <w:lang w:eastAsia="zh-CN"/>
        </w:rPr>
        <w:t>（一）系统软件</w:t>
      </w:r>
      <w:r>
        <w:rPr>
          <w:rFonts w:hint="eastAsia" w:ascii="宋体" w:hAnsi="宋体" w:eastAsia="宋体" w:cs="Times New Roman"/>
          <w:b/>
          <w:bCs w:val="0"/>
          <w:color w:val="auto"/>
          <w:szCs w:val="21"/>
          <w:highlight w:val="none"/>
          <w:lang w:eastAsia="zh-CN"/>
        </w:rPr>
        <w:t>验收</w:t>
      </w:r>
    </w:p>
    <w:p w14:paraId="516F2844">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val="en-US" w:eastAsia="zh-CN"/>
        </w:rPr>
        <w:t>1.</w:t>
      </w:r>
      <w:r>
        <w:rPr>
          <w:rFonts w:hint="eastAsia" w:ascii="宋体" w:hAnsi="宋体" w:eastAsia="宋体" w:cs="Times New Roman"/>
          <w:bCs/>
          <w:color w:val="auto"/>
          <w:szCs w:val="21"/>
          <w:highlight w:val="none"/>
          <w:lang w:eastAsia="zh-CN"/>
        </w:rPr>
        <w:t>功能验收标准</w:t>
      </w:r>
    </w:p>
    <w:p w14:paraId="39338B78">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w:t>
      </w:r>
      <w:r>
        <w:rPr>
          <w:rFonts w:hint="eastAsia" w:ascii="宋体" w:hAnsi="宋体" w:cs="Times New Roman"/>
          <w:bCs/>
          <w:color w:val="auto"/>
          <w:szCs w:val="21"/>
          <w:highlight w:val="none"/>
          <w:lang w:eastAsia="zh-CN"/>
        </w:rPr>
        <w:t>）项目采购文件中列出的</w:t>
      </w:r>
      <w:r>
        <w:rPr>
          <w:rFonts w:hint="eastAsia" w:ascii="宋体" w:hAnsi="宋体" w:eastAsia="宋体" w:cs="Times New Roman"/>
          <w:bCs/>
          <w:color w:val="auto"/>
          <w:szCs w:val="21"/>
          <w:highlight w:val="none"/>
          <w:lang w:eastAsia="zh-CN"/>
        </w:rPr>
        <w:t>所有升级需求的新增功能点、优化功能点均已实现,无遗漏;升级前软件存在的缺陷已完成修复,原有核心功能无因升级导致的功能缺失、异常。功能操作流程符合升级设计要求,逻辑清晰、合理,新增功能与原有功能衔接流畅。</w:t>
      </w:r>
    </w:p>
    <w:p w14:paraId="42C19094">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2</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功能操作过程中无异常现象,如无报错、闪退、死机等情况,点击按钮、输入数据、提交请求等操作均能正常响应,且响应结果准确无误。</w:t>
      </w:r>
    </w:p>
    <w:p w14:paraId="0F576FEB">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3</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升级后软件各模块间数据交互准确、流畅,尤其是新增功能与原有功能模块间的数据联动无异常;历史数据迁移完整,无数据不一致、丢失、篡改等问题,历史数据与新增数据可正常关联查询、统计。</w:t>
      </w:r>
    </w:p>
    <w:p w14:paraId="16A85FDB">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4</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自定义功能(如自定义报表、自定义业务流程等)满足用户个性化需求,用户可根据实际业务场景灵活配置,且配置后的功能能正常运行。</w:t>
      </w:r>
    </w:p>
    <w:p w14:paraId="43D9C572">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val="en-US" w:eastAsia="zh-CN"/>
        </w:rPr>
        <w:t>2.</w:t>
      </w:r>
      <w:r>
        <w:rPr>
          <w:rFonts w:hint="eastAsia" w:ascii="宋体" w:hAnsi="宋体" w:eastAsia="宋体" w:cs="Times New Roman"/>
          <w:bCs/>
          <w:color w:val="auto"/>
          <w:szCs w:val="21"/>
          <w:highlight w:val="none"/>
          <w:lang w:eastAsia="zh-CN"/>
        </w:rPr>
        <w:t>性能验收指标</w:t>
      </w:r>
    </w:p>
    <w:p w14:paraId="44178635">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5</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响应时间:在标准测试环境下(硬件配置:CPUIntelCorei7-10700K、内存16GB、硬盘 SSD1TB;网络带宽 100Mbps),单用户操作新增/优化功能的平均响应时间不超过 1.5 秒,95%以上的操作响应时间不超过 2.5 秒;在</w:t>
      </w:r>
      <w:r>
        <w:rPr>
          <w:rFonts w:hint="eastAsia" w:ascii="宋体" w:hAnsi="宋体" w:eastAsia="宋体" w:cs="Times New Roman"/>
          <w:bCs/>
          <w:color w:val="auto"/>
          <w:szCs w:val="21"/>
          <w:highlight w:val="none"/>
          <w:lang w:val="en-US" w:eastAsia="zh-CN"/>
        </w:rPr>
        <w:t>100</w:t>
      </w:r>
      <w:r>
        <w:rPr>
          <w:rFonts w:hint="eastAsia" w:ascii="宋体" w:hAnsi="宋体" w:eastAsia="宋体" w:cs="Times New Roman"/>
          <w:bCs/>
          <w:color w:val="auto"/>
          <w:szCs w:val="21"/>
          <w:highlight w:val="none"/>
          <w:lang w:eastAsia="zh-CN"/>
        </w:rPr>
        <w:t>名用户并发操作升级核心业务模块时,平均响应时间不超过 4 秒,95%以上的并发操作响应时间不超过 6 秒;相较于升级前响应时间提升不低于</w:t>
      </w:r>
      <w:r>
        <w:rPr>
          <w:rFonts w:hint="eastAsia" w:ascii="宋体" w:hAnsi="宋体" w:eastAsia="宋体" w:cs="Times New Roman"/>
          <w:bCs/>
          <w:color w:val="auto"/>
          <w:szCs w:val="21"/>
          <w:highlight w:val="none"/>
          <w:lang w:val="en-US" w:eastAsia="zh-CN"/>
        </w:rPr>
        <w:t>20</w:t>
      </w:r>
      <w:r>
        <w:rPr>
          <w:rFonts w:hint="eastAsia" w:ascii="宋体" w:hAnsi="宋体" w:eastAsia="宋体" w:cs="Times New Roman"/>
          <w:bCs/>
          <w:color w:val="auto"/>
          <w:szCs w:val="21"/>
          <w:highlight w:val="none"/>
          <w:lang w:eastAsia="zh-CN"/>
        </w:rPr>
        <w:t>%。</w:t>
      </w:r>
    </w:p>
    <w:p w14:paraId="2A55C028">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6</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并发用户数:通过专业性能测试工具(如 JMeter)模拟</w:t>
      </w:r>
      <w:r>
        <w:rPr>
          <w:rFonts w:hint="eastAsia" w:ascii="宋体" w:hAnsi="宋体" w:cs="Times New Roman"/>
          <w:bCs/>
          <w:color w:val="auto"/>
          <w:szCs w:val="21"/>
          <w:highlight w:val="none"/>
          <w:lang w:val="en-US" w:eastAsia="zh-CN"/>
        </w:rPr>
        <w:t>200</w:t>
      </w:r>
      <w:r>
        <w:rPr>
          <w:rFonts w:hint="eastAsia" w:ascii="宋体" w:hAnsi="宋体" w:eastAsia="宋体" w:cs="Times New Roman"/>
          <w:bCs/>
          <w:color w:val="auto"/>
          <w:szCs w:val="21"/>
          <w:highlight w:val="none"/>
          <w:lang w:eastAsia="zh-CN"/>
        </w:rPr>
        <w:t>名用户同时进行新增功能操作、原有功能优化后操作、数据查询等操作,系统运行稳定,无请求超时、数据错误等情况,各项性能指标(CPU 利用率、内存占用、网络吞吐量)在合理范围内,且性能表现优于升级前。</w:t>
      </w:r>
    </w:p>
    <w:p w14:paraId="42B73CF1">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7</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数据处理能力:对 1000 条历史数据进行迁移测试,迁移成功率达到 100%;对 10000 条新增测试数据进行导入、查询、统计分析等操作,数据导入成功率达到 100%,数据查询准确率达到 100%,统计分析结果与预期结果一致;完成所有操作的总时间不超过 10 分钟,相较于升级前效率提升不低于 50%。</w:t>
      </w:r>
    </w:p>
    <w:p w14:paraId="36CA9BDC">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8</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系统稳定性:在连续 24 小时的稳定性测试中,系统持续运行正常,无宕机、重启现象;同时模拟升级全流程测试,升级过程顺利,无数据丢失、系统异常中断等情况,升级后各项功能正常可用,数据完整。</w:t>
      </w:r>
    </w:p>
    <w:p w14:paraId="619CDF5D">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9</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资源占用:在满负荷运行(50 名用户并发操作)情况下,CPU 利用率平均不超过 75%,峰值不超过 85%;内存占用平均不超过系统总内存的 65%,峰值不超过 75%;硬盘 I/O 读写速度稳定,无明显瓶颈,资源占用相较于升级前有合理优化。</w:t>
      </w:r>
    </w:p>
    <w:p w14:paraId="4BECB6B6">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val="en-US" w:eastAsia="zh-CN"/>
        </w:rPr>
        <w:t>3.</w:t>
      </w:r>
      <w:r>
        <w:rPr>
          <w:rFonts w:hint="eastAsia" w:ascii="宋体" w:hAnsi="宋体" w:eastAsia="宋体" w:cs="Times New Roman"/>
          <w:bCs/>
          <w:color w:val="auto"/>
          <w:szCs w:val="21"/>
          <w:highlight w:val="none"/>
          <w:lang w:eastAsia="zh-CN"/>
        </w:rPr>
        <w:t>安全性验收标准</w:t>
      </w:r>
    </w:p>
    <w:p w14:paraId="62AB26BA">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10</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数据迁移安全:通过数据库查询工具核查历史数据迁移情况,确认历史数据完整、无篡改;检查敏感数据存储状态,确认仍采用不可逆加密算法(如SHA-256)进行加密存储;使用网络抓包工具(如 Wireshark)捕获升级过程中数据传输数据包,确认数据传输采用加密协议,无明文传输。</w:t>
      </w:r>
    </w:p>
    <w:p w14:paraId="25C348CA">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11</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权限控制:创建不同角色(如管理员、普通用户、访客)的测试账号,分别登录系统后尝试访问超出自身权限的功能模块和数据,验证系统能有效拦截越权操作,且给出明确的权限不足提示信息。</w:t>
      </w:r>
    </w:p>
    <w:p w14:paraId="4B6166E8">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12</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防攻击能力:使用专业的网络安全测试工具(如 OWASPZAP)对升级后的软件进行全面安全测试,重点测试新增功能模块、新增接口的防攻击能力,包括 SQL 注入、XSS 跨站脚本攻击、CSRF 跨站请求伪造等常见攻击测试;同时验证升级包的安全性,确保无恶意代码植入,系统能有效抵御攻击,无安全漏洞被利用导致系统异常或数据泄露的情况。</w:t>
      </w:r>
    </w:p>
    <w:p w14:paraId="2708B2BD">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13</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数据安全:按照文档要求进行数据备份操作,备份过程顺利,备份文件大小、格式符合预期;随后进行数据恢复操作,恢复后检查数据的完整性和准确性,确认所有数据(包括结构化数据和非结构化数据)均能正常恢复,且数据内容与备份前一致。</w:t>
      </w:r>
    </w:p>
    <w:p w14:paraId="36C37013">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val="en-US" w:eastAsia="zh-CN"/>
        </w:rPr>
        <w:t>4.</w:t>
      </w:r>
      <w:r>
        <w:rPr>
          <w:rFonts w:hint="eastAsia" w:ascii="宋体" w:hAnsi="宋体" w:eastAsia="宋体" w:cs="Times New Roman"/>
          <w:bCs/>
          <w:color w:val="auto"/>
          <w:szCs w:val="21"/>
          <w:highlight w:val="none"/>
          <w:lang w:eastAsia="zh-CN"/>
        </w:rPr>
        <w:t>兼容性验收标准</w:t>
      </w:r>
    </w:p>
    <w:p w14:paraId="73D5EFEC">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14</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操 作 系 统 兼 容 性 : 在 升 级 前 适 配 的 操 作 系 统 版 本 ( 如Windows10Professional64 位、LinuxCentOS7.964 位)及升级后新增适配的操作系统版本(如 Windows11Professional64 位、LinuxCentOS8.564 位)上分别安装部署升级后软件,所有新增功能、原有功能均能正常启动和运行,无功能异常、界面错乱等问题;同时验证升级过程在各操作系统版本上的平滑性,无升级失败、中断等情况。</w:t>
      </w:r>
    </w:p>
    <w:p w14:paraId="1469E523">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15</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浏 览 器 兼 容 性 : 在 Chrome110.0.5481.178 、 Firefox110.0.1 、Edge110.0.1587.57、Safari16.3 浏览器上访问 Web 版软件,界面显示正常(无文字重叠、图片变形、控件错位等),所有功能操作正常,响应结果准确。</w:t>
      </w:r>
    </w:p>
    <w:p w14:paraId="4393696C">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16</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数据库兼容性:分别在升级前适配的数据库版本(如 MySQL8.0.32、Oracle12cRelease2)及升级后新增适配的数据库版本上部署升级后软件,软件能正常连接数据库,历史数据正常读取、写入,新增数据存储格式正确;数据迁移过程在各数据库版本上均能顺利完成,无数据格式不兼容、迁移失败等问题。</w:t>
      </w:r>
    </w:p>
    <w:p w14:paraId="7C6938D2">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17</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接口兼容性:与相关联的外部系统(如 ERP 系统、CRM 系统)进行对接测试,验证升级后软件接口与原有接口的兼容性,确保数据传输格式不变、交互逻辑正常;同时测试新增接口的对接能力,数据传输准确、完整,无数据丢失、格式错误等问题,接口调用成功率达到 100%,无因升级导致的系统集成中断。</w:t>
      </w:r>
    </w:p>
    <w:p w14:paraId="2FB90B47">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val="en-US" w:eastAsia="zh-CN"/>
        </w:rPr>
        <w:t>5.</w:t>
      </w:r>
      <w:r>
        <w:rPr>
          <w:rFonts w:hint="eastAsia" w:ascii="宋体" w:hAnsi="宋体" w:eastAsia="宋体" w:cs="Times New Roman"/>
          <w:bCs/>
          <w:color w:val="auto"/>
          <w:szCs w:val="21"/>
          <w:highlight w:val="none"/>
          <w:lang w:eastAsia="zh-CN"/>
        </w:rPr>
        <w:t>文档资料验收标准</w:t>
      </w:r>
    </w:p>
    <w:p w14:paraId="15EEFB9A">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18</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文档完整性:开发方提供的软件升级相关文档资料种类齐全,无缺失,包括升级需求规格说明书、升级方案文档、数据迁移报告等核心升级文档;原有文档的更新版本完整,补充了升级相关的所有关键信息,如新增功能设计说明、升级操作步骤等,无关键信息遗漏。</w:t>
      </w:r>
    </w:p>
    <w:p w14:paraId="040A6A36">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19</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文档准确性:升级相关文档内容与升级后软件实际情况一致,无矛盾、错误信息,如升级方案文档中的升级步骤准确可行,按照步骤能顺利完成升级;数据迁移报告中的迁移结果与实际迁移情况相符;用户操作手册中新增功能的操作步骤准确,原有功能优化说明清晰,符合软件实际状态。</w:t>
      </w:r>
    </w:p>
    <w:p w14:paraId="092510F5">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20</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文档规范性:文档格式统一、规范,符合行业相关标准或双方约定的文档模板要求,如文档字体、字号、行距、页码、目录格式统一,章节划分清晰,图表编号规范,语言表达简洁、准确、专业,无错别字、语病。</w:t>
      </w:r>
    </w:p>
    <w:p w14:paraId="033884EE">
      <w:pPr>
        <w:numPr>
          <w:ilvl w:val="0"/>
          <w:numId w:val="0"/>
        </w:numPr>
        <w:spacing w:line="440" w:lineRule="exact"/>
        <w:ind w:firstLine="422" w:firstLineChars="200"/>
        <w:rPr>
          <w:rFonts w:hint="eastAsia" w:ascii="宋体" w:hAnsi="宋体" w:eastAsia="宋体" w:cs="Times New Roman"/>
          <w:b/>
          <w:bCs w:val="0"/>
          <w:color w:val="auto"/>
          <w:szCs w:val="21"/>
          <w:highlight w:val="none"/>
          <w:lang w:val="en-US" w:eastAsia="zh-CN"/>
        </w:rPr>
      </w:pPr>
      <w:r>
        <w:rPr>
          <w:rFonts w:hint="eastAsia" w:ascii="宋体" w:hAnsi="宋体" w:cs="Times New Roman"/>
          <w:b/>
          <w:bCs w:val="0"/>
          <w:color w:val="auto"/>
          <w:szCs w:val="21"/>
          <w:highlight w:val="none"/>
          <w:lang w:val="en-US" w:eastAsia="zh-CN"/>
        </w:rPr>
        <w:t>（二）</w:t>
      </w:r>
      <w:r>
        <w:rPr>
          <w:rFonts w:hint="eastAsia" w:ascii="宋体" w:hAnsi="宋体" w:eastAsia="宋体" w:cs="Times New Roman"/>
          <w:b/>
          <w:bCs w:val="0"/>
          <w:color w:val="auto"/>
          <w:szCs w:val="21"/>
          <w:highlight w:val="none"/>
          <w:lang w:val="en-US" w:eastAsia="zh-CN"/>
        </w:rPr>
        <w:t>数据清理验收</w:t>
      </w:r>
    </w:p>
    <w:p w14:paraId="4EFFCD2D">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w:t>
      </w:r>
      <w:r>
        <w:rPr>
          <w:rFonts w:hint="default" w:ascii="宋体" w:hAnsi="宋体" w:eastAsia="宋体" w:cs="Times New Roman"/>
          <w:bCs/>
          <w:color w:val="auto"/>
          <w:szCs w:val="21"/>
          <w:highlight w:val="none"/>
          <w:lang w:val="en-US" w:eastAsia="zh-CN"/>
        </w:rPr>
        <w:t>数据质量验收标准</w:t>
      </w:r>
    </w:p>
    <w:p w14:paraId="0DB1B6B7">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w:t>
      </w:r>
      <w:r>
        <w:rPr>
          <w:rFonts w:hint="default" w:ascii="宋体" w:hAnsi="宋体" w:eastAsia="宋体" w:cs="Times New Roman"/>
          <w:bCs/>
          <w:color w:val="auto"/>
          <w:szCs w:val="21"/>
          <w:highlight w:val="none"/>
          <w:lang w:val="en-US" w:eastAsia="zh-CN"/>
        </w:rPr>
        <w:t>准确性标准:以不动产登记现势权属数据为基准，完成小区、楼栋、单元、户室、产权人、建筑面积、房屋用途等全部房屋基础信息逐条比对校验</w:t>
      </w:r>
      <w:r>
        <w:rPr>
          <w:rFonts w:hint="eastAsia" w:ascii="宋体" w:hAnsi="宋体" w:cs="Times New Roman"/>
          <w:bCs/>
          <w:color w:val="auto"/>
          <w:szCs w:val="21"/>
          <w:highlight w:val="none"/>
          <w:lang w:val="en-US" w:eastAsia="zh-CN"/>
        </w:rPr>
        <w:t>补录修正，实现</w:t>
      </w:r>
      <w:r>
        <w:rPr>
          <w:rFonts w:hint="default" w:ascii="宋体" w:hAnsi="宋体" w:eastAsia="宋体" w:cs="Times New Roman"/>
          <w:bCs/>
          <w:color w:val="auto"/>
          <w:szCs w:val="21"/>
          <w:highlight w:val="none"/>
          <w:lang w:val="en-US" w:eastAsia="zh-CN"/>
        </w:rPr>
        <w:t>平台房屋基础数据</w:t>
      </w:r>
      <w:r>
        <w:rPr>
          <w:rFonts w:hint="eastAsia" w:ascii="宋体" w:hAnsi="宋体" w:cs="Times New Roman"/>
          <w:bCs/>
          <w:color w:val="auto"/>
          <w:szCs w:val="21"/>
          <w:highlight w:val="none"/>
          <w:lang w:val="en-US" w:eastAsia="zh-CN"/>
        </w:rPr>
        <w:t>与不动产现势权属数据一致性、</w:t>
      </w:r>
      <w:r>
        <w:rPr>
          <w:rFonts w:hint="default" w:ascii="宋体" w:hAnsi="宋体" w:eastAsia="宋体" w:cs="Times New Roman"/>
          <w:bCs/>
          <w:color w:val="auto"/>
          <w:szCs w:val="21"/>
          <w:highlight w:val="none"/>
          <w:lang w:val="en-US" w:eastAsia="zh-CN"/>
        </w:rPr>
        <w:t>标准化、统一化</w:t>
      </w:r>
      <w:r>
        <w:rPr>
          <w:rFonts w:hint="eastAsia" w:ascii="宋体" w:hAnsi="宋体" w:cs="Times New Roman"/>
          <w:bCs/>
          <w:color w:val="auto"/>
          <w:szCs w:val="21"/>
          <w:highlight w:val="none"/>
          <w:lang w:val="en-US" w:eastAsia="zh-CN"/>
        </w:rPr>
        <w:t>；以财务会计凭证、会计账目为基准，完成历年资金交存、退款、项目使用、业主分摊、划拨等全链条业务数据全面核查梳理补录修正，实现平台业务台账数据与财务会计数据一一对应、完全匹配、账账相符。</w:t>
      </w:r>
      <w:r>
        <w:rPr>
          <w:rFonts w:hint="default" w:ascii="宋体" w:hAnsi="宋体" w:eastAsia="宋体" w:cs="Times New Roman"/>
          <w:bCs/>
          <w:color w:val="auto"/>
          <w:szCs w:val="21"/>
          <w:highlight w:val="none"/>
          <w:lang w:val="en-US" w:eastAsia="zh-CN"/>
        </w:rPr>
        <w:t>通过抽样核查(抽样比例不低于 5%,且抽样数量不低于 1000</w:t>
      </w:r>
      <w:r>
        <w:rPr>
          <w:rFonts w:hint="eastAsia" w:ascii="宋体" w:hAnsi="宋体" w:cs="Times New Roman"/>
          <w:bCs/>
          <w:color w:val="auto"/>
          <w:szCs w:val="21"/>
          <w:highlight w:val="none"/>
          <w:lang w:val="en-US" w:eastAsia="zh-CN"/>
        </w:rPr>
        <w:t>0</w:t>
      </w:r>
      <w:r>
        <w:rPr>
          <w:rFonts w:hint="default" w:ascii="宋体" w:hAnsi="宋体" w:eastAsia="宋体" w:cs="Times New Roman"/>
          <w:bCs/>
          <w:color w:val="auto"/>
          <w:szCs w:val="21"/>
          <w:highlight w:val="none"/>
          <w:lang w:val="en-US" w:eastAsia="zh-CN"/>
        </w:rPr>
        <w:t>条),清理后数据错误率不超过 0.1%;关键业务字段(如不动产单元代码</w:t>
      </w:r>
      <w:r>
        <w:rPr>
          <w:rFonts w:hint="eastAsia" w:ascii="宋体" w:hAnsi="宋体" w:cs="Times New Roman"/>
          <w:bCs/>
          <w:color w:val="auto"/>
          <w:szCs w:val="21"/>
          <w:highlight w:val="none"/>
          <w:lang w:val="en-US" w:eastAsia="zh-CN"/>
        </w:rPr>
        <w:t>、门户号、面积、用途、产权人姓名</w:t>
      </w:r>
      <w:r>
        <w:rPr>
          <w:rFonts w:hint="default" w:ascii="宋体" w:hAnsi="宋体" w:eastAsia="宋体" w:cs="Times New Roman"/>
          <w:bCs/>
          <w:color w:val="auto"/>
          <w:szCs w:val="21"/>
          <w:highlight w:val="none"/>
          <w:lang w:val="en-US" w:eastAsia="zh-CN"/>
        </w:rPr>
        <w:t>、身份证号、</w:t>
      </w:r>
      <w:r>
        <w:rPr>
          <w:rFonts w:hint="eastAsia" w:ascii="宋体" w:hAnsi="宋体" w:cs="Times New Roman"/>
          <w:bCs/>
          <w:color w:val="auto"/>
          <w:szCs w:val="21"/>
          <w:highlight w:val="none"/>
          <w:lang w:val="en-US" w:eastAsia="zh-CN"/>
        </w:rPr>
        <w:t>金额</w:t>
      </w:r>
      <w:r>
        <w:rPr>
          <w:rFonts w:hint="default" w:ascii="宋体" w:hAnsi="宋体" w:eastAsia="宋体" w:cs="Times New Roman"/>
          <w:bCs/>
          <w:color w:val="auto"/>
          <w:szCs w:val="21"/>
          <w:highlight w:val="none"/>
          <w:lang w:val="en-US" w:eastAsia="zh-CN"/>
        </w:rPr>
        <w:t>等)错误</w:t>
      </w:r>
      <w:r>
        <w:rPr>
          <w:rFonts w:hint="eastAsia" w:ascii="宋体" w:hAnsi="宋体" w:cs="Times New Roman"/>
          <w:bCs/>
          <w:color w:val="auto"/>
          <w:szCs w:val="21"/>
          <w:highlight w:val="none"/>
          <w:lang w:val="en-US" w:eastAsia="zh-CN"/>
        </w:rPr>
        <w:t>补录</w:t>
      </w:r>
      <w:r>
        <w:rPr>
          <w:rFonts w:hint="default" w:ascii="宋体" w:hAnsi="宋体" w:eastAsia="宋体" w:cs="Times New Roman"/>
          <w:bCs/>
          <w:color w:val="auto"/>
          <w:szCs w:val="21"/>
          <w:highlight w:val="none"/>
          <w:lang w:val="en-US" w:eastAsia="zh-CN"/>
        </w:rPr>
        <w:t>修正准确率达到 100%。</w:t>
      </w:r>
    </w:p>
    <w:p w14:paraId="1137B1E1">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w:t>
      </w:r>
      <w:r>
        <w:rPr>
          <w:rFonts w:hint="default" w:ascii="宋体" w:hAnsi="宋体" w:eastAsia="宋体" w:cs="Times New Roman"/>
          <w:bCs/>
          <w:color w:val="auto"/>
          <w:szCs w:val="21"/>
          <w:highlight w:val="none"/>
          <w:lang w:val="en-US" w:eastAsia="zh-CN"/>
        </w:rPr>
        <w:t>完整性标准:核心必填字段(不动产单元代码</w:t>
      </w:r>
      <w:r>
        <w:rPr>
          <w:rFonts w:hint="eastAsia" w:ascii="宋体" w:hAnsi="宋体" w:cs="Times New Roman"/>
          <w:bCs/>
          <w:color w:val="auto"/>
          <w:szCs w:val="21"/>
          <w:highlight w:val="none"/>
          <w:lang w:val="en-US" w:eastAsia="zh-CN"/>
        </w:rPr>
        <w:t>、门户号、面积、用途、产权人姓名</w:t>
      </w:r>
      <w:r>
        <w:rPr>
          <w:rFonts w:hint="default" w:ascii="宋体" w:hAnsi="宋体" w:eastAsia="宋体" w:cs="Times New Roman"/>
          <w:bCs/>
          <w:color w:val="auto"/>
          <w:szCs w:val="21"/>
          <w:highlight w:val="none"/>
          <w:lang w:val="en-US" w:eastAsia="zh-CN"/>
        </w:rPr>
        <w:t>、身份证号、</w:t>
      </w:r>
      <w:r>
        <w:rPr>
          <w:rFonts w:hint="eastAsia" w:ascii="宋体" w:hAnsi="宋体" w:cs="Times New Roman"/>
          <w:bCs/>
          <w:color w:val="auto"/>
          <w:szCs w:val="21"/>
          <w:highlight w:val="none"/>
          <w:lang w:val="en-US" w:eastAsia="zh-CN"/>
        </w:rPr>
        <w:t>金额</w:t>
      </w:r>
      <w:r>
        <w:rPr>
          <w:rFonts w:hint="default" w:ascii="宋体" w:hAnsi="宋体" w:eastAsia="宋体" w:cs="Times New Roman"/>
          <w:bCs/>
          <w:color w:val="auto"/>
          <w:szCs w:val="21"/>
          <w:highlight w:val="none"/>
          <w:lang w:val="en-US" w:eastAsia="zh-CN"/>
        </w:rPr>
        <w:t>等)缺失率为 0;非核心字段缺失率不超过 0.5%;数据记录无缺失关键业务环节信息,能够完整反映业务全貌。</w:t>
      </w:r>
    </w:p>
    <w:p w14:paraId="701B49D9">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w:t>
      </w:r>
      <w:r>
        <w:rPr>
          <w:rFonts w:hint="default" w:ascii="宋体" w:hAnsi="宋体" w:eastAsia="宋体" w:cs="Times New Roman"/>
          <w:bCs/>
          <w:color w:val="auto"/>
          <w:szCs w:val="21"/>
          <w:highlight w:val="none"/>
          <w:lang w:val="en-US" w:eastAsia="zh-CN"/>
        </w:rPr>
        <w:t>唯一性标准:通过数据查重工具全面核查,重复数据去重率达到 100%;同一数据主体(如同一用户、同一订单)在数据集内无重复记录;跨表关联数据无重复关联关系。</w:t>
      </w:r>
    </w:p>
    <w:p w14:paraId="3E6A1B12">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（4）</w:t>
      </w:r>
      <w:r>
        <w:rPr>
          <w:rFonts w:hint="default" w:ascii="宋体" w:hAnsi="宋体" w:eastAsia="宋体" w:cs="Times New Roman"/>
          <w:bCs/>
          <w:color w:val="auto"/>
          <w:szCs w:val="21"/>
          <w:highlight w:val="none"/>
          <w:lang w:val="en-US" w:eastAsia="zh-CN"/>
        </w:rPr>
        <w:t>一致性标准:完成维修资金管理平台与市不动产登记系统对接互通、数据共享及动态同步，可实现房屋新增、权属变更、信息调整等数据自动实时同步更新，保障平台房屋基础数据与不动产权威数据源长期同源一致、真实准确。数据格式统一(如日期格式统一为 YYYY-MM-DD、金额格式保留 2 位小数等);编码规则一致(如用户类型编码、业务类型编码符合企业统一编码规范);跨系统、跨数据表关联字段取值一致,无逻辑矛盾;数据单位统一,无单位混淆问题。</w:t>
      </w:r>
    </w:p>
    <w:p w14:paraId="236FACCB">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（5）</w:t>
      </w:r>
      <w:r>
        <w:rPr>
          <w:rFonts w:hint="default" w:ascii="宋体" w:hAnsi="宋体" w:eastAsia="宋体" w:cs="Times New Roman"/>
          <w:bCs/>
          <w:color w:val="auto"/>
          <w:szCs w:val="21"/>
          <w:highlight w:val="none"/>
          <w:lang w:val="en-US" w:eastAsia="zh-CN"/>
        </w:rPr>
        <w:t>有效性标准:数据取值符合业务规则约束(如交易金额大于 0、年龄在合理区间内等);无效数据(如无效编码、过期数据、格式错误无法修正的数据)已全部剔除,剔除率达到 100%;数据状态符合业务实际,无无效状态数据。</w:t>
      </w:r>
    </w:p>
    <w:p w14:paraId="36E1B806">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（6）</w:t>
      </w:r>
      <w:r>
        <w:rPr>
          <w:rFonts w:hint="default" w:ascii="宋体" w:hAnsi="宋体" w:eastAsia="宋体" w:cs="Times New Roman"/>
          <w:bCs/>
          <w:color w:val="auto"/>
          <w:szCs w:val="21"/>
          <w:highlight w:val="none"/>
          <w:lang w:val="en-US" w:eastAsia="zh-CN"/>
        </w:rPr>
        <w:t>安全性标准:敏感数据(如身份证号、银行卡号、手机号等)已按规定完成脱敏或加密处理,脱敏后数据无法还原原始敏感信息;敏感数据处理符合《数据安全法》《个人信息保护法》等相关法规要求;无敏感数据泄露、篡改记录。</w:t>
      </w:r>
    </w:p>
    <w:p w14:paraId="74DED9E1">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w:t>
      </w:r>
      <w:r>
        <w:rPr>
          <w:rFonts w:hint="default" w:ascii="宋体" w:hAnsi="宋体" w:eastAsia="宋体" w:cs="Times New Roman"/>
          <w:bCs/>
          <w:color w:val="auto"/>
          <w:szCs w:val="21"/>
          <w:highlight w:val="none"/>
          <w:lang w:val="en-US" w:eastAsia="zh-CN"/>
        </w:rPr>
        <w:t>流程合规性验收标准</w:t>
      </w:r>
    </w:p>
    <w:p w14:paraId="3EA6BAD8">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（7）</w:t>
      </w:r>
      <w:r>
        <w:rPr>
          <w:rFonts w:hint="default" w:ascii="宋体" w:hAnsi="宋体" w:eastAsia="宋体" w:cs="Times New Roman"/>
          <w:bCs/>
          <w:color w:val="auto"/>
          <w:szCs w:val="21"/>
          <w:highlight w:val="none"/>
          <w:lang w:val="en-US" w:eastAsia="zh-CN"/>
        </w:rPr>
        <w:t>流程完整性:数据清理全过程完整覆盖数据探查、规则定义、清理执行、结果校验、数据备份等预设环节,每个环节均有明确的执行记录,无流程缺失或跳步操作。</w:t>
      </w:r>
    </w:p>
    <w:p w14:paraId="242ABF0C">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（8）</w:t>
      </w:r>
      <w:r>
        <w:rPr>
          <w:rFonts w:hint="default" w:ascii="宋体" w:hAnsi="宋体" w:eastAsia="宋体" w:cs="Times New Roman"/>
          <w:bCs/>
          <w:color w:val="auto"/>
          <w:szCs w:val="21"/>
          <w:highlight w:val="none"/>
          <w:lang w:val="en-US" w:eastAsia="zh-CN"/>
        </w:rPr>
        <w:t>操作规范性:清理操作严格遵循数据清理规则手册中的标准,无违规修改、随意删除数据等操作;操作人员具备相应操作权限,操作过程经过必要的审批流程(如批量数据删除需多级审批)。</w:t>
      </w:r>
    </w:p>
    <w:p w14:paraId="091148B9">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（9）</w:t>
      </w:r>
      <w:r>
        <w:rPr>
          <w:rFonts w:hint="default" w:ascii="宋体" w:hAnsi="宋体" w:eastAsia="宋体" w:cs="Times New Roman"/>
          <w:bCs/>
          <w:color w:val="auto"/>
          <w:szCs w:val="21"/>
          <w:highlight w:val="none"/>
          <w:lang w:val="en-US" w:eastAsia="zh-CN"/>
        </w:rPr>
        <w:t>溯源完整性:数据溯源记录表完整记录每条关键数据的原始状态、清理操作内容、操作时间、操作人员、修改依据等信息,溯源信息清晰可查,能够精准追溯数据变更全流程。</w:t>
      </w:r>
    </w:p>
    <w:p w14:paraId="4C5BB498">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（10）</w:t>
      </w:r>
      <w:r>
        <w:rPr>
          <w:rFonts w:hint="default" w:ascii="宋体" w:hAnsi="宋体" w:eastAsia="宋体" w:cs="Times New Roman"/>
          <w:bCs/>
          <w:color w:val="auto"/>
          <w:szCs w:val="21"/>
          <w:highlight w:val="none"/>
          <w:lang w:val="en-US" w:eastAsia="zh-CN"/>
        </w:rPr>
        <w:t>备份与回滚有效性:原始数据备份完整,备份文件格式正确、可正常读取;回滚测试验证通过,能够在规定时间内(不超过</w:t>
      </w:r>
      <w:r>
        <w:rPr>
          <w:rFonts w:hint="eastAsia" w:ascii="宋体" w:hAnsi="宋体" w:eastAsia="宋体" w:cs="Times New Roman"/>
          <w:bCs/>
          <w:color w:val="auto"/>
          <w:szCs w:val="21"/>
          <w:highlight w:val="none"/>
          <w:lang w:val="en-US" w:eastAsia="zh-CN"/>
        </w:rPr>
        <w:t>24</w:t>
      </w:r>
      <w:r>
        <w:rPr>
          <w:rFonts w:hint="default" w:ascii="宋体" w:hAnsi="宋体" w:eastAsia="宋体" w:cs="Times New Roman"/>
          <w:bCs/>
          <w:color w:val="auto"/>
          <w:szCs w:val="21"/>
          <w:highlight w:val="none"/>
          <w:lang w:val="en-US" w:eastAsia="zh-CN"/>
        </w:rPr>
        <w:t>小时)将数据恢复至清理前状态,恢复后数据完整无丢失、无损坏。</w:t>
      </w:r>
    </w:p>
    <w:p w14:paraId="7B87CF71">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（11）</w:t>
      </w:r>
      <w:r>
        <w:rPr>
          <w:rFonts w:hint="default" w:ascii="宋体" w:hAnsi="宋体" w:eastAsia="宋体" w:cs="Times New Roman"/>
          <w:bCs/>
          <w:color w:val="auto"/>
          <w:szCs w:val="21"/>
          <w:highlight w:val="none"/>
          <w:lang w:val="en-US" w:eastAsia="zh-CN"/>
        </w:rPr>
        <w:t>安全合规性:数据清理过程中,数据传输采用 HTTPS 等加密协议,数据存储采用加密存储方式;无数据泄露、篡改、丢失等安全事件;清理过程符合企业数据管理规范及相关法律法规要求。</w:t>
      </w:r>
    </w:p>
    <w:p w14:paraId="5A4FA25D">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w:t>
      </w:r>
      <w:r>
        <w:rPr>
          <w:rFonts w:hint="default" w:ascii="宋体" w:hAnsi="宋体" w:eastAsia="宋体" w:cs="Times New Roman"/>
          <w:bCs/>
          <w:color w:val="auto"/>
          <w:szCs w:val="21"/>
          <w:highlight w:val="none"/>
          <w:lang w:val="en-US" w:eastAsia="zh-CN"/>
        </w:rPr>
        <w:t>成果可用性验收标准</w:t>
      </w:r>
    </w:p>
    <w:p w14:paraId="0898D257">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（12）</w:t>
      </w:r>
      <w:r>
        <w:rPr>
          <w:rFonts w:hint="default" w:ascii="宋体" w:hAnsi="宋体" w:eastAsia="宋体" w:cs="Times New Roman"/>
          <w:bCs/>
          <w:color w:val="auto"/>
          <w:szCs w:val="21"/>
          <w:highlight w:val="none"/>
          <w:lang w:val="en-US" w:eastAsia="zh-CN"/>
        </w:rPr>
        <w:t>系统导入兼容性:清理后数据能够顺利导入</w:t>
      </w:r>
      <w:r>
        <w:rPr>
          <w:rFonts w:hint="eastAsia" w:ascii="宋体" w:hAnsi="宋体" w:cs="Times New Roman"/>
          <w:bCs/>
          <w:color w:val="auto"/>
          <w:szCs w:val="21"/>
          <w:highlight w:val="none"/>
          <w:lang w:val="en-US" w:eastAsia="zh-CN"/>
        </w:rPr>
        <w:t>物业专项维修资金管理平台</w:t>
      </w:r>
      <w:r>
        <w:rPr>
          <w:rFonts w:hint="default" w:ascii="宋体" w:hAnsi="宋体" w:eastAsia="宋体" w:cs="Times New Roman"/>
          <w:bCs/>
          <w:color w:val="auto"/>
          <w:szCs w:val="21"/>
          <w:highlight w:val="none"/>
          <w:lang w:val="en-US" w:eastAsia="zh-CN"/>
        </w:rPr>
        <w:t>,导入过程无报错、无数据丢失;导入后数据与</w:t>
      </w:r>
      <w:r>
        <w:rPr>
          <w:rFonts w:hint="eastAsia" w:ascii="宋体" w:hAnsi="宋体" w:cs="Times New Roman"/>
          <w:bCs/>
          <w:color w:val="auto"/>
          <w:szCs w:val="21"/>
          <w:highlight w:val="none"/>
          <w:lang w:val="en-US" w:eastAsia="zh-CN"/>
        </w:rPr>
        <w:t>平台</w:t>
      </w:r>
      <w:r>
        <w:rPr>
          <w:rFonts w:hint="default" w:ascii="宋体" w:hAnsi="宋体" w:eastAsia="宋体" w:cs="Times New Roman"/>
          <w:bCs/>
          <w:color w:val="auto"/>
          <w:szCs w:val="21"/>
          <w:highlight w:val="none"/>
          <w:lang w:val="en-US" w:eastAsia="zh-CN"/>
        </w:rPr>
        <w:t>数据模型完全适配,字段映射准确,无格式不兼容问题。</w:t>
      </w:r>
    </w:p>
    <w:p w14:paraId="64E19F36">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（13）</w:t>
      </w:r>
      <w:r>
        <w:rPr>
          <w:rFonts w:hint="default" w:ascii="宋体" w:hAnsi="宋体" w:eastAsia="宋体" w:cs="Times New Roman"/>
          <w:bCs/>
          <w:color w:val="auto"/>
          <w:szCs w:val="21"/>
          <w:highlight w:val="none"/>
          <w:lang w:val="en-US" w:eastAsia="zh-CN"/>
        </w:rPr>
        <w:t>业务场景适配性:选取核心业务场景(如数据</w:t>
      </w:r>
      <w:r>
        <w:rPr>
          <w:rFonts w:hint="eastAsia" w:ascii="宋体" w:hAnsi="宋体" w:cs="Times New Roman"/>
          <w:bCs/>
          <w:color w:val="auto"/>
          <w:szCs w:val="21"/>
          <w:highlight w:val="none"/>
          <w:lang w:val="en-US" w:eastAsia="zh-CN"/>
        </w:rPr>
        <w:t>查询分析</w:t>
      </w:r>
      <w:r>
        <w:rPr>
          <w:rFonts w:hint="default" w:ascii="宋体" w:hAnsi="宋体" w:eastAsia="宋体" w:cs="Times New Roman"/>
          <w:bCs/>
          <w:color w:val="auto"/>
          <w:szCs w:val="21"/>
          <w:highlight w:val="none"/>
          <w:lang w:val="en-US" w:eastAsia="zh-CN"/>
        </w:rPr>
        <w:t>、业务</w:t>
      </w:r>
      <w:r>
        <w:rPr>
          <w:rFonts w:hint="eastAsia" w:ascii="宋体" w:hAnsi="宋体" w:cs="Times New Roman"/>
          <w:bCs/>
          <w:color w:val="auto"/>
          <w:szCs w:val="21"/>
          <w:highlight w:val="none"/>
          <w:lang w:val="en-US" w:eastAsia="zh-CN"/>
        </w:rPr>
        <w:t>受理</w:t>
      </w:r>
      <w:r>
        <w:rPr>
          <w:rFonts w:hint="default" w:ascii="宋体" w:hAnsi="宋体" w:eastAsia="宋体" w:cs="Times New Roman"/>
          <w:bCs/>
          <w:color w:val="auto"/>
          <w:szCs w:val="21"/>
          <w:highlight w:val="none"/>
          <w:lang w:val="en-US" w:eastAsia="zh-CN"/>
        </w:rPr>
        <w:t>审批、报表生成等)进行验证,清理后数据能够支撑业务场景正常运行,业务流程流转顺畅,无因数据问题导致的业务中断或异常。</w:t>
      </w:r>
    </w:p>
    <w:p w14:paraId="6144E1AD">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（14）</w:t>
      </w:r>
      <w:r>
        <w:rPr>
          <w:rFonts w:hint="default" w:ascii="宋体" w:hAnsi="宋体" w:eastAsia="宋体" w:cs="Times New Roman"/>
          <w:bCs/>
          <w:color w:val="auto"/>
          <w:szCs w:val="21"/>
          <w:highlight w:val="none"/>
          <w:lang w:val="en-US" w:eastAsia="zh-CN"/>
        </w:rPr>
        <w:t>查询与分析有效性:清理后数据查询响应时间不超过 2 秒;基于清理后数据的数据分析结果准确,与业务预期一致;报表生成完整、准确,无数据缺失或错误。</w:t>
      </w:r>
    </w:p>
    <w:p w14:paraId="6F8709B7">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（15）</w:t>
      </w:r>
      <w:r>
        <w:rPr>
          <w:rFonts w:hint="default" w:ascii="宋体" w:hAnsi="宋体" w:eastAsia="宋体" w:cs="Times New Roman"/>
          <w:bCs/>
          <w:color w:val="auto"/>
          <w:szCs w:val="21"/>
          <w:highlight w:val="none"/>
          <w:lang w:val="en-US" w:eastAsia="zh-CN"/>
        </w:rPr>
        <w:t>性能适配性:清理后数据量符合</w:t>
      </w:r>
      <w:r>
        <w:rPr>
          <w:rFonts w:hint="eastAsia" w:ascii="宋体" w:hAnsi="宋体" w:cs="Times New Roman"/>
          <w:bCs/>
          <w:color w:val="auto"/>
          <w:szCs w:val="21"/>
          <w:highlight w:val="none"/>
          <w:lang w:val="en-US" w:eastAsia="zh-CN"/>
        </w:rPr>
        <w:t>物业专项维修资金管理平台</w:t>
      </w:r>
      <w:r>
        <w:rPr>
          <w:rFonts w:hint="default" w:ascii="宋体" w:hAnsi="宋体" w:eastAsia="宋体" w:cs="Times New Roman"/>
          <w:bCs/>
          <w:color w:val="auto"/>
          <w:szCs w:val="21"/>
          <w:highlight w:val="none"/>
          <w:lang w:val="en-US" w:eastAsia="zh-CN"/>
        </w:rPr>
        <w:t>性能要求,在数据查询、统计分析等操作时,</w:t>
      </w:r>
      <w:r>
        <w:rPr>
          <w:rFonts w:hint="eastAsia" w:ascii="宋体" w:hAnsi="宋体" w:cs="Times New Roman"/>
          <w:bCs/>
          <w:color w:val="auto"/>
          <w:szCs w:val="21"/>
          <w:highlight w:val="none"/>
          <w:lang w:val="en-US" w:eastAsia="zh-CN"/>
        </w:rPr>
        <w:t>平台</w:t>
      </w:r>
      <w:r>
        <w:rPr>
          <w:rFonts w:hint="default" w:ascii="宋体" w:hAnsi="宋体" w:eastAsia="宋体" w:cs="Times New Roman"/>
          <w:bCs/>
          <w:color w:val="auto"/>
          <w:szCs w:val="21"/>
          <w:highlight w:val="none"/>
          <w:lang w:val="en-US" w:eastAsia="zh-CN"/>
        </w:rPr>
        <w:t>性能无明显下降,能够满足日常业务并发访问需求。</w:t>
      </w:r>
    </w:p>
    <w:p w14:paraId="708E4176">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4.</w:t>
      </w:r>
      <w:r>
        <w:rPr>
          <w:rFonts w:hint="default" w:ascii="宋体" w:hAnsi="宋体" w:eastAsia="宋体" w:cs="Times New Roman"/>
          <w:bCs/>
          <w:color w:val="auto"/>
          <w:szCs w:val="21"/>
          <w:highlight w:val="none"/>
          <w:lang w:val="en-US" w:eastAsia="zh-CN"/>
        </w:rPr>
        <w:t>文档资料验收标准</w:t>
      </w:r>
    </w:p>
    <w:p w14:paraId="6C16EFE8">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（16）</w:t>
      </w:r>
      <w:r>
        <w:rPr>
          <w:rFonts w:hint="default" w:ascii="宋体" w:hAnsi="宋体" w:eastAsia="宋体" w:cs="Times New Roman"/>
          <w:bCs/>
          <w:color w:val="auto"/>
          <w:szCs w:val="21"/>
          <w:highlight w:val="none"/>
          <w:lang w:val="en-US" w:eastAsia="zh-CN"/>
        </w:rPr>
        <w:t>文档完整性:实施方提供的所有数据清理相关文档种类齐全,无缺失;每个文档内容完整,涵盖核心信息(如数据清理方案需明确清理范围、目标、流程等,数据探查报告需包含原始数据质量评估、问题统计等),无关键信息遗漏。</w:t>
      </w:r>
    </w:p>
    <w:p w14:paraId="444BA40A">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（17）</w:t>
      </w:r>
      <w:r>
        <w:rPr>
          <w:rFonts w:hint="default" w:ascii="宋体" w:hAnsi="宋体" w:eastAsia="宋体" w:cs="Times New Roman"/>
          <w:bCs/>
          <w:color w:val="auto"/>
          <w:szCs w:val="21"/>
          <w:highlight w:val="none"/>
          <w:lang w:val="en-US" w:eastAsia="zh-CN"/>
        </w:rPr>
        <w:t>文档准确性:文档内容与数据清理实际执行情况一致,无矛盾、错误信息;数据统计数据(如清理数据量、问题数据占比、清理效果指标等)准确无误,与验收实测结果相符;文档中涉及的规则、标准、流程等内容清晰明确,无歧义。</w:t>
      </w:r>
    </w:p>
    <w:p w14:paraId="7A521DB2">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（18）</w:t>
      </w:r>
      <w:r>
        <w:rPr>
          <w:rFonts w:hint="default" w:ascii="宋体" w:hAnsi="宋体" w:eastAsia="宋体" w:cs="Times New Roman"/>
          <w:bCs/>
          <w:color w:val="auto"/>
          <w:szCs w:val="21"/>
          <w:highlight w:val="none"/>
          <w:lang w:val="en-US" w:eastAsia="zh-CN"/>
        </w:rPr>
        <w:t>文档规范性:文档格式统一、规范,符合行业相关标准或双方约定的文档模板要求;文档字体、字号、行距、页码、目录格式统一,章节划分清晰,图表编号规范,语言表达简洁、准确、专业,无错别字、语病。</w:t>
      </w:r>
    </w:p>
    <w:p w14:paraId="5503A260">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（19）</w:t>
      </w:r>
      <w:r>
        <w:rPr>
          <w:rFonts w:hint="default" w:ascii="宋体" w:hAnsi="宋体" w:eastAsia="宋体" w:cs="Times New Roman"/>
          <w:bCs/>
          <w:color w:val="auto"/>
          <w:szCs w:val="21"/>
          <w:highlight w:val="none"/>
          <w:lang w:val="en-US" w:eastAsia="zh-CN"/>
        </w:rPr>
        <w:t>文档可用性:文档具备实际指导意义,如数据清理操作手册能够指导后续数据维护工作,数据质量验收报告能够清晰反映清理后数据质量状况;文档易于理解和查阅,便于后续业务人员、技术人员使用。</w:t>
      </w:r>
    </w:p>
    <w:p w14:paraId="20B28211">
      <w:pPr>
        <w:numPr>
          <w:ilvl w:val="0"/>
          <w:numId w:val="0"/>
        </w:numPr>
        <w:spacing w:line="440" w:lineRule="exact"/>
        <w:ind w:firstLine="422" w:firstLineChars="200"/>
        <w:rPr>
          <w:rFonts w:hint="eastAsia" w:ascii="宋体" w:hAnsi="宋体" w:eastAsia="宋体" w:cs="Times New Roman"/>
          <w:b/>
          <w:bCs w:val="0"/>
          <w:color w:val="auto"/>
          <w:szCs w:val="21"/>
          <w:highlight w:val="none"/>
          <w:lang w:val="en-US" w:eastAsia="zh-CN"/>
        </w:rPr>
      </w:pPr>
      <w:r>
        <w:rPr>
          <w:rFonts w:hint="eastAsia" w:ascii="宋体" w:hAnsi="宋体" w:cs="Times New Roman"/>
          <w:b/>
          <w:bCs w:val="0"/>
          <w:color w:val="auto"/>
          <w:szCs w:val="21"/>
          <w:highlight w:val="none"/>
          <w:lang w:val="en-US" w:eastAsia="zh-CN"/>
        </w:rPr>
        <w:t>（三）</w:t>
      </w:r>
      <w:r>
        <w:rPr>
          <w:rFonts w:hint="eastAsia" w:ascii="宋体" w:hAnsi="宋体" w:eastAsia="宋体" w:cs="Times New Roman"/>
          <w:b/>
          <w:bCs w:val="0"/>
          <w:color w:val="auto"/>
          <w:szCs w:val="21"/>
          <w:highlight w:val="none"/>
          <w:lang w:val="en-US" w:eastAsia="zh-CN"/>
        </w:rPr>
        <w:t>第三方服务验收</w:t>
      </w:r>
    </w:p>
    <w:p w14:paraId="4368B9A4">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1.通过信息化创新适配改造后的物业专项维修资金管理平台</w:t>
      </w:r>
      <w:r>
        <w:rPr>
          <w:rFonts w:hint="default" w:ascii="宋体" w:hAnsi="宋体" w:eastAsia="宋体" w:cs="Times New Roman"/>
          <w:bCs/>
          <w:color w:val="auto"/>
          <w:szCs w:val="21"/>
          <w:highlight w:val="none"/>
          <w:lang w:val="en-US" w:eastAsia="zh-CN"/>
        </w:rPr>
        <w:t>须符合国家、省、市政务服务项目建设规范及信息化创新相关要求，完成应用系统全栈信创迁移适配改造，实现信创数据库、信创中间件、依赖中间件、服务接口与数据交换、终端浏览器及外设的全面适配改造，确保改造过程不影响系统业务正常运行，使用效果不降低</w:t>
      </w:r>
      <w:r>
        <w:rPr>
          <w:rFonts w:hint="eastAsia" w:ascii="宋体" w:hAnsi="宋体" w:eastAsia="宋体" w:cs="Times New Roman"/>
          <w:bCs/>
          <w:color w:val="auto"/>
          <w:szCs w:val="21"/>
          <w:highlight w:val="none"/>
          <w:lang w:val="en-US" w:eastAsia="zh-CN"/>
        </w:rPr>
        <w:t>。</w:t>
      </w:r>
    </w:p>
    <w:p w14:paraId="2A31A41D">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2.</w:t>
      </w:r>
      <w:r>
        <w:rPr>
          <w:rFonts w:hint="default" w:ascii="宋体" w:hAnsi="宋体" w:eastAsia="宋体" w:cs="Times New Roman"/>
          <w:bCs/>
          <w:color w:val="auto"/>
          <w:szCs w:val="21"/>
          <w:highlight w:val="none"/>
          <w:lang w:val="en-US" w:eastAsia="zh-CN"/>
        </w:rPr>
        <w:t>完成国产数据库适配及结构化与非结构化数据全量迁移，数据迁移方案、实施计划、应急预案齐全有效，迁移前完成全量备份，完成迁移实验、迁移实施及迁移后测试，确保迁移后数据完整、准确、一致、及时</w:t>
      </w:r>
      <w:r>
        <w:rPr>
          <w:rFonts w:hint="eastAsia" w:ascii="宋体" w:hAnsi="宋体" w:eastAsia="宋体" w:cs="Times New Roman"/>
          <w:bCs/>
          <w:color w:val="auto"/>
          <w:szCs w:val="21"/>
          <w:highlight w:val="none"/>
          <w:lang w:val="en-US" w:eastAsia="zh-CN"/>
        </w:rPr>
        <w:t>。</w:t>
      </w:r>
    </w:p>
    <w:p w14:paraId="399A20EE">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3.</w:t>
      </w:r>
      <w:r>
        <w:rPr>
          <w:rFonts w:hint="default" w:ascii="宋体" w:hAnsi="宋体" w:eastAsia="宋体" w:cs="Times New Roman"/>
          <w:bCs/>
          <w:color w:val="auto"/>
          <w:szCs w:val="21"/>
          <w:highlight w:val="none"/>
          <w:lang w:val="en-US" w:eastAsia="zh-CN"/>
        </w:rPr>
        <w:t>完成国产终端适配，系统支持在国产办公电脑、国产浏览器下正常访问与业务办理，页面及插件、组件均实现国产化适配，无兼容问题；系统功能、性能及运行稳定性满足业务使用要求，提交全套验收文档并通过试运行，所有问题闭环整改，整体达到上线运行标准。</w:t>
      </w:r>
    </w:p>
    <w:p w14:paraId="50A72979">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4.</w:t>
      </w:r>
      <w:r>
        <w:rPr>
          <w:rFonts w:hint="default" w:ascii="宋体" w:hAnsi="宋体" w:eastAsia="宋体" w:cs="Times New Roman"/>
          <w:bCs/>
          <w:color w:val="auto"/>
          <w:szCs w:val="21"/>
          <w:highlight w:val="none"/>
          <w:lang w:val="en-US" w:eastAsia="zh-CN"/>
        </w:rPr>
        <w:t>短信发送服务验收须依据平台</w:t>
      </w:r>
      <w:r>
        <w:rPr>
          <w:rFonts w:hint="eastAsia" w:ascii="宋体" w:hAnsi="宋体" w:eastAsia="宋体" w:cs="Times New Roman"/>
          <w:bCs/>
          <w:color w:val="auto"/>
          <w:szCs w:val="21"/>
          <w:highlight w:val="none"/>
          <w:lang w:val="en-US" w:eastAsia="zh-CN"/>
        </w:rPr>
        <w:t>3</w:t>
      </w:r>
      <w:r>
        <w:rPr>
          <w:rFonts w:hint="default" w:ascii="宋体" w:hAnsi="宋体" w:eastAsia="宋体" w:cs="Times New Roman"/>
          <w:bCs/>
          <w:color w:val="auto"/>
          <w:szCs w:val="21"/>
          <w:highlight w:val="none"/>
          <w:lang w:val="en-US" w:eastAsia="zh-CN"/>
        </w:rPr>
        <w:t>年免费运维期内维修资金账户余额低于30%预警业主数量、各类业务消息通知短信总发送量测算结果制定完整短信额度配置计划，按计划足额采购短信服务，保障账户余额低于 30% 预警短信、各类业务消息通知短信均能足量、准时送达，短信发送无大量延迟、漏发、发送失败情况，发送记录完整可查询、统计，短信发送功能全程稳定可用，满足项目</w:t>
      </w:r>
      <w:r>
        <w:rPr>
          <w:rFonts w:hint="eastAsia" w:ascii="宋体" w:hAnsi="宋体" w:eastAsia="宋体" w:cs="Times New Roman"/>
          <w:bCs/>
          <w:color w:val="auto"/>
          <w:szCs w:val="21"/>
          <w:highlight w:val="none"/>
          <w:lang w:val="en-US" w:eastAsia="zh-CN"/>
        </w:rPr>
        <w:t>3</w:t>
      </w:r>
      <w:r>
        <w:rPr>
          <w:rFonts w:hint="default" w:ascii="宋体" w:hAnsi="宋体" w:eastAsia="宋体" w:cs="Times New Roman"/>
          <w:bCs/>
          <w:color w:val="auto"/>
          <w:szCs w:val="21"/>
          <w:highlight w:val="none"/>
          <w:lang w:val="en-US" w:eastAsia="zh-CN"/>
        </w:rPr>
        <w:t>年运维周期内全部短信推送需求。</w:t>
      </w:r>
    </w:p>
    <w:p w14:paraId="28D6922B">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5.</w:t>
      </w:r>
      <w:r>
        <w:rPr>
          <w:rFonts w:hint="default" w:ascii="宋体" w:hAnsi="宋体" w:eastAsia="宋体" w:cs="Times New Roman"/>
          <w:bCs/>
          <w:color w:val="auto"/>
          <w:szCs w:val="21"/>
          <w:highlight w:val="none"/>
          <w:lang w:val="en-US" w:eastAsia="zh-CN"/>
        </w:rPr>
        <w:t>投标人须完整提交信息化创新建设及短信服务相关全套验收资料</w:t>
      </w:r>
      <w:r>
        <w:rPr>
          <w:rFonts w:hint="eastAsia" w:ascii="宋体" w:hAnsi="宋体" w:eastAsia="宋体" w:cs="Times New Roman"/>
          <w:bCs/>
          <w:color w:val="auto"/>
          <w:szCs w:val="21"/>
          <w:highlight w:val="none"/>
          <w:lang w:val="en-US" w:eastAsia="zh-CN"/>
        </w:rPr>
        <w:t>，</w:t>
      </w:r>
      <w:r>
        <w:rPr>
          <w:rFonts w:hint="default" w:ascii="宋体" w:hAnsi="宋体" w:eastAsia="宋体" w:cs="Times New Roman"/>
          <w:bCs/>
          <w:color w:val="auto"/>
          <w:szCs w:val="21"/>
          <w:highlight w:val="none"/>
          <w:lang w:val="en-US" w:eastAsia="zh-CN"/>
        </w:rPr>
        <w:t>信息化创新改造方面，需报送符合国家、省、市政务服务建设规范的平台建设方案、全流程信创迁移适配实施方案、国产数据库数据迁移方案（含迁移计划、应急预案、迁移前后备份与多轮测试报告）、国产终端适配测试报告、国产化组件插件清单及业务不间断运行验证材料，充分佐证信创改造、数据迁移、国产终端适配后系统运行稳定、数据完整准确一致；短信服务方面，需提供 3 年运维周期内账户余额低于 30% 预警及业务消息短信总量评估报告、短信额度配置计划、短信服务采购相关协议、短信发送保障方案、发送日志与送达校验记录，确保预警及业务通知短信按时保量推送，所有文档内容完整、数据可追溯，方可通过验收。</w:t>
      </w:r>
    </w:p>
    <w:p w14:paraId="58B218E9">
      <w:pPr>
        <w:numPr>
          <w:ilvl w:val="0"/>
          <w:numId w:val="0"/>
        </w:numPr>
        <w:spacing w:line="440" w:lineRule="exact"/>
        <w:ind w:firstLine="422" w:firstLineChars="200"/>
        <w:rPr>
          <w:rFonts w:hint="eastAsia" w:ascii="宋体" w:hAnsi="宋体" w:eastAsia="宋体" w:cs="Times New Roman"/>
          <w:b/>
          <w:bCs w:val="0"/>
          <w:color w:val="auto"/>
          <w:szCs w:val="21"/>
          <w:highlight w:val="none"/>
          <w:lang w:val="en-US" w:eastAsia="zh-CN"/>
        </w:rPr>
      </w:pPr>
      <w:r>
        <w:rPr>
          <w:rFonts w:hint="eastAsia" w:ascii="宋体" w:hAnsi="宋体" w:cs="Times New Roman"/>
          <w:b/>
          <w:bCs w:val="0"/>
          <w:color w:val="auto"/>
          <w:szCs w:val="21"/>
          <w:highlight w:val="none"/>
          <w:lang w:val="en-US" w:eastAsia="zh-CN"/>
        </w:rPr>
        <w:t>（四）</w:t>
      </w:r>
      <w:r>
        <w:rPr>
          <w:rFonts w:hint="eastAsia" w:ascii="宋体" w:hAnsi="宋体" w:eastAsia="宋体" w:cs="Times New Roman"/>
          <w:b/>
          <w:bCs w:val="0"/>
          <w:color w:val="auto"/>
          <w:szCs w:val="21"/>
          <w:highlight w:val="none"/>
          <w:lang w:val="en-US" w:eastAsia="zh-CN"/>
        </w:rPr>
        <w:t>其他</w:t>
      </w:r>
      <w:r>
        <w:rPr>
          <w:rFonts w:hint="eastAsia" w:ascii="宋体" w:hAnsi="宋体" w:cs="Times New Roman"/>
          <w:b/>
          <w:bCs w:val="0"/>
          <w:color w:val="auto"/>
          <w:szCs w:val="21"/>
          <w:highlight w:val="none"/>
          <w:lang w:val="en-US" w:eastAsia="zh-CN"/>
        </w:rPr>
        <w:t>验收标准</w:t>
      </w:r>
    </w:p>
    <w:p w14:paraId="333B8CA4">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 xml:space="preserve"> </w:t>
      </w:r>
      <w:r>
        <w:rPr>
          <w:rFonts w:hint="eastAsia" w:ascii="宋体" w:hAnsi="宋体" w:cs="Times New Roman"/>
          <w:bCs/>
          <w:color w:val="auto"/>
          <w:szCs w:val="21"/>
          <w:highlight w:val="none"/>
          <w:lang w:val="en" w:eastAsia="zh-CN"/>
        </w:rPr>
        <w:t>要求</w:t>
      </w:r>
      <w:r>
        <w:rPr>
          <w:rFonts w:hint="eastAsia" w:ascii="宋体" w:hAnsi="宋体" w:eastAsia="宋体" w:cs="Times New Roman"/>
          <w:bCs/>
          <w:color w:val="auto"/>
          <w:szCs w:val="21"/>
          <w:highlight w:val="none"/>
          <w:lang w:val="en" w:eastAsia="zh-CN"/>
        </w:rPr>
        <w:t>确保升级后的</w:t>
      </w:r>
      <w:r>
        <w:rPr>
          <w:rFonts w:hint="eastAsia" w:ascii="宋体" w:hAnsi="宋体" w:eastAsia="宋体" w:cs="Times New Roman"/>
          <w:bCs/>
          <w:color w:val="auto"/>
          <w:szCs w:val="21"/>
          <w:highlight w:val="none"/>
          <w:lang w:val="en-US" w:eastAsia="zh-CN"/>
        </w:rPr>
        <w:t>物业专项维修资金管理平台</w:t>
      </w:r>
      <w:r>
        <w:rPr>
          <w:rFonts w:hint="eastAsia" w:ascii="宋体" w:hAnsi="宋体" w:cs="Times New Roman"/>
          <w:bCs/>
          <w:color w:val="auto"/>
          <w:szCs w:val="21"/>
          <w:highlight w:val="none"/>
          <w:lang w:val="en-US" w:eastAsia="zh-CN"/>
        </w:rPr>
        <w:t>能</w:t>
      </w:r>
      <w:r>
        <w:rPr>
          <w:rFonts w:hint="eastAsia" w:ascii="宋体" w:hAnsi="宋体" w:eastAsia="宋体" w:cs="Times New Roman"/>
          <w:bCs/>
          <w:color w:val="auto"/>
          <w:szCs w:val="21"/>
          <w:highlight w:val="none"/>
          <w:lang w:val="en" w:eastAsia="zh-CN"/>
        </w:rPr>
        <w:t>通过密码应用安全性评估及等保三级正式测评</w:t>
      </w:r>
      <w:r>
        <w:rPr>
          <w:rFonts w:hint="eastAsia" w:ascii="宋体" w:hAnsi="宋体" w:cs="Times New Roman"/>
          <w:bCs/>
          <w:color w:val="auto"/>
          <w:szCs w:val="21"/>
          <w:highlight w:val="none"/>
          <w:lang w:val="en" w:eastAsia="zh-CN"/>
        </w:rPr>
        <w:t>。</w:t>
      </w:r>
    </w:p>
    <w:p w14:paraId="3BB392C5">
      <w:pPr>
        <w:spacing w:line="430" w:lineRule="exact"/>
        <w:rPr>
          <w:rFonts w:hint="eastAsia" w:ascii="宋体" w:hAnsi="宋体" w:eastAsia="宋体" w:cs="Times New Roman"/>
          <w:b/>
          <w:bCs/>
          <w:color w:val="auto"/>
          <w:sz w:val="24"/>
          <w:highlight w:val="none"/>
          <w:lang w:eastAsia="zh-CN"/>
        </w:rPr>
      </w:pPr>
      <w:r>
        <w:rPr>
          <w:rFonts w:hint="eastAsia" w:ascii="宋体" w:hAnsi="宋体" w:eastAsia="宋体" w:cs="Times New Roman"/>
          <w:b/>
          <w:bCs/>
          <w:color w:val="auto"/>
          <w:sz w:val="24"/>
          <w:highlight w:val="none"/>
          <w:lang w:eastAsia="zh-CN"/>
        </w:rPr>
        <w:t>六、保密要求</w:t>
      </w:r>
    </w:p>
    <w:p w14:paraId="28453E0D">
      <w:pPr>
        <w:adjustRightInd w:val="0"/>
        <w:snapToGrid w:val="0"/>
        <w:spacing w:line="43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中标供应商应如约承担合同履行时所应该尽的一切保密义务。中标供应商对项目实施过程中的资料、数据进行保密，未经采购人书面同意不得泄露，且保密责任不因合同的中止或解除而失效。</w:t>
      </w:r>
    </w:p>
    <w:p w14:paraId="63FFCCC5">
      <w:pPr>
        <w:widowControl w:val="0"/>
        <w:spacing w:line="360" w:lineRule="auto"/>
        <w:ind w:left="718" w:leftChars="1" w:hanging="716" w:hangingChars="297"/>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七、其他要求与说明</w:t>
      </w:r>
    </w:p>
    <w:p w14:paraId="4ED0A889">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1．服务时间及地点</w:t>
      </w:r>
    </w:p>
    <w:p w14:paraId="6853FDF3">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1.1服务时间：本项目实施周期2年。</w:t>
      </w:r>
    </w:p>
    <w:p w14:paraId="7B9E9DCD">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1.2服务地点：采购人指定地点。</w:t>
      </w:r>
    </w:p>
    <w:p w14:paraId="6A89886C">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2．结算方法</w:t>
      </w:r>
    </w:p>
    <w:p w14:paraId="5CD9D514">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2.1付款人：郴州市住房保障服务中心</w:t>
      </w:r>
    </w:p>
    <w:p w14:paraId="024E2069">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2.2付款方式：合同签订后中标人按照投标文件中承诺的施工进度进行系统功能升级和数据清理两块功能建设，中标人完成项目总工作量的30%后，采购人向中标人据实支付不高于合同中标总价 30%；完成项目总工作量的50%后，采购人向中标人据实支付至不高于合同中标总价 50%；项目整体完工验收合格后支付至合同标的金额的90%，项目平稳运行6个月后支付至合同金额的95%（无息），项目平稳运行1年后支付剩余5%合同金额（无息）。（具体合同中约定）</w:t>
      </w:r>
    </w:p>
    <w:p w14:paraId="114F9498">
      <w:pPr>
        <w:keepNext w:val="0"/>
        <w:keepLines w:val="0"/>
        <w:pageBreakBefore w:val="0"/>
        <w:widowControl/>
        <w:suppressLineNumbers w:val="0"/>
        <w:kinsoku/>
        <w:wordWrap/>
        <w:overflowPunct/>
        <w:topLinePunct w:val="0"/>
        <w:autoSpaceDE/>
        <w:autoSpaceDN/>
        <w:bidi w:val="0"/>
        <w:adjustRightInd/>
        <w:snapToGrid/>
        <w:spacing w:line="480" w:lineRule="exact"/>
        <w:ind w:firstLine="630" w:firstLineChars="300"/>
        <w:jc w:val="both"/>
        <w:textAlignment w:val="auto"/>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上述每阶段付款条件成就时，如因财政部门未及时拨款导致采购人未能按时向中标人付款的，不视为采购人违约，即采购人无须因此向中标人承担逾期付款违约责任。</w:t>
      </w:r>
    </w:p>
    <w:p w14:paraId="470306E2">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3.投标人须结合本项目全部建设内容据实报价，投标报价包含配套设备配置、运输、保险、仓储</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保管、软件开发、系统</w:t>
      </w:r>
      <w:r>
        <w:rPr>
          <w:rFonts w:hint="eastAsia" w:ascii="宋体" w:hAnsi="宋体" w:cs="Times New Roman"/>
          <w:bCs/>
          <w:color w:val="auto"/>
          <w:szCs w:val="21"/>
          <w:highlight w:val="none"/>
          <w:lang w:val="en-US" w:eastAsia="zh-CN"/>
        </w:rPr>
        <w:t>升级</w:t>
      </w:r>
      <w:r>
        <w:rPr>
          <w:rFonts w:hint="eastAsia" w:ascii="宋体" w:hAnsi="宋体" w:eastAsia="宋体" w:cs="Times New Roman"/>
          <w:bCs/>
          <w:color w:val="auto"/>
          <w:szCs w:val="21"/>
          <w:highlight w:val="none"/>
          <w:lang w:val="en-US" w:eastAsia="zh-CN"/>
        </w:rPr>
        <w:t>、</w:t>
      </w:r>
      <w:r>
        <w:rPr>
          <w:rFonts w:hint="eastAsia" w:ascii="宋体" w:hAnsi="宋体" w:cs="Times New Roman"/>
          <w:bCs/>
          <w:color w:val="auto"/>
          <w:szCs w:val="21"/>
          <w:highlight w:val="none"/>
          <w:lang w:val="en-US" w:eastAsia="zh-CN"/>
        </w:rPr>
        <w:t>数据清理、</w:t>
      </w:r>
      <w:r>
        <w:rPr>
          <w:rFonts w:hint="eastAsia" w:ascii="宋体" w:hAnsi="宋体" w:eastAsia="宋体" w:cs="Times New Roman"/>
          <w:bCs/>
          <w:color w:val="auto"/>
          <w:szCs w:val="21"/>
          <w:highlight w:val="none"/>
          <w:lang w:val="en-US" w:eastAsia="zh-CN"/>
        </w:rPr>
        <w:t>部署实施、对接适配、安装调试、测试整改、试运行、验收交付、培训服务、质保运维、技术对接、材料耗材、人工成本、管理费、税费、财务费用及完成本项目全部工作所需的一切费用。中标后，凡属于本项目建设范围的内容，若存在报价漏项、内容缺项，均由中标人无偿补足完成，采购人不再另行支付任何额外费用。</w:t>
      </w:r>
    </w:p>
    <w:p w14:paraId="351BC3C7">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4.本项目中定制开发的软件产品，成果及知识产权归采购人所有，未经采购人</w:t>
      </w:r>
      <w:r>
        <w:rPr>
          <w:rFonts w:hint="eastAsia" w:ascii="宋体" w:hAnsi="宋体" w:cs="Times New Roman"/>
          <w:bCs/>
          <w:color w:val="auto"/>
          <w:szCs w:val="21"/>
          <w:highlight w:val="none"/>
          <w:lang w:val="en-US" w:eastAsia="zh-CN"/>
        </w:rPr>
        <w:t>书面</w:t>
      </w:r>
      <w:r>
        <w:rPr>
          <w:rFonts w:hint="eastAsia" w:ascii="宋体" w:hAnsi="宋体" w:eastAsia="宋体" w:cs="Times New Roman"/>
          <w:bCs/>
          <w:color w:val="auto"/>
          <w:szCs w:val="21"/>
          <w:highlight w:val="none"/>
          <w:lang w:val="en-US" w:eastAsia="zh-CN"/>
        </w:rPr>
        <w:t>许可，中标人不得转让；</w:t>
      </w:r>
      <w:r>
        <w:rPr>
          <w:rFonts w:hint="eastAsia" w:ascii="宋体" w:hAnsi="宋体" w:cs="Times New Roman"/>
          <w:bCs/>
          <w:color w:val="auto"/>
          <w:szCs w:val="21"/>
          <w:highlight w:val="none"/>
          <w:lang w:val="en-US" w:eastAsia="zh-CN"/>
        </w:rPr>
        <w:t>本项目中</w:t>
      </w:r>
      <w:r>
        <w:rPr>
          <w:rFonts w:hint="eastAsia" w:ascii="宋体" w:hAnsi="宋体" w:eastAsia="宋体" w:cs="Times New Roman"/>
          <w:bCs/>
          <w:color w:val="auto"/>
          <w:szCs w:val="21"/>
          <w:highlight w:val="none"/>
          <w:lang w:val="en-US" w:eastAsia="zh-CN"/>
        </w:rPr>
        <w:t>历史数据清理成果、数据库台账成果</w:t>
      </w:r>
      <w:r>
        <w:rPr>
          <w:rFonts w:hint="eastAsia" w:ascii="宋体" w:hAnsi="宋体" w:cs="Times New Roman"/>
          <w:bCs/>
          <w:color w:val="auto"/>
          <w:szCs w:val="21"/>
          <w:highlight w:val="none"/>
          <w:lang w:val="en-US" w:eastAsia="zh-CN"/>
        </w:rPr>
        <w:t>及相关文档资料的知识产权</w:t>
      </w:r>
      <w:r>
        <w:rPr>
          <w:rFonts w:hint="eastAsia" w:ascii="宋体" w:hAnsi="宋体" w:eastAsia="宋体" w:cs="Times New Roman"/>
          <w:bCs/>
          <w:color w:val="auto"/>
          <w:szCs w:val="21"/>
          <w:highlight w:val="none"/>
          <w:lang w:val="en-US" w:eastAsia="zh-CN"/>
        </w:rPr>
        <w:t>归采购人</w:t>
      </w:r>
      <w:r>
        <w:rPr>
          <w:rFonts w:hint="eastAsia" w:ascii="宋体" w:hAnsi="宋体" w:cs="Times New Roman"/>
          <w:bCs/>
          <w:color w:val="auto"/>
          <w:szCs w:val="21"/>
          <w:highlight w:val="none"/>
          <w:lang w:val="en-US" w:eastAsia="zh-CN"/>
        </w:rPr>
        <w:t>所有，</w:t>
      </w:r>
      <w:r>
        <w:rPr>
          <w:rFonts w:hint="eastAsia" w:ascii="宋体" w:hAnsi="宋体" w:eastAsia="宋体" w:cs="Times New Roman"/>
          <w:bCs/>
          <w:color w:val="auto"/>
          <w:szCs w:val="21"/>
          <w:highlight w:val="none"/>
          <w:lang w:val="en-US" w:eastAsia="zh-CN"/>
        </w:rPr>
        <w:t>未经采购人书面许可，中标人不得以任何形式复制、转让、授权第三方使用，不得用于本项目以外的其他用途。</w:t>
      </w:r>
    </w:p>
    <w:p w14:paraId="17610451">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5.在项目实施过程中，中标人发生的任何人身与财物损失、安全事故等，均由中标人自行负责，采购人不承担任何责任。</w:t>
      </w:r>
    </w:p>
    <w:p w14:paraId="6FFEA0E4">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6.中标人应按照投标文件中拟投入本项目项目团队的人员配置履约，在中标后原则上不予更换，如特殊原因不能履约的，应更换同级别其他技术人员，须向采购人提交书面申请并经采购人确认同意后方可更换符合项目要求的人员，如未履行，则按违约处理，采购人有权终止合同。</w:t>
      </w:r>
    </w:p>
    <w:p w14:paraId="3D95E133">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7.本项目投标人如需踏勘项目现场，可以自行踏勘。投标人踏勘现场发生的费用自理，踏勘期间发生的意外自负。</w:t>
      </w:r>
    </w:p>
    <w:p w14:paraId="5AD11C20">
      <w:pPr>
        <w:widowControl/>
        <w:kinsoku w:val="0"/>
        <w:autoSpaceDE w:val="0"/>
        <w:autoSpaceDN w:val="0"/>
        <w:adjustRightInd w:val="0"/>
        <w:snapToGrid w:val="0"/>
        <w:spacing w:line="240" w:lineRule="auto"/>
        <w:jc w:val="left"/>
        <w:textAlignment w:val="baseline"/>
        <w:rPr>
          <w:rFonts w:hint="eastAsia" w:ascii="方正仿宋_GB2312" w:hAnsi="方正仿宋_GB2312" w:eastAsia="方正仿宋_GB2312" w:cs="方正仿宋_GB2312"/>
          <w:snapToGrid w:val="0"/>
          <w:color w:val="auto"/>
          <w:kern w:val="0"/>
          <w:sz w:val="24"/>
          <w:szCs w:val="24"/>
          <w:highlight w:val="none"/>
          <w:lang w:eastAsia="en-US"/>
        </w:rPr>
      </w:pPr>
      <w:r>
        <w:rPr>
          <w:rFonts w:hint="eastAsia" w:ascii="方正仿宋_GB2312" w:hAnsi="方正仿宋_GB2312" w:eastAsia="方正仿宋_GB2312" w:cs="方正仿宋_GB2312"/>
          <w:b/>
          <w:bCs/>
          <w:snapToGrid w:val="0"/>
          <w:color w:val="auto"/>
          <w:kern w:val="0"/>
          <w:sz w:val="24"/>
          <w:szCs w:val="24"/>
          <w:highlight w:val="none"/>
          <w:lang w:eastAsia="en-US"/>
        </w:rPr>
        <w:t>对于上述项目要求，投标人应在投标文件中进行回应，做出承诺及说明。</w:t>
      </w:r>
    </w:p>
    <w:p w14:paraId="0BBDC968">
      <w:pPr>
        <w:adjustRightInd w:val="0"/>
        <w:snapToGrid w:val="0"/>
        <w:spacing w:line="430" w:lineRule="exact"/>
        <w:rPr>
          <w:rFonts w:hint="eastAsia" w:ascii="宋体" w:hAnsi="宋体" w:eastAsia="宋体" w:cs="Times New Roman"/>
          <w:color w:val="auto"/>
          <w:szCs w:val="21"/>
          <w:highlight w:val="none"/>
          <w:lang w:eastAsia="zh-CN"/>
        </w:rPr>
      </w:pPr>
    </w:p>
    <w:p w14:paraId="75945AD6">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934A137">
      <w:pPr>
        <w:pStyle w:val="23"/>
        <w:adjustRightInd w:val="0"/>
        <w:snapToGrid w:val="0"/>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第六章 政府采购合同</w:t>
      </w:r>
      <w:bookmarkEnd w:id="162"/>
      <w:bookmarkEnd w:id="163"/>
      <w:bookmarkEnd w:id="164"/>
    </w:p>
    <w:p w14:paraId="42C580FA">
      <w:pPr>
        <w:widowControl/>
        <w:jc w:val="left"/>
        <w:rPr>
          <w:color w:val="auto"/>
          <w:highlight w:val="none"/>
        </w:rPr>
      </w:pPr>
      <w:bookmarkStart w:id="165" w:name="_Toc1441"/>
      <w:bookmarkStart w:id="166" w:name="_Toc29913945"/>
      <w:bookmarkStart w:id="167" w:name="_Toc27385"/>
      <w:r>
        <w:rPr>
          <w:rFonts w:ascii="仿宋" w:hAnsi="仿宋" w:eastAsia="仿宋" w:cs="仿宋"/>
          <w:color w:val="auto"/>
          <w:kern w:val="0"/>
          <w:sz w:val="24"/>
          <w:highlight w:val="none"/>
        </w:rPr>
        <w:t>（请按照《中华人民共和国民法典》及本采购项目特点自行拟定特定文本确定合同格</w:t>
      </w:r>
      <w:r>
        <w:rPr>
          <w:rFonts w:hint="eastAsia" w:ascii="仿宋" w:hAnsi="仿宋" w:eastAsia="仿宋" w:cs="仿宋"/>
          <w:color w:val="auto"/>
          <w:kern w:val="0"/>
          <w:sz w:val="24"/>
          <w:highlight w:val="none"/>
        </w:rPr>
        <w:t>式，本协议书仅供参考，不作限制）</w:t>
      </w:r>
    </w:p>
    <w:p w14:paraId="6D16AA04">
      <w:pPr>
        <w:pStyle w:val="3"/>
        <w:adjustRightInd w:val="0"/>
        <w:snapToGrid w:val="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第一节 政府采购合同协议书</w:t>
      </w:r>
      <w:bookmarkEnd w:id="165"/>
      <w:bookmarkEnd w:id="166"/>
      <w:bookmarkEnd w:id="167"/>
    </w:p>
    <w:p w14:paraId="6108FECB">
      <w:pPr>
        <w:adjustRightInd w:val="0"/>
        <w:snapToGrid w:val="0"/>
        <w:spacing w:before="156" w:beforeLines="50" w:line="360" w:lineRule="auto"/>
        <w:ind w:firstLine="5460" w:firstLineChars="26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采购合同编号：</w:t>
      </w:r>
      <w:r>
        <w:rPr>
          <w:rFonts w:hint="eastAsia" w:ascii="宋体" w:hAnsi="宋体" w:eastAsia="宋体" w:cs="宋体"/>
          <w:color w:val="auto"/>
          <w:szCs w:val="21"/>
          <w:highlight w:val="none"/>
          <w:u w:val="single"/>
        </w:rPr>
        <w:t xml:space="preserve">                 </w:t>
      </w:r>
    </w:p>
    <w:p w14:paraId="5A6C894C">
      <w:pPr>
        <w:adjustRightInd w:val="0"/>
        <w:snapToGrid w:val="0"/>
        <w:spacing w:before="156" w:beforeLines="50" w:line="360" w:lineRule="auto"/>
        <w:jc w:val="center"/>
        <w:rPr>
          <w:rFonts w:hint="eastAsia" w:ascii="宋体" w:hAnsi="宋体" w:eastAsia="宋体" w:cs="宋体"/>
          <w:b/>
          <w:color w:val="auto"/>
          <w:szCs w:val="21"/>
          <w:highlight w:val="none"/>
        </w:rPr>
      </w:pPr>
    </w:p>
    <w:p w14:paraId="04EFAE8D">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（甲方）</w:t>
      </w:r>
    </w:p>
    <w:p w14:paraId="1115709C">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（乙方）</w:t>
      </w:r>
    </w:p>
    <w:p w14:paraId="53CA098A">
      <w:pPr>
        <w:pStyle w:val="18"/>
        <w:adjustRightInd w:val="0"/>
        <w:snapToGrid w:val="0"/>
        <w:spacing w:before="156" w:beforeLines="50" w:after="0" w:line="360" w:lineRule="auto"/>
        <w:rPr>
          <w:rFonts w:hint="eastAsia" w:ascii="宋体" w:hAnsi="宋体" w:eastAsia="宋体" w:cs="宋体"/>
          <w:color w:val="auto"/>
          <w:szCs w:val="21"/>
          <w:highlight w:val="none"/>
        </w:rPr>
      </w:pPr>
    </w:p>
    <w:p w14:paraId="08934FD1">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为了保护甲、乙双方合法权益，根据《中华人民共和国民法典》、《中华人民共和国政府采购法》及其他有关法律、法规、规章，双方签订本合同协议书。</w:t>
      </w:r>
    </w:p>
    <w:p w14:paraId="7D9C608B">
      <w:pPr>
        <w:adjustRightInd w:val="0"/>
        <w:snapToGrid w:val="0"/>
        <w:spacing w:before="156" w:beforeLines="50"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1.项目信息</w:t>
      </w:r>
    </w:p>
    <w:p w14:paraId="6B66D9D0">
      <w:pPr>
        <w:adjustRightInd w:val="0"/>
        <w:snapToGrid w:val="0"/>
        <w:spacing w:before="156" w:beforeLines="50"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（1）采购项目名称：</w:t>
      </w:r>
      <w:r>
        <w:rPr>
          <w:rFonts w:hint="eastAsia" w:ascii="宋体" w:hAnsi="宋体" w:eastAsia="宋体" w:cs="宋体"/>
          <w:color w:val="auto"/>
          <w:szCs w:val="21"/>
          <w:highlight w:val="none"/>
          <w:u w:val="single"/>
        </w:rPr>
        <w:t xml:space="preserve">                                          </w:t>
      </w:r>
    </w:p>
    <w:p w14:paraId="0E18FF31">
      <w:pPr>
        <w:adjustRightInd w:val="0"/>
        <w:snapToGrid w:val="0"/>
        <w:spacing w:before="156" w:beforeLines="50"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0FA4EE6E">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（3）项目内容：</w:t>
      </w:r>
      <w:r>
        <w:rPr>
          <w:rFonts w:hint="eastAsia" w:ascii="宋体" w:hAnsi="宋体" w:eastAsia="宋体" w:cs="宋体"/>
          <w:color w:val="auto"/>
          <w:szCs w:val="21"/>
          <w:highlight w:val="none"/>
          <w:u w:val="single"/>
        </w:rPr>
        <w:t xml:space="preserve">                             </w:t>
      </w:r>
    </w:p>
    <w:p w14:paraId="2F05CE2C">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（4）是否分包：</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D120DB6">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（5）项目负责人：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EB935D0">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（6）联系电话：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6BC8E89">
      <w:pPr>
        <w:adjustRightInd w:val="0"/>
        <w:snapToGrid w:val="0"/>
        <w:spacing w:before="156" w:beforeLines="50" w:line="360" w:lineRule="auto"/>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2.合同金额</w:t>
      </w:r>
    </w:p>
    <w:p w14:paraId="7DB809CA">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（1）合同金额小写：</w:t>
      </w:r>
      <w:r>
        <w:rPr>
          <w:rFonts w:hint="eastAsia" w:ascii="宋体" w:hAnsi="宋体" w:eastAsia="宋体" w:cs="宋体"/>
          <w:color w:val="auto"/>
          <w:szCs w:val="21"/>
          <w:highlight w:val="none"/>
          <w:u w:val="single"/>
        </w:rPr>
        <w:t xml:space="preserve">                      </w:t>
      </w:r>
    </w:p>
    <w:p w14:paraId="3F44724D">
      <w:pPr>
        <w:adjustRightInd w:val="0"/>
        <w:snapToGrid w:val="0"/>
        <w:spacing w:before="156" w:beforeLines="50" w:line="360" w:lineRule="auto"/>
        <w:ind w:firstLine="1260" w:firstLineChars="6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p>
    <w:p w14:paraId="65C02950">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（2）具体标的见附件。</w:t>
      </w:r>
    </w:p>
    <w:p w14:paraId="7F20E647">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（3）合同定价方式：</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固定总价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固定单价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成本补偿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绩效激励</w:t>
      </w:r>
    </w:p>
    <w:p w14:paraId="07822B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（4）付款方式（按项目实际勾选填写）：</w:t>
      </w:r>
    </w:p>
    <w:p w14:paraId="2283B32C">
      <w:pPr>
        <w:adjustRightInd w:val="0"/>
        <w:snapToGrid w:val="0"/>
        <w:spacing w:before="156" w:beforeLines="50" w:line="360" w:lineRule="auto"/>
        <w:ind w:firstLine="63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全额付款：</w:t>
      </w:r>
      <w:r>
        <w:rPr>
          <w:rFonts w:hint="eastAsia" w:ascii="宋体" w:hAnsi="宋体" w:eastAsia="宋体" w:cs="宋体"/>
          <w:color w:val="auto"/>
          <w:szCs w:val="21"/>
          <w:highlight w:val="none"/>
          <w:u w:val="single"/>
        </w:rPr>
        <w:t xml:space="preserve">     （应一次性支付全部合同款项）                    </w:t>
      </w:r>
    </w:p>
    <w:p w14:paraId="236CE466">
      <w:pPr>
        <w:adjustRightInd w:val="0"/>
        <w:snapToGrid w:val="0"/>
        <w:spacing w:before="156" w:beforeLines="50" w:line="360" w:lineRule="auto"/>
        <w:ind w:firstLine="63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预付款：</w:t>
      </w:r>
      <w:r>
        <w:rPr>
          <w:rFonts w:hint="eastAsia" w:ascii="宋体" w:hAnsi="宋体" w:eastAsia="宋体" w:cs="宋体"/>
          <w:color w:val="auto"/>
          <w:szCs w:val="21"/>
          <w:highlight w:val="none"/>
          <w:u w:val="single"/>
        </w:rPr>
        <w:t xml:space="preserve">    （应明确预付款的支付比例和支付条件）               </w:t>
      </w:r>
    </w:p>
    <w:p w14:paraId="794FB42C">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分期付款：</w:t>
      </w:r>
      <w:r>
        <w:rPr>
          <w:rFonts w:hint="eastAsia" w:ascii="宋体" w:hAnsi="宋体" w:eastAsia="宋体" w:cs="宋体"/>
          <w:color w:val="auto"/>
          <w:szCs w:val="21"/>
          <w:highlight w:val="none"/>
          <w:u w:val="single"/>
        </w:rPr>
        <w:t xml:space="preserve">     （应按照季度分期支付合同款项）                   </w:t>
      </w:r>
    </w:p>
    <w:p w14:paraId="3EE86903">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成本补偿：</w:t>
      </w:r>
      <w:r>
        <w:rPr>
          <w:rFonts w:hint="eastAsia" w:ascii="宋体" w:hAnsi="宋体" w:eastAsia="宋体" w:cs="宋体"/>
          <w:color w:val="auto"/>
          <w:szCs w:val="21"/>
          <w:highlight w:val="none"/>
          <w:u w:val="single"/>
        </w:rPr>
        <w:t xml:space="preserve">      （应明确按照成本补偿方式的支付方式和支付条件）   </w:t>
      </w:r>
    </w:p>
    <w:p w14:paraId="592A126D">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绩效激励：</w:t>
      </w:r>
      <w:r>
        <w:rPr>
          <w:rFonts w:hint="eastAsia" w:ascii="宋体" w:hAnsi="宋体" w:eastAsia="宋体" w:cs="宋体"/>
          <w:color w:val="auto"/>
          <w:szCs w:val="21"/>
          <w:highlight w:val="none"/>
          <w:u w:val="single"/>
        </w:rPr>
        <w:t xml:space="preserve">      （应明确按照绩效激励方式的支付方式和支付条件）   </w:t>
      </w:r>
    </w:p>
    <w:p w14:paraId="6A95A735">
      <w:pPr>
        <w:adjustRightInd w:val="0"/>
        <w:snapToGrid w:val="0"/>
        <w:spacing w:before="156" w:beforeLines="50" w:line="360" w:lineRule="auto"/>
        <w:ind w:firstLine="422" w:firstLineChars="200"/>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3.合同履行</w:t>
      </w:r>
    </w:p>
    <w:p w14:paraId="454BBFDE">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（1）起始日期：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日，完成日期：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日。总日历天数：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天。</w:t>
      </w:r>
    </w:p>
    <w:p w14:paraId="265D7D59">
      <w:pPr>
        <w:adjustRightInd w:val="0"/>
        <w:snapToGrid w:val="0"/>
        <w:spacing w:before="156" w:beforeLines="50"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（2）地点</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u w:val="single"/>
        </w:rPr>
        <w:t xml:space="preserve">                             </w:t>
      </w:r>
    </w:p>
    <w:p w14:paraId="4ED86D40">
      <w:pPr>
        <w:adjustRightInd w:val="0"/>
        <w:snapToGrid w:val="0"/>
        <w:spacing w:before="156" w:beforeLines="50"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（3）方式：</w:t>
      </w:r>
      <w:r>
        <w:rPr>
          <w:rFonts w:hint="eastAsia" w:ascii="宋体" w:hAnsi="宋体" w:eastAsia="宋体" w:cs="宋体"/>
          <w:color w:val="auto"/>
          <w:szCs w:val="21"/>
          <w:highlight w:val="none"/>
          <w:u w:val="single"/>
        </w:rPr>
        <w:t xml:space="preserve">                             </w:t>
      </w:r>
    </w:p>
    <w:p w14:paraId="2C337E4F">
      <w:pPr>
        <w:adjustRightInd w:val="0"/>
        <w:snapToGrid w:val="0"/>
        <w:spacing w:before="156" w:beforeLines="50"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（3）质量保证金：</w:t>
      </w:r>
      <w:r>
        <w:rPr>
          <w:rFonts w:hint="eastAsia" w:ascii="宋体" w:hAnsi="宋体" w:eastAsia="宋体" w:cs="宋体"/>
          <w:bCs/>
          <w:color w:val="auto"/>
          <w:szCs w:val="21"/>
          <w:highlight w:val="none"/>
          <w:u w:val="single"/>
        </w:rPr>
        <w:t>质量保证金的金额、形式和期限要求</w:t>
      </w:r>
      <w:r>
        <w:rPr>
          <w:rFonts w:hint="eastAsia" w:ascii="宋体" w:hAnsi="宋体" w:eastAsia="宋体" w:cs="宋体"/>
          <w:bCs/>
          <w:color w:val="auto"/>
          <w:szCs w:val="21"/>
          <w:highlight w:val="none"/>
        </w:rPr>
        <w:t>。</w:t>
      </w:r>
    </w:p>
    <w:p w14:paraId="1F645CE5">
      <w:pPr>
        <w:adjustRightInd w:val="0"/>
        <w:snapToGrid w:val="0"/>
        <w:spacing w:before="156" w:beforeLines="50"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4.合同验收</w:t>
      </w:r>
    </w:p>
    <w:p w14:paraId="1DF101A1">
      <w:pPr>
        <w:adjustRightInd w:val="0"/>
        <w:snapToGrid w:val="0"/>
        <w:spacing w:before="156" w:beforeLines="50"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（1）验收主体：</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p>
    <w:p w14:paraId="1A90EA98">
      <w:pPr>
        <w:adjustRightInd w:val="0"/>
        <w:snapToGrid w:val="0"/>
        <w:spacing w:before="156" w:beforeLines="50"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（2）验收方式：</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p>
    <w:p w14:paraId="124FE24F">
      <w:pPr>
        <w:adjustRightInd w:val="0"/>
        <w:snapToGrid w:val="0"/>
        <w:spacing w:before="156" w:beforeLines="50"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（3）验收标准：</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p>
    <w:p w14:paraId="10A69E50">
      <w:pPr>
        <w:adjustRightInd w:val="0"/>
        <w:snapToGrid w:val="0"/>
        <w:spacing w:before="156" w:beforeLines="50"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5.组成合同的文件</w:t>
      </w:r>
    </w:p>
    <w:p w14:paraId="780096F8">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本协议书与下列文件一起构成合同文件，如下述文件之间有任何抵触、矛盾或歧义，应按以下顺序解释：</w:t>
      </w:r>
    </w:p>
    <w:p w14:paraId="74DB8E83">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（1）在采购或合同履行过程中乙方作出的承诺以及双方协商达成的变更或补充协议</w:t>
      </w:r>
      <w:r>
        <w:rPr>
          <w:rFonts w:hint="eastAsia" w:ascii="宋体" w:hAnsi="宋体" w:eastAsia="宋体" w:cs="宋体"/>
          <w:color w:val="auto"/>
          <w:szCs w:val="21"/>
          <w:highlight w:val="none"/>
          <w:lang w:eastAsia="zh-CN"/>
        </w:rPr>
        <w:t>；</w:t>
      </w:r>
    </w:p>
    <w:p w14:paraId="541903DF">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（2）本合同协议书</w:t>
      </w:r>
      <w:r>
        <w:rPr>
          <w:rFonts w:hint="eastAsia" w:ascii="宋体" w:hAnsi="宋体" w:eastAsia="宋体" w:cs="宋体"/>
          <w:color w:val="auto"/>
          <w:szCs w:val="21"/>
          <w:highlight w:val="none"/>
          <w:lang w:eastAsia="zh-CN"/>
        </w:rPr>
        <w:t>；</w:t>
      </w:r>
    </w:p>
    <w:p w14:paraId="59FF9B6A">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中标</w:t>
      </w:r>
      <w:r>
        <w:rPr>
          <w:rFonts w:hint="eastAsia" w:ascii="宋体" w:hAnsi="宋体" w:eastAsia="宋体" w:cs="宋体"/>
          <w:color w:val="auto"/>
          <w:szCs w:val="21"/>
          <w:highlight w:val="none"/>
        </w:rPr>
        <w:t>通知书</w:t>
      </w:r>
      <w:r>
        <w:rPr>
          <w:rFonts w:hint="eastAsia" w:ascii="宋体" w:hAnsi="宋体" w:eastAsia="宋体" w:cs="宋体"/>
          <w:color w:val="auto"/>
          <w:szCs w:val="21"/>
          <w:highlight w:val="none"/>
          <w:lang w:eastAsia="zh-CN"/>
        </w:rPr>
        <w:t>；</w:t>
      </w:r>
    </w:p>
    <w:p w14:paraId="78B364A3">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投标</w:t>
      </w:r>
      <w:r>
        <w:rPr>
          <w:rFonts w:hint="eastAsia" w:ascii="宋体" w:hAnsi="宋体" w:eastAsia="宋体" w:cs="宋体"/>
          <w:color w:val="auto"/>
          <w:szCs w:val="21"/>
          <w:highlight w:val="none"/>
        </w:rPr>
        <w:t>文件</w:t>
      </w:r>
      <w:r>
        <w:rPr>
          <w:rFonts w:hint="eastAsia" w:ascii="宋体" w:hAnsi="宋体" w:eastAsia="宋体" w:cs="宋体"/>
          <w:color w:val="auto"/>
          <w:szCs w:val="21"/>
          <w:highlight w:val="none"/>
          <w:lang w:eastAsia="zh-CN"/>
        </w:rPr>
        <w:t>；</w:t>
      </w:r>
    </w:p>
    <w:p w14:paraId="0EBB0C37">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（5）政府采购合同专用条款</w:t>
      </w:r>
      <w:r>
        <w:rPr>
          <w:rFonts w:hint="eastAsia" w:ascii="宋体" w:hAnsi="宋体" w:eastAsia="宋体" w:cs="宋体"/>
          <w:color w:val="auto"/>
          <w:szCs w:val="21"/>
          <w:highlight w:val="none"/>
          <w:lang w:eastAsia="zh-CN"/>
        </w:rPr>
        <w:t>；</w:t>
      </w:r>
    </w:p>
    <w:p w14:paraId="4B2CC761">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（6）政府采购合同通用条款</w:t>
      </w:r>
      <w:r>
        <w:rPr>
          <w:rFonts w:hint="eastAsia" w:ascii="宋体" w:hAnsi="宋体" w:eastAsia="宋体" w:cs="宋体"/>
          <w:color w:val="auto"/>
          <w:szCs w:val="21"/>
          <w:highlight w:val="none"/>
          <w:lang w:eastAsia="zh-CN"/>
        </w:rPr>
        <w:t>；</w:t>
      </w:r>
    </w:p>
    <w:p w14:paraId="463FDDE7">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（7）标准、规范及有关技术文件，图纸</w:t>
      </w:r>
      <w:r>
        <w:rPr>
          <w:rFonts w:hint="eastAsia" w:ascii="宋体" w:hAnsi="宋体" w:eastAsia="宋体" w:cs="宋体"/>
          <w:color w:val="auto"/>
          <w:szCs w:val="21"/>
          <w:highlight w:val="none"/>
          <w:lang w:eastAsia="zh-CN"/>
        </w:rPr>
        <w:t>；</w:t>
      </w:r>
    </w:p>
    <w:p w14:paraId="5EE23650">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（8）其他合同文件。</w:t>
      </w:r>
    </w:p>
    <w:p w14:paraId="43F10531">
      <w:pPr>
        <w:adjustRightInd w:val="0"/>
        <w:snapToGrid w:val="0"/>
        <w:spacing w:before="156" w:beforeLines="50" w:line="360" w:lineRule="auto"/>
        <w:ind w:firstLine="310" w:firstLineChars="147"/>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6.合同生效</w:t>
      </w:r>
    </w:p>
    <w:p w14:paraId="6FEC4C2C">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生效。</w:t>
      </w:r>
    </w:p>
    <w:p w14:paraId="24CA3F47">
      <w:pPr>
        <w:adjustRightInd w:val="0"/>
        <w:snapToGrid w:val="0"/>
        <w:spacing w:before="156" w:beforeLines="50" w:line="360" w:lineRule="auto"/>
        <w:ind w:firstLine="310" w:firstLineChars="147"/>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7.合同份数</w:t>
      </w:r>
    </w:p>
    <w:p w14:paraId="46CFC6E3">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份，采购人执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w:t>
      </w:r>
      <w:r>
        <w:rPr>
          <w:rFonts w:hint="eastAsia" w:ascii="宋体" w:hAnsi="宋体" w:eastAsia="宋体" w:cs="宋体"/>
          <w:color w:val="auto"/>
          <w:szCs w:val="21"/>
          <w:highlight w:val="none"/>
          <w:lang w:eastAsia="zh-CN"/>
        </w:rPr>
        <w:t>供应</w:t>
      </w:r>
      <w:r>
        <w:rPr>
          <w:rFonts w:hint="eastAsia" w:ascii="宋体" w:hAnsi="宋体" w:eastAsia="宋体" w:cs="宋体"/>
          <w:color w:val="auto"/>
          <w:szCs w:val="21"/>
          <w:highlight w:val="none"/>
        </w:rPr>
        <w:t>商执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份，均具有同等法律效力。</w:t>
      </w:r>
    </w:p>
    <w:p w14:paraId="370710D9">
      <w:pPr>
        <w:adjustRightInd w:val="0"/>
        <w:snapToGrid w:val="0"/>
        <w:spacing w:before="156" w:beforeLines="50" w:line="360" w:lineRule="auto"/>
        <w:rPr>
          <w:rFonts w:hint="eastAsia" w:ascii="宋体" w:hAnsi="宋体" w:eastAsia="宋体" w:cs="宋体"/>
          <w:color w:val="auto"/>
          <w:szCs w:val="21"/>
          <w:highlight w:val="none"/>
        </w:rPr>
      </w:pPr>
    </w:p>
    <w:p w14:paraId="242D281A">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合同订立时间：</w:t>
      </w:r>
      <w:r>
        <w:rPr>
          <w:rFonts w:hint="eastAsia" w:ascii="宋体" w:hAnsi="宋体" w:eastAsia="宋体" w:cs="宋体"/>
          <w:color w:val="auto"/>
          <w:szCs w:val="21"/>
          <w:highlight w:val="none"/>
          <w:u w:val="single"/>
        </w:rPr>
        <w:t xml:space="preserve">      年  月  日</w:t>
      </w:r>
    </w:p>
    <w:p w14:paraId="137AD4B6">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合同订立地点：</w:t>
      </w:r>
      <w:r>
        <w:rPr>
          <w:rFonts w:hint="eastAsia" w:ascii="宋体" w:hAnsi="宋体" w:eastAsia="宋体" w:cs="宋体"/>
          <w:color w:val="auto"/>
          <w:szCs w:val="21"/>
          <w:highlight w:val="none"/>
          <w:u w:val="single"/>
        </w:rPr>
        <w:t xml:space="preserve">                           </w:t>
      </w:r>
    </w:p>
    <w:p w14:paraId="7E0C7D27">
      <w:pPr>
        <w:adjustRightInd w:val="0"/>
        <w:snapToGrid w:val="0"/>
        <w:spacing w:before="156" w:beforeLines="50"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附件：具体标的明细、分包合同等。</w:t>
      </w:r>
    </w:p>
    <w:p w14:paraId="5FE242FE">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78047849">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      方：（公章）                     乙      方：（公章）</w:t>
      </w:r>
    </w:p>
    <w:p w14:paraId="4C64F19E">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法定代表人：</w:t>
      </w:r>
      <w:r>
        <w:rPr>
          <w:rFonts w:hint="eastAsia" w:ascii="宋体" w:hAnsi="宋体" w:eastAsia="宋体" w:cs="宋体"/>
          <w:color w:val="auto"/>
          <w:szCs w:val="21"/>
          <w:highlight w:val="none"/>
          <w:u w:val="single"/>
        </w:rPr>
        <w:t xml:space="preserve">                   </w:t>
      </w:r>
    </w:p>
    <w:p w14:paraId="188A0078">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授权代表人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授权代表人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7869AFE4">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      话：</w:t>
      </w:r>
      <w:r>
        <w:rPr>
          <w:rFonts w:hint="eastAsia" w:ascii="宋体" w:hAnsi="宋体" w:eastAsia="宋体" w:cs="宋体"/>
          <w:color w:val="auto"/>
          <w:szCs w:val="21"/>
          <w:highlight w:val="none"/>
          <w:u w:val="single"/>
        </w:rPr>
        <w:t xml:space="preserve">                   </w:t>
      </w:r>
    </w:p>
    <w:p w14:paraId="17725F75">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传      真：</w:t>
      </w:r>
      <w:r>
        <w:rPr>
          <w:rFonts w:hint="eastAsia" w:ascii="宋体" w:hAnsi="宋体" w:eastAsia="宋体" w:cs="宋体"/>
          <w:color w:val="auto"/>
          <w:szCs w:val="21"/>
          <w:highlight w:val="none"/>
          <w:u w:val="single"/>
        </w:rPr>
        <w:t xml:space="preserve">                   </w:t>
      </w:r>
    </w:p>
    <w:p w14:paraId="60BADE55">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开 户 银 行：</w:t>
      </w:r>
      <w:r>
        <w:rPr>
          <w:rFonts w:hint="eastAsia" w:ascii="宋体" w:hAnsi="宋体" w:eastAsia="宋体" w:cs="宋体"/>
          <w:color w:val="auto"/>
          <w:szCs w:val="21"/>
          <w:highlight w:val="none"/>
          <w:u w:val="single"/>
        </w:rPr>
        <w:t xml:space="preserve">                   </w:t>
      </w:r>
    </w:p>
    <w:p w14:paraId="700505A5">
      <w:pPr>
        <w:adjustRightInd w:val="0"/>
        <w:snapToGrid w:val="0"/>
        <w:spacing w:before="156" w:beforeLines="50" w:line="360" w:lineRule="auto"/>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 xml:space="preserve">       号：</w:t>
      </w:r>
      <w:r>
        <w:rPr>
          <w:rFonts w:hint="eastAsia" w:ascii="宋体" w:hAnsi="宋体" w:eastAsia="宋体" w:cs="宋体"/>
          <w:color w:val="auto"/>
          <w:szCs w:val="21"/>
          <w:highlight w:val="none"/>
          <w:u w:val="single"/>
        </w:rPr>
        <w:t xml:space="preserve">                 </w:t>
      </w:r>
    </w:p>
    <w:p w14:paraId="58604930">
      <w:pPr>
        <w:autoSpaceDE w:val="0"/>
        <w:autoSpaceDN w:val="0"/>
        <w:adjustRightInd w:val="0"/>
        <w:snapToGrid w:val="0"/>
        <w:spacing w:before="50" w:line="360" w:lineRule="auto"/>
        <w:ind w:firstLine="420" w:firstLineChars="200"/>
        <w:jc w:val="left"/>
        <w:rPr>
          <w:rFonts w:hint="eastAsia" w:ascii="宋体" w:hAnsi="宋体" w:eastAsia="宋体" w:cs="宋体"/>
          <w:b/>
          <w:bCs/>
          <w:color w:val="auto"/>
          <w:sz w:val="32"/>
          <w:highlight w:val="none"/>
        </w:rPr>
      </w:pPr>
      <w:r>
        <w:rPr>
          <w:rFonts w:hint="eastAsia" w:ascii="宋体" w:hAnsi="宋体" w:eastAsia="宋体" w:cs="宋体"/>
          <w:color w:val="auto"/>
          <w:szCs w:val="21"/>
          <w:highlight w:val="none"/>
          <w:u w:val="single"/>
        </w:rPr>
        <w:br w:type="page"/>
      </w:r>
    </w:p>
    <w:p w14:paraId="6341E9C2">
      <w:pPr>
        <w:pStyle w:val="3"/>
        <w:adjustRightInd w:val="0"/>
        <w:snapToGrid w:val="0"/>
        <w:spacing w:before="156" w:beforeLines="50"/>
        <w:jc w:val="center"/>
        <w:rPr>
          <w:rFonts w:hint="eastAsia" w:ascii="宋体" w:hAnsi="宋体" w:eastAsia="宋体" w:cs="宋体"/>
          <w:color w:val="auto"/>
          <w:sz w:val="44"/>
          <w:szCs w:val="44"/>
          <w:highlight w:val="none"/>
        </w:rPr>
      </w:pPr>
      <w:bookmarkStart w:id="168" w:name="_Toc18102"/>
      <w:bookmarkStart w:id="169" w:name="_Toc29332"/>
      <w:bookmarkStart w:id="170" w:name="_Toc29913947"/>
      <w:r>
        <w:rPr>
          <w:rFonts w:hint="eastAsia" w:ascii="宋体" w:hAnsi="宋体" w:eastAsia="宋体" w:cs="宋体"/>
          <w:color w:val="auto"/>
          <w:sz w:val="28"/>
          <w:szCs w:val="28"/>
          <w:highlight w:val="none"/>
        </w:rPr>
        <w:t>第二节 政府采购合同通用条款</w:t>
      </w:r>
      <w:bookmarkEnd w:id="168"/>
      <w:bookmarkEnd w:id="169"/>
    </w:p>
    <w:p w14:paraId="0B2E0AE8">
      <w:pPr>
        <w:tabs>
          <w:tab w:val="left" w:pos="8820"/>
          <w:tab w:val="left" w:pos="9345"/>
          <w:tab w:val="left" w:pos="9765"/>
        </w:tabs>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bCs/>
          <w:color w:val="auto"/>
          <w:sz w:val="24"/>
          <w:highlight w:val="none"/>
        </w:rPr>
        <w:t>定义</w:t>
      </w:r>
    </w:p>
    <w:p w14:paraId="7DE68F9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1.1合同当事人</w:t>
      </w:r>
    </w:p>
    <w:p w14:paraId="51A36FF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（1）采购人（以下称甲方）是指使用财政性资金，通过政府采购程序向供应商购买货物、服务的国家机关、事业单位、团体组织。本次采购的甲方名称、地址见</w:t>
      </w:r>
      <w:r>
        <w:rPr>
          <w:rFonts w:hint="eastAsia" w:ascii="宋体" w:hAnsi="宋体" w:eastAsia="宋体" w:cs="宋体"/>
          <w:b/>
          <w:color w:val="auto"/>
          <w:szCs w:val="21"/>
          <w:highlight w:val="none"/>
        </w:rPr>
        <w:t>【政府采购合同专用条款】。</w:t>
      </w:r>
    </w:p>
    <w:p w14:paraId="7F757285">
      <w:pPr>
        <w:autoSpaceDE w:val="0"/>
        <w:autoSpaceDN w:val="0"/>
        <w:adjustRightInd w:val="0"/>
        <w:snapToGrid w:val="0"/>
        <w:spacing w:before="50"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（2）供应商（以下称乙方）是指参加政府采购活动而取得中标结果，并向采购人提供货物、服务的法人、其他组织或者自然人。</w:t>
      </w:r>
    </w:p>
    <w:p w14:paraId="3AB326FF">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1.2本合同下列术语应解释为：</w:t>
      </w:r>
    </w:p>
    <w:p w14:paraId="267FCE78">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（1）“合同”系指甲乙双方签署的、政府采购合同协议书中载明的甲乙双方所达成的协议，包括所有的附件、附录和上述文件所提到的构成合同的所有文件。</w:t>
      </w:r>
    </w:p>
    <w:p w14:paraId="28B73E1B">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（2）“合同价”系指根据本合同规定乙方在正确地完全履行合同义务后甲方应支付给乙方的价款。</w:t>
      </w:r>
    </w:p>
    <w:p w14:paraId="4C9B80C4">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2B964F09">
      <w:pPr>
        <w:tabs>
          <w:tab w:val="left" w:pos="570"/>
          <w:tab w:val="left" w:pos="888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7DC309AA">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（5）“合同条款”系指本合同条款。</w:t>
      </w:r>
    </w:p>
    <w:p w14:paraId="68ED3270">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（6）“项目现场”系指本合同项下货物安装、运行的现场，其名称见</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w:t>
      </w:r>
    </w:p>
    <w:p w14:paraId="673B1BEF">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2.合同的适用范围</w:t>
      </w:r>
    </w:p>
    <w:p w14:paraId="5008944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 本合同条款适用于没有被本合同其他部分的条款所取代的范围。</w:t>
      </w:r>
    </w:p>
    <w:p w14:paraId="6A58D7F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合同内容根据招标文件、投标文件而确定。</w:t>
      </w:r>
    </w:p>
    <w:p w14:paraId="731AEECA">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color w:val="auto"/>
          <w:sz w:val="24"/>
          <w:highlight w:val="none"/>
        </w:rPr>
        <w:t>合同标的及金额</w:t>
      </w:r>
    </w:p>
    <w:p w14:paraId="19DFC68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 合同标的及金额应与中标结果一致。</w:t>
      </w:r>
    </w:p>
    <w:p w14:paraId="55079824">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w:t>
      </w:r>
      <w:r>
        <w:rPr>
          <w:rFonts w:hint="eastAsia" w:ascii="宋体" w:hAnsi="宋体" w:eastAsia="宋体" w:cs="宋体"/>
          <w:b/>
          <w:color w:val="auto"/>
          <w:sz w:val="24"/>
          <w:highlight w:val="none"/>
        </w:rPr>
        <w:t>合同价款</w:t>
      </w:r>
    </w:p>
    <w:p w14:paraId="3788E4BD">
      <w:pPr>
        <w:adjustRightInd w:val="0"/>
        <w:snapToGrid w:val="0"/>
        <w:spacing w:before="50" w:line="360" w:lineRule="auto"/>
        <w:ind w:firstLine="420" w:firstLineChars="200"/>
        <w:jc w:val="left"/>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rPr>
        <w:t>4.1具体合同价款见本合同第3.1条。乙方为履行本合同而发生的所有费用均应包含在合同价款中，甲方不再另行支付其它任何费用。</w:t>
      </w:r>
    </w:p>
    <w:p w14:paraId="547DC13A">
      <w:pPr>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5.履行合同的时间、地点和方式</w:t>
      </w:r>
    </w:p>
    <w:p w14:paraId="55AE778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5.1 乙方应当在甲方确定的时间、指定的地点履行合同，具体的服务时间、地点和方式见</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w:t>
      </w:r>
    </w:p>
    <w:p w14:paraId="7A60CD07">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乙方提供服务的应当在甲方指定的地点完成服务项目。</w:t>
      </w:r>
    </w:p>
    <w:p w14:paraId="3884B355">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6.服务</w:t>
      </w:r>
      <w:r>
        <w:rPr>
          <w:rFonts w:hint="eastAsia" w:ascii="宋体" w:hAnsi="宋体" w:eastAsia="宋体" w:cs="宋体"/>
          <w:b/>
          <w:color w:val="auto"/>
          <w:sz w:val="24"/>
          <w:highlight w:val="none"/>
        </w:rPr>
        <w:t>的验收</w:t>
      </w:r>
    </w:p>
    <w:p w14:paraId="5A6D98E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6.1乙方提供的服务由甲方或者甲方的最终用户负责验收。</w:t>
      </w:r>
    </w:p>
    <w:p w14:paraId="27DBC15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6.2甲方或者甲方的最终用户应当按照采购合同规定的技术、服务等要求组织对乙方履约的验收，并出具验收书。验收书应当包括每一项技术、服务等要求的履约情况。</w:t>
      </w:r>
    </w:p>
    <w:p w14:paraId="208DB48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6.3 在验收过程中发现数量不足或有质量、安全、技术等问题，乙方应负责按照甲方的要求采取补足、更换等处理措施，并承担由此发生的一切费用和损失。</w:t>
      </w:r>
    </w:p>
    <w:p w14:paraId="223433A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6.4 甲方在乙方按合同规定提交服务或安装、调试后，无正当理由而拖延接收、验收或拒绝接收、验收的，应承担因此给乙方造成的直接损失。</w:t>
      </w:r>
    </w:p>
    <w:p w14:paraId="7B68CD1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6.5大型或者复杂的项目，应当邀请国家认可的质量检测机构参加验收，并由其出具验收报告单。</w:t>
      </w:r>
    </w:p>
    <w:p w14:paraId="241DB79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6.6政府向社会公众提供的公共服务项目，验收时应当邀请服务对象参与并出具意见，验收结果应当向社会公告。</w:t>
      </w:r>
    </w:p>
    <w:p w14:paraId="237472C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6.7 乙方提供的进口产品，乙方应出示中华人民共和国进出口商品检验部门出具的检验证书（招标文件第五章采购需求另有约定的除外）。</w:t>
      </w:r>
    </w:p>
    <w:p w14:paraId="6DF7A821">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7.货物包装要求</w:t>
      </w:r>
    </w:p>
    <w:p w14:paraId="625A3B7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018954A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7.2 每一个包装箱内应附一份详细装箱单、质量证书和保修保养证书。</w:t>
      </w:r>
    </w:p>
    <w:p w14:paraId="4D641616">
      <w:pPr>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8.运输和保险</w:t>
      </w:r>
    </w:p>
    <w:p w14:paraId="4534501B">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8.1乙方负责办理将货物运抵本合同第5.1条规定的交货地点的一切运输事项，相关费用应包括在合同总价中。</w:t>
      </w:r>
    </w:p>
    <w:p w14:paraId="3A0A301C">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8.2乙方应向保险公司投保以甲方为受益人的发运合同货物发票金额的110％运输一切险。</w:t>
      </w:r>
    </w:p>
    <w:p w14:paraId="482860F1">
      <w:pPr>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9.质量标准和保证</w:t>
      </w:r>
    </w:p>
    <w:p w14:paraId="228C335C">
      <w:pPr>
        <w:pStyle w:val="23"/>
        <w:adjustRightInd w:val="0"/>
        <w:snapToGrid w:val="0"/>
        <w:spacing w:before="50"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highlight w:val="none"/>
        </w:rPr>
        <w:t>9.1 质量标准</w:t>
      </w:r>
    </w:p>
    <w:p w14:paraId="2B8FA4C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（1）本合同下交付的服务应符合招标文件第四章“技术规格、参数与要求”所述的标准。如果没有提及适用标准，则应符合中华人民共和国有关机构发布的最新版本的标准。</w:t>
      </w:r>
    </w:p>
    <w:p w14:paraId="3B99A9A6">
      <w:pPr>
        <w:pStyle w:val="23"/>
        <w:adjustRightInd w:val="0"/>
        <w:snapToGrid w:val="0"/>
        <w:spacing w:before="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（2）采用中华人民共和国法定计量单位。</w:t>
      </w:r>
    </w:p>
    <w:p w14:paraId="5C78F20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（3）乙方所提供的服务还应符合国家有关安全、环保、卫生等规定。</w:t>
      </w:r>
    </w:p>
    <w:p w14:paraId="5780BDF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9.2 保证</w:t>
      </w:r>
    </w:p>
    <w:p w14:paraId="0A00858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规定或乙方承诺（两者以较长的为准）的质量保证期内，本保证保持有效。</w:t>
      </w:r>
    </w:p>
    <w:p w14:paraId="7226094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（2）在质量保证期内所发现的缺陷，甲方应尽快以书面形式通知乙方。</w:t>
      </w:r>
    </w:p>
    <w:p w14:paraId="54D4E36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（3）乙方收到通知后应在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规定的响应时间内以合理的速度免费维修或更换有缺陷的货物或部件。</w:t>
      </w:r>
    </w:p>
    <w:p w14:paraId="5AB9E22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2272C860">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（5）乙方在约定的时间内未能弥补缺陷，甲方可采取必要的补救措施，但其风险和费用将由乙方承担，甲方根据合同规定对乙方行使的其他权利不受影响。</w:t>
      </w:r>
    </w:p>
    <w:p w14:paraId="5F63D346">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10.权利瑕疵担保</w:t>
      </w:r>
    </w:p>
    <w:p w14:paraId="1D2A66C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 乙方保证对其出售的服务享有合法的权利。</w:t>
      </w:r>
    </w:p>
    <w:p w14:paraId="1D3ACCB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 乙方保证在其出售的服务上不存在任何未曾向甲方透露的担保物权，如抵押权、质押权、留置权等。</w:t>
      </w:r>
    </w:p>
    <w:p w14:paraId="7DBA38C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 如甲方使用该服务构成上述侵权的，则由乙方承担全部责任。</w:t>
      </w:r>
    </w:p>
    <w:p w14:paraId="2B71F3AE">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11.知识产权保护</w:t>
      </w:r>
    </w:p>
    <w:p w14:paraId="7037887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 乙方对其所提供的服务应当享有知识产权或经权利人合法授权，保证没有侵犯任何第三人的知识产权和商业秘密等权利。</w:t>
      </w:r>
    </w:p>
    <w:p w14:paraId="3691F51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 甲方使用乙方提供的服务对第三人构成侵权的，应当由乙方承担全部法律责任，给甲方造成损害的，乙方应当承担赔偿责任。</w:t>
      </w:r>
    </w:p>
    <w:p w14:paraId="2950331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 甲方委托乙方开发的产品，甲方享有知识产权，未经甲方许可不得转让任何第三人。</w:t>
      </w:r>
    </w:p>
    <w:p w14:paraId="59C39E3A">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12.保密义务</w:t>
      </w:r>
    </w:p>
    <w:p w14:paraId="7023C9D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 甲、乙双方在采购和履行合同过程中所获悉的对方属于保密的内容，双方均有保密义务。</w:t>
      </w:r>
    </w:p>
    <w:p w14:paraId="2A23DAE8">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13.合同价款支付</w:t>
      </w:r>
    </w:p>
    <w:p w14:paraId="05EC5275">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13.1验收合格后，乙方出具正规发票给甲方，凭甲方开具的《政府采购合同验收报告单》办理合同价</w:t>
      </w:r>
      <w:r>
        <w:rPr>
          <w:rFonts w:hint="eastAsia" w:ascii="宋体" w:hAnsi="宋体" w:eastAsia="宋体" w:cs="宋体"/>
          <w:bCs/>
          <w:color w:val="auto"/>
          <w:szCs w:val="21"/>
          <w:highlight w:val="none"/>
        </w:rPr>
        <w:t>款</w:t>
      </w:r>
      <w:r>
        <w:rPr>
          <w:rFonts w:hint="eastAsia" w:ascii="宋体" w:hAnsi="宋体" w:eastAsia="宋体" w:cs="宋体"/>
          <w:color w:val="auto"/>
          <w:szCs w:val="21"/>
          <w:highlight w:val="none"/>
        </w:rPr>
        <w:t>结算手续。</w:t>
      </w:r>
    </w:p>
    <w:p w14:paraId="1A8294D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754CD10A">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 合同价款构成中应当由甲方自行支付的部分，甲方应当在货物验收合格后十五个工作</w:t>
      </w:r>
      <w:r>
        <w:rPr>
          <w:rFonts w:hint="eastAsia" w:ascii="宋体" w:hAnsi="宋体" w:cs="宋体"/>
          <w:color w:val="auto"/>
          <w:szCs w:val="21"/>
          <w:highlight w:val="none"/>
          <w:lang w:val="en-US" w:eastAsia="zh-CN"/>
        </w:rPr>
        <w:t>日</w:t>
      </w:r>
      <w:r>
        <w:rPr>
          <w:rFonts w:hint="eastAsia" w:ascii="宋体" w:hAnsi="宋体" w:eastAsia="宋体" w:cs="宋体"/>
          <w:color w:val="auto"/>
          <w:szCs w:val="21"/>
          <w:highlight w:val="none"/>
        </w:rPr>
        <w:t>内支付。</w:t>
      </w:r>
    </w:p>
    <w:p w14:paraId="5B761570">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13.4支付合同价</w:t>
      </w:r>
      <w:r>
        <w:rPr>
          <w:rFonts w:hint="eastAsia" w:ascii="宋体" w:hAnsi="宋体" w:eastAsia="宋体" w:cs="宋体"/>
          <w:bCs/>
          <w:color w:val="auto"/>
          <w:szCs w:val="21"/>
          <w:highlight w:val="none"/>
        </w:rPr>
        <w:t>款</w:t>
      </w:r>
      <w:r>
        <w:rPr>
          <w:rFonts w:hint="eastAsia" w:ascii="宋体" w:hAnsi="宋体" w:eastAsia="宋体" w:cs="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264C262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 合同价款支付方式</w:t>
      </w:r>
      <w:r>
        <w:rPr>
          <w:rFonts w:hint="eastAsia" w:ascii="宋体" w:hAnsi="宋体" w:eastAsia="宋体" w:cs="宋体"/>
          <w:bCs/>
          <w:color w:val="auto"/>
          <w:szCs w:val="21"/>
          <w:highlight w:val="none"/>
        </w:rPr>
        <w:t>和条件在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中另有规定。</w:t>
      </w:r>
    </w:p>
    <w:p w14:paraId="3306855E">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14.</w:t>
      </w:r>
      <w:r>
        <w:rPr>
          <w:rFonts w:hint="eastAsia" w:ascii="宋体" w:hAnsi="宋体" w:eastAsia="宋体" w:cs="宋体"/>
          <w:b/>
          <w:color w:val="auto"/>
          <w:sz w:val="24"/>
          <w:highlight w:val="none"/>
        </w:rPr>
        <w:t>乙方应提供的服务</w:t>
      </w:r>
    </w:p>
    <w:p w14:paraId="06EA959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5303D0C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 乙方还应提供下列服务：</w:t>
      </w:r>
    </w:p>
    <w:p w14:paraId="2B98ED9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（1）货物的现场移动、安装、调试、启动监督及技术支持；</w:t>
      </w:r>
    </w:p>
    <w:p w14:paraId="7A59F36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（2）提供货物组装和维修所需的专用工具和辅助材料；</w:t>
      </w:r>
    </w:p>
    <w:p w14:paraId="5281889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（3）在合同各方商定的一定期限内对所有的货物实施运行监督、维修，但前提条件是该服务并不能免除乙方在质量保证期内所承担的义务；</w:t>
      </w:r>
    </w:p>
    <w:p w14:paraId="1871FB0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（4）在制造商或项目现场就货物的安装、启动、运营、维护对甲方操作人员进行培训；</w:t>
      </w:r>
    </w:p>
    <w:p w14:paraId="704AA79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规定由乙方提供的其他服务。</w:t>
      </w:r>
    </w:p>
    <w:p w14:paraId="778D638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14.3 乙方提供的服务的费用应包含在合同价款中，甲方不再另行支付。</w:t>
      </w:r>
    </w:p>
    <w:p w14:paraId="013B98DF">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15.违约责任</w:t>
      </w:r>
    </w:p>
    <w:p w14:paraId="64073C4F">
      <w:pPr>
        <w:adjustRightInd w:val="0"/>
        <w:snapToGrid w:val="0"/>
        <w:spacing w:before="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15.1质量瑕疵的补救措施和索赔</w:t>
      </w:r>
    </w:p>
    <w:p w14:paraId="51C3F44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果乙方提供的服务或产品不符合质量标准或存在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611D9A3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①乙方同意退货并将货款退还给甲方，由此发生的一切费用和损失由乙方承担。</w:t>
      </w:r>
    </w:p>
    <w:p w14:paraId="7A2A2300">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②根据货物的质量状况以及甲方所遭受的损失，经过甲乙双方商定降低货物的价格。</w:t>
      </w:r>
    </w:p>
    <w:p w14:paraId="5D7475A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0BE6349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如不足以弥补甲方损失的，甲方有权进一步要求乙方赔偿。</w:t>
      </w:r>
    </w:p>
    <w:p w14:paraId="7DB25AE0">
      <w:pPr>
        <w:autoSpaceDE w:val="0"/>
        <w:autoSpaceDN w:val="0"/>
        <w:adjustRightInd w:val="0"/>
        <w:snapToGrid w:val="0"/>
        <w:spacing w:before="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15.2 迟延交付服务的违约责任</w:t>
      </w:r>
    </w:p>
    <w:p w14:paraId="65B953B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5D7E260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（2）除本合同</w:t>
      </w:r>
      <w:r>
        <w:rPr>
          <w:rFonts w:hint="eastAsia" w:ascii="宋体" w:hAnsi="宋体" w:eastAsia="宋体" w:cs="宋体"/>
          <w:bCs/>
          <w:color w:val="auto"/>
          <w:szCs w:val="21"/>
          <w:highlight w:val="none"/>
        </w:rPr>
        <w:t>第20条</w:t>
      </w:r>
      <w:r>
        <w:rPr>
          <w:rFonts w:hint="eastAsia" w:ascii="宋体" w:hAnsi="宋体" w:eastAsia="宋体" w:cs="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0D032BD6">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6DC5399D">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16.合同的变更</w:t>
      </w:r>
    </w:p>
    <w:p w14:paraId="55A6D50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 在合同履行过程中，甲、乙双方可就合同履行的时间、地点和方式等协商进行变更。协商一致后，双方应签订书面的补充协议。</w:t>
      </w:r>
    </w:p>
    <w:p w14:paraId="1747754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591D7E5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 除双方签署书面协议，并成为合同不可分割的一部分外，本合同条件不得有任何变更。</w:t>
      </w:r>
    </w:p>
    <w:p w14:paraId="13FC99C2">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17.合同中止与终止</w:t>
      </w:r>
    </w:p>
    <w:p w14:paraId="43417259">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17.1合同的中止</w:t>
      </w:r>
    </w:p>
    <w:p w14:paraId="74D10C9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（1）合同在履行过程中，因采购计划调整，甲方可以要求中止履行，待计划确定后继续履行；</w:t>
      </w:r>
    </w:p>
    <w:p w14:paraId="05B4BF3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（2）合同履行过程中因供应商就采购过程或结果提起投诉的，甲方认为有必要或财政部门责令中止的，应当中止合同的履行。</w:t>
      </w:r>
    </w:p>
    <w:p w14:paraId="2CEA59D4">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17.2合同的终止</w:t>
      </w:r>
    </w:p>
    <w:p w14:paraId="24143A97">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（1）合同因有效期限届满而终止；</w:t>
      </w:r>
    </w:p>
    <w:p w14:paraId="68CCB2D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（2）乙方未能依照本合同约定条件履行合同，已构成根本性违约的，甲方有权终止本合同，并追究乙方的违约责任。</w:t>
      </w:r>
    </w:p>
    <w:p w14:paraId="0638831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（3）如果乙方丧失履约能力或被宣告破产，甲方可在任何时候以书面形式通知乙方终止合同而不给乙方补偿。</w:t>
      </w:r>
    </w:p>
    <w:p w14:paraId="72F4875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（4）如果乙方在履行合同过程中有不正当竞争行为，甲方有权解除合同，并按《中华人民共和国反不正当竞争法》规定由有关部门追究其法律责任。</w:t>
      </w:r>
    </w:p>
    <w:p w14:paraId="7638C9C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（5）如果合同的履行将损害国家利益或社会公共利益，甲方有权终止合同的履行，给乙方造成损失的予以相应补偿。</w:t>
      </w:r>
    </w:p>
    <w:p w14:paraId="16EE227C">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18.合同转让和分包</w:t>
      </w:r>
    </w:p>
    <w:p w14:paraId="51A3412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乙方不得以任何形式将合同转包。</w:t>
      </w:r>
    </w:p>
    <w:p w14:paraId="2BE3BDE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 乙方未在投标文件中说明，不得将</w:t>
      </w:r>
      <w:r>
        <w:rPr>
          <w:rFonts w:hint="eastAsia" w:ascii="宋体" w:hAnsi="宋体" w:eastAsia="宋体" w:cs="宋体"/>
          <w:bCs/>
          <w:color w:val="auto"/>
          <w:szCs w:val="21"/>
          <w:highlight w:val="none"/>
        </w:rPr>
        <w:t>合同</w:t>
      </w:r>
      <w:r>
        <w:rPr>
          <w:rFonts w:hint="eastAsia" w:ascii="宋体" w:hAnsi="宋体" w:eastAsia="宋体" w:cs="宋体"/>
          <w:color w:val="auto"/>
          <w:szCs w:val="21"/>
          <w:highlight w:val="none"/>
        </w:rPr>
        <w:t>的非主体、非关键性工作分包给他人。</w:t>
      </w:r>
    </w:p>
    <w:p w14:paraId="319E8364">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19.不可抗力</w:t>
      </w:r>
    </w:p>
    <w:p w14:paraId="50962E9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 不可抗力是指合同双方不可预见、不可避免、不可克服的自然灾害和社会事件。</w:t>
      </w:r>
    </w:p>
    <w:p w14:paraId="338FA62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19.2 任何一方对由于不可抗力造成的部分或全部不能履行合同不承担违约责任。但迟延履行后发生不可抗力的，不能免除责任。</w:t>
      </w:r>
    </w:p>
    <w:p w14:paraId="1BD5C67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1F74023C">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20.解决争议的方法</w:t>
      </w:r>
    </w:p>
    <w:p w14:paraId="4726EC6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 合同各方应通过友好协商，解决在执行合同过程中所发生的或与合同有关的一切争端。如从协商开始后十日内仍不能解决，可以向财政部门提请调解。</w:t>
      </w:r>
    </w:p>
    <w:p w14:paraId="59539C70">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调解不成可以按</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中约定中规定下列方式之一提起仲裁或诉讼：</w:t>
      </w:r>
    </w:p>
    <w:p w14:paraId="7410A5A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（1）向甲方所在地仲裁机构提起仲裁；</w:t>
      </w:r>
    </w:p>
    <w:p w14:paraId="3FE9F19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（2）向甲方所在地人民法院提起诉讼。</w:t>
      </w:r>
    </w:p>
    <w:p w14:paraId="52B00C9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如仲裁或诉讼事项不影响合同其它部分的履行，则在仲裁或诉讼期间，除正在进行仲裁或诉讼的部分外，合同的其它部分应继续执行。</w:t>
      </w:r>
    </w:p>
    <w:p w14:paraId="3D2A467D">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21.法律适用</w:t>
      </w:r>
    </w:p>
    <w:p w14:paraId="2790B8A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 本合同适用中华人民共和国现行法律、行政法规和规章，如合同条款与法律、行政法规和规章不一致的，按照法律、行政法规和规章修改本合同。</w:t>
      </w:r>
    </w:p>
    <w:p w14:paraId="0D99199B">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22.</w:t>
      </w:r>
      <w:r>
        <w:rPr>
          <w:rFonts w:hint="eastAsia" w:ascii="宋体" w:hAnsi="宋体" w:eastAsia="宋体" w:cs="宋体"/>
          <w:b/>
          <w:color w:val="auto"/>
          <w:sz w:val="24"/>
          <w:highlight w:val="none"/>
        </w:rPr>
        <w:t>通知</w:t>
      </w:r>
    </w:p>
    <w:p w14:paraId="51CFAC68">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22.1本合同一方给另一方的通知均应采用书面形式，传真或快递送到本合同中规定的对方的地址和办理签收手续，</w:t>
      </w:r>
    </w:p>
    <w:p w14:paraId="5497E69D">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22.2通知以送到之日或通知书中规定的生效之日起生效，两者中以较迟之日为准。</w:t>
      </w:r>
    </w:p>
    <w:p w14:paraId="14BAF074">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合同未尽事项</w:t>
      </w:r>
    </w:p>
    <w:p w14:paraId="44C19F07">
      <w:pPr>
        <w:adjustRightInd w:val="0"/>
        <w:snapToGrid w:val="0"/>
        <w:spacing w:before="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23.1合同未尽事项见</w:t>
      </w:r>
      <w:r>
        <w:rPr>
          <w:rFonts w:hint="eastAsia" w:ascii="宋体" w:hAnsi="宋体" w:eastAsia="宋体" w:cs="宋体"/>
          <w:b/>
          <w:color w:val="auto"/>
          <w:szCs w:val="21"/>
          <w:highlight w:val="none"/>
        </w:rPr>
        <w:t>【政府采购合同专用条款】。</w:t>
      </w:r>
    </w:p>
    <w:p w14:paraId="6F33180F">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24.合同生效</w:t>
      </w:r>
    </w:p>
    <w:p w14:paraId="06E68387">
      <w:pPr>
        <w:rPr>
          <w:rFonts w:hint="eastAsia" w:ascii="宋体" w:hAnsi="宋体" w:eastAsia="宋体" w:cs="宋体"/>
          <w:color w:val="auto"/>
          <w:highlight w:val="none"/>
        </w:rPr>
      </w:pPr>
      <w:bookmarkStart w:id="171" w:name="_Toc18579"/>
      <w:r>
        <w:rPr>
          <w:rFonts w:hint="eastAsia" w:ascii="宋体" w:hAnsi="宋体" w:eastAsia="宋体" w:cs="宋体"/>
          <w:color w:val="auto"/>
          <w:highlight w:val="none"/>
        </w:rPr>
        <w:t>24.1 本合同在合同双方签字盖章后生效。</w:t>
      </w:r>
      <w:bookmarkEnd w:id="171"/>
    </w:p>
    <w:p w14:paraId="549F92C6">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5976817">
      <w:pPr>
        <w:pStyle w:val="3"/>
        <w:bidi w:val="0"/>
        <w:jc w:val="center"/>
        <w:rPr>
          <w:rFonts w:hint="eastAsia" w:ascii="宋体" w:hAnsi="宋体" w:eastAsia="宋体" w:cs="宋体"/>
          <w:color w:val="auto"/>
          <w:sz w:val="28"/>
          <w:szCs w:val="28"/>
          <w:highlight w:val="none"/>
        </w:rPr>
      </w:pPr>
      <w:bookmarkStart w:id="172" w:name="_Toc8629"/>
      <w:r>
        <w:rPr>
          <w:rFonts w:hint="eastAsia" w:ascii="宋体" w:hAnsi="宋体" w:eastAsia="宋体" w:cs="宋体"/>
          <w:color w:val="auto"/>
          <w:sz w:val="28"/>
          <w:szCs w:val="28"/>
          <w:highlight w:val="none"/>
        </w:rPr>
        <w:t>第三节 政府采购合同专用条款</w:t>
      </w:r>
      <w:bookmarkEnd w:id="172"/>
    </w:p>
    <w:tbl>
      <w:tblPr>
        <w:tblStyle w:val="44"/>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255DDA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55796FAA">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015A155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第1.1款</w:t>
            </w:r>
          </w:p>
        </w:tc>
        <w:tc>
          <w:tcPr>
            <w:tcW w:w="1843" w:type="dxa"/>
            <w:noWrap w:val="0"/>
            <w:vAlign w:val="center"/>
          </w:tcPr>
          <w:p w14:paraId="336F5BD3">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甲方名称、地址 </w:t>
            </w:r>
          </w:p>
        </w:tc>
        <w:tc>
          <w:tcPr>
            <w:tcW w:w="5464" w:type="dxa"/>
            <w:noWrap w:val="0"/>
            <w:vAlign w:val="center"/>
          </w:tcPr>
          <w:p w14:paraId="03524523">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名称：</w:t>
            </w:r>
            <w:r>
              <w:rPr>
                <w:rFonts w:hint="eastAsia" w:cs="Times New Roman"/>
                <w:b w:val="0"/>
                <w:color w:val="auto"/>
                <w:kern w:val="2"/>
                <w:sz w:val="21"/>
                <w:szCs w:val="24"/>
                <w:highlight w:val="none"/>
                <w:lang w:val="en-US" w:eastAsia="zh-CN" w:bidi="ar-SA"/>
              </w:rPr>
              <w:t>郴州市住房保障服务中心</w:t>
            </w:r>
          </w:p>
          <w:p w14:paraId="6AC6BBD0">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地址：采购人指定地点</w:t>
            </w:r>
          </w:p>
        </w:tc>
      </w:tr>
      <w:tr w14:paraId="238109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68076246">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24B460F4">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第1.2（6）项</w:t>
            </w:r>
          </w:p>
        </w:tc>
        <w:tc>
          <w:tcPr>
            <w:tcW w:w="1843" w:type="dxa"/>
            <w:noWrap w:val="0"/>
            <w:vAlign w:val="center"/>
          </w:tcPr>
          <w:p w14:paraId="677A6EC5">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项目现场</w:t>
            </w:r>
          </w:p>
        </w:tc>
        <w:tc>
          <w:tcPr>
            <w:tcW w:w="5464" w:type="dxa"/>
            <w:noWrap w:val="0"/>
            <w:vAlign w:val="center"/>
          </w:tcPr>
          <w:p w14:paraId="1FA2B40E">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采购人指定地点</w:t>
            </w:r>
          </w:p>
        </w:tc>
      </w:tr>
      <w:tr w14:paraId="0F9BA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6472878E">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7F23F10C">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第5.1款</w:t>
            </w:r>
          </w:p>
        </w:tc>
        <w:tc>
          <w:tcPr>
            <w:tcW w:w="1843" w:type="dxa"/>
            <w:noWrap w:val="0"/>
            <w:vAlign w:val="center"/>
          </w:tcPr>
          <w:p w14:paraId="4B23B568">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履行合同的时间、地点及方式</w:t>
            </w:r>
          </w:p>
        </w:tc>
        <w:tc>
          <w:tcPr>
            <w:tcW w:w="5464" w:type="dxa"/>
            <w:noWrap w:val="0"/>
            <w:vAlign w:val="center"/>
          </w:tcPr>
          <w:p w14:paraId="299BEDD9">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履行合同的时间：详见第五章采购需求</w:t>
            </w:r>
          </w:p>
          <w:p w14:paraId="15B5AD8B">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地点及方式：详见第五章采购需求</w:t>
            </w:r>
          </w:p>
        </w:tc>
      </w:tr>
      <w:tr w14:paraId="7A879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45D965F4">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5574CC0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第9.2（1）项</w:t>
            </w:r>
          </w:p>
        </w:tc>
        <w:tc>
          <w:tcPr>
            <w:tcW w:w="1843" w:type="dxa"/>
            <w:noWrap w:val="0"/>
            <w:vAlign w:val="center"/>
          </w:tcPr>
          <w:p w14:paraId="79CA6DBA">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质量保证期</w:t>
            </w:r>
          </w:p>
        </w:tc>
        <w:tc>
          <w:tcPr>
            <w:tcW w:w="5464" w:type="dxa"/>
            <w:noWrap w:val="0"/>
            <w:vAlign w:val="center"/>
          </w:tcPr>
          <w:p w14:paraId="46C8C7D3">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详见第五章采购需求</w:t>
            </w:r>
          </w:p>
        </w:tc>
      </w:tr>
      <w:tr w14:paraId="4A1D68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60EFB64E">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1F182382">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第9.2（3）项</w:t>
            </w:r>
          </w:p>
        </w:tc>
        <w:tc>
          <w:tcPr>
            <w:tcW w:w="1843" w:type="dxa"/>
            <w:noWrap w:val="0"/>
            <w:vAlign w:val="center"/>
          </w:tcPr>
          <w:p w14:paraId="0205D1BE">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响应时间</w:t>
            </w:r>
          </w:p>
        </w:tc>
        <w:tc>
          <w:tcPr>
            <w:tcW w:w="5464" w:type="dxa"/>
            <w:noWrap w:val="0"/>
            <w:vAlign w:val="center"/>
          </w:tcPr>
          <w:p w14:paraId="46623365">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详见第五章采购需求</w:t>
            </w:r>
          </w:p>
        </w:tc>
      </w:tr>
      <w:tr w14:paraId="7B6541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5689F30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4C072C8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第13.5款</w:t>
            </w:r>
          </w:p>
        </w:tc>
        <w:tc>
          <w:tcPr>
            <w:tcW w:w="1843" w:type="dxa"/>
            <w:noWrap w:val="0"/>
            <w:vAlign w:val="center"/>
          </w:tcPr>
          <w:p w14:paraId="0F994945">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464" w:type="dxa"/>
            <w:noWrap w:val="0"/>
            <w:vAlign w:val="center"/>
          </w:tcPr>
          <w:p w14:paraId="1B258583">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详见第五章采购需求</w:t>
            </w:r>
          </w:p>
        </w:tc>
      </w:tr>
      <w:tr w14:paraId="0161CE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433650D1">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39E7089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第14.2（6）项</w:t>
            </w:r>
          </w:p>
        </w:tc>
        <w:tc>
          <w:tcPr>
            <w:tcW w:w="1843" w:type="dxa"/>
            <w:noWrap w:val="0"/>
            <w:vAlign w:val="center"/>
          </w:tcPr>
          <w:p w14:paraId="2771896B">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5464" w:type="dxa"/>
            <w:noWrap w:val="0"/>
            <w:vAlign w:val="center"/>
          </w:tcPr>
          <w:p w14:paraId="51F77B4C">
            <w:pPr>
              <w:adjustRightInd w:val="0"/>
              <w:snapToGrid w:val="0"/>
              <w:spacing w:line="360" w:lineRule="auto"/>
              <w:jc w:val="left"/>
              <w:rPr>
                <w:rFonts w:hint="default"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详见第五章采购需求</w:t>
            </w:r>
            <w:r>
              <w:rPr>
                <w:rFonts w:hint="eastAsia" w:cs="Times New Roman"/>
                <w:b w:val="0"/>
                <w:color w:val="auto"/>
                <w:kern w:val="2"/>
                <w:sz w:val="21"/>
                <w:szCs w:val="24"/>
                <w:highlight w:val="none"/>
                <w:lang w:val="en-US" w:eastAsia="zh-CN" w:bidi="ar-SA"/>
              </w:rPr>
              <w:t>，具体的</w:t>
            </w:r>
            <w:r>
              <w:rPr>
                <w:rFonts w:hint="eastAsia" w:ascii="Times New Roman" w:hAnsi="Times New Roman" w:eastAsia="宋体" w:cs="Times New Roman"/>
                <w:b w:val="0"/>
                <w:color w:val="auto"/>
                <w:kern w:val="2"/>
                <w:sz w:val="21"/>
                <w:szCs w:val="24"/>
                <w:highlight w:val="none"/>
                <w:lang w:val="en-US" w:eastAsia="zh-CN" w:bidi="ar-SA"/>
              </w:rPr>
              <w:t>合同中约定</w:t>
            </w:r>
            <w:r>
              <w:rPr>
                <w:rFonts w:hint="eastAsia" w:cs="Times New Roman"/>
                <w:b w:val="0"/>
                <w:color w:val="auto"/>
                <w:kern w:val="2"/>
                <w:sz w:val="21"/>
                <w:szCs w:val="24"/>
                <w:highlight w:val="none"/>
                <w:lang w:val="en-US" w:eastAsia="zh-CN" w:bidi="ar-SA"/>
              </w:rPr>
              <w:t>。</w:t>
            </w:r>
          </w:p>
        </w:tc>
      </w:tr>
      <w:tr w14:paraId="720557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6F603CC3">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1AC12AC8">
            <w:pPr>
              <w:adjustRightInd w:val="0"/>
              <w:snapToGrid w:val="0"/>
              <w:spacing w:line="360" w:lineRule="auto"/>
              <w:jc w:val="center"/>
              <w:rPr>
                <w:rFonts w:ascii="宋体" w:hAnsi="宋体"/>
                <w:bCs/>
                <w:color w:val="auto"/>
                <w:szCs w:val="21"/>
                <w:highlight w:val="none"/>
              </w:rPr>
            </w:pPr>
            <w:r>
              <w:rPr>
                <w:rFonts w:hint="eastAsia" w:ascii="宋体" w:hAnsi="宋体"/>
                <w:color w:val="auto"/>
                <w:szCs w:val="21"/>
                <w:highlight w:val="none"/>
              </w:rPr>
              <w:t>第20.2款</w:t>
            </w:r>
          </w:p>
        </w:tc>
        <w:tc>
          <w:tcPr>
            <w:tcW w:w="1843" w:type="dxa"/>
            <w:noWrap w:val="0"/>
            <w:vAlign w:val="center"/>
          </w:tcPr>
          <w:p w14:paraId="78AF5D72">
            <w:pPr>
              <w:adjustRightInd w:val="0"/>
              <w:snapToGrid w:val="0"/>
              <w:spacing w:line="360" w:lineRule="auto"/>
              <w:jc w:val="left"/>
              <w:rPr>
                <w:rFonts w:ascii="宋体" w:hAnsi="宋体"/>
                <w:bCs/>
                <w:color w:val="auto"/>
                <w:szCs w:val="21"/>
                <w:highlight w:val="none"/>
              </w:rPr>
            </w:pPr>
            <w:r>
              <w:rPr>
                <w:rFonts w:hint="eastAsia" w:ascii="宋体" w:hAnsi="宋体"/>
                <w:color w:val="auto"/>
                <w:szCs w:val="21"/>
                <w:highlight w:val="none"/>
              </w:rPr>
              <w:t>解决争议的方式</w:t>
            </w:r>
          </w:p>
        </w:tc>
        <w:tc>
          <w:tcPr>
            <w:tcW w:w="5464" w:type="dxa"/>
            <w:noWrap w:val="0"/>
            <w:vAlign w:val="center"/>
          </w:tcPr>
          <w:p w14:paraId="7C821167">
            <w:pPr>
              <w:adjustRightInd w:val="0"/>
              <w:snapToGrid w:val="0"/>
              <w:spacing w:line="360" w:lineRule="auto"/>
              <w:jc w:val="left"/>
              <w:rPr>
                <w:rFonts w:hint="eastAsia" w:ascii="Times New Roman" w:hAnsi="Times New Roman" w:eastAsia="宋体" w:cs="Times New Roman"/>
                <w:b w:val="0"/>
                <w:color w:val="auto"/>
                <w:kern w:val="2"/>
                <w:sz w:val="21"/>
                <w:szCs w:val="24"/>
                <w:highlight w:val="none"/>
                <w:lang w:val="en-US" w:eastAsia="zh-CN" w:bidi="ar-SA"/>
              </w:rPr>
            </w:pPr>
            <w:r>
              <w:rPr>
                <w:rFonts w:hint="eastAsia" w:cs="Times New Roman"/>
                <w:b w:val="0"/>
                <w:color w:val="auto"/>
                <w:kern w:val="2"/>
                <w:sz w:val="21"/>
                <w:szCs w:val="24"/>
                <w:highlight w:val="none"/>
                <w:lang w:val="en-US" w:eastAsia="zh-CN" w:bidi="ar-SA"/>
              </w:rPr>
              <w:t>具体的</w:t>
            </w:r>
            <w:r>
              <w:rPr>
                <w:rFonts w:hint="eastAsia" w:ascii="Times New Roman" w:hAnsi="Times New Roman" w:eastAsia="宋体" w:cs="Times New Roman"/>
                <w:b w:val="0"/>
                <w:color w:val="auto"/>
                <w:kern w:val="2"/>
                <w:sz w:val="21"/>
                <w:szCs w:val="24"/>
                <w:highlight w:val="none"/>
                <w:lang w:val="en-US" w:eastAsia="zh-CN" w:bidi="ar-SA"/>
              </w:rPr>
              <w:t>合同中约定</w:t>
            </w:r>
            <w:r>
              <w:rPr>
                <w:rFonts w:hint="eastAsia" w:cs="Times New Roman"/>
                <w:b w:val="0"/>
                <w:color w:val="auto"/>
                <w:kern w:val="2"/>
                <w:sz w:val="21"/>
                <w:szCs w:val="24"/>
                <w:highlight w:val="none"/>
                <w:lang w:val="en-US" w:eastAsia="zh-CN" w:bidi="ar-SA"/>
              </w:rPr>
              <w:t>。</w:t>
            </w:r>
          </w:p>
        </w:tc>
      </w:tr>
      <w:tr w14:paraId="0F4785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1E117F79">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71AF62A3">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第23.1款</w:t>
            </w:r>
          </w:p>
        </w:tc>
        <w:tc>
          <w:tcPr>
            <w:tcW w:w="1843" w:type="dxa"/>
            <w:noWrap w:val="0"/>
            <w:vAlign w:val="center"/>
          </w:tcPr>
          <w:p w14:paraId="0FB3066D">
            <w:pPr>
              <w:adjustRightInd w:val="0"/>
              <w:snapToGrid w:val="0"/>
              <w:spacing w:line="360" w:lineRule="auto"/>
              <w:jc w:val="left"/>
              <w:rPr>
                <w:rFonts w:ascii="宋体" w:hAnsi="宋体"/>
                <w:color w:val="auto"/>
                <w:szCs w:val="21"/>
                <w:highlight w:val="none"/>
              </w:rPr>
            </w:pPr>
            <w:r>
              <w:rPr>
                <w:rFonts w:hint="eastAsia" w:ascii="宋体" w:hAnsi="宋体"/>
                <w:bCs/>
                <w:color w:val="auto"/>
                <w:szCs w:val="21"/>
                <w:highlight w:val="none"/>
              </w:rPr>
              <w:t>合同未尽事项</w:t>
            </w:r>
          </w:p>
        </w:tc>
        <w:tc>
          <w:tcPr>
            <w:tcW w:w="5464" w:type="dxa"/>
            <w:noWrap w:val="0"/>
            <w:vAlign w:val="center"/>
          </w:tcPr>
          <w:p w14:paraId="5E49198C">
            <w:pPr>
              <w:pStyle w:val="43"/>
              <w:ind w:left="0" w:leftChars="0" w:firstLine="0" w:firstLineChars="0"/>
              <w:rPr>
                <w:rFonts w:hint="eastAsia" w:ascii="Times New Roman" w:hAnsi="Times New Roman" w:eastAsia="宋体" w:cs="Times New Roman"/>
                <w:b w:val="0"/>
                <w:color w:val="auto"/>
                <w:kern w:val="2"/>
                <w:sz w:val="21"/>
                <w:szCs w:val="24"/>
                <w:highlight w:val="none"/>
                <w:lang w:val="en-US" w:eastAsia="zh-CN" w:bidi="ar-SA"/>
              </w:rPr>
            </w:pPr>
            <w:r>
              <w:rPr>
                <w:rFonts w:hint="eastAsia" w:ascii="Times New Roman" w:hAnsi="Times New Roman" w:eastAsia="宋体" w:cs="Times New Roman"/>
                <w:b w:val="0"/>
                <w:color w:val="auto"/>
                <w:kern w:val="2"/>
                <w:sz w:val="21"/>
                <w:szCs w:val="24"/>
                <w:highlight w:val="none"/>
                <w:lang w:val="en-US" w:eastAsia="zh-CN" w:bidi="ar-SA"/>
              </w:rPr>
              <w:t>合同中约定</w:t>
            </w:r>
          </w:p>
        </w:tc>
      </w:tr>
    </w:tbl>
    <w:p w14:paraId="1FE02B2C">
      <w:pPr>
        <w:rPr>
          <w:color w:val="auto"/>
          <w:highlight w:val="none"/>
        </w:rPr>
      </w:pPr>
      <w:r>
        <w:rPr>
          <w:rFonts w:hint="eastAsia"/>
          <w:color w:val="auto"/>
          <w:highlight w:val="none"/>
        </w:rPr>
        <w:t>本节内容详见第五章采购需求</w:t>
      </w:r>
    </w:p>
    <w:p w14:paraId="112BFA03">
      <w:pPr>
        <w:jc w:val="center"/>
        <w:rPr>
          <w:rFonts w:hint="eastAsia" w:ascii="宋体" w:hAnsi="宋体" w:eastAsia="宋体" w:cs="宋体"/>
          <w:b/>
          <w:bCs/>
          <w:color w:val="auto"/>
          <w:sz w:val="52"/>
          <w:szCs w:val="30"/>
          <w:highlight w:val="none"/>
        </w:rPr>
      </w:pPr>
      <w:r>
        <w:rPr>
          <w:rFonts w:hint="eastAsia" w:ascii="宋体" w:hAnsi="宋体" w:eastAsia="宋体" w:cs="宋体"/>
          <w:b/>
          <w:bCs/>
          <w:color w:val="auto"/>
          <w:sz w:val="28"/>
          <w:szCs w:val="28"/>
          <w:highlight w:val="none"/>
        </w:rPr>
        <w:br w:type="page"/>
      </w:r>
      <w:bookmarkEnd w:id="170"/>
    </w:p>
    <w:p w14:paraId="07C616F9">
      <w:pPr>
        <w:rPr>
          <w:rFonts w:hint="eastAsia" w:ascii="宋体" w:hAnsi="宋体" w:eastAsia="宋体" w:cs="宋体"/>
          <w:color w:val="auto"/>
          <w:highlight w:val="none"/>
        </w:rPr>
      </w:pPr>
    </w:p>
    <w:p w14:paraId="4317FCD3">
      <w:pPr>
        <w:pStyle w:val="23"/>
        <w:adjustRightInd w:val="0"/>
        <w:snapToGrid w:val="0"/>
        <w:spacing w:line="360" w:lineRule="auto"/>
        <w:jc w:val="center"/>
        <w:outlineLvl w:val="0"/>
        <w:rPr>
          <w:rFonts w:hint="eastAsia" w:ascii="宋体" w:hAnsi="宋体" w:eastAsia="宋体" w:cs="宋体"/>
          <w:b/>
          <w:color w:val="auto"/>
          <w:sz w:val="32"/>
          <w:szCs w:val="32"/>
          <w:highlight w:val="none"/>
        </w:rPr>
      </w:pPr>
      <w:bookmarkStart w:id="173" w:name="_Toc29913948"/>
      <w:bookmarkStart w:id="174" w:name="_Toc18776"/>
      <w:bookmarkStart w:id="175" w:name="_Toc23469"/>
      <w:r>
        <w:rPr>
          <w:rFonts w:hint="eastAsia" w:ascii="宋体" w:hAnsi="宋体" w:eastAsia="宋体" w:cs="宋体"/>
          <w:b/>
          <w:color w:val="auto"/>
          <w:sz w:val="32"/>
          <w:szCs w:val="32"/>
          <w:highlight w:val="none"/>
        </w:rPr>
        <w:t>第七章 投标文件的组成</w:t>
      </w:r>
      <w:bookmarkEnd w:id="173"/>
      <w:bookmarkEnd w:id="174"/>
      <w:bookmarkEnd w:id="175"/>
    </w:p>
    <w:p w14:paraId="3D0704A3">
      <w:pPr>
        <w:adjustRightInd w:val="0"/>
        <w:snapToGrid w:val="0"/>
        <w:spacing w:line="360" w:lineRule="auto"/>
        <w:ind w:left="-88" w:leftChars="-42"/>
        <w:jc w:val="center"/>
        <w:rPr>
          <w:rFonts w:hint="eastAsia" w:ascii="宋体" w:hAnsi="宋体" w:eastAsia="宋体" w:cs="宋体"/>
          <w:b/>
          <w:bCs/>
          <w:color w:val="auto"/>
          <w:sz w:val="32"/>
          <w:highlight w:val="none"/>
        </w:rPr>
      </w:pPr>
    </w:p>
    <w:p w14:paraId="3F3D0C22">
      <w:pPr>
        <w:adjustRightInd w:val="0"/>
        <w:snapToGrid w:val="0"/>
        <w:spacing w:before="156" w:beforeLines="50"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第一部分 资格证明文件</w:t>
      </w:r>
    </w:p>
    <w:p w14:paraId="5DF3AAE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一、开标一览表</w:t>
      </w:r>
    </w:p>
    <w:p w14:paraId="5DDE707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身份证明</w:t>
      </w:r>
    </w:p>
    <w:p w14:paraId="7395997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三、</w:t>
      </w:r>
      <w:r>
        <w:rPr>
          <w:rFonts w:hint="eastAsia" w:ascii="宋体" w:hAnsi="宋体" w:eastAsia="宋体" w:cs="宋体"/>
          <w:color w:val="auto"/>
          <w:szCs w:val="21"/>
          <w:highlight w:val="none"/>
        </w:rPr>
        <w:t>授权委托书</w:t>
      </w:r>
    </w:p>
    <w:p w14:paraId="0CD6C29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四</w:t>
      </w:r>
      <w:r>
        <w:rPr>
          <w:rFonts w:hint="eastAsia" w:ascii="宋体" w:hAnsi="宋体" w:eastAsia="宋体" w:cs="宋体"/>
          <w:color w:val="auto"/>
          <w:szCs w:val="21"/>
          <w:highlight w:val="none"/>
        </w:rPr>
        <w:t>、投标人提供的资格证明文件</w:t>
      </w:r>
    </w:p>
    <w:p w14:paraId="78ADC50F">
      <w:pPr>
        <w:adjustRightInd w:val="0"/>
        <w:snapToGrid w:val="0"/>
        <w:spacing w:before="156" w:beforeLines="50" w:line="360" w:lineRule="auto"/>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 xml:space="preserve">第二部分 </w:t>
      </w:r>
      <w:r>
        <w:rPr>
          <w:rFonts w:hint="eastAsia" w:ascii="宋体" w:hAnsi="宋体" w:eastAsia="宋体" w:cs="宋体"/>
          <w:b/>
          <w:color w:val="auto"/>
          <w:szCs w:val="21"/>
          <w:highlight w:val="none"/>
          <w:lang w:eastAsia="zh-CN"/>
        </w:rPr>
        <w:t>商务和技术文件</w:t>
      </w:r>
    </w:p>
    <w:p w14:paraId="10EDA52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五</w:t>
      </w:r>
      <w:r>
        <w:rPr>
          <w:rFonts w:hint="eastAsia" w:ascii="宋体" w:hAnsi="宋体" w:eastAsia="宋体" w:cs="宋体"/>
          <w:color w:val="auto"/>
          <w:szCs w:val="21"/>
          <w:highlight w:val="none"/>
        </w:rPr>
        <w:t>、投标函</w:t>
      </w:r>
    </w:p>
    <w:p w14:paraId="7BDE4B1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六</w:t>
      </w:r>
      <w:r>
        <w:rPr>
          <w:rFonts w:hint="eastAsia" w:ascii="宋体" w:hAnsi="宋体" w:eastAsia="宋体" w:cs="宋体"/>
          <w:color w:val="auto"/>
          <w:szCs w:val="21"/>
          <w:highlight w:val="none"/>
        </w:rPr>
        <w:t>、分项报价</w:t>
      </w:r>
    </w:p>
    <w:p w14:paraId="1DC4DF3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七</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采购需求响应</w:t>
      </w:r>
    </w:p>
    <w:p w14:paraId="55645AA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、合同条款偏离表</w:t>
      </w:r>
    </w:p>
    <w:p w14:paraId="7F32EFC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九</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采购需求偏离表</w:t>
      </w:r>
    </w:p>
    <w:p w14:paraId="621DEBA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十</w:t>
      </w:r>
      <w:r>
        <w:rPr>
          <w:rFonts w:hint="eastAsia" w:ascii="宋体" w:hAnsi="宋体" w:eastAsia="宋体" w:cs="宋体"/>
          <w:color w:val="auto"/>
          <w:szCs w:val="21"/>
          <w:highlight w:val="none"/>
        </w:rPr>
        <w:t>、享受政府采购政策优惠的证明资料和清单表</w:t>
      </w:r>
    </w:p>
    <w:p w14:paraId="70DB544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val="en-US" w:eastAsia="zh-CN"/>
        </w:rPr>
        <w:t>一</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投标服务（含配套货物）符合招标文件规定的证明文件</w:t>
      </w:r>
    </w:p>
    <w:p w14:paraId="743ABE6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rPr>
        <w:t>、投标人认为需提供的其他资料</w:t>
      </w:r>
    </w:p>
    <w:p w14:paraId="6CAD6CDC">
      <w:pPr>
        <w:adjustRightInd w:val="0"/>
        <w:snapToGrid w:val="0"/>
        <w:spacing w:before="156" w:beforeLines="50"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注：1、投标人应按照电子招标文件格式及投标工具编制资格证明文件，不得将其编制到商务和技术文件中。否则，由于编制失误所产生的后果，由投标人自行承担。</w:t>
      </w:r>
    </w:p>
    <w:p w14:paraId="181148F7">
      <w:pPr>
        <w:adjustRightInd w:val="0"/>
        <w:snapToGrid w:val="0"/>
        <w:spacing w:before="156" w:beforeLines="50"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2、投标人应按照电子招标文件格式及投标工具编制商务和技术及综合评分表相关资料。否则，由于编制失误所产生的后果，由投标人自行承担。</w:t>
      </w:r>
    </w:p>
    <w:p w14:paraId="7B70EC5A">
      <w:pPr>
        <w:adjustRightInd w:val="0"/>
        <w:snapToGrid w:val="0"/>
        <w:spacing w:before="156" w:beforeLines="50" w:line="360" w:lineRule="auto"/>
        <w:ind w:firstLine="422" w:firstLineChars="200"/>
        <w:jc w:val="left"/>
        <w:rPr>
          <w:rFonts w:hint="default"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3.如系统里的投标文件格式与招标文件中格式不一致处以招标文件为准。</w:t>
      </w:r>
    </w:p>
    <w:p w14:paraId="152B768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p>
    <w:p w14:paraId="04327D76">
      <w:pPr>
        <w:adjustRightInd w:val="0"/>
        <w:snapToGrid w:val="0"/>
        <w:spacing w:line="360" w:lineRule="auto"/>
        <w:jc w:val="center"/>
        <w:rPr>
          <w:rFonts w:hint="eastAsia" w:ascii="宋体" w:hAnsi="宋体" w:eastAsia="宋体" w:cs="宋体"/>
          <w:color w:val="auto"/>
          <w:szCs w:val="21"/>
          <w:highlight w:val="none"/>
        </w:rPr>
      </w:pPr>
    </w:p>
    <w:p w14:paraId="5F939EE2">
      <w:pPr>
        <w:adjustRightInd w:val="0"/>
        <w:snapToGrid w:val="0"/>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br w:type="page"/>
      </w:r>
    </w:p>
    <w:p w14:paraId="7CC188DE">
      <w:pPr>
        <w:adjustRightInd w:val="0"/>
        <w:snapToGrid w:val="0"/>
        <w:spacing w:line="360" w:lineRule="auto"/>
        <w:jc w:val="center"/>
        <w:rPr>
          <w:rFonts w:hint="eastAsia" w:ascii="宋体" w:hAnsi="宋体" w:eastAsia="宋体" w:cs="宋体"/>
          <w:color w:val="auto"/>
          <w:sz w:val="32"/>
          <w:szCs w:val="32"/>
          <w:highlight w:val="none"/>
        </w:rPr>
      </w:pPr>
    </w:p>
    <w:p w14:paraId="6CF891AB">
      <w:pPr>
        <w:adjustRightInd w:val="0"/>
        <w:snapToGrid w:val="0"/>
        <w:spacing w:line="360" w:lineRule="auto"/>
        <w:jc w:val="center"/>
        <w:rPr>
          <w:rFonts w:hint="eastAsia" w:ascii="宋体" w:hAnsi="宋体" w:eastAsia="宋体" w:cs="宋体"/>
          <w:color w:val="auto"/>
          <w:sz w:val="32"/>
          <w:szCs w:val="32"/>
          <w:highlight w:val="none"/>
        </w:rPr>
      </w:pPr>
    </w:p>
    <w:p w14:paraId="110EA6F3">
      <w:pPr>
        <w:adjustRightInd w:val="0"/>
        <w:snapToGrid w:val="0"/>
        <w:spacing w:line="360" w:lineRule="auto"/>
        <w:jc w:val="center"/>
        <w:rPr>
          <w:rFonts w:hint="eastAsia" w:ascii="宋体" w:hAnsi="宋体" w:eastAsia="宋体" w:cs="宋体"/>
          <w:color w:val="auto"/>
          <w:sz w:val="32"/>
          <w:szCs w:val="32"/>
          <w:highlight w:val="none"/>
        </w:rPr>
      </w:pPr>
    </w:p>
    <w:p w14:paraId="29494B81">
      <w:pPr>
        <w:pStyle w:val="23"/>
        <w:adjustRightInd w:val="0"/>
        <w:snapToGrid w:val="0"/>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政府采购</w:t>
      </w:r>
      <w:r>
        <w:rPr>
          <w:rFonts w:hint="eastAsia" w:ascii="宋体" w:hAnsi="宋体" w:eastAsia="宋体" w:cs="宋体"/>
          <w:bCs/>
          <w:color w:val="auto"/>
          <w:sz w:val="72"/>
          <w:szCs w:val="72"/>
          <w:highlight w:val="none"/>
          <w:lang w:eastAsia="zh-CN"/>
        </w:rPr>
        <w:t>【郴州电子标】</w:t>
      </w:r>
    </w:p>
    <w:p w14:paraId="7531EA84">
      <w:pPr>
        <w:adjustRightInd w:val="0"/>
        <w:snapToGrid w:val="0"/>
        <w:spacing w:line="360" w:lineRule="auto"/>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投 标 文 件</w:t>
      </w:r>
    </w:p>
    <w:p w14:paraId="553C018A">
      <w:pPr>
        <w:pStyle w:val="3"/>
        <w:adjustRightInd w:val="0"/>
        <w:snapToGrid w:val="0"/>
        <w:jc w:val="center"/>
        <w:rPr>
          <w:rFonts w:hint="eastAsia" w:ascii="宋体" w:hAnsi="宋体" w:eastAsia="宋体" w:cs="宋体"/>
          <w:color w:val="auto"/>
          <w:sz w:val="44"/>
          <w:szCs w:val="44"/>
          <w:highlight w:val="none"/>
        </w:rPr>
      </w:pPr>
      <w:bookmarkStart w:id="176" w:name="_Toc11918"/>
      <w:bookmarkStart w:id="177" w:name="_Toc29913949"/>
      <w:bookmarkStart w:id="178" w:name="_Toc4223"/>
      <w:r>
        <w:rPr>
          <w:rFonts w:hint="eastAsia" w:ascii="宋体" w:hAnsi="宋体" w:eastAsia="宋体" w:cs="宋体"/>
          <w:color w:val="auto"/>
          <w:sz w:val="44"/>
          <w:szCs w:val="44"/>
          <w:highlight w:val="none"/>
        </w:rPr>
        <w:t>第一部分 资格证明文件</w:t>
      </w:r>
      <w:bookmarkEnd w:id="176"/>
      <w:bookmarkEnd w:id="177"/>
      <w:bookmarkEnd w:id="178"/>
    </w:p>
    <w:p w14:paraId="12AB7C6F">
      <w:pPr>
        <w:adjustRightInd w:val="0"/>
        <w:snapToGrid w:val="0"/>
        <w:spacing w:line="360" w:lineRule="auto"/>
        <w:rPr>
          <w:rFonts w:hint="eastAsia" w:ascii="宋体" w:hAnsi="宋体" w:eastAsia="宋体" w:cs="宋体"/>
          <w:b/>
          <w:color w:val="auto"/>
          <w:sz w:val="32"/>
          <w:szCs w:val="32"/>
          <w:highlight w:val="none"/>
        </w:rPr>
      </w:pPr>
    </w:p>
    <w:p w14:paraId="43A00637">
      <w:pPr>
        <w:adjustRightInd w:val="0"/>
        <w:snapToGrid w:val="0"/>
        <w:spacing w:line="360" w:lineRule="auto"/>
        <w:rPr>
          <w:rFonts w:hint="eastAsia" w:ascii="宋体" w:hAnsi="宋体" w:eastAsia="宋体" w:cs="宋体"/>
          <w:b/>
          <w:color w:val="auto"/>
          <w:sz w:val="30"/>
          <w:szCs w:val="30"/>
          <w:highlight w:val="none"/>
        </w:rPr>
      </w:pPr>
      <w:r>
        <w:rPr>
          <w:rFonts w:hint="eastAsia" w:ascii="宋体" w:hAnsi="宋体" w:eastAsia="宋体" w:cs="宋体"/>
          <w:b/>
          <w:color w:val="auto"/>
          <w:sz w:val="32"/>
          <w:szCs w:val="32"/>
          <w:highlight w:val="none"/>
        </w:rPr>
        <w:t xml:space="preserve">                     </w:t>
      </w:r>
    </w:p>
    <w:p w14:paraId="458159EC">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ascii="宋体" w:hAnsi="宋体" w:eastAsia="宋体" w:cs="宋体"/>
          <w:b/>
          <w:bCs/>
          <w:color w:val="auto"/>
          <w:sz w:val="30"/>
          <w:szCs w:val="30"/>
          <w:highlight w:val="none"/>
          <w:lang w:eastAsia="zh-CN"/>
        </w:rPr>
        <w:t>采购项目名称</w:t>
      </w:r>
      <w:r>
        <w:rPr>
          <w:rFonts w:hint="eastAsia" w:ascii="宋体" w:hAnsi="宋体" w:eastAsia="宋体" w:cs="宋体"/>
          <w:b/>
          <w:bCs/>
          <w:color w:val="auto"/>
          <w:sz w:val="30"/>
          <w:szCs w:val="30"/>
          <w:highlight w:val="none"/>
        </w:rPr>
        <w:t>:</w:t>
      </w:r>
      <w:r>
        <w:rPr>
          <w:rFonts w:hint="eastAsia" w:ascii="宋体" w:hAnsi="宋体" w:eastAsia="宋体" w:cs="宋体"/>
          <w:b/>
          <w:bCs/>
          <w:color w:val="auto"/>
          <w:sz w:val="30"/>
          <w:szCs w:val="30"/>
          <w:highlight w:val="none"/>
          <w:u w:val="single"/>
        </w:rPr>
        <w:t xml:space="preserve">                       </w:t>
      </w:r>
    </w:p>
    <w:p w14:paraId="17E5F981">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   购   人：</w:t>
      </w:r>
      <w:r>
        <w:rPr>
          <w:rFonts w:hint="eastAsia" w:ascii="宋体" w:hAnsi="宋体" w:eastAsia="宋体" w:cs="宋体"/>
          <w:b/>
          <w:bCs/>
          <w:color w:val="auto"/>
          <w:sz w:val="30"/>
          <w:szCs w:val="30"/>
          <w:highlight w:val="none"/>
          <w:u w:val="single"/>
        </w:rPr>
        <w:t xml:space="preserve">                       </w:t>
      </w:r>
    </w:p>
    <w:p w14:paraId="748B2E6B">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hAnsi="宋体" w:cs="宋体"/>
          <w:b/>
          <w:bCs/>
          <w:color w:val="auto"/>
          <w:sz w:val="30"/>
          <w:szCs w:val="30"/>
          <w:highlight w:val="none"/>
          <w:lang w:eastAsia="zh-CN"/>
        </w:rPr>
        <w:t>政府采购计划编号</w:t>
      </w:r>
      <w:r>
        <w:rPr>
          <w:rFonts w:hint="eastAsia" w:ascii="宋体" w:hAnsi="宋体" w:eastAsia="宋体" w:cs="宋体"/>
          <w:b/>
          <w:bCs/>
          <w:color w:val="auto"/>
          <w:sz w:val="30"/>
          <w:szCs w:val="30"/>
          <w:highlight w:val="none"/>
        </w:rPr>
        <w:t>:</w:t>
      </w:r>
      <w:r>
        <w:rPr>
          <w:rFonts w:hint="eastAsia" w:ascii="宋体" w:hAnsi="宋体" w:eastAsia="宋体" w:cs="宋体"/>
          <w:b/>
          <w:bCs/>
          <w:color w:val="auto"/>
          <w:sz w:val="30"/>
          <w:szCs w:val="30"/>
          <w:highlight w:val="none"/>
          <w:u w:val="single"/>
        </w:rPr>
        <w:t xml:space="preserve">                       </w:t>
      </w:r>
    </w:p>
    <w:p w14:paraId="0F040D97">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ascii="宋体" w:hAnsi="宋体" w:eastAsia="宋体" w:cs="宋体"/>
          <w:b/>
          <w:bCs/>
          <w:color w:val="auto"/>
          <w:sz w:val="30"/>
          <w:szCs w:val="30"/>
          <w:highlight w:val="none"/>
        </w:rPr>
        <w:t>采购代理机构：</w:t>
      </w:r>
      <w:r>
        <w:rPr>
          <w:rFonts w:hint="eastAsia" w:ascii="宋体" w:hAnsi="宋体" w:eastAsia="宋体" w:cs="宋体"/>
          <w:b/>
          <w:bCs/>
          <w:color w:val="auto"/>
          <w:sz w:val="30"/>
          <w:szCs w:val="30"/>
          <w:highlight w:val="none"/>
          <w:u w:val="single"/>
        </w:rPr>
        <w:t xml:space="preserve">                      </w:t>
      </w:r>
    </w:p>
    <w:p w14:paraId="4B86E01A">
      <w:pPr>
        <w:adjustRightInd w:val="0"/>
        <w:snapToGrid w:val="0"/>
        <w:spacing w:line="360" w:lineRule="auto"/>
        <w:rPr>
          <w:rFonts w:hint="eastAsia" w:ascii="宋体" w:hAnsi="宋体" w:eastAsia="宋体" w:cs="宋体"/>
          <w:color w:val="auto"/>
          <w:sz w:val="30"/>
          <w:szCs w:val="30"/>
          <w:highlight w:val="none"/>
        </w:rPr>
      </w:pPr>
    </w:p>
    <w:p w14:paraId="446666F7">
      <w:pPr>
        <w:adjustRightInd w:val="0"/>
        <w:snapToGrid w:val="0"/>
        <w:rPr>
          <w:rFonts w:hint="eastAsia" w:ascii="宋体" w:hAnsi="宋体" w:eastAsia="宋体" w:cs="宋体"/>
          <w:color w:val="auto"/>
          <w:sz w:val="30"/>
          <w:szCs w:val="30"/>
          <w:highlight w:val="none"/>
        </w:rPr>
      </w:pPr>
    </w:p>
    <w:p w14:paraId="0376BCCF">
      <w:pPr>
        <w:adjustRightInd w:val="0"/>
        <w:snapToGrid w:val="0"/>
        <w:spacing w:line="360" w:lineRule="auto"/>
        <w:ind w:firstLine="1984" w:firstLineChars="620"/>
        <w:rPr>
          <w:rFonts w:hint="eastAsia" w:ascii="宋体" w:hAnsi="宋体" w:eastAsia="宋体" w:cs="宋体"/>
          <w:color w:val="auto"/>
          <w:sz w:val="32"/>
          <w:szCs w:val="32"/>
          <w:highlight w:val="none"/>
          <w:u w:val="single"/>
          <w:lang w:eastAsia="zh-CN"/>
        </w:rPr>
      </w:pPr>
      <w:r>
        <w:rPr>
          <w:rFonts w:hint="eastAsia" w:ascii="宋体" w:hAnsi="宋体" w:eastAsia="宋体" w:cs="宋体"/>
          <w:color w:val="auto"/>
          <w:sz w:val="32"/>
          <w:szCs w:val="32"/>
          <w:highlight w:val="none"/>
        </w:rPr>
        <w:t>投标人</w:t>
      </w:r>
      <w:r>
        <w:rPr>
          <w:rFonts w:hint="eastAsia" w:ascii="宋体" w:hAnsi="宋体" w:eastAsia="宋体" w:cs="宋体"/>
          <w:color w:val="auto"/>
          <w:sz w:val="32"/>
          <w:szCs w:val="32"/>
          <w:highlight w:val="none"/>
          <w:lang w:eastAsia="zh-CN"/>
        </w:rPr>
        <w:t>名称</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eastAsia="zh-CN"/>
        </w:rPr>
        <w:t>（盖单位电子章）</w:t>
      </w:r>
    </w:p>
    <w:p w14:paraId="27359979">
      <w:pPr>
        <w:adjustRightInd w:val="0"/>
        <w:snapToGrid w:val="0"/>
        <w:spacing w:line="360" w:lineRule="auto"/>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联系人姓名、联系电话：</w:t>
      </w:r>
    </w:p>
    <w:p w14:paraId="2D57DDF7">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32"/>
          <w:szCs w:val="32"/>
          <w:highlight w:val="none"/>
        </w:rPr>
        <w:t>年  月  日</w:t>
      </w:r>
      <w:r>
        <w:rPr>
          <w:rFonts w:hint="eastAsia" w:ascii="宋体" w:hAnsi="宋体" w:eastAsia="宋体" w:cs="宋体"/>
          <w:color w:val="auto"/>
          <w:sz w:val="32"/>
          <w:szCs w:val="32"/>
          <w:highlight w:val="none"/>
          <w:lang w:eastAsia="zh-CN"/>
        </w:rPr>
        <w:t>（应与投标截止日期一致）</w:t>
      </w:r>
      <w:r>
        <w:rPr>
          <w:rFonts w:hint="eastAsia" w:ascii="宋体" w:hAnsi="宋体" w:eastAsia="宋体" w:cs="宋体"/>
          <w:color w:val="auto"/>
          <w:sz w:val="28"/>
          <w:szCs w:val="28"/>
          <w:highlight w:val="none"/>
        </w:rPr>
        <w:br w:type="page"/>
      </w:r>
    </w:p>
    <w:p w14:paraId="6047BC30">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179" w:name="_Toc16153"/>
      <w:bookmarkStart w:id="180" w:name="_Toc29913950"/>
      <w:bookmarkStart w:id="181" w:name="_Toc14585"/>
      <w:r>
        <w:rPr>
          <w:rFonts w:hint="eastAsia" w:ascii="宋体" w:hAnsi="宋体" w:eastAsia="宋体" w:cs="宋体"/>
          <w:color w:val="auto"/>
          <w:sz w:val="28"/>
          <w:szCs w:val="28"/>
          <w:highlight w:val="none"/>
        </w:rPr>
        <w:t>一、开标一览表</w:t>
      </w:r>
      <w:bookmarkEnd w:id="179"/>
      <w:bookmarkEnd w:id="180"/>
      <w:bookmarkEnd w:id="181"/>
    </w:p>
    <w:p w14:paraId="1DD6B535">
      <w:pPr>
        <w:adjustRightInd w:val="0"/>
        <w:snapToGrid w:val="0"/>
        <w:spacing w:line="360" w:lineRule="auto"/>
        <w:ind w:left="-88" w:leftChars="-42"/>
        <w:jc w:val="center"/>
        <w:rPr>
          <w:rFonts w:hint="eastAsia" w:ascii="宋体" w:hAnsi="宋体" w:eastAsia="宋体" w:cs="宋体"/>
          <w:color w:val="auto"/>
          <w:sz w:val="24"/>
          <w:highlight w:val="none"/>
        </w:rPr>
      </w:pPr>
    </w:p>
    <w:p w14:paraId="664BF47F">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    ________</w:t>
      </w:r>
      <w:r>
        <w:rPr>
          <w:rFonts w:hint="eastAsia" w:ascii="宋体" w:hAnsi="宋体" w:eastAsia="宋体" w:cs="宋体"/>
          <w:color w:val="auto"/>
          <w:szCs w:val="21"/>
          <w:highlight w:val="none"/>
        </w:rPr>
        <w:t xml:space="preserve">               </w:t>
      </w:r>
    </w:p>
    <w:p w14:paraId="65EB20F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____            ______</w:t>
      </w:r>
      <w:r>
        <w:rPr>
          <w:rFonts w:hint="eastAsia" w:ascii="宋体" w:hAnsi="宋体" w:eastAsia="宋体" w:cs="宋体"/>
          <w:color w:val="auto"/>
          <w:szCs w:val="21"/>
          <w:highlight w:val="none"/>
        </w:rPr>
        <w:t xml:space="preserve"> </w:t>
      </w:r>
    </w:p>
    <w:p w14:paraId="1688CFAA">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包号：</w:t>
      </w:r>
      <w:r>
        <w:rPr>
          <w:rFonts w:hint="eastAsia" w:ascii="宋体" w:hAnsi="宋体" w:eastAsia="宋体" w:cs="宋体"/>
          <w:color w:val="auto"/>
          <w:szCs w:val="21"/>
          <w:highlight w:val="none"/>
          <w:u w:val="single"/>
        </w:rPr>
        <w:t>__    ________</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__    ________</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D40B2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4F2A0527">
            <w:pPr>
              <w:adjustRightInd w:val="0"/>
              <w:snapToGrid w:val="0"/>
              <w:spacing w:line="360" w:lineRule="auto"/>
              <w:jc w:val="center"/>
              <w:rPr>
                <w:rFonts w:hint="eastAsia" w:ascii="宋体" w:hAnsi="宋体" w:eastAsia="宋体" w:cs="宋体"/>
                <w:b/>
                <w:color w:val="auto"/>
                <w:kern w:val="0"/>
                <w:sz w:val="20"/>
                <w:szCs w:val="21"/>
                <w:highlight w:val="none"/>
              </w:rPr>
            </w:pPr>
            <w:r>
              <w:rPr>
                <w:rFonts w:hint="eastAsia" w:ascii="宋体" w:hAnsi="宋体" w:eastAsia="宋体" w:cs="宋体"/>
                <w:b/>
                <w:color w:val="auto"/>
                <w:kern w:val="0"/>
                <w:szCs w:val="21"/>
                <w:highlight w:val="none"/>
              </w:rPr>
              <w:t>投标报价</w:t>
            </w:r>
          </w:p>
        </w:tc>
        <w:tc>
          <w:tcPr>
            <w:tcW w:w="3119" w:type="dxa"/>
            <w:vAlign w:val="center"/>
          </w:tcPr>
          <w:p w14:paraId="1D760AD4">
            <w:pPr>
              <w:adjustRightInd w:val="0"/>
              <w:snapToGrid w:val="0"/>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其他内容</w:t>
            </w:r>
          </w:p>
        </w:tc>
      </w:tr>
      <w:tr w14:paraId="5DE455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7441AE87">
            <w:pPr>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小写金额：</w:t>
            </w:r>
            <w:r>
              <w:rPr>
                <w:rFonts w:hint="eastAsia" w:ascii="宋体" w:hAnsi="宋体" w:eastAsia="宋体" w:cs="宋体"/>
                <w:color w:val="auto"/>
                <w:kern w:val="0"/>
                <w:szCs w:val="21"/>
                <w:highlight w:val="none"/>
                <w:u w:val="single"/>
              </w:rPr>
              <w:t>__    _______</w:t>
            </w:r>
            <w:r>
              <w:rPr>
                <w:rFonts w:hint="eastAsia" w:ascii="宋体" w:hAnsi="宋体" w:eastAsia="宋体" w:cs="宋体"/>
                <w:color w:val="auto"/>
                <w:kern w:val="0"/>
                <w:szCs w:val="21"/>
                <w:highlight w:val="none"/>
              </w:rPr>
              <w:t>（</w:t>
            </w:r>
            <w:r>
              <w:rPr>
                <w:rFonts w:hint="eastAsia" w:ascii="宋体" w:hAnsi="宋体" w:eastAsia="宋体" w:cs="宋体"/>
                <w:color w:val="auto"/>
                <w:kern w:val="0"/>
                <w:sz w:val="20"/>
                <w:szCs w:val="21"/>
                <w:highlight w:val="none"/>
              </w:rPr>
              <w:t>人民币元</w:t>
            </w:r>
            <w:r>
              <w:rPr>
                <w:rFonts w:hint="eastAsia" w:ascii="宋体" w:hAnsi="宋体" w:eastAsia="宋体" w:cs="宋体"/>
                <w:color w:val="auto"/>
                <w:kern w:val="0"/>
                <w:szCs w:val="21"/>
                <w:highlight w:val="none"/>
              </w:rPr>
              <w:t>）</w:t>
            </w:r>
          </w:p>
          <w:p w14:paraId="2F60F40D">
            <w:pPr>
              <w:adjustRightInd w:val="0"/>
              <w:snapToGrid w:val="0"/>
              <w:spacing w:line="360" w:lineRule="auto"/>
              <w:jc w:val="center"/>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大写金额：</w:t>
            </w:r>
            <w:r>
              <w:rPr>
                <w:rFonts w:hint="eastAsia" w:ascii="宋体" w:hAnsi="宋体" w:eastAsia="宋体" w:cs="宋体"/>
                <w:color w:val="auto"/>
                <w:kern w:val="0"/>
                <w:szCs w:val="21"/>
                <w:highlight w:val="none"/>
                <w:u w:val="single"/>
              </w:rPr>
              <w:t>__    _______</w:t>
            </w:r>
            <w:r>
              <w:rPr>
                <w:rFonts w:hint="eastAsia" w:ascii="宋体" w:hAnsi="宋体" w:eastAsia="宋体" w:cs="宋体"/>
                <w:color w:val="auto"/>
                <w:kern w:val="0"/>
                <w:szCs w:val="21"/>
                <w:highlight w:val="none"/>
              </w:rPr>
              <w:t>（</w:t>
            </w:r>
            <w:r>
              <w:rPr>
                <w:rFonts w:hint="eastAsia" w:ascii="宋体" w:hAnsi="宋体" w:eastAsia="宋体" w:cs="宋体"/>
                <w:color w:val="auto"/>
                <w:kern w:val="0"/>
                <w:sz w:val="20"/>
                <w:szCs w:val="21"/>
                <w:highlight w:val="none"/>
              </w:rPr>
              <w:t>人民币元</w:t>
            </w:r>
            <w:r>
              <w:rPr>
                <w:rFonts w:hint="eastAsia" w:ascii="宋体" w:hAnsi="宋体" w:eastAsia="宋体" w:cs="宋体"/>
                <w:color w:val="auto"/>
                <w:kern w:val="0"/>
                <w:szCs w:val="21"/>
                <w:highlight w:val="none"/>
              </w:rPr>
              <w:t>）</w:t>
            </w:r>
          </w:p>
          <w:p w14:paraId="265C0DEF">
            <w:pPr>
              <w:adjustRightInd w:val="0"/>
              <w:snapToGrid w:val="0"/>
              <w:spacing w:line="360" w:lineRule="auto"/>
              <w:jc w:val="center"/>
              <w:rPr>
                <w:rFonts w:hint="eastAsia" w:ascii="宋体" w:hAnsi="宋体" w:eastAsia="宋体" w:cs="宋体"/>
                <w:color w:val="auto"/>
                <w:kern w:val="0"/>
                <w:sz w:val="2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 w:val="24"/>
                <w:highlight w:val="none"/>
              </w:rPr>
              <w:t>大写金额与小写金额不一致时，以大写金额为准</w:t>
            </w:r>
            <w:r>
              <w:rPr>
                <w:rFonts w:hint="eastAsia" w:ascii="宋体" w:hAnsi="宋体" w:eastAsia="宋体" w:cs="宋体"/>
                <w:color w:val="auto"/>
                <w:kern w:val="0"/>
                <w:szCs w:val="21"/>
                <w:highlight w:val="none"/>
              </w:rPr>
              <w:t>）</w:t>
            </w:r>
          </w:p>
        </w:tc>
        <w:tc>
          <w:tcPr>
            <w:tcW w:w="3119" w:type="dxa"/>
            <w:vAlign w:val="center"/>
          </w:tcPr>
          <w:p w14:paraId="3B1506AF">
            <w:pPr>
              <w:adjustRightInd w:val="0"/>
              <w:snapToGrid w:val="0"/>
              <w:spacing w:line="360" w:lineRule="auto"/>
              <w:jc w:val="both"/>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合同履行期限：</w:t>
            </w:r>
          </w:p>
        </w:tc>
      </w:tr>
    </w:tbl>
    <w:p w14:paraId="41C8FA31">
      <w:pPr>
        <w:adjustRightInd w:val="0"/>
        <w:snapToGrid w:val="0"/>
        <w:spacing w:line="360" w:lineRule="auto"/>
        <w:rPr>
          <w:rFonts w:hint="eastAsia" w:ascii="宋体" w:hAnsi="宋体" w:eastAsia="宋体" w:cs="宋体"/>
          <w:b/>
          <w:color w:val="auto"/>
          <w:szCs w:val="21"/>
          <w:highlight w:val="none"/>
        </w:rPr>
      </w:pPr>
    </w:p>
    <w:p w14:paraId="10031D22">
      <w:pPr>
        <w:adjustRightInd w:val="0"/>
        <w:snapToGrid w:val="0"/>
        <w:spacing w:line="360" w:lineRule="auto"/>
        <w:rPr>
          <w:rFonts w:hint="eastAsia" w:ascii="宋体" w:hAnsi="宋体" w:eastAsia="宋体" w:cs="宋体"/>
          <w:b/>
          <w:color w:val="auto"/>
          <w:szCs w:val="21"/>
          <w:highlight w:val="none"/>
        </w:rPr>
      </w:pPr>
    </w:p>
    <w:p w14:paraId="6443CC86">
      <w:pPr>
        <w:adjustRightInd w:val="0"/>
        <w:snapToGrid w:val="0"/>
        <w:spacing w:line="360" w:lineRule="auto"/>
        <w:rPr>
          <w:rFonts w:hint="eastAsia" w:ascii="宋体" w:hAnsi="宋体" w:eastAsia="宋体" w:cs="宋体"/>
          <w:b/>
          <w:color w:val="auto"/>
          <w:szCs w:val="21"/>
          <w:highlight w:val="none"/>
        </w:rPr>
      </w:pPr>
    </w:p>
    <w:p w14:paraId="054B46AC">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备注：1、本“开标一览表”所填报价应与交易平台上所填电子“开标一览表”报价一致，否则，以交易平台上所填电子“开标一览表”报价为准。</w:t>
      </w:r>
    </w:p>
    <w:p w14:paraId="0B743B13">
      <w:pPr>
        <w:adjustRightInd w:val="0"/>
        <w:snapToGrid w:val="0"/>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2、本表须按包填写，一个“包号”一份。</w:t>
      </w:r>
    </w:p>
    <w:p w14:paraId="74CA3109">
      <w:pPr>
        <w:adjustRightInd w:val="0"/>
        <w:snapToGrid w:val="0"/>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3、投标人提交两份及以上投标报价不同的“开标一览表”，且未书面说明哪个有效或以哪个为准的，其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4A4493A8">
      <w:pPr>
        <w:adjustRightInd w:val="0"/>
        <w:snapToGrid w:val="0"/>
        <w:spacing w:line="360" w:lineRule="auto"/>
        <w:ind w:firstLine="630" w:firstLineChars="300"/>
        <w:jc w:val="left"/>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投标人在投标截止时间前修改“开标一览表”中的投标报价的，应同时修改投标文件“分项报价明细表”“享受政府采购政策优惠的证明资料”以及“联合体协议书”（如果影响）等相关内容。</w:t>
      </w:r>
    </w:p>
    <w:p w14:paraId="77F4B40C">
      <w:pPr>
        <w:adjustRightInd w:val="0"/>
        <w:snapToGrid w:val="0"/>
        <w:spacing w:line="360" w:lineRule="auto"/>
        <w:ind w:firstLine="420" w:firstLineChars="200"/>
        <w:rPr>
          <w:rFonts w:hint="eastAsia" w:ascii="宋体" w:hAnsi="宋体" w:eastAsia="宋体" w:cs="宋体"/>
          <w:color w:val="auto"/>
          <w:szCs w:val="21"/>
          <w:highlight w:val="none"/>
        </w:rPr>
      </w:pPr>
    </w:p>
    <w:p w14:paraId="11568887">
      <w:pPr>
        <w:adjustRightInd w:val="0"/>
        <w:snapToGrid w:val="0"/>
        <w:spacing w:line="360" w:lineRule="auto"/>
        <w:ind w:firstLine="420" w:firstLineChars="200"/>
        <w:rPr>
          <w:rFonts w:hint="eastAsia" w:ascii="宋体" w:hAnsi="宋体" w:eastAsia="宋体" w:cs="宋体"/>
          <w:color w:val="auto"/>
          <w:szCs w:val="21"/>
          <w:highlight w:val="none"/>
        </w:rPr>
      </w:pPr>
    </w:p>
    <w:p w14:paraId="56C8D330">
      <w:pPr>
        <w:adjustRightInd w:val="0"/>
        <w:snapToGrid w:val="0"/>
        <w:spacing w:line="360" w:lineRule="auto"/>
        <w:rPr>
          <w:rFonts w:hint="eastAsia" w:ascii="宋体" w:hAnsi="宋体" w:eastAsia="宋体" w:cs="宋体"/>
          <w:color w:val="auto"/>
          <w:szCs w:val="21"/>
          <w:highlight w:val="none"/>
        </w:rPr>
      </w:pPr>
    </w:p>
    <w:p w14:paraId="13BD41C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33A76E68">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69F083EE">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D77F7B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bookmarkStart w:id="182" w:name="_Toc29913951"/>
    </w:p>
    <w:bookmarkEnd w:id="182"/>
    <w:p w14:paraId="4377E140">
      <w:pPr>
        <w:pStyle w:val="4"/>
        <w:bidi w:val="0"/>
        <w:jc w:val="center"/>
        <w:rPr>
          <w:rFonts w:hint="eastAsia" w:ascii="宋体" w:hAnsi="宋体" w:eastAsia="宋体" w:cs="宋体"/>
          <w:color w:val="auto"/>
          <w:sz w:val="28"/>
          <w:szCs w:val="28"/>
          <w:highlight w:val="none"/>
        </w:rPr>
      </w:pPr>
      <w:bookmarkStart w:id="183" w:name="_Toc29913953"/>
      <w:bookmarkStart w:id="184" w:name="_Toc16450"/>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法定代表人</w:t>
      </w:r>
      <w:r>
        <w:rPr>
          <w:rFonts w:hint="eastAsia" w:ascii="宋体" w:hAnsi="宋体" w:cs="宋体"/>
          <w:color w:val="auto"/>
          <w:sz w:val="28"/>
          <w:szCs w:val="28"/>
          <w:highlight w:val="none"/>
          <w:lang w:eastAsia="zh-CN"/>
        </w:rPr>
        <w:t>（单位负责人）</w:t>
      </w:r>
      <w:r>
        <w:rPr>
          <w:rFonts w:hint="eastAsia" w:ascii="宋体" w:hAnsi="宋体" w:eastAsia="宋体" w:cs="宋体"/>
          <w:color w:val="auto"/>
          <w:sz w:val="28"/>
          <w:szCs w:val="28"/>
          <w:highlight w:val="none"/>
        </w:rPr>
        <w:t>身份证明</w:t>
      </w:r>
      <w:bookmarkEnd w:id="183"/>
      <w:bookmarkEnd w:id="184"/>
    </w:p>
    <w:p w14:paraId="267AB177">
      <w:pPr>
        <w:tabs>
          <w:tab w:val="left" w:pos="3880"/>
        </w:tabs>
        <w:autoSpaceDE w:val="0"/>
        <w:autoSpaceDN w:val="0"/>
        <w:adjustRightInd w:val="0"/>
        <w:snapToGrid w:val="0"/>
        <w:spacing w:line="360" w:lineRule="auto"/>
        <w:ind w:left="100" w:right="-20"/>
        <w:jc w:val="left"/>
        <w:rPr>
          <w:rFonts w:hint="eastAsia" w:ascii="宋体" w:hAnsi="宋体" w:eastAsia="宋体" w:cs="宋体"/>
          <w:color w:val="auto"/>
          <w:kern w:val="0"/>
          <w:position w:val="-4"/>
          <w:szCs w:val="21"/>
          <w:highlight w:val="none"/>
        </w:rPr>
      </w:pPr>
    </w:p>
    <w:p w14:paraId="1196CC86">
      <w:pPr>
        <w:tabs>
          <w:tab w:val="left" w:pos="3880"/>
        </w:tabs>
        <w:autoSpaceDE w:val="0"/>
        <w:autoSpaceDN w:val="0"/>
        <w:adjustRightInd w:val="0"/>
        <w:snapToGrid w:val="0"/>
        <w:spacing w:line="360" w:lineRule="auto"/>
        <w:ind w:left="100" w:right="-20"/>
        <w:jc w:val="left"/>
        <w:rPr>
          <w:rFonts w:hint="eastAsia" w:ascii="宋体" w:hAnsi="宋体" w:eastAsia="宋体" w:cs="宋体"/>
          <w:color w:val="auto"/>
          <w:kern w:val="0"/>
          <w:szCs w:val="21"/>
          <w:highlight w:val="none"/>
        </w:rPr>
      </w:pPr>
      <w:r>
        <w:rPr>
          <w:rFonts w:hint="eastAsia" w:ascii="宋体" w:hAnsi="宋体" w:eastAsia="宋体" w:cs="宋体"/>
          <w:color w:val="auto"/>
          <w:kern w:val="0"/>
          <w:position w:val="-4"/>
          <w:szCs w:val="21"/>
          <w:highlight w:val="none"/>
        </w:rPr>
        <w:t>投标</w:t>
      </w:r>
      <w:r>
        <w:rPr>
          <w:rFonts w:hint="eastAsia" w:ascii="宋体" w:hAnsi="宋体" w:eastAsia="宋体" w:cs="宋体"/>
          <w:color w:val="auto"/>
          <w:spacing w:val="-2"/>
          <w:kern w:val="0"/>
          <w:position w:val="-4"/>
          <w:szCs w:val="21"/>
          <w:highlight w:val="none"/>
        </w:rPr>
        <w:t>人</w:t>
      </w:r>
      <w:r>
        <w:rPr>
          <w:rFonts w:hint="eastAsia" w:ascii="宋体" w:hAnsi="宋体" w:eastAsia="宋体" w:cs="宋体"/>
          <w:color w:val="auto"/>
          <w:kern w:val="0"/>
          <w:position w:val="-4"/>
          <w:szCs w:val="21"/>
          <w:highlight w:val="none"/>
        </w:rPr>
        <w:t>名</w:t>
      </w:r>
      <w:r>
        <w:rPr>
          <w:rFonts w:hint="eastAsia" w:ascii="宋体" w:hAnsi="宋体" w:eastAsia="宋体" w:cs="宋体"/>
          <w:color w:val="auto"/>
          <w:spacing w:val="-2"/>
          <w:kern w:val="0"/>
          <w:position w:val="-4"/>
          <w:szCs w:val="21"/>
          <w:highlight w:val="none"/>
        </w:rPr>
        <w:t>称</w:t>
      </w:r>
      <w:r>
        <w:rPr>
          <w:rFonts w:hint="eastAsia" w:ascii="宋体" w:hAnsi="宋体" w:eastAsia="宋体" w:cs="宋体"/>
          <w:color w:val="auto"/>
          <w:kern w:val="0"/>
          <w:position w:val="-4"/>
          <w:szCs w:val="21"/>
          <w:highlight w:val="none"/>
        </w:rPr>
        <w:t>：</w:t>
      </w:r>
      <w:r>
        <w:rPr>
          <w:rFonts w:hint="eastAsia" w:ascii="宋体" w:hAnsi="宋体" w:eastAsia="宋体" w:cs="宋体"/>
          <w:color w:val="auto"/>
          <w:szCs w:val="21"/>
          <w:highlight w:val="none"/>
          <w:u w:val="single"/>
        </w:rPr>
        <w:t xml:space="preserve">                 </w:t>
      </w:r>
    </w:p>
    <w:p w14:paraId="0BFCDCAF">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统一社会信用代码：</w:t>
      </w:r>
      <w:r>
        <w:rPr>
          <w:rFonts w:hint="eastAsia" w:ascii="宋体" w:hAnsi="宋体" w:eastAsia="宋体" w:cs="宋体"/>
          <w:color w:val="auto"/>
          <w:szCs w:val="21"/>
          <w:highlight w:val="none"/>
          <w:u w:val="single"/>
        </w:rPr>
        <w:t xml:space="preserve">                 </w:t>
      </w:r>
    </w:p>
    <w:p w14:paraId="54FD689B">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注册地址：</w:t>
      </w:r>
      <w:r>
        <w:rPr>
          <w:rFonts w:hint="eastAsia" w:ascii="宋体" w:hAnsi="宋体" w:eastAsia="宋体" w:cs="宋体"/>
          <w:color w:val="auto"/>
          <w:szCs w:val="21"/>
          <w:highlight w:val="none"/>
          <w:u w:val="single"/>
        </w:rPr>
        <w:t xml:space="preserve">                 </w:t>
      </w:r>
    </w:p>
    <w:p w14:paraId="1E7FDAA0">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position w:val="-2"/>
          <w:szCs w:val="21"/>
          <w:highlight w:val="none"/>
        </w:rPr>
        <w:t>姓名</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性别</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年</w:t>
      </w:r>
      <w:r>
        <w:rPr>
          <w:rFonts w:hint="eastAsia" w:ascii="宋体" w:hAnsi="宋体" w:eastAsia="宋体" w:cs="宋体"/>
          <w:color w:val="auto"/>
          <w:spacing w:val="-2"/>
          <w:kern w:val="0"/>
          <w:position w:val="-2"/>
          <w:szCs w:val="21"/>
          <w:highlight w:val="none"/>
        </w:rPr>
        <w:t>龄</w:t>
      </w:r>
      <w:r>
        <w:rPr>
          <w:rFonts w:hint="eastAsia" w:ascii="宋体" w:hAnsi="宋体" w:eastAsia="宋体" w:cs="宋体"/>
          <w:color w:val="auto"/>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职</w:t>
      </w:r>
      <w:r>
        <w:rPr>
          <w:rFonts w:hint="eastAsia" w:ascii="宋体" w:hAnsi="宋体" w:eastAsia="宋体" w:cs="宋体"/>
          <w:color w:val="auto"/>
          <w:spacing w:val="-2"/>
          <w:kern w:val="0"/>
          <w:position w:val="-2"/>
          <w:szCs w:val="21"/>
          <w:highlight w:val="none"/>
        </w:rPr>
        <w:t>务</w:t>
      </w:r>
      <w:r>
        <w:rPr>
          <w:rFonts w:hint="eastAsia" w:ascii="宋体" w:hAnsi="宋体" w:eastAsia="宋体" w:cs="宋体"/>
          <w:color w:val="auto"/>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kern w:val="0"/>
          <w:position w:val="-2"/>
          <w:szCs w:val="21"/>
          <w:highlight w:val="none"/>
        </w:rPr>
        <w:t>投</w:t>
      </w:r>
      <w:r>
        <w:rPr>
          <w:rFonts w:hint="eastAsia" w:ascii="宋体" w:hAnsi="宋体" w:eastAsia="宋体" w:cs="宋体"/>
          <w:color w:val="auto"/>
          <w:spacing w:val="-2"/>
          <w:kern w:val="0"/>
          <w:position w:val="-2"/>
          <w:szCs w:val="21"/>
          <w:highlight w:val="none"/>
        </w:rPr>
        <w:t>标</w:t>
      </w:r>
      <w:r>
        <w:rPr>
          <w:rFonts w:hint="eastAsia" w:ascii="宋体" w:hAnsi="宋体" w:eastAsia="宋体" w:cs="宋体"/>
          <w:color w:val="auto"/>
          <w:kern w:val="0"/>
          <w:position w:val="-2"/>
          <w:szCs w:val="21"/>
          <w:highlight w:val="none"/>
        </w:rPr>
        <w:t>人</w:t>
      </w:r>
      <w:r>
        <w:rPr>
          <w:rFonts w:hint="eastAsia" w:ascii="宋体" w:hAnsi="宋体" w:eastAsia="宋体" w:cs="宋体"/>
          <w:color w:val="auto"/>
          <w:spacing w:val="-2"/>
          <w:kern w:val="0"/>
          <w:position w:val="-2"/>
          <w:szCs w:val="21"/>
          <w:highlight w:val="none"/>
        </w:rPr>
        <w:t>名</w:t>
      </w:r>
      <w:r>
        <w:rPr>
          <w:rFonts w:hint="eastAsia" w:ascii="宋体" w:hAnsi="宋体" w:eastAsia="宋体" w:cs="宋体"/>
          <w:color w:val="auto"/>
          <w:kern w:val="0"/>
          <w:position w:val="-2"/>
          <w:szCs w:val="21"/>
          <w:highlight w:val="none"/>
        </w:rPr>
        <w:t>称</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kern w:val="0"/>
          <w:position w:val="-2"/>
          <w:szCs w:val="21"/>
          <w:highlight w:val="none"/>
        </w:rPr>
        <w:t>的</w:t>
      </w:r>
      <w:r>
        <w:rPr>
          <w:rFonts w:hint="eastAsia" w:ascii="宋体" w:hAnsi="宋体" w:eastAsia="宋体" w:cs="宋体"/>
          <w:color w:val="auto"/>
          <w:spacing w:val="-2"/>
          <w:kern w:val="0"/>
          <w:position w:val="-2"/>
          <w:szCs w:val="21"/>
          <w:highlight w:val="none"/>
          <w:lang w:eastAsia="zh-CN"/>
        </w:rPr>
        <w:t>法定代表人</w:t>
      </w:r>
      <w:r>
        <w:rPr>
          <w:rFonts w:hint="eastAsia" w:ascii="宋体" w:hAnsi="宋体" w:cs="宋体"/>
          <w:color w:val="auto"/>
          <w:spacing w:val="-2"/>
          <w:kern w:val="0"/>
          <w:position w:val="-2"/>
          <w:szCs w:val="21"/>
          <w:highlight w:val="none"/>
          <w:lang w:eastAsia="zh-CN"/>
        </w:rPr>
        <w:t>（单位负责人）</w:t>
      </w:r>
      <w:r>
        <w:rPr>
          <w:rFonts w:hint="eastAsia" w:ascii="宋体" w:hAnsi="宋体" w:eastAsia="宋体" w:cs="宋体"/>
          <w:color w:val="auto"/>
          <w:kern w:val="0"/>
          <w:position w:val="-2"/>
          <w:szCs w:val="21"/>
          <w:highlight w:val="none"/>
        </w:rPr>
        <w:t>。</w:t>
      </w:r>
    </w:p>
    <w:p w14:paraId="60CD78C5">
      <w:pPr>
        <w:autoSpaceDE w:val="0"/>
        <w:autoSpaceDN w:val="0"/>
        <w:adjustRightInd w:val="0"/>
        <w:snapToGrid w:val="0"/>
        <w:spacing w:line="360" w:lineRule="auto"/>
        <w:ind w:left="520" w:right="-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特此</w:t>
      </w:r>
      <w:r>
        <w:rPr>
          <w:rFonts w:hint="eastAsia" w:ascii="宋体" w:hAnsi="宋体" w:eastAsia="宋体" w:cs="宋体"/>
          <w:color w:val="auto"/>
          <w:spacing w:val="-2"/>
          <w:kern w:val="0"/>
          <w:szCs w:val="21"/>
          <w:highlight w:val="none"/>
        </w:rPr>
        <w:t>证</w:t>
      </w:r>
      <w:r>
        <w:rPr>
          <w:rFonts w:hint="eastAsia" w:ascii="宋体" w:hAnsi="宋体" w:eastAsia="宋体" w:cs="宋体"/>
          <w:color w:val="auto"/>
          <w:kern w:val="0"/>
          <w:szCs w:val="21"/>
          <w:highlight w:val="none"/>
        </w:rPr>
        <w:t>明。</w:t>
      </w:r>
    </w:p>
    <w:p w14:paraId="05494383">
      <w:pPr>
        <w:autoSpaceDE w:val="0"/>
        <w:autoSpaceDN w:val="0"/>
        <w:adjustRightInd w:val="0"/>
        <w:snapToGrid w:val="0"/>
        <w:spacing w:line="360" w:lineRule="auto"/>
        <w:ind w:left="100" w:right="423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w:t>
      </w:r>
      <w:r>
        <w:rPr>
          <w:rFonts w:hint="eastAsia" w:ascii="宋体" w:hAnsi="宋体" w:eastAsia="宋体" w:cs="宋体"/>
          <w:color w:val="auto"/>
          <w:spacing w:val="-2"/>
          <w:kern w:val="0"/>
          <w:szCs w:val="21"/>
          <w:highlight w:val="none"/>
          <w:lang w:eastAsia="zh-CN"/>
        </w:rPr>
        <w:t>法定代表人</w:t>
      </w:r>
      <w:r>
        <w:rPr>
          <w:rFonts w:hint="eastAsia" w:ascii="宋体" w:hAnsi="宋体" w:cs="宋体"/>
          <w:color w:val="auto"/>
          <w:kern w:val="0"/>
          <w:szCs w:val="21"/>
          <w:highlight w:val="none"/>
          <w:lang w:eastAsia="zh-CN"/>
        </w:rPr>
        <w:t>（单位负责人）</w:t>
      </w:r>
      <w:r>
        <w:rPr>
          <w:rFonts w:hint="eastAsia" w:ascii="宋体" w:hAnsi="宋体" w:eastAsia="宋体" w:cs="宋体"/>
          <w:color w:val="auto"/>
          <w:kern w:val="0"/>
          <w:szCs w:val="21"/>
          <w:highlight w:val="none"/>
        </w:rPr>
        <w:t>身</w:t>
      </w:r>
      <w:r>
        <w:rPr>
          <w:rFonts w:hint="eastAsia" w:ascii="宋体" w:hAnsi="宋体" w:eastAsia="宋体" w:cs="宋体"/>
          <w:color w:val="auto"/>
          <w:spacing w:val="-2"/>
          <w:kern w:val="0"/>
          <w:szCs w:val="21"/>
          <w:highlight w:val="none"/>
        </w:rPr>
        <w:t>份</w:t>
      </w:r>
      <w:r>
        <w:rPr>
          <w:rFonts w:hint="eastAsia" w:ascii="宋体" w:hAnsi="宋体" w:eastAsia="宋体" w:cs="宋体"/>
          <w:color w:val="auto"/>
          <w:kern w:val="0"/>
          <w:szCs w:val="21"/>
          <w:highlight w:val="none"/>
        </w:rPr>
        <w:t>证</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r>
        <w:rPr>
          <w:rFonts w:hint="eastAsia" w:ascii="宋体" w:hAnsi="宋体" w:eastAsia="宋体" w:cs="宋体"/>
          <w:color w:val="auto"/>
          <w:kern w:val="0"/>
          <w:szCs w:val="21"/>
          <w:highlight w:val="none"/>
        </w:rPr>
        <w:t>。</w:t>
      </w:r>
    </w:p>
    <w:tbl>
      <w:tblPr>
        <w:tblStyle w:val="45"/>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A4B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022DD070">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法定代表人（单位负责人）</w:t>
            </w:r>
          </w:p>
          <w:p w14:paraId="61778578">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身份证（正面）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c>
          <w:tcPr>
            <w:tcW w:w="3899" w:type="dxa"/>
            <w:vAlign w:val="center"/>
          </w:tcPr>
          <w:p w14:paraId="79F4F5EA">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法定代表人（单位负责人）</w:t>
            </w:r>
          </w:p>
          <w:p w14:paraId="47819EE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身份证（反面）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r>
    </w:tbl>
    <w:p w14:paraId="5616ADE0">
      <w:pPr>
        <w:adjustRightInd w:val="0"/>
        <w:snapToGrid w:val="0"/>
        <w:spacing w:line="360" w:lineRule="auto"/>
        <w:rPr>
          <w:rFonts w:hint="eastAsia" w:ascii="宋体" w:hAnsi="宋体" w:eastAsia="宋体" w:cs="宋体"/>
          <w:color w:val="auto"/>
          <w:szCs w:val="21"/>
          <w:highlight w:val="none"/>
        </w:rPr>
      </w:pPr>
    </w:p>
    <w:p w14:paraId="7E4B552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注：投标人代表为</w:t>
      </w:r>
      <w:r>
        <w:rPr>
          <w:rFonts w:hint="eastAsia" w:ascii="宋体" w:hAnsi="宋体" w:eastAsia="宋体" w:cs="宋体"/>
          <w:color w:val="auto"/>
          <w:szCs w:val="21"/>
          <w:highlight w:val="none"/>
          <w:lang w:eastAsia="zh-CN"/>
        </w:rPr>
        <w:t>法定代表人</w:t>
      </w:r>
      <w:r>
        <w:rPr>
          <w:rFonts w:hint="eastAsia" w:ascii="宋体" w:hAnsi="宋体" w:cs="宋体"/>
          <w:color w:val="auto"/>
          <w:spacing w:val="-2"/>
          <w:kern w:val="0"/>
          <w:position w:val="-2"/>
          <w:szCs w:val="21"/>
          <w:highlight w:val="none"/>
          <w:lang w:eastAsia="zh-CN"/>
        </w:rPr>
        <w:t>（单位负责人）</w:t>
      </w:r>
      <w:r>
        <w:rPr>
          <w:rFonts w:hint="eastAsia" w:ascii="宋体" w:hAnsi="宋体" w:eastAsia="宋体" w:cs="宋体"/>
          <w:color w:val="auto"/>
          <w:szCs w:val="21"/>
          <w:highlight w:val="none"/>
        </w:rPr>
        <w:t>的提供。自然人投标的无需提供。</w:t>
      </w:r>
    </w:p>
    <w:p w14:paraId="0DD37EB0">
      <w:pPr>
        <w:adjustRightInd w:val="0"/>
        <w:snapToGrid w:val="0"/>
        <w:spacing w:line="360" w:lineRule="auto"/>
        <w:rPr>
          <w:rFonts w:hint="eastAsia" w:ascii="宋体" w:hAnsi="宋体" w:eastAsia="宋体" w:cs="宋体"/>
          <w:color w:val="auto"/>
          <w:szCs w:val="21"/>
          <w:highlight w:val="none"/>
        </w:rPr>
      </w:pPr>
    </w:p>
    <w:p w14:paraId="0CAB8E2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（盖单位电子章）</w:t>
      </w:r>
    </w:p>
    <w:p w14:paraId="10905A21">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35650738">
      <w:pPr>
        <w:adjustRightInd w:val="0"/>
        <w:snapToGrid w:val="0"/>
        <w:spacing w:line="360" w:lineRule="auto"/>
        <w:rPr>
          <w:rFonts w:hint="eastAsia" w:ascii="宋体" w:hAnsi="宋体" w:eastAsia="宋体" w:cs="宋体"/>
          <w:color w:val="auto"/>
          <w:highlight w:val="none"/>
        </w:rPr>
      </w:pPr>
    </w:p>
    <w:p w14:paraId="1038B406">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ED8EBA3">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185" w:name="_Toc29913954"/>
      <w:bookmarkStart w:id="186" w:name="_Toc7677"/>
      <w:bookmarkStart w:id="187" w:name="_Toc30911"/>
      <w:r>
        <w:rPr>
          <w:rFonts w:hint="eastAsia" w:ascii="宋体" w:hAnsi="宋体" w:cs="宋体"/>
          <w:color w:val="auto"/>
          <w:sz w:val="28"/>
          <w:szCs w:val="28"/>
          <w:highlight w:val="none"/>
          <w:lang w:val="en-US" w:eastAsia="zh-CN"/>
        </w:rPr>
        <w:t>三</w:t>
      </w:r>
      <w:r>
        <w:rPr>
          <w:rFonts w:hint="eastAsia" w:ascii="宋体" w:hAnsi="宋体" w:eastAsia="宋体" w:cs="宋体"/>
          <w:color w:val="auto"/>
          <w:sz w:val="28"/>
          <w:szCs w:val="28"/>
          <w:highlight w:val="none"/>
        </w:rPr>
        <w:t>、授权委托书</w:t>
      </w:r>
      <w:bookmarkEnd w:id="185"/>
      <w:bookmarkEnd w:id="186"/>
      <w:bookmarkEnd w:id="187"/>
    </w:p>
    <w:p w14:paraId="707913C0">
      <w:pPr>
        <w:autoSpaceDE w:val="0"/>
        <w:autoSpaceDN w:val="0"/>
        <w:adjustRightInd w:val="0"/>
        <w:snapToGrid w:val="0"/>
        <w:spacing w:line="360" w:lineRule="auto"/>
        <w:ind w:firstLine="446" w:firstLineChars="200"/>
        <w:jc w:val="left"/>
        <w:rPr>
          <w:rFonts w:hint="eastAsia" w:ascii="宋体" w:hAnsi="宋体" w:eastAsia="宋体" w:cs="宋体"/>
          <w:b/>
          <w:color w:val="auto"/>
          <w:spacing w:val="6"/>
          <w:szCs w:val="21"/>
          <w:highlight w:val="none"/>
        </w:rPr>
      </w:pPr>
    </w:p>
    <w:p w14:paraId="751F1FAE">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highlight w:val="none"/>
        </w:rPr>
      </w:pPr>
    </w:p>
    <w:p w14:paraId="32361CAC">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（姓名、职务）系</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r>
        <w:rPr>
          <w:rFonts w:hint="eastAsia" w:ascii="宋体" w:hAnsi="宋体" w:eastAsia="宋体" w:cs="宋体"/>
          <w:color w:val="auto"/>
          <w:szCs w:val="21"/>
          <w:highlight w:val="none"/>
        </w:rPr>
        <w:t>投标人</w:t>
      </w:r>
      <w:r>
        <w:rPr>
          <w:rFonts w:hint="eastAsia" w:ascii="宋体" w:hAnsi="宋体" w:eastAsia="宋体" w:cs="宋体"/>
          <w:color w:val="auto"/>
          <w:kern w:val="0"/>
          <w:szCs w:val="21"/>
          <w:highlight w:val="none"/>
        </w:rPr>
        <w:t>名称）的</w:t>
      </w:r>
      <w:r>
        <w:rPr>
          <w:rFonts w:hint="eastAsia" w:ascii="宋体" w:hAnsi="宋体" w:eastAsia="宋体" w:cs="宋体"/>
          <w:color w:val="auto"/>
          <w:kern w:val="0"/>
          <w:szCs w:val="21"/>
          <w:highlight w:val="none"/>
          <w:lang w:eastAsia="zh-CN"/>
        </w:rPr>
        <w:t>法定代表人</w:t>
      </w:r>
      <w:r>
        <w:rPr>
          <w:rFonts w:hint="eastAsia" w:ascii="宋体" w:hAnsi="宋体" w:cs="宋体"/>
          <w:color w:val="auto"/>
          <w:kern w:val="0"/>
          <w:szCs w:val="21"/>
          <w:highlight w:val="none"/>
          <w:lang w:eastAsia="zh-CN"/>
        </w:rPr>
        <w:t>（单位负责人）</w:t>
      </w:r>
      <w:r>
        <w:rPr>
          <w:rFonts w:hint="eastAsia" w:ascii="宋体" w:hAnsi="宋体" w:eastAsia="宋体" w:cs="宋体"/>
          <w:color w:val="auto"/>
          <w:kern w:val="0"/>
          <w:szCs w:val="21"/>
          <w:highlight w:val="none"/>
        </w:rPr>
        <w:t>，现授权</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（姓名、职务）为我方代理人。代理人根据授权，以我方名义签署、澄清、说明、补正、递交、撤回、修改</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采购项目名称</w:t>
      </w:r>
      <w:r>
        <w:rPr>
          <w:rFonts w:hint="eastAsia" w:ascii="宋体" w:hAnsi="宋体" w:eastAsia="宋体" w:cs="宋体"/>
          <w:color w:val="auto"/>
          <w:kern w:val="0"/>
          <w:szCs w:val="21"/>
          <w:highlight w:val="none"/>
        </w:rPr>
        <w:t>）（</w:t>
      </w:r>
      <w:r>
        <w:rPr>
          <w:rFonts w:hint="eastAsia" w:ascii="宋体" w:hAnsi="宋体" w:cs="宋体"/>
          <w:color w:val="auto"/>
          <w:highlight w:val="none"/>
          <w:lang w:eastAsia="zh-CN"/>
        </w:rPr>
        <w:t>政府采购计划编号</w:t>
      </w:r>
      <w:r>
        <w:rPr>
          <w:rFonts w:hint="eastAsia" w:ascii="宋体" w:hAnsi="宋体" w:eastAsia="宋体" w:cs="宋体"/>
          <w:iCs/>
          <w:color w:val="auto"/>
          <w:highlight w:val="none"/>
        </w:rPr>
        <w:t>：</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rPr>
        <w:t xml:space="preserve"> </w:t>
      </w:r>
      <w:r>
        <w:rPr>
          <w:rFonts w:hint="eastAsia" w:ascii="宋体" w:hAnsi="宋体" w:eastAsia="宋体" w:cs="宋体"/>
          <w:color w:val="auto"/>
          <w:kern w:val="0"/>
          <w:szCs w:val="21"/>
          <w:highlight w:val="none"/>
        </w:rPr>
        <w:t>）投标文件、签订合同和处理有关事宜，其法律后果由我方承担。</w:t>
      </w:r>
    </w:p>
    <w:p w14:paraId="6F47DAFE">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委托期限：</w:t>
      </w:r>
      <w:r>
        <w:rPr>
          <w:rFonts w:hint="eastAsia" w:ascii="宋体" w:hAnsi="宋体" w:eastAsia="宋体" w:cs="宋体"/>
          <w:color w:val="auto"/>
          <w:kern w:val="0"/>
          <w:szCs w:val="21"/>
          <w:highlight w:val="none"/>
          <w:u w:val="single"/>
        </w:rPr>
        <w:t xml:space="preserve"> </w:t>
      </w:r>
      <w:r>
        <w:rPr>
          <w:rFonts w:hint="eastAsia" w:ascii="宋体" w:hAnsi="宋体" w:cs="宋体"/>
          <w:color w:val="auto"/>
          <w:kern w:val="0"/>
          <w:szCs w:val="21"/>
          <w:highlight w:val="none"/>
          <w:u w:val="single"/>
          <w:lang w:eastAsia="zh-CN"/>
        </w:rPr>
        <w:t>自授权书签署之日至投标有效期期满</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785668FD">
      <w:pPr>
        <w:adjustRightInd w:val="0"/>
        <w:snapToGrid w:val="0"/>
        <w:spacing w:line="360" w:lineRule="auto"/>
        <w:ind w:firstLine="435"/>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代理人无转委托权。</w:t>
      </w:r>
    </w:p>
    <w:p w14:paraId="3C1EFD19">
      <w:pPr>
        <w:adjustRightInd w:val="0"/>
        <w:snapToGrid w:val="0"/>
        <w:spacing w:line="360" w:lineRule="auto"/>
        <w:ind w:firstLine="435"/>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本授权书于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日签字生效，特此声明。</w:t>
      </w:r>
    </w:p>
    <w:tbl>
      <w:tblPr>
        <w:tblStyle w:val="45"/>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DD9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32842BCC">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法定代表人（单位负责人）</w:t>
            </w:r>
          </w:p>
          <w:p w14:paraId="5F5C02A5">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身份证（正面）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c>
          <w:tcPr>
            <w:tcW w:w="3899" w:type="dxa"/>
            <w:vAlign w:val="center"/>
          </w:tcPr>
          <w:p w14:paraId="7A55E22C">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法定代表人（单位负责人）</w:t>
            </w:r>
          </w:p>
          <w:p w14:paraId="463E24F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身份证（反面）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r>
      <w:tr w14:paraId="50F2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0B715B8F">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授权代表人</w:t>
            </w:r>
          </w:p>
          <w:p w14:paraId="6C457B8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身份证（正面）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c>
          <w:tcPr>
            <w:tcW w:w="3899" w:type="dxa"/>
            <w:vAlign w:val="center"/>
          </w:tcPr>
          <w:p w14:paraId="61679297">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授权代表人</w:t>
            </w:r>
          </w:p>
          <w:p w14:paraId="7AC8DB1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身份证（反面）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r>
    </w:tbl>
    <w:p w14:paraId="20E21F7B">
      <w:pPr>
        <w:adjustRightInd w:val="0"/>
        <w:snapToGrid w:val="0"/>
        <w:spacing w:line="360" w:lineRule="auto"/>
        <w:ind w:firstLine="420" w:firstLineChars="200"/>
        <w:rPr>
          <w:rFonts w:hint="eastAsia" w:ascii="宋体" w:hAnsi="宋体" w:eastAsia="宋体" w:cs="宋体"/>
          <w:color w:val="auto"/>
          <w:szCs w:val="21"/>
          <w:highlight w:val="none"/>
        </w:rPr>
      </w:pPr>
    </w:p>
    <w:p w14:paraId="59271C36">
      <w:pPr>
        <w:adjustRightInd w:val="0"/>
        <w:snapToGrid w:val="0"/>
        <w:spacing w:line="360" w:lineRule="auto"/>
        <w:ind w:firstLine="420" w:firstLineChars="200"/>
        <w:rPr>
          <w:rFonts w:hint="eastAsia" w:ascii="宋体" w:hAnsi="宋体" w:eastAsia="宋体" w:cs="宋体"/>
          <w:color w:val="auto"/>
          <w:szCs w:val="21"/>
          <w:highlight w:val="none"/>
        </w:rPr>
      </w:pPr>
    </w:p>
    <w:p w14:paraId="1CB0FB9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注：投标人代表不是投标人的</w:t>
      </w:r>
      <w:r>
        <w:rPr>
          <w:rFonts w:hint="eastAsia" w:ascii="宋体" w:hAnsi="宋体" w:eastAsia="宋体" w:cs="宋体"/>
          <w:color w:val="auto"/>
          <w:szCs w:val="21"/>
          <w:highlight w:val="none"/>
          <w:lang w:eastAsia="zh-CN"/>
        </w:rPr>
        <w:t>法定代表人</w:t>
      </w:r>
      <w:r>
        <w:rPr>
          <w:rFonts w:hint="eastAsia" w:ascii="宋体" w:hAnsi="宋体" w:cs="宋体"/>
          <w:color w:val="auto"/>
          <w:kern w:val="0"/>
          <w:szCs w:val="21"/>
          <w:highlight w:val="none"/>
          <w:lang w:eastAsia="zh-CN"/>
        </w:rPr>
        <w:t>（单位负责人）</w:t>
      </w:r>
      <w:r>
        <w:rPr>
          <w:rFonts w:hint="eastAsia" w:ascii="宋体" w:hAnsi="宋体" w:eastAsia="宋体" w:cs="宋体"/>
          <w:color w:val="auto"/>
          <w:szCs w:val="21"/>
          <w:highlight w:val="none"/>
        </w:rPr>
        <w:t>的提供。自然人投标的无需提供。</w:t>
      </w:r>
    </w:p>
    <w:p w14:paraId="3D90BF16">
      <w:pPr>
        <w:adjustRightInd w:val="0"/>
        <w:snapToGrid w:val="0"/>
        <w:spacing w:line="360" w:lineRule="auto"/>
        <w:ind w:firstLine="420" w:firstLineChars="200"/>
        <w:rPr>
          <w:rFonts w:hint="eastAsia" w:ascii="宋体" w:hAnsi="宋体" w:eastAsia="宋体" w:cs="宋体"/>
          <w:color w:val="auto"/>
          <w:szCs w:val="21"/>
          <w:highlight w:val="none"/>
        </w:rPr>
      </w:pPr>
    </w:p>
    <w:p w14:paraId="0D599BE2">
      <w:pPr>
        <w:adjustRightInd w:val="0"/>
        <w:snapToGrid w:val="0"/>
        <w:spacing w:line="360" w:lineRule="auto"/>
        <w:ind w:firstLine="420" w:firstLineChars="200"/>
        <w:rPr>
          <w:rFonts w:hint="eastAsia" w:ascii="宋体" w:hAnsi="宋体" w:eastAsia="宋体" w:cs="宋体"/>
          <w:color w:val="auto"/>
          <w:szCs w:val="21"/>
          <w:highlight w:val="none"/>
        </w:rPr>
      </w:pPr>
    </w:p>
    <w:p w14:paraId="7A1082E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10224D3A">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lang w:eastAsia="zh-CN"/>
        </w:rPr>
        <w:t>法定代表人</w:t>
      </w:r>
      <w:r>
        <w:rPr>
          <w:rFonts w:hint="eastAsia" w:ascii="宋体" w:hAnsi="宋体" w:cs="宋体"/>
          <w:color w:val="auto"/>
          <w:kern w:val="0"/>
          <w:szCs w:val="21"/>
          <w:highlight w:val="none"/>
          <w:lang w:eastAsia="zh-CN"/>
        </w:rPr>
        <w:t>（单位负责人）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（签字或签章）</w:t>
      </w:r>
    </w:p>
    <w:p w14:paraId="1F672DDC">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授权代表人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（签字或签章）</w:t>
      </w:r>
    </w:p>
    <w:p w14:paraId="3C7A12F7">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0525AFB">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br w:type="page"/>
      </w:r>
    </w:p>
    <w:p w14:paraId="3B066C0A">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188" w:name="_Toc29913955"/>
      <w:bookmarkStart w:id="189" w:name="_Toc8345"/>
      <w:bookmarkStart w:id="190" w:name="_Toc24174"/>
      <w:r>
        <w:rPr>
          <w:rFonts w:hint="eastAsia" w:ascii="宋体" w:hAnsi="宋体" w:cs="宋体"/>
          <w:color w:val="auto"/>
          <w:sz w:val="28"/>
          <w:szCs w:val="28"/>
          <w:highlight w:val="none"/>
          <w:lang w:val="en-US" w:eastAsia="zh-CN"/>
        </w:rPr>
        <w:t>四</w:t>
      </w:r>
      <w:r>
        <w:rPr>
          <w:rFonts w:hint="eastAsia" w:ascii="宋体" w:hAnsi="宋体" w:eastAsia="宋体" w:cs="宋体"/>
          <w:color w:val="auto"/>
          <w:sz w:val="28"/>
          <w:szCs w:val="28"/>
          <w:highlight w:val="none"/>
        </w:rPr>
        <w:t>、投标人提供的资格证明文件</w:t>
      </w:r>
      <w:bookmarkEnd w:id="188"/>
      <w:bookmarkEnd w:id="189"/>
      <w:bookmarkEnd w:id="190"/>
    </w:p>
    <w:p w14:paraId="587B1242">
      <w:pPr>
        <w:pStyle w:val="23"/>
        <w:adjustRightInd w:val="0"/>
        <w:snapToGrid w:val="0"/>
        <w:spacing w:line="360" w:lineRule="auto"/>
        <w:jc w:val="center"/>
        <w:rPr>
          <w:rFonts w:hint="eastAsia" w:ascii="宋体" w:hAnsi="宋体" w:eastAsia="宋体" w:cs="宋体"/>
          <w:b/>
          <w:bCs/>
          <w:color w:val="auto"/>
          <w:sz w:val="24"/>
          <w:szCs w:val="24"/>
          <w:highlight w:val="none"/>
        </w:rPr>
      </w:pPr>
    </w:p>
    <w:p w14:paraId="34D24559">
      <w:pPr>
        <w:pStyle w:val="23"/>
        <w:adjustRightInd w:val="0"/>
        <w:snapToGri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须  知</w:t>
      </w:r>
    </w:p>
    <w:p w14:paraId="1077E3C4">
      <w:pPr>
        <w:tabs>
          <w:tab w:val="left" w:pos="4725"/>
        </w:tabs>
        <w:adjustRightInd w:val="0"/>
        <w:snapToGrid w:val="0"/>
        <w:spacing w:before="156" w:beforeLines="50"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1、投标人</w:t>
      </w:r>
      <w:r>
        <w:rPr>
          <w:rFonts w:hint="eastAsia" w:ascii="宋体" w:hAnsi="宋体" w:eastAsia="宋体" w:cs="宋体"/>
          <w:b/>
          <w:bCs/>
          <w:color w:val="auto"/>
          <w:szCs w:val="21"/>
          <w:highlight w:val="none"/>
        </w:rPr>
        <w:t>应按第二章第15.1款要求提供下列的证明材料</w:t>
      </w:r>
    </w:p>
    <w:p w14:paraId="31969DDB">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-1 法人或者其他组织的营业执照等主体资格证明文件，自然人的身份证明</w:t>
      </w:r>
    </w:p>
    <w:p w14:paraId="334FD125">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 xml:space="preserve">-2 </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投标人资格声明(格式)</w:t>
      </w:r>
    </w:p>
    <w:p w14:paraId="2F839F66">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 xml:space="preserve">-2 </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湖南省政府采购供应商资格承诺函(格式)</w:t>
      </w:r>
    </w:p>
    <w:p w14:paraId="0858BEE4">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-3 符合特定资格条件证明材料复印件或者情况说明</w:t>
      </w:r>
    </w:p>
    <w:p w14:paraId="1591CD8C">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 xml:space="preserve">-4 </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联合体协议书（格式）（联合体形式投标的提供）</w:t>
      </w:r>
    </w:p>
    <w:p w14:paraId="45226522">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附件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提供“非联合体投标”书面声明</w:t>
      </w:r>
    </w:p>
    <w:p w14:paraId="6FE03C61">
      <w:pPr>
        <w:tabs>
          <w:tab w:val="left" w:pos="4725"/>
        </w:tabs>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2、投标人以联合体形式投标的，除应提交联合协议书(本节附</w:t>
      </w:r>
      <w:r>
        <w:rPr>
          <w:rFonts w:hint="eastAsia" w:ascii="宋体" w:hAnsi="宋体" w:eastAsia="宋体" w:cs="宋体"/>
          <w:color w:val="auto"/>
          <w:szCs w:val="21"/>
          <w:highlight w:val="none"/>
          <w:lang w:eastAsia="zh-CN"/>
        </w:rPr>
        <w:t>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-4)外，参加联合体的各方均应提交上款资格证明材料。</w:t>
      </w:r>
    </w:p>
    <w:p w14:paraId="3A3884A7">
      <w:pPr>
        <w:tabs>
          <w:tab w:val="left" w:pos="4725"/>
        </w:tabs>
        <w:adjustRightInd w:val="0"/>
        <w:snapToGrid w:val="0"/>
        <w:spacing w:line="360" w:lineRule="auto"/>
        <w:rPr>
          <w:rFonts w:hint="eastAsia" w:ascii="宋体" w:hAnsi="宋体" w:eastAsia="宋体" w:cs="宋体"/>
          <w:color w:val="auto"/>
          <w:szCs w:val="21"/>
          <w:highlight w:val="none"/>
        </w:rPr>
      </w:pPr>
    </w:p>
    <w:p w14:paraId="4F1845E8">
      <w:pPr>
        <w:widowControl/>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4C027632">
      <w:pPr>
        <w:pStyle w:val="5"/>
        <w:rPr>
          <w:rFonts w:hint="eastAsia" w:ascii="宋体" w:hAnsi="宋体" w:eastAsia="宋体" w:cs="宋体"/>
          <w:b w:val="0"/>
          <w:color w:val="auto"/>
          <w:sz w:val="21"/>
          <w:szCs w:val="21"/>
          <w:highlight w:val="none"/>
        </w:rPr>
      </w:pPr>
      <w:bookmarkStart w:id="191" w:name="_Toc18063"/>
      <w:bookmarkStart w:id="192" w:name="_Toc20833"/>
      <w:bookmarkStart w:id="193" w:name="_Toc29913956"/>
      <w:r>
        <w:rPr>
          <w:rFonts w:hint="eastAsia" w:ascii="宋体" w:hAnsi="宋体" w:eastAsia="宋体" w:cs="宋体"/>
          <w:b w:val="0"/>
          <w:color w:val="auto"/>
          <w:sz w:val="21"/>
          <w:szCs w:val="21"/>
          <w:highlight w:val="none"/>
          <w:lang w:eastAsia="zh-CN"/>
        </w:rPr>
        <w:t>附件3</w:t>
      </w:r>
      <w:r>
        <w:rPr>
          <w:rFonts w:hint="eastAsia" w:ascii="宋体" w:hAnsi="宋体" w:eastAsia="宋体" w:cs="宋体"/>
          <w:b w:val="0"/>
          <w:color w:val="auto"/>
          <w:sz w:val="21"/>
          <w:szCs w:val="21"/>
          <w:highlight w:val="none"/>
        </w:rPr>
        <w:t>-1 法人或者其他组织的营业执照等主体资格证明文件，自然人的身份证明</w:t>
      </w:r>
      <w:bookmarkEnd w:id="191"/>
      <w:bookmarkEnd w:id="192"/>
      <w:bookmarkEnd w:id="193"/>
    </w:p>
    <w:p w14:paraId="4145AD78">
      <w:pPr>
        <w:widowControl/>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法人或者其他组织的营业执照等主体资格证明文件，自然人的身份证明</w:t>
      </w:r>
    </w:p>
    <w:p w14:paraId="32C7853F">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p>
    <w:p w14:paraId="51EF3E6F">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注：按第二章第14.1（2）项要求提供。</w:t>
      </w:r>
    </w:p>
    <w:p w14:paraId="0DF721A6">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eastAsia="宋体" w:cs="宋体"/>
          <w:color w:val="auto"/>
          <w:highlight w:val="none"/>
        </w:rPr>
        <w:t>投标人为法人的，应提交营业执照或法人登记证书的复印件；</w:t>
      </w:r>
    </w:p>
    <w:p w14:paraId="694B4162">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highlight w:val="none"/>
        </w:rPr>
        <w:t>投标人为非法人组织的，应提交依法登记证书复印件；</w:t>
      </w:r>
    </w:p>
    <w:p w14:paraId="773E1A93">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（3）</w:t>
      </w:r>
      <w:r>
        <w:rPr>
          <w:rFonts w:hint="eastAsia" w:ascii="宋体" w:hAnsi="宋体" w:eastAsia="宋体" w:cs="宋体"/>
          <w:color w:val="auto"/>
          <w:highlight w:val="none"/>
        </w:rPr>
        <w:t>投标人为个体工商户的，应提交个体工商户营业执照复印件；</w:t>
      </w:r>
    </w:p>
    <w:p w14:paraId="50C611E3">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投标人为自然人的，应提交自然人的身份证明复印件。</w:t>
      </w:r>
    </w:p>
    <w:p w14:paraId="06095F23">
      <w:pPr>
        <w:adjustRightInd w:val="0"/>
        <w:snapToGrid w:val="0"/>
        <w:spacing w:before="156" w:beforeLines="50" w:line="360" w:lineRule="auto"/>
        <w:ind w:firstLine="420" w:firstLineChars="200"/>
        <w:rPr>
          <w:rFonts w:hint="eastAsia" w:ascii="宋体" w:hAnsi="宋体" w:eastAsia="宋体" w:cs="宋体"/>
          <w:color w:val="auto"/>
          <w:highlight w:val="none"/>
        </w:rPr>
      </w:pPr>
    </w:p>
    <w:p w14:paraId="7288587A">
      <w:pPr>
        <w:widowControl/>
        <w:jc w:val="left"/>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br w:type="page"/>
      </w:r>
    </w:p>
    <w:p w14:paraId="00F68A58">
      <w:pPr>
        <w:pStyle w:val="5"/>
        <w:adjustRightInd w:val="0"/>
        <w:snapToGrid w:val="0"/>
        <w:spacing w:before="156" w:beforeLines="50" w:after="0" w:line="360" w:lineRule="auto"/>
        <w:rPr>
          <w:rFonts w:hint="eastAsia" w:ascii="宋体" w:hAnsi="宋体" w:eastAsia="宋体" w:cs="宋体"/>
          <w:b w:val="0"/>
          <w:color w:val="auto"/>
          <w:sz w:val="21"/>
          <w:szCs w:val="21"/>
          <w:highlight w:val="none"/>
        </w:rPr>
      </w:pPr>
      <w:bookmarkStart w:id="194" w:name="_Toc20857"/>
      <w:bookmarkStart w:id="195" w:name="_Toc22586"/>
      <w:bookmarkStart w:id="196" w:name="_Toc29913957"/>
      <w:r>
        <w:rPr>
          <w:rFonts w:hint="eastAsia" w:ascii="宋体" w:hAnsi="宋体" w:eastAsia="宋体" w:cs="宋体"/>
          <w:b w:val="0"/>
          <w:color w:val="auto"/>
          <w:sz w:val="21"/>
          <w:szCs w:val="21"/>
          <w:highlight w:val="none"/>
          <w:lang w:eastAsia="zh-CN"/>
        </w:rPr>
        <w:t>附件</w:t>
      </w:r>
      <w:r>
        <w:rPr>
          <w:rFonts w:hint="eastAsia" w:ascii="宋体" w:hAnsi="宋体" w:eastAsia="宋体" w:cs="宋体"/>
          <w:b w:val="0"/>
          <w:color w:val="auto"/>
          <w:sz w:val="21"/>
          <w:szCs w:val="21"/>
          <w:highlight w:val="none"/>
          <w:lang w:val="en-US" w:eastAsia="zh-CN"/>
        </w:rPr>
        <w:t>4</w:t>
      </w:r>
      <w:r>
        <w:rPr>
          <w:rFonts w:hint="eastAsia" w:ascii="宋体" w:hAnsi="宋体" w:eastAsia="宋体" w:cs="宋体"/>
          <w:b w:val="0"/>
          <w:color w:val="auto"/>
          <w:sz w:val="21"/>
          <w:szCs w:val="21"/>
          <w:highlight w:val="none"/>
        </w:rPr>
        <w:t xml:space="preserve">-2 </w:t>
      </w:r>
      <w:r>
        <w:rPr>
          <w:rFonts w:hint="eastAsia" w:ascii="宋体" w:hAnsi="宋体" w:eastAsia="宋体" w:cs="宋体"/>
          <w:b w:val="0"/>
          <w:color w:val="auto"/>
          <w:sz w:val="21"/>
          <w:szCs w:val="21"/>
          <w:highlight w:val="none"/>
          <w:lang w:eastAsia="zh-CN"/>
        </w:rPr>
        <w:t>（</w:t>
      </w:r>
      <w:r>
        <w:rPr>
          <w:rFonts w:hint="eastAsia" w:ascii="宋体" w:hAnsi="宋体" w:eastAsia="宋体" w:cs="宋体"/>
          <w:b w:val="0"/>
          <w:color w:val="auto"/>
          <w:sz w:val="21"/>
          <w:szCs w:val="21"/>
          <w:highlight w:val="none"/>
          <w:lang w:val="en-US" w:eastAsia="zh-CN"/>
        </w:rPr>
        <w:t>1</w:t>
      </w:r>
      <w:r>
        <w:rPr>
          <w:rFonts w:hint="eastAsia" w:ascii="宋体" w:hAnsi="宋体" w:eastAsia="宋体" w:cs="宋体"/>
          <w:b w:val="0"/>
          <w:color w:val="auto"/>
          <w:sz w:val="21"/>
          <w:szCs w:val="21"/>
          <w:highlight w:val="none"/>
          <w:lang w:eastAsia="zh-CN"/>
        </w:rPr>
        <w:t>）</w:t>
      </w:r>
      <w:r>
        <w:rPr>
          <w:rFonts w:hint="eastAsia" w:ascii="宋体" w:hAnsi="宋体" w:eastAsia="宋体" w:cs="宋体"/>
          <w:b w:val="0"/>
          <w:color w:val="auto"/>
          <w:sz w:val="21"/>
          <w:szCs w:val="21"/>
          <w:highlight w:val="none"/>
        </w:rPr>
        <w:t>投标人资格声明(格式)</w:t>
      </w:r>
      <w:bookmarkEnd w:id="194"/>
      <w:bookmarkEnd w:id="195"/>
      <w:bookmarkEnd w:id="196"/>
    </w:p>
    <w:p w14:paraId="3B74AC34">
      <w:pPr>
        <w:widowControl/>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 w:val="28"/>
          <w:szCs w:val="28"/>
          <w:highlight w:val="none"/>
        </w:rPr>
        <w:t>投标人资格声明(格式)</w:t>
      </w:r>
    </w:p>
    <w:p w14:paraId="4DAEAD44">
      <w:pPr>
        <w:widowControl/>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(采购人、采购代理机构)：</w:t>
      </w:r>
    </w:p>
    <w:p w14:paraId="791D921F">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按照《中华人民共和国政府采购法》第二十二条和招标文件的规定，我单位郑重声明如下：</w:t>
      </w:r>
    </w:p>
    <w:p w14:paraId="553D6E6E">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一、我单位是按照中华人民共和国法律规定登记注册的，注册地点为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，全称为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，统一社会信用代码为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法定代表人（姓名）</w:t>
      </w:r>
      <w:r>
        <w:rPr>
          <w:rFonts w:hint="eastAsia" w:ascii="宋体" w:hAnsi="宋体" w:eastAsia="宋体" w:cs="宋体"/>
          <w:color w:val="auto"/>
          <w:szCs w:val="21"/>
          <w:highlight w:val="none"/>
        </w:rPr>
        <w:t>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，具有独立承担民事责任的能力。</w:t>
      </w:r>
    </w:p>
    <w:p w14:paraId="68C8568D">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二、我单位未被“国家企业信用信息系统”列入经营异常名录或者严重违法企业名单。</w:t>
      </w:r>
    </w:p>
    <w:p w14:paraId="13C29E9C">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三、</w:t>
      </w:r>
      <w:r>
        <w:rPr>
          <w:rFonts w:hint="eastAsia" w:ascii="宋体" w:hAnsi="宋体" w:eastAsia="宋体" w:cs="宋体"/>
          <w:color w:val="auto"/>
          <w:szCs w:val="21"/>
          <w:highlight w:val="none"/>
        </w:rPr>
        <w:t>我单位具有良好的商业信誉和健全的财务会计制度。</w:t>
      </w:r>
    </w:p>
    <w:p w14:paraId="46ABDE23">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四、我</w:t>
      </w:r>
      <w:r>
        <w:rPr>
          <w:rFonts w:hint="eastAsia" w:ascii="宋体" w:hAnsi="宋体" w:eastAsia="宋体" w:cs="宋体"/>
          <w:color w:val="auto"/>
          <w:szCs w:val="21"/>
          <w:highlight w:val="none"/>
        </w:rPr>
        <w:t>单位</w:t>
      </w:r>
      <w:r>
        <w:rPr>
          <w:rFonts w:hint="eastAsia" w:ascii="宋体" w:hAnsi="宋体" w:eastAsia="宋体" w:cs="宋体"/>
          <w:color w:val="auto"/>
          <w:kern w:val="0"/>
          <w:szCs w:val="21"/>
          <w:highlight w:val="none"/>
        </w:rPr>
        <w:t>依法进行纳税和社会保险申报并实际履行了义务。</w:t>
      </w:r>
    </w:p>
    <w:p w14:paraId="49B85493">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五、我单位具有履行本项目采购合同所必需的设备和专业技术能力，并具有履行合同的良好记录。</w:t>
      </w:r>
    </w:p>
    <w:p w14:paraId="0A9365DF">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2486DC2C">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供应商在参加政府采购活动前3年内因违法经营被禁止在一定期限内参加政府采购活动，期限届满的，可以参加政府采购活动。</w:t>
      </w:r>
    </w:p>
    <w:p w14:paraId="15F0E9E9">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七、我单位具备法律、行政法规规定的其他条件。</w:t>
      </w:r>
    </w:p>
    <w:p w14:paraId="3C89258B">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八、</w:t>
      </w:r>
      <w:r>
        <w:rPr>
          <w:rFonts w:hint="eastAsia" w:ascii="宋体" w:hAnsi="宋体" w:eastAsia="宋体" w:cs="宋体"/>
          <w:color w:val="auto"/>
          <w:szCs w:val="21"/>
          <w:highlight w:val="none"/>
        </w:rPr>
        <w:t>与我单位存在“单位负责人为同一人或者存在直接控股、管理关系”的其他单位信息如下（如无，填写“无”）：</w:t>
      </w:r>
    </w:p>
    <w:p w14:paraId="69169375">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1、与我单位的</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为同一人的其他单位如下：</w:t>
      </w:r>
      <w:r>
        <w:rPr>
          <w:rFonts w:hint="eastAsia" w:ascii="宋体" w:hAnsi="宋体" w:eastAsia="宋体" w:cs="宋体"/>
          <w:color w:val="auto"/>
          <w:szCs w:val="21"/>
          <w:highlight w:val="none"/>
          <w:u w:val="single"/>
        </w:rPr>
        <w:t xml:space="preserve">               </w:t>
      </w:r>
    </w:p>
    <w:p w14:paraId="487FA22B">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2、我单位直接控股的其他单位如下：</w:t>
      </w:r>
      <w:r>
        <w:rPr>
          <w:rFonts w:hint="eastAsia" w:ascii="宋体" w:hAnsi="宋体" w:eastAsia="宋体" w:cs="宋体"/>
          <w:color w:val="auto"/>
          <w:szCs w:val="21"/>
          <w:highlight w:val="none"/>
          <w:u w:val="single"/>
        </w:rPr>
        <w:t xml:space="preserve">               </w:t>
      </w:r>
    </w:p>
    <w:p w14:paraId="1B58A077">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3、与我单位存在管理关系的其他单位如下：</w:t>
      </w:r>
      <w:r>
        <w:rPr>
          <w:rFonts w:hint="eastAsia" w:ascii="宋体" w:hAnsi="宋体" w:eastAsia="宋体" w:cs="宋体"/>
          <w:color w:val="auto"/>
          <w:szCs w:val="21"/>
          <w:highlight w:val="none"/>
          <w:u w:val="single"/>
        </w:rPr>
        <w:t xml:space="preserve">               </w:t>
      </w:r>
    </w:p>
    <w:p w14:paraId="7B91A8A6">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九、我单位不属于为本项目提供整体设计、规范编制或者项目管理、监理、检测等服务的投标人。</w:t>
      </w:r>
    </w:p>
    <w:p w14:paraId="7E1E27DB">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十、我单位无以下不良信用记录情形：</w:t>
      </w:r>
    </w:p>
    <w:p w14:paraId="50190961">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1、在“信用中国”、“信用湖南”、“信用郴州”网站被列入失信被执行人和重大税收违法案件当事人名单；</w:t>
      </w:r>
    </w:p>
    <w:p w14:paraId="19657164">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2、在“中国政府采购网”、“湖南省政府采购网”网站被列入政府采购严重违法失信行为记录名单；</w:t>
      </w:r>
    </w:p>
    <w:p w14:paraId="4CDFDC65">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3、不符合《政府采购法》第二十二条规定的条件。</w:t>
      </w:r>
    </w:p>
    <w:p w14:paraId="760F9269">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我单位保证上述声明的事项都是真实的，如有虚假，我单位愿意承担相应的法律责任，并承担因此所造成的一切损失。</w:t>
      </w:r>
    </w:p>
    <w:p w14:paraId="5DD9AB99">
      <w:pPr>
        <w:widowControl/>
        <w:adjustRightInd w:val="0"/>
        <w:snapToGrid w:val="0"/>
        <w:spacing w:before="156" w:beforeLines="50" w:line="360" w:lineRule="auto"/>
        <w:jc w:val="left"/>
        <w:rPr>
          <w:rFonts w:hint="eastAsia" w:ascii="宋体" w:hAnsi="宋体" w:eastAsia="宋体" w:cs="宋体"/>
          <w:color w:val="auto"/>
          <w:szCs w:val="21"/>
          <w:highlight w:val="none"/>
        </w:rPr>
      </w:pPr>
    </w:p>
    <w:p w14:paraId="1C029678">
      <w:pPr>
        <w:widowControl/>
        <w:adjustRightInd w:val="0"/>
        <w:snapToGrid w:val="0"/>
        <w:spacing w:before="156" w:beforeLines="50"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注：第三条“良好的商业信誉”是指投标人经营状况良好，无本资格声明第十条情形。</w:t>
      </w:r>
    </w:p>
    <w:p w14:paraId="301B792E">
      <w:pPr>
        <w:widowControl/>
        <w:adjustRightInd w:val="0"/>
        <w:snapToGrid w:val="0"/>
        <w:spacing w:before="156" w:beforeLines="50" w:line="360" w:lineRule="auto"/>
        <w:jc w:val="left"/>
        <w:rPr>
          <w:rFonts w:hint="eastAsia" w:ascii="宋体" w:hAnsi="宋体" w:eastAsia="宋体" w:cs="宋体"/>
          <w:color w:val="auto"/>
          <w:szCs w:val="21"/>
          <w:highlight w:val="none"/>
        </w:rPr>
      </w:pPr>
    </w:p>
    <w:p w14:paraId="55F8797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1938CE65">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3F2B34F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ACA58F6">
      <w:pPr>
        <w:widowControl/>
        <w:adjustRightInd w:val="0"/>
        <w:snapToGrid w:val="0"/>
        <w:spacing w:line="360" w:lineRule="auto"/>
        <w:jc w:val="left"/>
        <w:rPr>
          <w:rFonts w:hint="eastAsia" w:ascii="宋体" w:hAnsi="宋体" w:eastAsia="宋体" w:cs="宋体"/>
          <w:color w:val="auto"/>
          <w:szCs w:val="21"/>
          <w:highlight w:val="none"/>
        </w:rPr>
      </w:pPr>
    </w:p>
    <w:p w14:paraId="5DB987A5">
      <w:pPr>
        <w:rPr>
          <w:rFonts w:hint="eastAsia"/>
          <w:color w:val="auto"/>
          <w:highlight w:val="none"/>
          <w:lang w:eastAsia="zh-CN"/>
        </w:rPr>
      </w:pPr>
      <w:r>
        <w:rPr>
          <w:rFonts w:hint="eastAsia" w:ascii="宋体" w:hAnsi="宋体" w:eastAsia="宋体" w:cs="宋体"/>
          <w:b/>
          <w:color w:val="auto"/>
          <w:szCs w:val="21"/>
          <w:highlight w:val="none"/>
        </w:rPr>
        <w:br w:type="page"/>
      </w:r>
    </w:p>
    <w:p w14:paraId="3CD4807C">
      <w:pPr>
        <w:pStyle w:val="5"/>
        <w:adjustRightInd w:val="0"/>
        <w:snapToGrid w:val="0"/>
        <w:spacing w:before="156" w:beforeLines="50" w:after="0" w:line="360" w:lineRule="auto"/>
        <w:rPr>
          <w:rFonts w:hint="eastAsia" w:ascii="宋体" w:hAnsi="宋体" w:eastAsia="宋体" w:cs="宋体"/>
          <w:b w:val="0"/>
          <w:color w:val="auto"/>
          <w:sz w:val="21"/>
          <w:szCs w:val="21"/>
          <w:highlight w:val="none"/>
          <w:lang w:eastAsia="zh-CN"/>
        </w:rPr>
      </w:pPr>
    </w:p>
    <w:p w14:paraId="650D7106">
      <w:pPr>
        <w:pStyle w:val="5"/>
        <w:adjustRightInd w:val="0"/>
        <w:snapToGrid w:val="0"/>
        <w:spacing w:before="156" w:beforeLines="5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eastAsia="zh-CN"/>
        </w:rPr>
        <w:t>附件</w:t>
      </w:r>
      <w:r>
        <w:rPr>
          <w:rFonts w:hint="eastAsia" w:ascii="宋体" w:hAnsi="宋体" w:eastAsia="宋体" w:cs="宋体"/>
          <w:b w:val="0"/>
          <w:color w:val="auto"/>
          <w:sz w:val="21"/>
          <w:szCs w:val="21"/>
          <w:highlight w:val="none"/>
          <w:lang w:val="en-US" w:eastAsia="zh-CN"/>
        </w:rPr>
        <w:t>4</w:t>
      </w:r>
      <w:r>
        <w:rPr>
          <w:rFonts w:hint="eastAsia" w:ascii="宋体" w:hAnsi="宋体" w:eastAsia="宋体" w:cs="宋体"/>
          <w:b w:val="0"/>
          <w:color w:val="auto"/>
          <w:sz w:val="21"/>
          <w:szCs w:val="21"/>
          <w:highlight w:val="none"/>
        </w:rPr>
        <w:t>-</w:t>
      </w:r>
      <w:r>
        <w:rPr>
          <w:rFonts w:hint="eastAsia" w:ascii="宋体" w:hAnsi="宋体" w:eastAsia="宋体" w:cs="宋体"/>
          <w:b w:val="0"/>
          <w:color w:val="auto"/>
          <w:sz w:val="21"/>
          <w:szCs w:val="21"/>
          <w:highlight w:val="none"/>
          <w:lang w:val="en-US" w:eastAsia="zh-CN"/>
        </w:rPr>
        <w:t>2（2）</w:t>
      </w:r>
      <w:r>
        <w:rPr>
          <w:rFonts w:hint="eastAsia" w:ascii="宋体" w:hAnsi="宋体" w:eastAsia="宋体" w:cs="宋体"/>
          <w:b w:val="0"/>
          <w:color w:val="auto"/>
          <w:sz w:val="21"/>
          <w:szCs w:val="21"/>
          <w:highlight w:val="none"/>
        </w:rPr>
        <w:t xml:space="preserve"> 湖南省政府采购</w:t>
      </w:r>
      <w:r>
        <w:rPr>
          <w:rFonts w:hint="eastAsia" w:ascii="宋体" w:hAnsi="宋体" w:eastAsia="宋体" w:cs="宋体"/>
          <w:b w:val="0"/>
          <w:color w:val="auto"/>
          <w:sz w:val="21"/>
          <w:szCs w:val="21"/>
          <w:highlight w:val="none"/>
          <w:lang w:eastAsia="zh-CN"/>
        </w:rPr>
        <w:t>供应商资格承诺函</w:t>
      </w:r>
      <w:r>
        <w:rPr>
          <w:rFonts w:hint="eastAsia" w:ascii="宋体" w:hAnsi="宋体" w:eastAsia="宋体" w:cs="宋体"/>
          <w:b w:val="0"/>
          <w:color w:val="auto"/>
          <w:sz w:val="21"/>
          <w:szCs w:val="21"/>
          <w:highlight w:val="none"/>
        </w:rPr>
        <w:t>(格式)</w:t>
      </w:r>
    </w:p>
    <w:p w14:paraId="24052A7B">
      <w:pPr>
        <w:widowControl/>
        <w:adjustRightInd w:val="0"/>
        <w:snapToGrid w:val="0"/>
        <w:spacing w:beforeLines="150" w:line="360" w:lineRule="auto"/>
        <w:jc w:val="center"/>
        <w:rPr>
          <w:rFonts w:ascii="宋体" w:hAnsi="宋体" w:cs="宋体"/>
          <w:color w:val="auto"/>
          <w:szCs w:val="21"/>
          <w:highlight w:val="none"/>
        </w:rPr>
      </w:pPr>
      <w:r>
        <w:rPr>
          <w:rFonts w:hint="eastAsia" w:ascii="宋体" w:hAnsi="宋体" w:cs="宋体"/>
          <w:b/>
          <w:color w:val="auto"/>
          <w:sz w:val="28"/>
          <w:szCs w:val="28"/>
          <w:highlight w:val="none"/>
        </w:rPr>
        <w:t>湖南省政府采购供应商资格承诺函(格式)</w:t>
      </w:r>
    </w:p>
    <w:p w14:paraId="58221728">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单位）独立承担民事责任、具有良好的商业信誉和健全的财务会计制度、依法缴纳税收和社会保障资金，在前三年的经营活动中无重大违法记录，未列入严重失信行为名单，符合政府采购供应商的基本资格要求。</w:t>
      </w:r>
    </w:p>
    <w:p w14:paraId="44FE1F11">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按照《政府采购促进中小企业发展管理办法》(财库〔2020〕46号)，本公司（单位）企业规模为：大型□中型□小型□微型□。</w:t>
      </w:r>
    </w:p>
    <w:p w14:paraId="532E66FF">
      <w:pPr>
        <w:widowControl/>
        <w:spacing w:beforeLines="50"/>
        <w:ind w:firstLine="420" w:firstLineChars="200"/>
        <w:jc w:val="left"/>
        <w:rPr>
          <w:rFonts w:hint="eastAsia" w:ascii="宋体" w:hAnsi="宋体" w:cs="宋体"/>
          <w:color w:val="auto"/>
          <w:szCs w:val="21"/>
          <w:highlight w:val="none"/>
        </w:rPr>
      </w:pPr>
    </w:p>
    <w:p w14:paraId="575AC7DB">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公司(单位)名称：（盖单位电子章）</w:t>
      </w:r>
    </w:p>
    <w:p w14:paraId="1C408B02">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机构代码：</w:t>
      </w:r>
    </w:p>
    <w:p w14:paraId="098F94E2">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注册登记机构：</w:t>
      </w:r>
    </w:p>
    <w:p w14:paraId="39C6D44F">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日期：</w:t>
      </w:r>
    </w:p>
    <w:p w14:paraId="1D8C4B87">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有效期：</w:t>
      </w:r>
    </w:p>
    <w:p w14:paraId="27E1698E">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注册资本：</w:t>
      </w:r>
    </w:p>
    <w:p w14:paraId="02581B6B">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地 址：</w:t>
      </w:r>
    </w:p>
    <w:p w14:paraId="7BE4BAF1">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经济行业：</w:t>
      </w:r>
      <w:r>
        <w:rPr>
          <w:rFonts w:hint="eastAsia" w:ascii="宋体" w:hAnsi="宋体" w:cs="宋体"/>
          <w:color w:val="auto"/>
          <w:szCs w:val="21"/>
          <w:highlight w:val="none"/>
          <w:u w:val="single"/>
        </w:rPr>
        <w:t>（注：根据第一章投标邀请的第一条</w:t>
      </w:r>
      <w:r>
        <w:rPr>
          <w:rFonts w:hint="eastAsia" w:ascii="宋体" w:hAnsi="宋体" w:cs="宋体"/>
          <w:color w:val="auto"/>
          <w:szCs w:val="21"/>
          <w:highlight w:val="none"/>
          <w:u w:val="single"/>
          <w:lang w:val="en-US" w:eastAsia="zh-CN"/>
        </w:rPr>
        <w:t>的“本项目对应的中小企业划分标准所属行业”</w:t>
      </w:r>
      <w:r>
        <w:rPr>
          <w:rFonts w:hint="eastAsia" w:ascii="宋体" w:hAnsi="宋体" w:cs="宋体"/>
          <w:color w:val="auto"/>
          <w:szCs w:val="21"/>
          <w:highlight w:val="none"/>
          <w:u w:val="single"/>
        </w:rPr>
        <w:t>内容填写）</w:t>
      </w:r>
    </w:p>
    <w:p w14:paraId="75FBDC38">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经济性质：</w:t>
      </w:r>
      <w:r>
        <w:rPr>
          <w:rFonts w:hint="eastAsia" w:ascii="宋体" w:hAnsi="宋体" w:cs="宋体"/>
          <w:color w:val="auto"/>
          <w:szCs w:val="21"/>
          <w:highlight w:val="none"/>
          <w:u w:val="single"/>
        </w:rPr>
        <w:t>（注：填写营业执照的“类型”；如果是事业单位的则填写“事业单位”）</w:t>
      </w:r>
      <w:r>
        <w:rPr>
          <w:rFonts w:hint="eastAsia" w:ascii="宋体" w:hAnsi="宋体" w:cs="宋体"/>
          <w:color w:val="auto"/>
          <w:szCs w:val="21"/>
          <w:highlight w:val="none"/>
        </w:rPr>
        <w:t>。</w:t>
      </w:r>
    </w:p>
    <w:p w14:paraId="1F814241">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法定代表人(负责人)姓名（电子签章）、身份证号、手机号：</w:t>
      </w:r>
    </w:p>
    <w:p w14:paraId="429C2E71">
      <w:pPr>
        <w:widowControl/>
        <w:spacing w:beforeLines="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授权代表人姓名（电子签章）、身份证号、手机号：</w:t>
      </w:r>
    </w:p>
    <w:p w14:paraId="70E02A56">
      <w:pPr>
        <w:widowControl/>
        <w:jc w:val="left"/>
        <w:rPr>
          <w:rFonts w:hint="eastAsia" w:ascii="宋体" w:hAnsi="宋体" w:eastAsia="宋体" w:cs="宋体"/>
          <w:bCs/>
          <w:color w:val="auto"/>
          <w:szCs w:val="21"/>
          <w:highlight w:val="none"/>
        </w:rPr>
      </w:pPr>
      <w:r>
        <w:rPr>
          <w:rFonts w:hint="eastAsia" w:ascii="宋体" w:hAnsi="宋体" w:cs="宋体"/>
          <w:color w:val="auto"/>
          <w:szCs w:val="21"/>
          <w:highlight w:val="none"/>
        </w:rPr>
        <w:t xml:space="preserve">                                          年     月    日</w:t>
      </w:r>
    </w:p>
    <w:p w14:paraId="05B00DCA">
      <w:pPr>
        <w:rPr>
          <w:rFonts w:hint="eastAsia" w:ascii="宋体" w:hAnsi="宋体" w:eastAsia="宋体" w:cs="宋体"/>
          <w:b w:val="0"/>
          <w:color w:val="auto"/>
          <w:sz w:val="21"/>
          <w:szCs w:val="21"/>
          <w:highlight w:val="none"/>
          <w:lang w:eastAsia="zh-CN"/>
        </w:rPr>
      </w:pPr>
      <w:bookmarkStart w:id="197" w:name="_Toc26565"/>
      <w:bookmarkStart w:id="198" w:name="_Toc29913958"/>
      <w:bookmarkStart w:id="199" w:name="_Toc390"/>
      <w:r>
        <w:rPr>
          <w:rFonts w:hint="eastAsia" w:ascii="宋体" w:hAnsi="宋体" w:eastAsia="宋体" w:cs="宋体"/>
          <w:b w:val="0"/>
          <w:color w:val="auto"/>
          <w:sz w:val="21"/>
          <w:szCs w:val="21"/>
          <w:highlight w:val="none"/>
          <w:lang w:eastAsia="zh-CN"/>
        </w:rPr>
        <w:br w:type="page"/>
      </w:r>
    </w:p>
    <w:p w14:paraId="6409A8D2">
      <w:pPr>
        <w:pStyle w:val="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eastAsia="zh-CN"/>
        </w:rPr>
        <w:t>附件</w:t>
      </w:r>
      <w:r>
        <w:rPr>
          <w:rFonts w:hint="eastAsia" w:ascii="宋体" w:hAnsi="宋体" w:eastAsia="宋体" w:cs="宋体"/>
          <w:b w:val="0"/>
          <w:color w:val="auto"/>
          <w:sz w:val="21"/>
          <w:szCs w:val="21"/>
          <w:highlight w:val="none"/>
          <w:lang w:val="en-US" w:eastAsia="zh-CN"/>
        </w:rPr>
        <w:t>4</w:t>
      </w:r>
      <w:r>
        <w:rPr>
          <w:rFonts w:hint="eastAsia" w:ascii="宋体" w:hAnsi="宋体" w:eastAsia="宋体" w:cs="宋体"/>
          <w:b w:val="0"/>
          <w:color w:val="auto"/>
          <w:sz w:val="21"/>
          <w:szCs w:val="21"/>
          <w:highlight w:val="none"/>
        </w:rPr>
        <w:t>-3 符合特定资格条件证明材料复印件或者情况说明</w:t>
      </w:r>
      <w:bookmarkEnd w:id="197"/>
      <w:bookmarkEnd w:id="198"/>
      <w:bookmarkEnd w:id="199"/>
    </w:p>
    <w:p w14:paraId="2039FC4A">
      <w:pPr>
        <w:widowControl/>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符合特定资格条件证明材料复印件或者情况说明</w:t>
      </w:r>
    </w:p>
    <w:p w14:paraId="532BA5F7">
      <w:pPr>
        <w:widowControl/>
        <w:adjustRightInd w:val="0"/>
        <w:snapToGrid w:val="0"/>
        <w:spacing w:line="360" w:lineRule="auto"/>
        <w:ind w:firstLine="560" w:firstLineChars="200"/>
        <w:jc w:val="left"/>
        <w:rPr>
          <w:rFonts w:hint="eastAsia" w:ascii="宋体" w:hAnsi="宋体" w:eastAsia="宋体" w:cs="宋体"/>
          <w:color w:val="auto"/>
          <w:sz w:val="28"/>
          <w:szCs w:val="28"/>
          <w:highlight w:val="none"/>
        </w:rPr>
      </w:pPr>
    </w:p>
    <w:p w14:paraId="18EC8BE1">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注：按第二章第14.1（3）项要求提供。</w:t>
      </w:r>
    </w:p>
    <w:p w14:paraId="581C1409">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2D155972">
      <w:pPr>
        <w:pStyle w:val="5"/>
        <w:rPr>
          <w:rFonts w:hint="eastAsia" w:ascii="宋体" w:hAnsi="宋体" w:eastAsia="宋体" w:cs="宋体"/>
          <w:b w:val="0"/>
          <w:color w:val="auto"/>
          <w:kern w:val="0"/>
          <w:sz w:val="21"/>
          <w:szCs w:val="21"/>
          <w:highlight w:val="none"/>
        </w:rPr>
      </w:pPr>
      <w:bookmarkStart w:id="200" w:name="_Toc30025"/>
      <w:bookmarkStart w:id="201" w:name="_Toc14195"/>
      <w:bookmarkStart w:id="202" w:name="_Toc29913959"/>
      <w:r>
        <w:rPr>
          <w:rFonts w:hint="eastAsia" w:ascii="宋体" w:hAnsi="宋体" w:eastAsia="宋体" w:cs="宋体"/>
          <w:b w:val="0"/>
          <w:color w:val="auto"/>
          <w:sz w:val="21"/>
          <w:szCs w:val="21"/>
          <w:highlight w:val="none"/>
          <w:lang w:eastAsia="zh-CN"/>
        </w:rPr>
        <w:t>附件</w:t>
      </w:r>
      <w:r>
        <w:rPr>
          <w:rFonts w:hint="eastAsia" w:ascii="宋体" w:hAnsi="宋体" w:eastAsia="宋体" w:cs="宋体"/>
          <w:b w:val="0"/>
          <w:color w:val="auto"/>
          <w:sz w:val="21"/>
          <w:szCs w:val="21"/>
          <w:highlight w:val="none"/>
          <w:lang w:val="en-US" w:eastAsia="zh-CN"/>
        </w:rPr>
        <w:t>4</w:t>
      </w:r>
      <w:r>
        <w:rPr>
          <w:rFonts w:hint="eastAsia" w:ascii="宋体" w:hAnsi="宋体" w:eastAsia="宋体" w:cs="宋体"/>
          <w:b w:val="0"/>
          <w:color w:val="auto"/>
          <w:sz w:val="21"/>
          <w:szCs w:val="21"/>
          <w:highlight w:val="none"/>
        </w:rPr>
        <w:t xml:space="preserve">-4 </w:t>
      </w:r>
      <w:r>
        <w:rPr>
          <w:rFonts w:hint="eastAsia" w:ascii="宋体" w:hAnsi="宋体" w:eastAsia="宋体" w:cs="宋体"/>
          <w:b w:val="0"/>
          <w:color w:val="auto"/>
          <w:sz w:val="21"/>
          <w:szCs w:val="21"/>
          <w:highlight w:val="none"/>
          <w:lang w:eastAsia="zh-CN"/>
        </w:rPr>
        <w:t>（</w:t>
      </w:r>
      <w:r>
        <w:rPr>
          <w:rFonts w:hint="eastAsia" w:ascii="宋体" w:hAnsi="宋体" w:eastAsia="宋体" w:cs="宋体"/>
          <w:b w:val="0"/>
          <w:color w:val="auto"/>
          <w:sz w:val="21"/>
          <w:szCs w:val="21"/>
          <w:highlight w:val="none"/>
          <w:lang w:val="en-US" w:eastAsia="zh-CN"/>
        </w:rPr>
        <w:t>1</w:t>
      </w:r>
      <w:r>
        <w:rPr>
          <w:rFonts w:hint="eastAsia" w:ascii="宋体" w:hAnsi="宋体" w:eastAsia="宋体" w:cs="宋体"/>
          <w:b w:val="0"/>
          <w:color w:val="auto"/>
          <w:sz w:val="21"/>
          <w:szCs w:val="21"/>
          <w:highlight w:val="none"/>
          <w:lang w:eastAsia="zh-CN"/>
        </w:rPr>
        <w:t>）</w:t>
      </w:r>
      <w:r>
        <w:rPr>
          <w:rFonts w:hint="eastAsia" w:ascii="宋体" w:hAnsi="宋体" w:eastAsia="宋体" w:cs="宋体"/>
          <w:b w:val="0"/>
          <w:color w:val="auto"/>
          <w:sz w:val="21"/>
          <w:szCs w:val="21"/>
          <w:highlight w:val="none"/>
        </w:rPr>
        <w:t>联合体协议书（格式）</w:t>
      </w:r>
      <w:bookmarkEnd w:id="200"/>
      <w:bookmarkEnd w:id="201"/>
      <w:bookmarkEnd w:id="202"/>
    </w:p>
    <w:p w14:paraId="6A4BB6A0">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 w:val="28"/>
          <w:szCs w:val="28"/>
          <w:highlight w:val="none"/>
        </w:rPr>
        <w:t>联合体协议书（格式）</w:t>
      </w:r>
    </w:p>
    <w:p w14:paraId="145CB2E4">
      <w:pPr>
        <w:adjustRightInd w:val="0"/>
        <w:snapToGrid w:val="0"/>
        <w:spacing w:line="360" w:lineRule="auto"/>
        <w:rPr>
          <w:rFonts w:hint="eastAsia" w:ascii="宋体" w:hAnsi="宋体" w:eastAsia="宋体" w:cs="宋体"/>
          <w:color w:val="auto"/>
          <w:szCs w:val="21"/>
          <w:highlight w:val="none"/>
        </w:rPr>
      </w:pPr>
    </w:p>
    <w:p w14:paraId="5A90E64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（采购人、采购代理机构）：</w:t>
      </w:r>
    </w:p>
    <w:p w14:paraId="661FA53E">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经研究，我们决定自愿组成联合体共同参加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）项目的投标。现就联合体投标事宜订立如下协议：</w:t>
      </w:r>
    </w:p>
    <w:p w14:paraId="7D54A38A">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一、联合体基本信息：</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（各方公司名称、地址、注册资金、营业执照、</w:t>
      </w:r>
      <w:r>
        <w:rPr>
          <w:rFonts w:hint="eastAsia" w:ascii="宋体" w:hAnsi="宋体" w:eastAsia="宋体" w:cs="宋体"/>
          <w:color w:val="auto"/>
          <w:spacing w:val="-2"/>
          <w:kern w:val="0"/>
          <w:szCs w:val="21"/>
          <w:highlight w:val="none"/>
          <w:lang w:eastAsia="zh-CN"/>
        </w:rPr>
        <w:t>法定代表人</w:t>
      </w:r>
      <w:r>
        <w:rPr>
          <w:rFonts w:hint="eastAsia" w:ascii="宋体" w:hAnsi="宋体" w:eastAsia="宋体" w:cs="宋体"/>
          <w:color w:val="auto"/>
          <w:szCs w:val="21"/>
          <w:highlight w:val="none"/>
        </w:rPr>
        <w:t>姓名）</w:t>
      </w:r>
    </w:p>
    <w:p w14:paraId="216685C6">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（某成员单位名称）为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（联合体名称）牵头人。</w:t>
      </w:r>
    </w:p>
    <w:p w14:paraId="2FCD5F7D">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56BD27D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四．联合体将严格按照招标文件的各项要求，递交投标文件，参加投标，履行中标义务和中标后的合同，并向采购人承担连带责任。</w:t>
      </w:r>
    </w:p>
    <w:p w14:paraId="5C984C1A">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五、联合体各成员单位内部的职责分工如下：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。按照本条上述分工，联合体各成员的协议合同金额占联合体协议合同总金额比例如下：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75A14F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六、本协议书自签署之日起生效，合同履行完毕后自动失效。</w:t>
      </w:r>
    </w:p>
    <w:p w14:paraId="607F59A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七、本协议书一式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份，联合体成员和采购人各执一份。</w:t>
      </w:r>
    </w:p>
    <w:p w14:paraId="11E30692">
      <w:pPr>
        <w:adjustRightInd w:val="0"/>
        <w:snapToGrid w:val="0"/>
        <w:spacing w:line="360" w:lineRule="auto"/>
        <w:rPr>
          <w:rFonts w:hint="eastAsia" w:ascii="宋体" w:hAnsi="宋体" w:eastAsia="宋体" w:cs="宋体"/>
          <w:color w:val="auto"/>
          <w:szCs w:val="21"/>
          <w:highlight w:val="none"/>
        </w:rPr>
      </w:pPr>
    </w:p>
    <w:p w14:paraId="78453E9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牵头人名称（盖单位电子章）：</w:t>
      </w:r>
    </w:p>
    <w:p w14:paraId="4ACEE272">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0E9362C2">
      <w:pPr>
        <w:adjustRightInd w:val="0"/>
        <w:snapToGrid w:val="0"/>
        <w:spacing w:line="360" w:lineRule="auto"/>
        <w:rPr>
          <w:rFonts w:hint="eastAsia" w:ascii="宋体" w:hAnsi="宋体" w:eastAsia="宋体" w:cs="宋体"/>
          <w:color w:val="auto"/>
          <w:szCs w:val="21"/>
          <w:highlight w:val="none"/>
        </w:rPr>
      </w:pPr>
    </w:p>
    <w:p w14:paraId="1C11B99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成员1名称（盖单位电子章）：</w:t>
      </w:r>
    </w:p>
    <w:p w14:paraId="2F94FDAA">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0E0F33F">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成员2名称（盖单位电子章）：</w:t>
      </w:r>
    </w:p>
    <w:p w14:paraId="3118480D">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F1F800D">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p w14:paraId="3975542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  </w:t>
      </w:r>
    </w:p>
    <w:p w14:paraId="111D2BD9">
      <w:pPr>
        <w:widowControl/>
        <w:adjustRightInd w:val="0"/>
        <w:snapToGrid w:val="0"/>
        <w:spacing w:line="360" w:lineRule="auto"/>
        <w:ind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w:t>
      </w:r>
      <w:r>
        <w:rPr>
          <w:rFonts w:hint="eastAsia" w:ascii="宋体" w:hAnsi="宋体" w:eastAsia="宋体" w:cs="宋体"/>
          <w:color w:val="auto"/>
          <w:szCs w:val="21"/>
          <w:highlight w:val="none"/>
        </w:rPr>
        <w:t>：1、本协议书由</w:t>
      </w:r>
      <w:r>
        <w:rPr>
          <w:rFonts w:hint="eastAsia" w:ascii="宋体" w:hAnsi="宋体" w:eastAsia="宋体" w:cs="宋体"/>
          <w:color w:val="auto"/>
          <w:szCs w:val="21"/>
          <w:highlight w:val="none"/>
          <w:lang w:eastAsia="zh-CN"/>
        </w:rPr>
        <w:t>授权代表人</w:t>
      </w:r>
      <w:r>
        <w:rPr>
          <w:rFonts w:hint="eastAsia" w:ascii="宋体" w:hAnsi="宋体" w:eastAsia="宋体" w:cs="宋体"/>
          <w:color w:val="auto"/>
          <w:szCs w:val="21"/>
          <w:highlight w:val="none"/>
        </w:rPr>
        <w:t>签字的，应附</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授权委托书。</w:t>
      </w:r>
    </w:p>
    <w:p w14:paraId="7BF5A30B">
      <w:pPr>
        <w:widowControl/>
        <w:numPr>
          <w:ilvl w:val="0"/>
          <w:numId w:val="8"/>
        </w:num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投标人在提交投标文件的截止时间前修改“开标一览表”中的投标报价，影响本协议书第五条的，应同时修改本协议书第五条。否则，评审时价格评审优惠不予以考虑。</w:t>
      </w:r>
    </w:p>
    <w:p w14:paraId="6986573D">
      <w:pPr>
        <w:widowControl/>
        <w:numPr>
          <w:ilvl w:val="0"/>
          <w:numId w:val="0"/>
        </w:numPr>
        <w:adjustRightInd w:val="0"/>
        <w:snapToGrid w:val="0"/>
        <w:spacing w:line="360" w:lineRule="auto"/>
        <w:jc w:val="left"/>
        <w:rPr>
          <w:rFonts w:hint="eastAsia" w:ascii="宋体" w:hAnsi="宋体" w:eastAsia="宋体" w:cs="宋体"/>
          <w:color w:val="auto"/>
          <w:sz w:val="32"/>
          <w:szCs w:val="32"/>
          <w:highlight w:val="none"/>
        </w:rPr>
      </w:pPr>
    </w:p>
    <w:p w14:paraId="4F084AA4">
      <w:pPr>
        <w:pStyle w:val="58"/>
        <w:rPr>
          <w:rFonts w:hint="eastAsia" w:ascii="宋体" w:hAnsi="宋体" w:eastAsia="宋体" w:cs="宋体"/>
          <w:color w:val="auto"/>
          <w:highlight w:val="none"/>
        </w:rPr>
      </w:pPr>
    </w:p>
    <w:p w14:paraId="3A20FBFF">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bookmarkStart w:id="203" w:name="_Toc3964"/>
      <w:bookmarkStart w:id="204" w:name="_Toc27988"/>
      <w:r>
        <w:rPr>
          <w:rFonts w:hint="eastAsia" w:ascii="宋体" w:hAnsi="宋体" w:eastAsia="宋体" w:cs="宋体"/>
          <w:color w:val="auto"/>
          <w:kern w:val="0"/>
          <w:szCs w:val="21"/>
          <w:highlight w:val="none"/>
        </w:rPr>
        <w:t>附件</w:t>
      </w: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4（2）</w:t>
      </w:r>
      <w:r>
        <w:rPr>
          <w:rFonts w:hint="eastAsia" w:ascii="宋体" w:hAnsi="宋体" w:eastAsia="宋体" w:cs="宋体"/>
          <w:color w:val="auto"/>
          <w:kern w:val="0"/>
          <w:szCs w:val="21"/>
          <w:highlight w:val="none"/>
        </w:rPr>
        <w:t>提供“非联合体</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”书面声明</w:t>
      </w:r>
    </w:p>
    <w:p w14:paraId="4F8C5A90">
      <w:pPr>
        <w:pStyle w:val="58"/>
        <w:ind w:firstLine="840" w:firstLineChars="400"/>
        <w:rPr>
          <w:rFonts w:hint="eastAsia" w:ascii="宋体" w:hAnsi="宋体" w:eastAsia="宋体" w:cs="宋体"/>
          <w:color w:val="auto"/>
          <w:kern w:val="0"/>
          <w:highlight w:val="none"/>
        </w:rPr>
      </w:pPr>
    </w:p>
    <w:p w14:paraId="1159F9FB">
      <w:pPr>
        <w:pStyle w:val="95"/>
        <w:rPr>
          <w:rFonts w:hint="eastAsia" w:ascii="宋体" w:hAnsi="宋体" w:eastAsia="宋体" w:cs="宋体"/>
          <w:color w:val="auto"/>
          <w:szCs w:val="21"/>
          <w:highlight w:val="none"/>
        </w:rPr>
      </w:pPr>
      <w:r>
        <w:rPr>
          <w:rFonts w:hint="eastAsia" w:ascii="宋体" w:hAnsi="宋体" w:eastAsia="宋体" w:cs="宋体"/>
          <w:color w:val="auto"/>
          <w:sz w:val="28"/>
          <w:szCs w:val="28"/>
          <w:highlight w:val="none"/>
        </w:rPr>
        <w:t>“非联合体</w:t>
      </w:r>
      <w:r>
        <w:rPr>
          <w:rFonts w:hint="eastAsia" w:ascii="宋体" w:hAnsi="宋体" w:eastAsia="宋体" w:cs="宋体"/>
          <w:color w:val="auto"/>
          <w:sz w:val="28"/>
          <w:szCs w:val="28"/>
          <w:highlight w:val="none"/>
          <w:lang w:eastAsia="zh-CN"/>
        </w:rPr>
        <w:t>投标</w:t>
      </w:r>
      <w:r>
        <w:rPr>
          <w:rFonts w:hint="eastAsia" w:ascii="宋体" w:hAnsi="宋体" w:eastAsia="宋体" w:cs="宋体"/>
          <w:color w:val="auto"/>
          <w:sz w:val="28"/>
          <w:szCs w:val="28"/>
          <w:highlight w:val="none"/>
        </w:rPr>
        <w:t>”书面声明</w:t>
      </w:r>
    </w:p>
    <w:p w14:paraId="3A66B4E2">
      <w:pPr>
        <w:rPr>
          <w:rFonts w:hint="eastAsia" w:ascii="宋体" w:hAnsi="宋体" w:eastAsia="宋体" w:cs="宋体"/>
          <w:color w:val="auto"/>
          <w:kern w:val="0"/>
          <w:szCs w:val="21"/>
          <w:highlight w:val="none"/>
        </w:rPr>
      </w:pPr>
    </w:p>
    <w:p w14:paraId="77E35AC4">
      <w:pPr>
        <w:pStyle w:val="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（采购人、采购代理机构）</w:t>
      </w:r>
    </w:p>
    <w:p w14:paraId="36D21117">
      <w:pPr>
        <w:pStyle w:val="95"/>
        <w:rPr>
          <w:rFonts w:hint="eastAsia" w:ascii="宋体" w:hAnsi="宋体" w:eastAsia="宋体" w:cs="宋体"/>
          <w:color w:val="auto"/>
          <w:szCs w:val="21"/>
          <w:highlight w:val="none"/>
        </w:rPr>
      </w:pPr>
    </w:p>
    <w:p w14:paraId="69862E21">
      <w:pPr>
        <w:spacing w:line="360" w:lineRule="auto"/>
        <w:ind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经研究，我单位确认参加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（采购项目名称、</w:t>
      </w:r>
      <w:r>
        <w:rPr>
          <w:rFonts w:hint="eastAsia" w:ascii="宋体" w:hAnsi="宋体" w:cs="宋体"/>
          <w:color w:val="auto"/>
          <w:szCs w:val="21"/>
          <w:highlight w:val="none"/>
          <w:lang w:eastAsia="zh-CN"/>
        </w:rPr>
        <w:t>政府采购计划编号</w:t>
      </w:r>
      <w:r>
        <w:rPr>
          <w:rFonts w:hint="eastAsia" w:ascii="宋体" w:hAnsi="宋体" w:eastAsia="宋体" w:cs="宋体"/>
          <w:color w:val="auto"/>
          <w:szCs w:val="21"/>
          <w:highlight w:val="none"/>
        </w:rPr>
        <w:t>）项目的采购活动</w:t>
      </w:r>
      <w:r>
        <w:rPr>
          <w:rFonts w:hint="eastAsia" w:ascii="宋体" w:hAnsi="宋体" w:eastAsia="宋体" w:cs="宋体"/>
          <w:color w:val="auto"/>
          <w:kern w:val="0"/>
          <w:szCs w:val="21"/>
          <w:highlight w:val="none"/>
        </w:rPr>
        <w:t>，在此书面声明：我单位系独立</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，具有独立承担民事责任的能力，非联合体</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w:t>
      </w:r>
    </w:p>
    <w:p w14:paraId="68DEDE1B">
      <w:pPr>
        <w:pStyle w:val="13"/>
        <w:ind w:firstLine="420"/>
        <w:rPr>
          <w:rFonts w:hint="eastAsia" w:ascii="宋体" w:hAnsi="宋体" w:eastAsia="宋体" w:cs="宋体"/>
          <w:color w:val="auto"/>
          <w:highlight w:val="none"/>
        </w:rPr>
      </w:pPr>
    </w:p>
    <w:p w14:paraId="4073A31D">
      <w:pPr>
        <w:pStyle w:val="95"/>
        <w:ind w:left="0"/>
        <w:rPr>
          <w:rFonts w:hint="eastAsia" w:ascii="宋体" w:hAnsi="宋体" w:eastAsia="宋体" w:cs="宋体"/>
          <w:color w:val="auto"/>
          <w:highlight w:val="none"/>
        </w:rPr>
      </w:pPr>
      <w:r>
        <w:rPr>
          <w:rFonts w:hint="eastAsia" w:ascii="宋体" w:hAnsi="宋体" w:eastAsia="宋体" w:cs="宋体"/>
          <w:color w:val="auto"/>
          <w:highlight w:val="none"/>
        </w:rPr>
        <w:t xml:space="preserve">    特此声明！</w:t>
      </w:r>
    </w:p>
    <w:p w14:paraId="1ED73B11">
      <w:pPr>
        <w:pStyle w:val="95"/>
        <w:spacing w:line="360" w:lineRule="auto"/>
        <w:rPr>
          <w:rFonts w:hint="eastAsia" w:ascii="宋体" w:hAnsi="宋体" w:eastAsia="宋体" w:cs="宋体"/>
          <w:color w:val="auto"/>
          <w:sz w:val="21"/>
          <w:szCs w:val="21"/>
          <w:highlight w:val="none"/>
        </w:rPr>
      </w:pPr>
    </w:p>
    <w:p w14:paraId="698D8AFB">
      <w:pPr>
        <w:spacing w:line="360" w:lineRule="auto"/>
        <w:rPr>
          <w:rFonts w:hint="eastAsia" w:ascii="宋体" w:hAnsi="宋体" w:eastAsia="宋体" w:cs="宋体"/>
          <w:color w:val="auto"/>
          <w:sz w:val="21"/>
          <w:szCs w:val="21"/>
          <w:highlight w:val="none"/>
        </w:rPr>
      </w:pPr>
    </w:p>
    <w:p w14:paraId="0A31022F">
      <w:pPr>
        <w:widowControl/>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w:t>
      </w:r>
      <w:r>
        <w:rPr>
          <w:rFonts w:hint="eastAsia" w:ascii="宋体" w:hAnsi="宋体" w:eastAsia="宋体" w:cs="宋体"/>
          <w:color w:val="auto"/>
          <w:sz w:val="21"/>
          <w:szCs w:val="21"/>
          <w:highlight w:val="none"/>
          <w:lang w:eastAsia="zh-CN"/>
        </w:rPr>
        <w:t>单位电子</w:t>
      </w:r>
      <w:r>
        <w:rPr>
          <w:rFonts w:hint="eastAsia" w:ascii="宋体" w:hAnsi="宋体" w:eastAsia="宋体" w:cs="宋体"/>
          <w:color w:val="auto"/>
          <w:sz w:val="21"/>
          <w:szCs w:val="21"/>
          <w:highlight w:val="none"/>
        </w:rPr>
        <w:t>章）</w:t>
      </w:r>
    </w:p>
    <w:p w14:paraId="7D633A9B">
      <w:pPr>
        <w:widowControl/>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cs="宋体"/>
          <w:color w:val="auto"/>
          <w:spacing w:val="-2"/>
          <w:kern w:val="0"/>
          <w:sz w:val="21"/>
          <w:szCs w:val="21"/>
          <w:highlight w:val="none"/>
          <w:lang w:eastAsia="zh-CN"/>
        </w:rPr>
        <w:t>法定代表人（单位负责人）或授权代表人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（签字或印章）</w:t>
      </w:r>
    </w:p>
    <w:p w14:paraId="105D0036">
      <w:pPr>
        <w:pStyle w:val="5"/>
        <w:adjustRightInd w:val="0"/>
        <w:snapToGrid w:val="0"/>
        <w:spacing w:before="156" w:beforeLines="50" w:after="0" w:line="360" w:lineRule="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日期：  年  月  日</w:t>
      </w:r>
    </w:p>
    <w:p w14:paraId="3AB280CA">
      <w:pPr>
        <w:pStyle w:val="5"/>
        <w:adjustRightInd w:val="0"/>
        <w:snapToGrid w:val="0"/>
        <w:spacing w:before="156" w:beforeLines="50" w:after="0" w:line="360" w:lineRule="auto"/>
        <w:rPr>
          <w:rFonts w:hint="eastAsia" w:ascii="宋体" w:hAnsi="宋体" w:eastAsia="宋体" w:cs="宋体"/>
          <w:b w:val="0"/>
          <w:color w:val="auto"/>
          <w:sz w:val="21"/>
          <w:szCs w:val="21"/>
          <w:highlight w:val="none"/>
          <w:lang w:eastAsia="zh-CN"/>
        </w:rPr>
      </w:pPr>
    </w:p>
    <w:p w14:paraId="0A52D2D8">
      <w:pPr>
        <w:pStyle w:val="5"/>
        <w:adjustRightInd w:val="0"/>
        <w:snapToGrid w:val="0"/>
        <w:spacing w:before="156" w:beforeLines="50" w:after="0" w:line="360" w:lineRule="auto"/>
        <w:rPr>
          <w:rFonts w:hint="eastAsia" w:ascii="宋体" w:hAnsi="宋体" w:eastAsia="宋体" w:cs="宋体"/>
          <w:b w:val="0"/>
          <w:color w:val="auto"/>
          <w:sz w:val="21"/>
          <w:szCs w:val="21"/>
          <w:highlight w:val="none"/>
          <w:lang w:eastAsia="zh-CN"/>
        </w:rPr>
        <w:sectPr>
          <w:pgSz w:w="11906" w:h="16838"/>
          <w:pgMar w:top="1474" w:right="1474" w:bottom="1474" w:left="1588" w:header="851" w:footer="992" w:gutter="0"/>
          <w:pgNumType w:fmt="decimal"/>
          <w:cols w:space="720" w:num="1"/>
          <w:docGrid w:type="lines" w:linePitch="312" w:charSpace="0"/>
        </w:sectPr>
      </w:pPr>
    </w:p>
    <w:bookmarkEnd w:id="203"/>
    <w:bookmarkEnd w:id="204"/>
    <w:p w14:paraId="7FC42716">
      <w:pPr>
        <w:adjustRightInd w:val="0"/>
        <w:snapToGrid w:val="0"/>
        <w:spacing w:line="360" w:lineRule="auto"/>
        <w:jc w:val="center"/>
        <w:rPr>
          <w:rFonts w:hint="eastAsia" w:ascii="宋体" w:hAnsi="宋体" w:eastAsia="宋体" w:cs="宋体"/>
          <w:color w:val="auto"/>
          <w:sz w:val="32"/>
          <w:szCs w:val="32"/>
          <w:highlight w:val="none"/>
        </w:rPr>
      </w:pPr>
    </w:p>
    <w:p w14:paraId="2268E539">
      <w:pPr>
        <w:adjustRightInd w:val="0"/>
        <w:snapToGrid w:val="0"/>
        <w:spacing w:line="360" w:lineRule="auto"/>
        <w:jc w:val="center"/>
        <w:rPr>
          <w:rFonts w:hint="eastAsia" w:ascii="宋体" w:hAnsi="宋体" w:eastAsia="宋体" w:cs="宋体"/>
          <w:color w:val="auto"/>
          <w:sz w:val="32"/>
          <w:szCs w:val="32"/>
          <w:highlight w:val="none"/>
        </w:rPr>
      </w:pPr>
    </w:p>
    <w:p w14:paraId="623583BD">
      <w:pPr>
        <w:adjustRightInd w:val="0"/>
        <w:snapToGrid w:val="0"/>
        <w:spacing w:line="360" w:lineRule="auto"/>
        <w:jc w:val="center"/>
        <w:rPr>
          <w:rFonts w:hint="eastAsia" w:ascii="宋体" w:hAnsi="宋体" w:eastAsia="宋体" w:cs="宋体"/>
          <w:bCs/>
          <w:color w:val="auto"/>
          <w:sz w:val="72"/>
          <w:szCs w:val="72"/>
          <w:highlight w:val="none"/>
          <w:lang w:eastAsia="zh-CN"/>
        </w:rPr>
      </w:pPr>
      <w:r>
        <w:rPr>
          <w:rFonts w:hint="eastAsia" w:ascii="宋体" w:hAnsi="宋体" w:eastAsia="宋体" w:cs="宋体"/>
          <w:bCs/>
          <w:color w:val="auto"/>
          <w:sz w:val="72"/>
          <w:szCs w:val="72"/>
          <w:highlight w:val="none"/>
          <w:lang w:eastAsia="zh-CN"/>
        </w:rPr>
        <w:t>政府采购【郴州电子标】</w:t>
      </w:r>
    </w:p>
    <w:p w14:paraId="0CA68D2A">
      <w:pPr>
        <w:adjustRightInd w:val="0"/>
        <w:snapToGrid w:val="0"/>
        <w:spacing w:line="360" w:lineRule="auto"/>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投 标 文 件</w:t>
      </w:r>
    </w:p>
    <w:p w14:paraId="6AB9D3AD">
      <w:pPr>
        <w:pStyle w:val="3"/>
        <w:adjustRightInd w:val="0"/>
        <w:snapToGrid w:val="0"/>
        <w:jc w:val="center"/>
        <w:rPr>
          <w:rFonts w:hint="eastAsia" w:ascii="宋体" w:hAnsi="宋体" w:eastAsia="宋体" w:cs="宋体"/>
          <w:color w:val="auto"/>
          <w:sz w:val="44"/>
          <w:szCs w:val="44"/>
          <w:highlight w:val="none"/>
          <w:lang w:eastAsia="zh-CN"/>
        </w:rPr>
      </w:pPr>
      <w:bookmarkStart w:id="205" w:name="_Toc29913960"/>
      <w:bookmarkStart w:id="206" w:name="_Toc10663"/>
      <w:bookmarkStart w:id="207" w:name="_Toc31429"/>
      <w:r>
        <w:rPr>
          <w:rFonts w:hint="eastAsia" w:ascii="宋体" w:hAnsi="宋体" w:eastAsia="宋体" w:cs="宋体"/>
          <w:color w:val="auto"/>
          <w:sz w:val="44"/>
          <w:szCs w:val="44"/>
          <w:highlight w:val="none"/>
        </w:rPr>
        <w:t xml:space="preserve">第二部分 </w:t>
      </w:r>
      <w:bookmarkEnd w:id="205"/>
      <w:bookmarkEnd w:id="206"/>
      <w:r>
        <w:rPr>
          <w:rFonts w:hint="eastAsia" w:ascii="宋体" w:hAnsi="宋体" w:eastAsia="宋体" w:cs="宋体"/>
          <w:color w:val="auto"/>
          <w:sz w:val="44"/>
          <w:szCs w:val="44"/>
          <w:highlight w:val="none"/>
          <w:lang w:eastAsia="zh-CN"/>
        </w:rPr>
        <w:t>商务和技术文件</w:t>
      </w:r>
      <w:bookmarkEnd w:id="207"/>
    </w:p>
    <w:p w14:paraId="31EB1FF0">
      <w:pPr>
        <w:adjustRightInd w:val="0"/>
        <w:snapToGrid w:val="0"/>
        <w:spacing w:line="360" w:lineRule="auto"/>
        <w:rPr>
          <w:rFonts w:hint="eastAsia" w:ascii="宋体" w:hAnsi="宋体" w:eastAsia="宋体" w:cs="宋体"/>
          <w:color w:val="auto"/>
          <w:sz w:val="32"/>
          <w:szCs w:val="32"/>
          <w:highlight w:val="none"/>
        </w:rPr>
      </w:pPr>
    </w:p>
    <w:p w14:paraId="5A8B5CFE">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ascii="宋体" w:hAnsi="宋体" w:eastAsia="宋体" w:cs="宋体"/>
          <w:b/>
          <w:bCs/>
          <w:color w:val="auto"/>
          <w:sz w:val="30"/>
          <w:szCs w:val="30"/>
          <w:highlight w:val="none"/>
          <w:lang w:eastAsia="zh-CN"/>
        </w:rPr>
        <w:t>采购项目名称</w:t>
      </w:r>
      <w:r>
        <w:rPr>
          <w:rFonts w:hint="eastAsia" w:ascii="宋体" w:hAnsi="宋体" w:eastAsia="宋体" w:cs="宋体"/>
          <w:b/>
          <w:bCs/>
          <w:color w:val="auto"/>
          <w:sz w:val="30"/>
          <w:szCs w:val="30"/>
          <w:highlight w:val="none"/>
        </w:rPr>
        <w:t>:</w:t>
      </w:r>
      <w:r>
        <w:rPr>
          <w:rFonts w:hint="eastAsia" w:ascii="宋体" w:hAnsi="宋体" w:eastAsia="宋体" w:cs="宋体"/>
          <w:b/>
          <w:bCs/>
          <w:color w:val="auto"/>
          <w:sz w:val="30"/>
          <w:szCs w:val="30"/>
          <w:highlight w:val="none"/>
          <w:u w:val="single"/>
        </w:rPr>
        <w:t xml:space="preserve">                       </w:t>
      </w:r>
    </w:p>
    <w:p w14:paraId="535010DF">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   购   人：</w:t>
      </w:r>
      <w:r>
        <w:rPr>
          <w:rFonts w:hint="eastAsia" w:ascii="宋体" w:hAnsi="宋体" w:eastAsia="宋体" w:cs="宋体"/>
          <w:b/>
          <w:bCs/>
          <w:color w:val="auto"/>
          <w:sz w:val="30"/>
          <w:szCs w:val="30"/>
          <w:highlight w:val="none"/>
          <w:u w:val="single"/>
        </w:rPr>
        <w:t xml:space="preserve">                       </w:t>
      </w:r>
    </w:p>
    <w:p w14:paraId="1B74B54A">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hAnsi="宋体" w:cs="宋体"/>
          <w:b/>
          <w:bCs/>
          <w:color w:val="auto"/>
          <w:sz w:val="30"/>
          <w:szCs w:val="30"/>
          <w:highlight w:val="none"/>
          <w:lang w:eastAsia="zh-CN"/>
        </w:rPr>
        <w:t>政府采购计划编号</w:t>
      </w:r>
      <w:r>
        <w:rPr>
          <w:rFonts w:hint="eastAsia" w:ascii="宋体" w:hAnsi="宋体" w:eastAsia="宋体" w:cs="宋体"/>
          <w:b/>
          <w:bCs/>
          <w:color w:val="auto"/>
          <w:sz w:val="30"/>
          <w:szCs w:val="30"/>
          <w:highlight w:val="none"/>
        </w:rPr>
        <w:t>:</w:t>
      </w:r>
      <w:r>
        <w:rPr>
          <w:rFonts w:hint="eastAsia" w:ascii="宋体" w:hAnsi="宋体" w:eastAsia="宋体" w:cs="宋体"/>
          <w:b/>
          <w:bCs/>
          <w:color w:val="auto"/>
          <w:sz w:val="30"/>
          <w:szCs w:val="30"/>
          <w:highlight w:val="none"/>
          <w:u w:val="single"/>
        </w:rPr>
        <w:t xml:space="preserve">                       </w:t>
      </w:r>
    </w:p>
    <w:p w14:paraId="7C43D512">
      <w:pPr>
        <w:pStyle w:val="23"/>
        <w:adjustRightInd w:val="0"/>
        <w:snapToGrid w:val="0"/>
        <w:spacing w:line="360" w:lineRule="auto"/>
        <w:ind w:firstLine="1988" w:firstLineChars="660"/>
        <w:rPr>
          <w:rFonts w:hint="eastAsia" w:ascii="宋体" w:hAnsi="宋体" w:eastAsia="宋体" w:cs="宋体"/>
          <w:b/>
          <w:bCs/>
          <w:color w:val="auto"/>
          <w:sz w:val="30"/>
          <w:szCs w:val="30"/>
          <w:highlight w:val="none"/>
          <w:u w:val="single"/>
        </w:rPr>
      </w:pPr>
      <w:r>
        <w:rPr>
          <w:rFonts w:hint="eastAsia" w:ascii="宋体" w:hAnsi="宋体" w:eastAsia="宋体" w:cs="宋体"/>
          <w:b/>
          <w:bCs/>
          <w:color w:val="auto"/>
          <w:sz w:val="30"/>
          <w:szCs w:val="30"/>
          <w:highlight w:val="none"/>
        </w:rPr>
        <w:t>采购代理机构：</w:t>
      </w:r>
      <w:r>
        <w:rPr>
          <w:rFonts w:hint="eastAsia" w:ascii="宋体" w:hAnsi="宋体" w:eastAsia="宋体" w:cs="宋体"/>
          <w:b/>
          <w:bCs/>
          <w:color w:val="auto"/>
          <w:sz w:val="30"/>
          <w:szCs w:val="30"/>
          <w:highlight w:val="none"/>
          <w:u w:val="single"/>
        </w:rPr>
        <w:t xml:space="preserve">                     </w:t>
      </w:r>
    </w:p>
    <w:p w14:paraId="0BD7BA4E">
      <w:pPr>
        <w:adjustRightInd w:val="0"/>
        <w:snapToGrid w:val="0"/>
        <w:spacing w:line="360" w:lineRule="auto"/>
        <w:rPr>
          <w:rFonts w:hint="eastAsia" w:ascii="宋体" w:hAnsi="宋体" w:eastAsia="宋体" w:cs="宋体"/>
          <w:color w:val="auto"/>
          <w:sz w:val="30"/>
          <w:szCs w:val="30"/>
          <w:highlight w:val="none"/>
        </w:rPr>
      </w:pPr>
    </w:p>
    <w:p w14:paraId="5C03E2E8">
      <w:pPr>
        <w:adjustRightInd w:val="0"/>
        <w:snapToGrid w:val="0"/>
        <w:spacing w:line="360" w:lineRule="auto"/>
        <w:rPr>
          <w:rFonts w:hint="eastAsia" w:ascii="宋体" w:hAnsi="宋体" w:eastAsia="宋体" w:cs="宋体"/>
          <w:color w:val="auto"/>
          <w:sz w:val="30"/>
          <w:szCs w:val="30"/>
          <w:highlight w:val="none"/>
        </w:rPr>
      </w:pPr>
    </w:p>
    <w:p w14:paraId="26AFEADD">
      <w:pPr>
        <w:adjustRightInd w:val="0"/>
        <w:snapToGrid w:val="0"/>
        <w:spacing w:line="360" w:lineRule="auto"/>
        <w:ind w:firstLine="1984" w:firstLineChars="620"/>
        <w:rPr>
          <w:rFonts w:hint="eastAsia" w:ascii="宋体" w:hAnsi="宋体" w:eastAsia="宋体" w:cs="宋体"/>
          <w:color w:val="auto"/>
          <w:sz w:val="32"/>
          <w:szCs w:val="32"/>
          <w:highlight w:val="none"/>
          <w:u w:val="single"/>
          <w:lang w:eastAsia="zh-CN"/>
        </w:rPr>
      </w:pPr>
      <w:bookmarkStart w:id="208" w:name="_Toc9352"/>
      <w:bookmarkStart w:id="209" w:name="_Toc29913961"/>
      <w:r>
        <w:rPr>
          <w:rFonts w:hint="eastAsia" w:ascii="宋体" w:hAnsi="宋体" w:eastAsia="宋体" w:cs="宋体"/>
          <w:color w:val="auto"/>
          <w:sz w:val="32"/>
          <w:szCs w:val="32"/>
          <w:highlight w:val="none"/>
        </w:rPr>
        <w:t>投标人</w:t>
      </w:r>
      <w:r>
        <w:rPr>
          <w:rFonts w:hint="eastAsia" w:ascii="宋体" w:hAnsi="宋体" w:eastAsia="宋体" w:cs="宋体"/>
          <w:color w:val="auto"/>
          <w:sz w:val="32"/>
          <w:szCs w:val="32"/>
          <w:highlight w:val="none"/>
          <w:lang w:eastAsia="zh-CN"/>
        </w:rPr>
        <w:t>名称</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eastAsia="zh-CN"/>
        </w:rPr>
        <w:t>（盖单位电子章）</w:t>
      </w:r>
    </w:p>
    <w:p w14:paraId="5B67B53C">
      <w:pPr>
        <w:adjustRightInd w:val="0"/>
        <w:snapToGrid w:val="0"/>
        <w:spacing w:line="360" w:lineRule="auto"/>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联系人姓名、联系电话：</w:t>
      </w:r>
    </w:p>
    <w:p w14:paraId="6459E5C3">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210" w:name="_Toc305"/>
      <w:r>
        <w:rPr>
          <w:rFonts w:hint="eastAsia" w:ascii="宋体" w:hAnsi="宋体" w:eastAsia="宋体" w:cs="宋体"/>
          <w:color w:val="auto"/>
          <w:sz w:val="32"/>
          <w:szCs w:val="32"/>
          <w:highlight w:val="none"/>
        </w:rPr>
        <w:t>年  月  日</w:t>
      </w:r>
      <w:r>
        <w:rPr>
          <w:rFonts w:hint="eastAsia" w:ascii="宋体" w:hAnsi="宋体" w:eastAsia="宋体" w:cs="宋体"/>
          <w:color w:val="auto"/>
          <w:sz w:val="32"/>
          <w:szCs w:val="32"/>
          <w:highlight w:val="none"/>
          <w:lang w:eastAsia="zh-CN"/>
        </w:rPr>
        <w:t>（应与投标截止日期一致）</w:t>
      </w:r>
      <w:bookmarkEnd w:id="210"/>
    </w:p>
    <w:p w14:paraId="296CF650">
      <w:pPr>
        <w:pStyle w:val="4"/>
        <w:adjustRightInd w:val="0"/>
        <w:snapToGrid w:val="0"/>
        <w:spacing w:before="0" w:after="0" w:line="360" w:lineRule="auto"/>
        <w:jc w:val="center"/>
        <w:rPr>
          <w:rFonts w:hint="eastAsia" w:ascii="宋体" w:hAnsi="宋体" w:eastAsia="宋体" w:cs="宋体"/>
          <w:color w:val="auto"/>
          <w:sz w:val="28"/>
          <w:szCs w:val="28"/>
          <w:highlight w:val="none"/>
        </w:rPr>
      </w:pPr>
    </w:p>
    <w:p w14:paraId="1F997EF8">
      <w:pPr>
        <w:pStyle w:val="4"/>
        <w:adjustRightInd w:val="0"/>
        <w:snapToGrid w:val="0"/>
        <w:spacing w:before="0" w:after="0" w:line="360" w:lineRule="auto"/>
        <w:jc w:val="center"/>
        <w:rPr>
          <w:rFonts w:hint="eastAsia" w:ascii="宋体" w:hAnsi="宋体" w:eastAsia="宋体" w:cs="宋体"/>
          <w:color w:val="auto"/>
          <w:sz w:val="28"/>
          <w:szCs w:val="28"/>
          <w:highlight w:val="none"/>
        </w:rPr>
      </w:pPr>
    </w:p>
    <w:p w14:paraId="2EDF5120">
      <w:pPr>
        <w:pStyle w:val="4"/>
        <w:adjustRightInd w:val="0"/>
        <w:snapToGrid w:val="0"/>
        <w:spacing w:before="0" w:after="0" w:line="360" w:lineRule="auto"/>
        <w:jc w:val="center"/>
        <w:rPr>
          <w:rFonts w:hint="eastAsia" w:ascii="宋体" w:hAnsi="宋体" w:eastAsia="宋体" w:cs="宋体"/>
          <w:color w:val="auto"/>
          <w:sz w:val="28"/>
          <w:szCs w:val="28"/>
          <w:highlight w:val="none"/>
        </w:rPr>
      </w:pPr>
    </w:p>
    <w:p w14:paraId="6760250F">
      <w:pPr>
        <w:rPr>
          <w:rFonts w:hint="eastAsia" w:ascii="宋体" w:hAnsi="宋体" w:eastAsia="宋体" w:cs="宋体"/>
          <w:color w:val="auto"/>
          <w:sz w:val="28"/>
          <w:szCs w:val="28"/>
          <w:highlight w:val="none"/>
        </w:rPr>
      </w:pPr>
    </w:p>
    <w:p w14:paraId="268717F2">
      <w:pPr>
        <w:pStyle w:val="58"/>
        <w:rPr>
          <w:rFonts w:hint="eastAsia" w:ascii="宋体" w:hAnsi="宋体" w:eastAsia="宋体" w:cs="宋体"/>
          <w:color w:val="auto"/>
          <w:highlight w:val="none"/>
        </w:rPr>
      </w:pPr>
    </w:p>
    <w:p w14:paraId="5E0EFFC4">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211" w:name="_Toc22727"/>
      <w:r>
        <w:rPr>
          <w:rFonts w:hint="eastAsia" w:ascii="宋体" w:hAnsi="宋体" w:cs="宋体"/>
          <w:color w:val="auto"/>
          <w:sz w:val="28"/>
          <w:szCs w:val="28"/>
          <w:highlight w:val="none"/>
          <w:lang w:val="en-US" w:eastAsia="zh-CN"/>
        </w:rPr>
        <w:t>五</w:t>
      </w:r>
      <w:r>
        <w:rPr>
          <w:rFonts w:hint="eastAsia" w:ascii="宋体" w:hAnsi="宋体" w:eastAsia="宋体" w:cs="宋体"/>
          <w:color w:val="auto"/>
          <w:sz w:val="28"/>
          <w:szCs w:val="28"/>
          <w:highlight w:val="none"/>
        </w:rPr>
        <w:t>、投标函</w:t>
      </w:r>
      <w:bookmarkEnd w:id="208"/>
      <w:bookmarkEnd w:id="209"/>
      <w:bookmarkEnd w:id="211"/>
    </w:p>
    <w:p w14:paraId="05361212">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（采购人、采购代理机构）：</w:t>
      </w:r>
    </w:p>
    <w:p w14:paraId="6DFF19B4">
      <w:pPr>
        <w:adjustRightInd w:val="0"/>
        <w:snapToGrid w:val="0"/>
        <w:spacing w:before="156" w:beforeLines="50" w:line="360" w:lineRule="auto"/>
        <w:ind w:firstLine="435"/>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根据贵方为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）的投标邀请（</w:t>
      </w:r>
      <w:r>
        <w:rPr>
          <w:rFonts w:hint="eastAsia" w:ascii="宋体" w:hAnsi="宋体" w:cs="宋体"/>
          <w:color w:val="auto"/>
          <w:highlight w:val="none"/>
          <w:lang w:eastAsia="zh-CN"/>
        </w:rPr>
        <w:t>政府采购计划编号</w:t>
      </w:r>
      <w:r>
        <w:rPr>
          <w:rFonts w:hint="eastAsia" w:ascii="宋体" w:hAnsi="宋体" w:eastAsia="宋体" w:cs="宋体"/>
          <w:iCs/>
          <w:color w:val="auto"/>
          <w:highlight w:val="none"/>
        </w:rPr>
        <w:t>：</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rPr>
        <w:t xml:space="preserve"> </w:t>
      </w:r>
      <w:r>
        <w:rPr>
          <w:rFonts w:hint="eastAsia" w:ascii="宋体" w:hAnsi="宋体" w:eastAsia="宋体" w:cs="宋体"/>
          <w:color w:val="auto"/>
          <w:szCs w:val="21"/>
          <w:highlight w:val="none"/>
        </w:rPr>
        <w:t xml:space="preserve">），签字代表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（姓名、职务）经正式授权并代表投标人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（投标人名称）提交包含下述内容的电子投标文件一份至</w:t>
      </w:r>
      <w:r>
        <w:rPr>
          <w:rFonts w:hint="eastAsia" w:ascii="宋体" w:hAnsi="宋体" w:eastAsia="宋体" w:cs="宋体"/>
          <w:color w:val="auto"/>
          <w:szCs w:val="21"/>
          <w:highlight w:val="none"/>
          <w:lang w:eastAsia="zh-CN"/>
        </w:rPr>
        <w:t>郴州市</w:t>
      </w:r>
      <w:r>
        <w:rPr>
          <w:rFonts w:hint="eastAsia" w:ascii="宋体" w:hAnsi="宋体" w:eastAsia="宋体" w:cs="宋体"/>
          <w:color w:val="auto"/>
          <w:szCs w:val="21"/>
          <w:highlight w:val="none"/>
        </w:rPr>
        <w:t>公共资源交易中心政府采购电子交易系统，参加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包投标，并在此声明，所递交的投标文件内容合法、完整、真实。</w:t>
      </w:r>
    </w:p>
    <w:p w14:paraId="743450D8">
      <w:pPr>
        <w:adjustRightInd w:val="0"/>
        <w:snapToGrid w:val="0"/>
        <w:spacing w:before="156" w:beforeLines="50"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第一部分 资格证明文件</w:t>
      </w:r>
    </w:p>
    <w:p w14:paraId="528B464C">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一、开标一览表</w:t>
      </w:r>
    </w:p>
    <w:p w14:paraId="135AA9AB">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身份证明或授权委托书</w:t>
      </w:r>
    </w:p>
    <w:p w14:paraId="1967F6AF">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、投标人提供的资格证明文件</w:t>
      </w:r>
    </w:p>
    <w:p w14:paraId="4B2B95AE">
      <w:pPr>
        <w:adjustRightInd w:val="0"/>
        <w:snapToGrid w:val="0"/>
        <w:spacing w:before="156" w:beforeLines="50" w:line="360" w:lineRule="auto"/>
        <w:ind w:firstLine="422" w:firstLineChars="200"/>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 xml:space="preserve">第二部分 </w:t>
      </w:r>
      <w:r>
        <w:rPr>
          <w:rFonts w:hint="eastAsia" w:ascii="宋体" w:hAnsi="宋体" w:eastAsia="宋体" w:cs="宋体"/>
          <w:b/>
          <w:color w:val="auto"/>
          <w:szCs w:val="21"/>
          <w:highlight w:val="none"/>
          <w:lang w:eastAsia="zh-CN"/>
        </w:rPr>
        <w:t>商务和技术文件</w:t>
      </w:r>
    </w:p>
    <w:p w14:paraId="382E13E3">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、投标函</w:t>
      </w:r>
    </w:p>
    <w:p w14:paraId="1C2EDE91">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、分项报价</w:t>
      </w:r>
    </w:p>
    <w:p w14:paraId="06AC874A">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六</w:t>
      </w:r>
      <w:r>
        <w:rPr>
          <w:rFonts w:hint="eastAsia" w:ascii="宋体" w:hAnsi="宋体" w:eastAsia="宋体" w:cs="宋体"/>
          <w:color w:val="auto"/>
          <w:szCs w:val="21"/>
          <w:highlight w:val="none"/>
        </w:rPr>
        <w:t>、采购需求响应</w:t>
      </w:r>
    </w:p>
    <w:p w14:paraId="1D4959CE">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七</w:t>
      </w:r>
      <w:r>
        <w:rPr>
          <w:rFonts w:hint="eastAsia" w:ascii="宋体" w:hAnsi="宋体" w:eastAsia="宋体" w:cs="宋体"/>
          <w:color w:val="auto"/>
          <w:szCs w:val="21"/>
          <w:highlight w:val="none"/>
        </w:rPr>
        <w:t>、合同条款偏离表</w:t>
      </w:r>
    </w:p>
    <w:p w14:paraId="0CAC356A">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八</w:t>
      </w:r>
      <w:r>
        <w:rPr>
          <w:rFonts w:hint="eastAsia" w:ascii="宋体" w:hAnsi="宋体" w:eastAsia="宋体" w:cs="宋体"/>
          <w:color w:val="auto"/>
          <w:szCs w:val="21"/>
          <w:highlight w:val="none"/>
        </w:rPr>
        <w:t>、采购需求偏离表</w:t>
      </w:r>
    </w:p>
    <w:p w14:paraId="03F338DC">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九</w:t>
      </w:r>
      <w:r>
        <w:rPr>
          <w:rFonts w:hint="eastAsia" w:ascii="宋体" w:hAnsi="宋体" w:eastAsia="宋体" w:cs="宋体"/>
          <w:color w:val="auto"/>
          <w:szCs w:val="21"/>
          <w:highlight w:val="none"/>
        </w:rPr>
        <w:t>、享受政府采购政策优惠的证明资料</w:t>
      </w:r>
    </w:p>
    <w:p w14:paraId="72998DB4">
      <w:pPr>
        <w:adjustRightInd w:val="0"/>
        <w:snapToGrid w:val="0"/>
        <w:spacing w:before="156" w:beforeLines="50" w:line="360" w:lineRule="auto"/>
        <w:ind w:firstLine="630" w:firstLineChars="3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eastAsia="zh-CN"/>
        </w:rPr>
        <w:t>、投标服务（含配套货物）符合招标文件规定的证明文件</w:t>
      </w:r>
    </w:p>
    <w:p w14:paraId="4C069775">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rPr>
        <w:t>、投标人认为需提供的其他资料</w:t>
      </w:r>
    </w:p>
    <w:p w14:paraId="487CE153">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在此，签字代表宣布同意如下：</w:t>
      </w:r>
    </w:p>
    <w:p w14:paraId="66DD58F4">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1、投标人严格按照招标文件的规定报价，见《开标一览表》</w:t>
      </w:r>
      <w:r>
        <w:rPr>
          <w:rFonts w:hint="eastAsia" w:ascii="宋体" w:hAnsi="宋体" w:eastAsia="宋体" w:cs="宋体"/>
          <w:color w:val="auto"/>
          <w:szCs w:val="21"/>
          <w:highlight w:val="none"/>
          <w:lang w:eastAsia="zh-CN"/>
        </w:rPr>
        <w:t>和《分项报价》</w:t>
      </w:r>
      <w:r>
        <w:rPr>
          <w:rFonts w:hint="eastAsia" w:ascii="宋体" w:hAnsi="宋体" w:eastAsia="宋体" w:cs="宋体"/>
          <w:color w:val="auto"/>
          <w:szCs w:val="21"/>
          <w:highlight w:val="none"/>
        </w:rPr>
        <w:t>。</w:t>
      </w:r>
    </w:p>
    <w:p w14:paraId="73CB5F47">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2、投标人将按招标文件的规定履行合同责任和义务。</w:t>
      </w:r>
    </w:p>
    <w:p w14:paraId="7EE9E395">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3、投标人已详细审查招标文件。我们完全理解并同意放弃对这方面有不明及误解的权力。</w:t>
      </w:r>
    </w:p>
    <w:p w14:paraId="18E8D023">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4、本投标有效期为自招标文件规定的提交投标文件截止之日起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个日历日。在投标有效期内，</w:t>
      </w:r>
      <w:r>
        <w:rPr>
          <w:rFonts w:hint="eastAsia" w:ascii="宋体" w:hAnsi="宋体" w:eastAsia="宋体" w:cs="宋体"/>
          <w:color w:val="auto"/>
          <w:highlight w:val="none"/>
        </w:rPr>
        <w:t>投标人同意遵守本</w:t>
      </w:r>
      <w:r>
        <w:rPr>
          <w:rFonts w:hint="eastAsia" w:ascii="宋体" w:hAnsi="宋体" w:eastAsia="宋体" w:cs="宋体"/>
          <w:color w:val="auto"/>
          <w:szCs w:val="21"/>
          <w:highlight w:val="none"/>
        </w:rPr>
        <w:t>投标</w:t>
      </w:r>
      <w:r>
        <w:rPr>
          <w:rFonts w:hint="eastAsia" w:ascii="宋体" w:hAnsi="宋体" w:eastAsia="宋体" w:cs="宋体"/>
          <w:color w:val="auto"/>
          <w:highlight w:val="none"/>
        </w:rPr>
        <w:t>文件中的承诺且在此期限期满之前</w:t>
      </w:r>
      <w:r>
        <w:rPr>
          <w:rFonts w:hint="eastAsia" w:ascii="宋体" w:hAnsi="宋体" w:eastAsia="宋体" w:cs="宋体"/>
          <w:color w:val="auto"/>
          <w:szCs w:val="21"/>
          <w:highlight w:val="none"/>
        </w:rPr>
        <w:t>投标</w:t>
      </w:r>
      <w:r>
        <w:rPr>
          <w:rFonts w:hint="eastAsia" w:ascii="宋体" w:hAnsi="宋体" w:eastAsia="宋体" w:cs="宋体"/>
          <w:color w:val="auto"/>
          <w:highlight w:val="none"/>
        </w:rPr>
        <w:t>文件</w:t>
      </w:r>
      <w:r>
        <w:rPr>
          <w:rFonts w:hint="eastAsia" w:ascii="宋体" w:hAnsi="宋体" w:eastAsia="宋体" w:cs="宋体"/>
          <w:color w:val="auto"/>
          <w:szCs w:val="21"/>
          <w:highlight w:val="none"/>
        </w:rPr>
        <w:t>对我方具有法律约束力</w:t>
      </w:r>
      <w:r>
        <w:rPr>
          <w:rFonts w:hint="eastAsia" w:ascii="宋体" w:hAnsi="宋体" w:eastAsia="宋体" w:cs="宋体"/>
          <w:color w:val="auto"/>
          <w:highlight w:val="none"/>
        </w:rPr>
        <w:t>。</w:t>
      </w:r>
    </w:p>
    <w:p w14:paraId="38B530A4">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szCs w:val="21"/>
          <w:highlight w:val="none"/>
        </w:rPr>
        <w:t>同意提供贵方可能要求的与其投标有关的一切数据或资料。</w:t>
      </w:r>
    </w:p>
    <w:p w14:paraId="41B26CCD">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6、与本投标有关的一切正式往来信函请寄：</w:t>
      </w:r>
    </w:p>
    <w:p w14:paraId="2DC316C4">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；电子邮箱：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3B5BEF64">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p>
    <w:p w14:paraId="2614365D">
      <w:pPr>
        <w:pStyle w:val="23"/>
        <w:adjustRightInd w:val="0"/>
        <w:snapToGrid w:val="0"/>
        <w:spacing w:before="156" w:beforeLines="50" w:line="360" w:lineRule="auto"/>
        <w:rPr>
          <w:rFonts w:hint="eastAsia" w:ascii="宋体" w:hAnsi="宋体" w:eastAsia="宋体" w:cs="宋体"/>
          <w:color w:val="auto"/>
          <w:highlight w:val="none"/>
        </w:rPr>
      </w:pPr>
    </w:p>
    <w:p w14:paraId="6C7BED7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63E55124">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3D06720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AFD0405">
      <w:pPr>
        <w:adjustRightInd w:val="0"/>
        <w:snapToGrid w:val="0"/>
        <w:spacing w:before="156" w:beforeLines="50"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4AEF67E6">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212" w:name="_Toc29793"/>
      <w:bookmarkStart w:id="213" w:name="_Toc29913962"/>
      <w:bookmarkStart w:id="214" w:name="_Toc8157"/>
      <w:r>
        <w:rPr>
          <w:rFonts w:hint="eastAsia" w:ascii="宋体" w:hAnsi="宋体" w:cs="宋体"/>
          <w:color w:val="auto"/>
          <w:sz w:val="28"/>
          <w:szCs w:val="28"/>
          <w:highlight w:val="none"/>
          <w:lang w:val="en-US" w:eastAsia="zh-CN"/>
        </w:rPr>
        <w:t>六</w:t>
      </w:r>
      <w:r>
        <w:rPr>
          <w:rFonts w:hint="eastAsia" w:ascii="宋体" w:hAnsi="宋体" w:eastAsia="宋体" w:cs="宋体"/>
          <w:color w:val="auto"/>
          <w:sz w:val="28"/>
          <w:szCs w:val="28"/>
          <w:highlight w:val="none"/>
        </w:rPr>
        <w:t>、分项报价</w:t>
      </w:r>
      <w:bookmarkEnd w:id="212"/>
      <w:bookmarkEnd w:id="213"/>
      <w:bookmarkEnd w:id="214"/>
    </w:p>
    <w:p w14:paraId="00AFC42C">
      <w:pPr>
        <w:pStyle w:val="5"/>
        <w:jc w:val="left"/>
        <w:rPr>
          <w:rFonts w:hint="eastAsia" w:ascii="宋体" w:hAnsi="宋体" w:eastAsia="宋体" w:cs="宋体"/>
          <w:b w:val="0"/>
          <w:color w:val="auto"/>
          <w:kern w:val="0"/>
          <w:sz w:val="21"/>
          <w:szCs w:val="21"/>
          <w:highlight w:val="none"/>
        </w:rPr>
      </w:pPr>
      <w:bookmarkStart w:id="215" w:name="_Toc2213"/>
      <w:bookmarkStart w:id="216" w:name="_Toc29913963"/>
      <w:bookmarkStart w:id="217" w:name="_Toc20911"/>
      <w:r>
        <w:rPr>
          <w:rFonts w:hint="eastAsia" w:ascii="宋体" w:hAnsi="宋体" w:eastAsia="宋体" w:cs="宋体"/>
          <w:b w:val="0"/>
          <w:bCs w:val="0"/>
          <w:color w:val="auto"/>
          <w:spacing w:val="6"/>
          <w:kern w:val="0"/>
          <w:sz w:val="21"/>
          <w:szCs w:val="21"/>
          <w:highlight w:val="none"/>
        </w:rPr>
        <w:t>附件</w:t>
      </w:r>
      <w:r>
        <w:rPr>
          <w:rFonts w:hint="eastAsia" w:ascii="宋体" w:hAnsi="宋体" w:eastAsia="宋体" w:cs="宋体"/>
          <w:b w:val="0"/>
          <w:bCs w:val="0"/>
          <w:color w:val="auto"/>
          <w:spacing w:val="6"/>
          <w:kern w:val="0"/>
          <w:sz w:val="21"/>
          <w:szCs w:val="21"/>
          <w:highlight w:val="none"/>
          <w:lang w:val="en-US" w:eastAsia="zh-CN"/>
        </w:rPr>
        <w:t>6</w:t>
      </w:r>
      <w:r>
        <w:rPr>
          <w:rFonts w:hint="eastAsia" w:ascii="宋体" w:hAnsi="宋体" w:eastAsia="宋体" w:cs="宋体"/>
          <w:b w:val="0"/>
          <w:bCs w:val="0"/>
          <w:color w:val="auto"/>
          <w:spacing w:val="6"/>
          <w:kern w:val="0"/>
          <w:sz w:val="21"/>
          <w:szCs w:val="21"/>
          <w:highlight w:val="none"/>
        </w:rPr>
        <w:t xml:space="preserve">-1 </w:t>
      </w:r>
      <w:r>
        <w:rPr>
          <w:rFonts w:hint="eastAsia" w:ascii="宋体" w:hAnsi="宋体" w:eastAsia="宋体" w:cs="宋体"/>
          <w:b w:val="0"/>
          <w:color w:val="auto"/>
          <w:spacing w:val="-2"/>
          <w:kern w:val="0"/>
          <w:sz w:val="21"/>
          <w:szCs w:val="21"/>
          <w:highlight w:val="none"/>
        </w:rPr>
        <w:t>分</w:t>
      </w:r>
      <w:r>
        <w:rPr>
          <w:rFonts w:hint="eastAsia" w:ascii="宋体" w:hAnsi="宋体" w:eastAsia="宋体" w:cs="宋体"/>
          <w:b w:val="0"/>
          <w:color w:val="auto"/>
          <w:kern w:val="0"/>
          <w:sz w:val="21"/>
          <w:szCs w:val="21"/>
          <w:highlight w:val="none"/>
        </w:rPr>
        <w:t>项</w:t>
      </w:r>
      <w:r>
        <w:rPr>
          <w:rFonts w:hint="eastAsia" w:ascii="宋体" w:hAnsi="宋体" w:eastAsia="宋体" w:cs="宋体"/>
          <w:b w:val="0"/>
          <w:color w:val="auto"/>
          <w:spacing w:val="-2"/>
          <w:kern w:val="0"/>
          <w:sz w:val="21"/>
          <w:szCs w:val="21"/>
          <w:highlight w:val="none"/>
        </w:rPr>
        <w:t>报</w:t>
      </w:r>
      <w:r>
        <w:rPr>
          <w:rFonts w:hint="eastAsia" w:ascii="宋体" w:hAnsi="宋体" w:eastAsia="宋体" w:cs="宋体"/>
          <w:b w:val="0"/>
          <w:color w:val="auto"/>
          <w:kern w:val="0"/>
          <w:sz w:val="21"/>
          <w:szCs w:val="21"/>
          <w:highlight w:val="none"/>
        </w:rPr>
        <w:t>价说明</w:t>
      </w:r>
      <w:bookmarkEnd w:id="215"/>
      <w:bookmarkEnd w:id="216"/>
      <w:bookmarkEnd w:id="217"/>
      <w:r>
        <w:rPr>
          <w:rFonts w:hint="eastAsia" w:ascii="宋体" w:hAnsi="宋体" w:eastAsia="宋体" w:cs="宋体"/>
          <w:b w:val="0"/>
          <w:color w:val="auto"/>
          <w:kern w:val="0"/>
          <w:sz w:val="21"/>
          <w:szCs w:val="21"/>
          <w:highlight w:val="none"/>
        </w:rPr>
        <w:t xml:space="preserve">  </w:t>
      </w:r>
    </w:p>
    <w:p w14:paraId="23425554">
      <w:pPr>
        <w:autoSpaceDE w:val="0"/>
        <w:autoSpaceDN w:val="0"/>
        <w:adjustRightInd w:val="0"/>
        <w:snapToGrid w:val="0"/>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spacing w:val="-2"/>
          <w:kern w:val="0"/>
          <w:sz w:val="28"/>
          <w:szCs w:val="28"/>
          <w:highlight w:val="none"/>
        </w:rPr>
        <w:t>分</w:t>
      </w:r>
      <w:r>
        <w:rPr>
          <w:rFonts w:hint="eastAsia" w:ascii="宋体" w:hAnsi="宋体" w:eastAsia="宋体" w:cs="宋体"/>
          <w:b/>
          <w:color w:val="auto"/>
          <w:kern w:val="0"/>
          <w:sz w:val="28"/>
          <w:szCs w:val="28"/>
          <w:highlight w:val="none"/>
        </w:rPr>
        <w:t>项</w:t>
      </w:r>
      <w:r>
        <w:rPr>
          <w:rFonts w:hint="eastAsia" w:ascii="宋体" w:hAnsi="宋体" w:eastAsia="宋体" w:cs="宋体"/>
          <w:b/>
          <w:color w:val="auto"/>
          <w:spacing w:val="-2"/>
          <w:kern w:val="0"/>
          <w:sz w:val="28"/>
          <w:szCs w:val="28"/>
          <w:highlight w:val="none"/>
        </w:rPr>
        <w:t>报</w:t>
      </w:r>
      <w:r>
        <w:rPr>
          <w:rFonts w:hint="eastAsia" w:ascii="宋体" w:hAnsi="宋体" w:eastAsia="宋体" w:cs="宋体"/>
          <w:b/>
          <w:color w:val="auto"/>
          <w:kern w:val="0"/>
          <w:sz w:val="28"/>
          <w:szCs w:val="28"/>
          <w:highlight w:val="none"/>
        </w:rPr>
        <w:t>价说明</w:t>
      </w:r>
    </w:p>
    <w:p w14:paraId="6A983320">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备注：投标人应按招标文件第二章相关要求，对本节</w:t>
      </w:r>
      <w:r>
        <w:rPr>
          <w:rFonts w:hint="eastAsia" w:ascii="宋体" w:hAnsi="宋体" w:eastAsia="宋体" w:cs="宋体"/>
          <w:bCs/>
          <w:color w:val="auto"/>
          <w:szCs w:val="21"/>
          <w:highlight w:val="none"/>
        </w:rPr>
        <w:t>“</w:t>
      </w:r>
      <w:r>
        <w:rPr>
          <w:rFonts w:hint="eastAsia" w:ascii="宋体" w:hAnsi="宋体" w:eastAsia="宋体" w:cs="宋体"/>
          <w:color w:val="auto"/>
          <w:kern w:val="0"/>
          <w:szCs w:val="21"/>
          <w:highlight w:val="none"/>
        </w:rPr>
        <w:t>分项报价明细表</w:t>
      </w:r>
      <w:r>
        <w:rPr>
          <w:rFonts w:hint="eastAsia" w:ascii="宋体" w:hAnsi="宋体" w:eastAsia="宋体" w:cs="宋体"/>
          <w:bCs/>
          <w:color w:val="auto"/>
          <w:szCs w:val="21"/>
          <w:highlight w:val="none"/>
        </w:rPr>
        <w:t>”进行</w:t>
      </w:r>
      <w:r>
        <w:rPr>
          <w:rFonts w:hint="eastAsia" w:ascii="宋体" w:hAnsi="宋体" w:eastAsia="宋体" w:cs="宋体"/>
          <w:color w:val="auto"/>
          <w:kern w:val="0"/>
          <w:szCs w:val="21"/>
          <w:highlight w:val="none"/>
        </w:rPr>
        <w:t>编制，并说明。</w:t>
      </w:r>
    </w:p>
    <w:p w14:paraId="007CD355">
      <w:pPr>
        <w:rPr>
          <w:rFonts w:hint="eastAsia" w:ascii="宋体" w:hAnsi="宋体" w:eastAsia="宋体" w:cs="宋体"/>
          <w:color w:val="auto"/>
          <w:highlight w:val="none"/>
        </w:rPr>
      </w:pPr>
    </w:p>
    <w:p w14:paraId="28C6E616">
      <w:pPr>
        <w:pStyle w:val="5"/>
        <w:spacing w:after="0" w:line="377" w:lineRule="auto"/>
        <w:jc w:val="left"/>
        <w:rPr>
          <w:rFonts w:hint="eastAsia" w:ascii="宋体" w:hAnsi="宋体" w:eastAsia="宋体" w:cs="宋体"/>
          <w:b w:val="0"/>
          <w:color w:val="auto"/>
          <w:kern w:val="0"/>
          <w:position w:val="-3"/>
          <w:sz w:val="21"/>
          <w:szCs w:val="21"/>
          <w:highlight w:val="none"/>
        </w:rPr>
      </w:pPr>
      <w:bookmarkStart w:id="218" w:name="_Toc29913964"/>
      <w:bookmarkStart w:id="219" w:name="_Toc8675"/>
      <w:bookmarkStart w:id="220" w:name="_Toc9188"/>
      <w:r>
        <w:rPr>
          <w:rFonts w:hint="eastAsia" w:ascii="宋体" w:hAnsi="宋体" w:eastAsia="宋体" w:cs="宋体"/>
          <w:b w:val="0"/>
          <w:bCs w:val="0"/>
          <w:color w:val="auto"/>
          <w:spacing w:val="6"/>
          <w:kern w:val="0"/>
          <w:sz w:val="21"/>
          <w:szCs w:val="21"/>
          <w:highlight w:val="none"/>
        </w:rPr>
        <w:t>附件</w:t>
      </w:r>
      <w:r>
        <w:rPr>
          <w:rFonts w:hint="eastAsia" w:ascii="宋体" w:hAnsi="宋体" w:eastAsia="宋体" w:cs="宋体"/>
          <w:b w:val="0"/>
          <w:bCs w:val="0"/>
          <w:color w:val="auto"/>
          <w:spacing w:val="6"/>
          <w:kern w:val="0"/>
          <w:sz w:val="21"/>
          <w:szCs w:val="21"/>
          <w:highlight w:val="none"/>
          <w:lang w:val="en-US" w:eastAsia="zh-CN"/>
        </w:rPr>
        <w:t>6</w:t>
      </w:r>
      <w:r>
        <w:rPr>
          <w:rFonts w:hint="eastAsia" w:ascii="宋体" w:hAnsi="宋体" w:eastAsia="宋体" w:cs="宋体"/>
          <w:b w:val="0"/>
          <w:bCs w:val="0"/>
          <w:color w:val="auto"/>
          <w:spacing w:val="6"/>
          <w:kern w:val="0"/>
          <w:sz w:val="21"/>
          <w:szCs w:val="21"/>
          <w:highlight w:val="none"/>
        </w:rPr>
        <w:t xml:space="preserve">-2 </w:t>
      </w:r>
      <w:r>
        <w:rPr>
          <w:rFonts w:hint="eastAsia" w:ascii="宋体" w:hAnsi="宋体" w:eastAsia="宋体" w:cs="宋体"/>
          <w:b w:val="0"/>
          <w:color w:val="auto"/>
          <w:spacing w:val="-2"/>
          <w:kern w:val="0"/>
          <w:position w:val="-3"/>
          <w:sz w:val="21"/>
          <w:szCs w:val="21"/>
          <w:highlight w:val="none"/>
        </w:rPr>
        <w:t>分</w:t>
      </w:r>
      <w:r>
        <w:rPr>
          <w:rFonts w:hint="eastAsia" w:ascii="宋体" w:hAnsi="宋体" w:eastAsia="宋体" w:cs="宋体"/>
          <w:b w:val="0"/>
          <w:color w:val="auto"/>
          <w:kern w:val="0"/>
          <w:position w:val="-3"/>
          <w:sz w:val="21"/>
          <w:szCs w:val="21"/>
          <w:highlight w:val="none"/>
        </w:rPr>
        <w:t>项</w:t>
      </w:r>
      <w:r>
        <w:rPr>
          <w:rFonts w:hint="eastAsia" w:ascii="宋体" w:hAnsi="宋体" w:eastAsia="宋体" w:cs="宋体"/>
          <w:b w:val="0"/>
          <w:color w:val="auto"/>
          <w:spacing w:val="-2"/>
          <w:kern w:val="0"/>
          <w:position w:val="-3"/>
          <w:sz w:val="21"/>
          <w:szCs w:val="21"/>
          <w:highlight w:val="none"/>
        </w:rPr>
        <w:t>报</w:t>
      </w:r>
      <w:r>
        <w:rPr>
          <w:rFonts w:hint="eastAsia" w:ascii="宋体" w:hAnsi="宋体" w:eastAsia="宋体" w:cs="宋体"/>
          <w:b w:val="0"/>
          <w:color w:val="auto"/>
          <w:kern w:val="0"/>
          <w:position w:val="-3"/>
          <w:sz w:val="21"/>
          <w:szCs w:val="21"/>
          <w:highlight w:val="none"/>
        </w:rPr>
        <w:t>价明细表</w:t>
      </w:r>
      <w:bookmarkEnd w:id="218"/>
    </w:p>
    <w:p w14:paraId="234BD674">
      <w:pPr>
        <w:pStyle w:val="5"/>
        <w:spacing w:after="0" w:line="377" w:lineRule="auto"/>
        <w:jc w:val="center"/>
        <w:rPr>
          <w:rFonts w:hint="eastAsia" w:ascii="宋体" w:hAnsi="宋体" w:eastAsia="宋体" w:cs="宋体"/>
          <w:b w:val="0"/>
          <w:color w:val="auto"/>
          <w:kern w:val="0"/>
          <w:position w:val="-3"/>
          <w:highlight w:val="none"/>
        </w:rPr>
      </w:pPr>
      <w:r>
        <w:rPr>
          <w:rFonts w:hint="eastAsia" w:ascii="宋体" w:hAnsi="宋体" w:eastAsia="宋体" w:cs="宋体"/>
          <w:color w:val="auto"/>
          <w:spacing w:val="-2"/>
          <w:kern w:val="0"/>
          <w:position w:val="-3"/>
          <w:highlight w:val="none"/>
        </w:rPr>
        <w:t>分</w:t>
      </w:r>
      <w:r>
        <w:rPr>
          <w:rFonts w:hint="eastAsia" w:ascii="宋体" w:hAnsi="宋体" w:eastAsia="宋体" w:cs="宋体"/>
          <w:color w:val="auto"/>
          <w:kern w:val="0"/>
          <w:position w:val="-3"/>
          <w:highlight w:val="none"/>
        </w:rPr>
        <w:t>项</w:t>
      </w:r>
      <w:r>
        <w:rPr>
          <w:rFonts w:hint="eastAsia" w:ascii="宋体" w:hAnsi="宋体" w:eastAsia="宋体" w:cs="宋体"/>
          <w:color w:val="auto"/>
          <w:spacing w:val="-2"/>
          <w:kern w:val="0"/>
          <w:position w:val="-3"/>
          <w:highlight w:val="none"/>
        </w:rPr>
        <w:t>报</w:t>
      </w:r>
      <w:r>
        <w:rPr>
          <w:rFonts w:hint="eastAsia" w:ascii="宋体" w:hAnsi="宋体" w:eastAsia="宋体" w:cs="宋体"/>
          <w:color w:val="auto"/>
          <w:kern w:val="0"/>
          <w:position w:val="-3"/>
          <w:highlight w:val="none"/>
        </w:rPr>
        <w:t>价明细表</w:t>
      </w:r>
      <w:bookmarkEnd w:id="219"/>
      <w:bookmarkEnd w:id="220"/>
    </w:p>
    <w:p w14:paraId="75FA430F">
      <w:pPr>
        <w:adjustRightInd w:val="0"/>
        <w:snapToGrid w:val="0"/>
        <w:spacing w:line="360" w:lineRule="auto"/>
        <w:jc w:val="center"/>
        <w:rPr>
          <w:rFonts w:hint="eastAsia" w:ascii="宋体" w:hAnsi="宋体" w:eastAsia="宋体" w:cs="宋体"/>
          <w:color w:val="auto"/>
          <w:highlight w:val="none"/>
        </w:rPr>
      </w:pPr>
    </w:p>
    <w:p w14:paraId="44671CB3">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____            ______</w:t>
      </w:r>
      <w:r>
        <w:rPr>
          <w:rFonts w:hint="eastAsia" w:ascii="宋体" w:hAnsi="宋体" w:eastAsia="宋体" w:cs="宋体"/>
          <w:color w:val="auto"/>
          <w:szCs w:val="21"/>
          <w:highlight w:val="none"/>
        </w:rPr>
        <w:t xml:space="preserve"> </w:t>
      </w:r>
    </w:p>
    <w:p w14:paraId="3E5B722E">
      <w:pPr>
        <w:adjustRightInd w:val="0"/>
        <w:snapToGrid w:val="0"/>
        <w:spacing w:line="360" w:lineRule="auto"/>
        <w:rPr>
          <w:rFonts w:hint="eastAsia" w:ascii="宋体" w:hAnsi="宋体" w:eastAsia="宋体" w:cs="宋体"/>
          <w:color w:val="auto"/>
          <w:szCs w:val="21"/>
          <w:highlight w:val="none"/>
          <w:u w:val="single"/>
          <w:lang w:val="en-US" w:eastAsia="zh-CN"/>
        </w:rPr>
      </w:pPr>
      <w:r>
        <w:rPr>
          <w:rFonts w:hint="eastAsia" w:ascii="宋体" w:hAnsi="宋体" w:cs="宋体"/>
          <w:color w:val="auto"/>
          <w:szCs w:val="21"/>
          <w:highlight w:val="none"/>
          <w:lang w:eastAsia="zh-CN"/>
        </w:rPr>
        <w:t>政府采购计划编号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lang w:val="en-US" w:eastAsia="zh-CN"/>
        </w:rPr>
        <w:t xml:space="preserve">             </w:t>
      </w:r>
    </w:p>
    <w:p w14:paraId="1EB19D1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包号：</w:t>
      </w:r>
      <w:r>
        <w:rPr>
          <w:rFonts w:hint="eastAsia" w:ascii="宋体" w:hAnsi="宋体" w:eastAsia="宋体" w:cs="宋体"/>
          <w:color w:val="auto"/>
          <w:szCs w:val="21"/>
          <w:highlight w:val="none"/>
          <w:u w:val="single"/>
        </w:rPr>
        <w:t xml:space="preserve">__    ________         </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 xml:space="preserve">__    ________  </w:t>
      </w:r>
      <w:r>
        <w:rPr>
          <w:rFonts w:hint="eastAsia" w:ascii="宋体" w:hAnsi="宋体" w:eastAsia="宋体" w:cs="宋体"/>
          <w:color w:val="auto"/>
          <w:szCs w:val="21"/>
          <w:highlight w:val="none"/>
        </w:rPr>
        <w:t xml:space="preserve"> </w:t>
      </w:r>
    </w:p>
    <w:tbl>
      <w:tblPr>
        <w:tblStyle w:val="44"/>
        <w:tblW w:w="9453" w:type="dxa"/>
        <w:tblInd w:w="0" w:type="dxa"/>
        <w:tblLayout w:type="fixed"/>
        <w:tblCellMar>
          <w:top w:w="0" w:type="dxa"/>
          <w:left w:w="0" w:type="dxa"/>
          <w:bottom w:w="0" w:type="dxa"/>
          <w:right w:w="0" w:type="dxa"/>
        </w:tblCellMar>
      </w:tblPr>
      <w:tblGrid>
        <w:gridCol w:w="333"/>
        <w:gridCol w:w="1383"/>
        <w:gridCol w:w="1665"/>
        <w:gridCol w:w="2364"/>
        <w:gridCol w:w="2215"/>
        <w:gridCol w:w="1493"/>
      </w:tblGrid>
      <w:tr w14:paraId="5904E88C">
        <w:tblPrEx>
          <w:tblCellMar>
            <w:top w:w="0" w:type="dxa"/>
            <w:left w:w="0" w:type="dxa"/>
            <w:bottom w:w="0" w:type="dxa"/>
            <w:right w:w="0" w:type="dxa"/>
          </w:tblCellMar>
        </w:tblPrEx>
        <w:trPr>
          <w:trHeight w:val="748" w:hRule="exact"/>
        </w:trPr>
        <w:tc>
          <w:tcPr>
            <w:tcW w:w="1716" w:type="dxa"/>
            <w:gridSpan w:val="2"/>
            <w:tcBorders>
              <w:top w:val="double" w:color="auto" w:sz="4" w:space="0"/>
              <w:left w:val="double" w:color="auto" w:sz="4" w:space="0"/>
              <w:right w:val="single" w:color="auto" w:sz="6" w:space="0"/>
            </w:tcBorders>
            <w:vAlign w:val="center"/>
          </w:tcPr>
          <w:p w14:paraId="6EF40B79">
            <w:pPr>
              <w:pStyle w:val="23"/>
              <w:adjustRightInd w:val="0"/>
              <w:snapToGrid w:val="0"/>
              <w:spacing w:line="360" w:lineRule="auto"/>
              <w:jc w:val="center"/>
              <w:outlineLvl w:val="0"/>
              <w:rPr>
                <w:rFonts w:hint="eastAsia" w:ascii="宋体" w:hAnsi="宋体" w:eastAsia="宋体" w:cs="宋体"/>
                <w:b w:val="0"/>
                <w:bCs/>
                <w:color w:val="auto"/>
                <w:kern w:val="2"/>
                <w:sz w:val="21"/>
                <w:szCs w:val="21"/>
                <w:highlight w:val="none"/>
                <w:vertAlign w:val="baseline"/>
                <w:lang w:val="en-US" w:eastAsia="zh-CN" w:bidi="ar-SA"/>
              </w:rPr>
            </w:pPr>
            <w:r>
              <w:rPr>
                <w:rFonts w:hint="eastAsia" w:hAnsi="宋体" w:cs="宋体"/>
                <w:b w:val="0"/>
                <w:bCs/>
                <w:color w:val="auto"/>
                <w:sz w:val="21"/>
                <w:szCs w:val="21"/>
                <w:highlight w:val="none"/>
                <w:vertAlign w:val="baseline"/>
                <w:lang w:eastAsia="zh-CN"/>
              </w:rPr>
              <w:t>项目</w:t>
            </w:r>
          </w:p>
        </w:tc>
        <w:tc>
          <w:tcPr>
            <w:tcW w:w="1665" w:type="dxa"/>
            <w:tcBorders>
              <w:top w:val="double" w:color="auto" w:sz="4" w:space="0"/>
              <w:left w:val="single" w:color="auto" w:sz="6" w:space="0"/>
              <w:bottom w:val="single" w:color="auto" w:sz="6" w:space="0"/>
              <w:right w:val="single" w:color="auto" w:sz="4" w:space="0"/>
            </w:tcBorders>
            <w:vAlign w:val="center"/>
          </w:tcPr>
          <w:p w14:paraId="376AD949">
            <w:pPr>
              <w:pStyle w:val="23"/>
              <w:adjustRightInd w:val="0"/>
              <w:snapToGrid w:val="0"/>
              <w:spacing w:line="360" w:lineRule="auto"/>
              <w:jc w:val="center"/>
              <w:outlineLvl w:val="0"/>
              <w:rPr>
                <w:rFonts w:hint="default" w:ascii="宋体" w:hAnsi="宋体" w:eastAsia="宋体" w:cs="宋体"/>
                <w:b w:val="0"/>
                <w:bCs/>
                <w:color w:val="auto"/>
                <w:kern w:val="2"/>
                <w:sz w:val="21"/>
                <w:szCs w:val="21"/>
                <w:highlight w:val="none"/>
                <w:vertAlign w:val="baseline"/>
                <w:lang w:val="en-US" w:eastAsia="zh-CN" w:bidi="ar-SA"/>
              </w:rPr>
            </w:pPr>
            <w:r>
              <w:rPr>
                <w:rFonts w:hint="eastAsia" w:hAnsi="宋体" w:cs="宋体"/>
                <w:b w:val="0"/>
                <w:bCs/>
                <w:color w:val="auto"/>
                <w:kern w:val="2"/>
                <w:sz w:val="21"/>
                <w:szCs w:val="21"/>
                <w:highlight w:val="none"/>
                <w:vertAlign w:val="baseline"/>
                <w:lang w:val="en-US" w:eastAsia="zh-CN" w:bidi="ar-SA"/>
              </w:rPr>
              <w:t>服务内容</w:t>
            </w:r>
          </w:p>
        </w:tc>
        <w:tc>
          <w:tcPr>
            <w:tcW w:w="2364" w:type="dxa"/>
            <w:tcBorders>
              <w:top w:val="double" w:color="auto" w:sz="4" w:space="0"/>
              <w:left w:val="single" w:color="auto" w:sz="4" w:space="0"/>
              <w:bottom w:val="single" w:color="auto" w:sz="6" w:space="0"/>
              <w:right w:val="single" w:color="auto" w:sz="6" w:space="0"/>
            </w:tcBorders>
            <w:vAlign w:val="center"/>
          </w:tcPr>
          <w:p w14:paraId="5C45B3FD">
            <w:pPr>
              <w:pStyle w:val="23"/>
              <w:adjustRightInd w:val="0"/>
              <w:snapToGrid w:val="0"/>
              <w:spacing w:line="360" w:lineRule="auto"/>
              <w:jc w:val="center"/>
              <w:outlineLvl w:val="0"/>
              <w:rPr>
                <w:rFonts w:hint="default" w:ascii="宋体" w:hAnsi="宋体" w:eastAsia="宋体" w:cs="宋体"/>
                <w:b w:val="0"/>
                <w:bCs/>
                <w:color w:val="auto"/>
                <w:kern w:val="2"/>
                <w:sz w:val="21"/>
                <w:szCs w:val="21"/>
                <w:highlight w:val="none"/>
                <w:vertAlign w:val="baseline"/>
                <w:lang w:val="en-US" w:eastAsia="zh-CN" w:bidi="ar-SA"/>
              </w:rPr>
            </w:pPr>
            <w:r>
              <w:rPr>
                <w:rFonts w:hint="eastAsia" w:hAnsi="宋体" w:cs="宋体"/>
                <w:b w:val="0"/>
                <w:bCs/>
                <w:color w:val="auto"/>
                <w:sz w:val="21"/>
                <w:szCs w:val="21"/>
                <w:highlight w:val="none"/>
                <w:vertAlign w:val="baseline"/>
                <w:lang w:val="en-US" w:eastAsia="zh-CN"/>
              </w:rPr>
              <w:t>服务周期</w:t>
            </w:r>
          </w:p>
        </w:tc>
        <w:tc>
          <w:tcPr>
            <w:tcW w:w="2215" w:type="dxa"/>
            <w:tcBorders>
              <w:top w:val="double" w:color="auto" w:sz="4" w:space="0"/>
              <w:left w:val="single" w:color="auto" w:sz="6" w:space="0"/>
              <w:right w:val="single" w:color="auto" w:sz="6" w:space="0"/>
            </w:tcBorders>
            <w:vAlign w:val="center"/>
          </w:tcPr>
          <w:p w14:paraId="7773F489">
            <w:pPr>
              <w:autoSpaceDE w:val="0"/>
              <w:autoSpaceDN w:val="0"/>
              <w:adjustRightInd w:val="0"/>
              <w:snapToGrid w:val="0"/>
              <w:spacing w:line="360" w:lineRule="auto"/>
              <w:ind w:right="-20"/>
              <w:jc w:val="center"/>
              <w:rPr>
                <w:rFonts w:hint="eastAsia" w:ascii="宋体" w:hAnsi="宋体" w:eastAsia="宋体" w:cs="宋体"/>
                <w:color w:val="auto"/>
                <w:kern w:val="0"/>
                <w:position w:val="-1"/>
                <w:sz w:val="21"/>
                <w:szCs w:val="21"/>
                <w:highlight w:val="none"/>
              </w:rPr>
            </w:pPr>
            <w:r>
              <w:rPr>
                <w:rFonts w:hint="eastAsia" w:hAnsi="宋体" w:cs="宋体"/>
                <w:b w:val="0"/>
                <w:bCs/>
                <w:color w:val="auto"/>
                <w:sz w:val="21"/>
                <w:szCs w:val="21"/>
                <w:highlight w:val="none"/>
                <w:vertAlign w:val="baseline"/>
                <w:lang w:eastAsia="zh-CN"/>
              </w:rPr>
              <w:t>金额（元）</w:t>
            </w:r>
          </w:p>
        </w:tc>
        <w:tc>
          <w:tcPr>
            <w:tcW w:w="1493" w:type="dxa"/>
            <w:tcBorders>
              <w:top w:val="double" w:color="auto" w:sz="4" w:space="0"/>
              <w:left w:val="single" w:color="auto" w:sz="6" w:space="0"/>
              <w:bottom w:val="single" w:color="auto" w:sz="6" w:space="0"/>
              <w:right w:val="double" w:color="auto" w:sz="4" w:space="0"/>
            </w:tcBorders>
            <w:vAlign w:val="center"/>
          </w:tcPr>
          <w:p w14:paraId="74B98B92">
            <w:pPr>
              <w:autoSpaceDE w:val="0"/>
              <w:autoSpaceDN w:val="0"/>
              <w:adjustRightInd w:val="0"/>
              <w:snapToGrid w:val="0"/>
              <w:spacing w:line="360" w:lineRule="auto"/>
              <w:ind w:right="-20"/>
              <w:jc w:val="center"/>
              <w:rPr>
                <w:rFonts w:hint="eastAsia" w:ascii="宋体" w:hAnsi="宋体" w:eastAsia="宋体" w:cs="宋体"/>
                <w:color w:val="auto"/>
                <w:kern w:val="0"/>
                <w:position w:val="-1"/>
                <w:sz w:val="21"/>
                <w:szCs w:val="21"/>
                <w:highlight w:val="none"/>
              </w:rPr>
            </w:pPr>
            <w:r>
              <w:rPr>
                <w:rFonts w:hint="eastAsia" w:ascii="宋体" w:hAnsi="宋体" w:eastAsia="宋体" w:cs="宋体"/>
                <w:color w:val="auto"/>
                <w:kern w:val="0"/>
                <w:position w:val="-1"/>
                <w:sz w:val="21"/>
                <w:szCs w:val="21"/>
                <w:highlight w:val="none"/>
              </w:rPr>
              <w:t>备注</w:t>
            </w:r>
          </w:p>
        </w:tc>
      </w:tr>
      <w:tr w14:paraId="2E989C1A">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705A36B4">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383" w:type="dxa"/>
            <w:tcBorders>
              <w:top w:val="single" w:color="auto" w:sz="6" w:space="0"/>
              <w:left w:val="single" w:color="auto" w:sz="6" w:space="0"/>
              <w:bottom w:val="single" w:color="auto" w:sz="6" w:space="0"/>
              <w:right w:val="single" w:color="auto" w:sz="6" w:space="0"/>
            </w:tcBorders>
            <w:vAlign w:val="top"/>
          </w:tcPr>
          <w:p w14:paraId="1C6372BB">
            <w:pPr>
              <w:pStyle w:val="23"/>
              <w:adjustRightInd w:val="0"/>
              <w:snapToGrid w:val="0"/>
              <w:spacing w:line="360" w:lineRule="auto"/>
              <w:jc w:val="center"/>
              <w:outlineLvl w:val="0"/>
              <w:rPr>
                <w:rFonts w:hint="eastAsia" w:ascii="宋体" w:hAnsi="宋体" w:eastAsia="宋体" w:cs="宋体"/>
                <w:b w:val="0"/>
                <w:bCs/>
                <w:color w:val="auto"/>
                <w:kern w:val="2"/>
                <w:sz w:val="24"/>
                <w:szCs w:val="24"/>
                <w:highlight w:val="none"/>
                <w:vertAlign w:val="baseline"/>
                <w:lang w:val="en-US" w:eastAsia="zh-CN" w:bidi="ar-SA"/>
              </w:rPr>
            </w:pPr>
          </w:p>
        </w:tc>
        <w:tc>
          <w:tcPr>
            <w:tcW w:w="1665" w:type="dxa"/>
            <w:tcBorders>
              <w:top w:val="single" w:color="auto" w:sz="6" w:space="0"/>
              <w:left w:val="single" w:color="auto" w:sz="6" w:space="0"/>
              <w:bottom w:val="single" w:color="auto" w:sz="6" w:space="0"/>
              <w:right w:val="single" w:color="auto" w:sz="4" w:space="0"/>
            </w:tcBorders>
            <w:vAlign w:val="top"/>
          </w:tcPr>
          <w:p w14:paraId="620F78F0">
            <w:pPr>
              <w:pStyle w:val="23"/>
              <w:adjustRightInd w:val="0"/>
              <w:snapToGrid w:val="0"/>
              <w:spacing w:line="360" w:lineRule="auto"/>
              <w:jc w:val="center"/>
              <w:outlineLvl w:val="0"/>
              <w:rPr>
                <w:rFonts w:hint="eastAsia" w:ascii="宋体" w:hAnsi="宋体" w:eastAsia="宋体" w:cs="宋体"/>
                <w:b w:val="0"/>
                <w:bCs/>
                <w:color w:val="auto"/>
                <w:kern w:val="2"/>
                <w:sz w:val="24"/>
                <w:szCs w:val="24"/>
                <w:highlight w:val="none"/>
                <w:vertAlign w:val="baseline"/>
                <w:lang w:val="en-US" w:eastAsia="zh-CN" w:bidi="ar-SA"/>
              </w:rPr>
            </w:pPr>
          </w:p>
        </w:tc>
        <w:tc>
          <w:tcPr>
            <w:tcW w:w="2364" w:type="dxa"/>
            <w:tcBorders>
              <w:top w:val="single" w:color="auto" w:sz="6" w:space="0"/>
              <w:left w:val="single" w:color="auto" w:sz="4" w:space="0"/>
              <w:bottom w:val="single" w:color="auto" w:sz="6" w:space="0"/>
              <w:right w:val="single" w:color="auto" w:sz="6" w:space="0"/>
            </w:tcBorders>
            <w:vAlign w:val="top"/>
          </w:tcPr>
          <w:p w14:paraId="11ADF538">
            <w:pPr>
              <w:pStyle w:val="23"/>
              <w:adjustRightInd w:val="0"/>
              <w:snapToGrid w:val="0"/>
              <w:spacing w:line="360" w:lineRule="auto"/>
              <w:jc w:val="center"/>
              <w:outlineLvl w:val="0"/>
              <w:rPr>
                <w:rFonts w:hint="eastAsia" w:ascii="宋体" w:hAnsi="宋体" w:eastAsia="宋体" w:cs="宋体"/>
                <w:b w:val="0"/>
                <w:bCs/>
                <w:color w:val="auto"/>
                <w:kern w:val="2"/>
                <w:sz w:val="24"/>
                <w:szCs w:val="24"/>
                <w:highlight w:val="none"/>
                <w:vertAlign w:val="baseline"/>
                <w:lang w:val="en-US" w:eastAsia="zh-CN" w:bidi="ar-SA"/>
              </w:rPr>
            </w:pPr>
          </w:p>
        </w:tc>
        <w:tc>
          <w:tcPr>
            <w:tcW w:w="2215" w:type="dxa"/>
            <w:tcBorders>
              <w:top w:val="single" w:color="auto" w:sz="6" w:space="0"/>
              <w:left w:val="single" w:color="auto" w:sz="6" w:space="0"/>
              <w:bottom w:val="single" w:color="auto" w:sz="6" w:space="0"/>
              <w:right w:val="single" w:color="auto" w:sz="6" w:space="0"/>
            </w:tcBorders>
            <w:vAlign w:val="top"/>
          </w:tcPr>
          <w:p w14:paraId="60954EAD">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1493" w:type="dxa"/>
            <w:tcBorders>
              <w:top w:val="single" w:color="auto" w:sz="6" w:space="0"/>
              <w:left w:val="single" w:color="auto" w:sz="6" w:space="0"/>
              <w:bottom w:val="single" w:color="auto" w:sz="6" w:space="0"/>
              <w:right w:val="double" w:color="auto" w:sz="4" w:space="0"/>
            </w:tcBorders>
          </w:tcPr>
          <w:p w14:paraId="32512913">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r>
      <w:tr w14:paraId="671F9897">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1773A51">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383" w:type="dxa"/>
            <w:tcBorders>
              <w:top w:val="single" w:color="auto" w:sz="6" w:space="0"/>
              <w:left w:val="single" w:color="auto" w:sz="6" w:space="0"/>
              <w:bottom w:val="single" w:color="auto" w:sz="6" w:space="0"/>
              <w:right w:val="single" w:color="auto" w:sz="6" w:space="0"/>
            </w:tcBorders>
            <w:vAlign w:val="center"/>
          </w:tcPr>
          <w:p w14:paraId="7E866B71">
            <w:pPr>
              <w:autoSpaceDE w:val="0"/>
              <w:autoSpaceDN w:val="0"/>
              <w:adjustRightInd w:val="0"/>
              <w:snapToGrid w:val="0"/>
              <w:spacing w:line="360" w:lineRule="auto"/>
              <w:jc w:val="center"/>
              <w:rPr>
                <w:rFonts w:hint="eastAsia" w:ascii="宋体" w:hAnsi="宋体" w:eastAsia="宋体" w:cs="宋体"/>
                <w:color w:val="auto"/>
                <w:kern w:val="0"/>
                <w:szCs w:val="21"/>
                <w:highlight w:val="none"/>
              </w:rPr>
            </w:pPr>
          </w:p>
        </w:tc>
        <w:tc>
          <w:tcPr>
            <w:tcW w:w="1665" w:type="dxa"/>
            <w:tcBorders>
              <w:top w:val="single" w:color="auto" w:sz="6" w:space="0"/>
              <w:left w:val="single" w:color="auto" w:sz="6" w:space="0"/>
              <w:bottom w:val="single" w:color="auto" w:sz="6" w:space="0"/>
              <w:right w:val="single" w:color="auto" w:sz="4" w:space="0"/>
            </w:tcBorders>
          </w:tcPr>
          <w:p w14:paraId="3C5525C4">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2364" w:type="dxa"/>
            <w:tcBorders>
              <w:top w:val="single" w:color="auto" w:sz="6" w:space="0"/>
              <w:left w:val="single" w:color="auto" w:sz="4" w:space="0"/>
              <w:bottom w:val="single" w:color="auto" w:sz="6" w:space="0"/>
              <w:right w:val="single" w:color="auto" w:sz="6" w:space="0"/>
            </w:tcBorders>
          </w:tcPr>
          <w:p w14:paraId="3A892D7F">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2215" w:type="dxa"/>
            <w:tcBorders>
              <w:top w:val="single" w:color="auto" w:sz="6" w:space="0"/>
              <w:left w:val="single" w:color="auto" w:sz="6" w:space="0"/>
              <w:bottom w:val="single" w:color="auto" w:sz="6" w:space="0"/>
              <w:right w:val="single" w:color="auto" w:sz="6" w:space="0"/>
            </w:tcBorders>
          </w:tcPr>
          <w:p w14:paraId="76384F02">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1493" w:type="dxa"/>
            <w:tcBorders>
              <w:top w:val="single" w:color="auto" w:sz="6" w:space="0"/>
              <w:left w:val="single" w:color="auto" w:sz="6" w:space="0"/>
              <w:bottom w:val="single" w:color="auto" w:sz="6" w:space="0"/>
              <w:right w:val="double" w:color="auto" w:sz="4" w:space="0"/>
            </w:tcBorders>
          </w:tcPr>
          <w:p w14:paraId="411A4323">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r>
      <w:tr w14:paraId="4670375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69C9C74">
            <w:pPr>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383" w:type="dxa"/>
            <w:tcBorders>
              <w:top w:val="single" w:color="auto" w:sz="6" w:space="0"/>
              <w:left w:val="single" w:color="auto" w:sz="6" w:space="0"/>
              <w:bottom w:val="single" w:color="auto" w:sz="6" w:space="0"/>
              <w:right w:val="single" w:color="auto" w:sz="6" w:space="0"/>
            </w:tcBorders>
            <w:vAlign w:val="center"/>
          </w:tcPr>
          <w:p w14:paraId="0B241EAA">
            <w:pPr>
              <w:autoSpaceDE w:val="0"/>
              <w:autoSpaceDN w:val="0"/>
              <w:adjustRightInd w:val="0"/>
              <w:snapToGrid w:val="0"/>
              <w:spacing w:line="360" w:lineRule="auto"/>
              <w:jc w:val="center"/>
              <w:rPr>
                <w:rFonts w:hint="eastAsia" w:ascii="宋体" w:hAnsi="宋体" w:eastAsia="宋体" w:cs="宋体"/>
                <w:color w:val="auto"/>
                <w:kern w:val="0"/>
                <w:szCs w:val="21"/>
                <w:highlight w:val="none"/>
              </w:rPr>
            </w:pPr>
          </w:p>
        </w:tc>
        <w:tc>
          <w:tcPr>
            <w:tcW w:w="1665" w:type="dxa"/>
            <w:tcBorders>
              <w:top w:val="single" w:color="auto" w:sz="6" w:space="0"/>
              <w:left w:val="single" w:color="auto" w:sz="6" w:space="0"/>
              <w:bottom w:val="single" w:color="auto" w:sz="6" w:space="0"/>
              <w:right w:val="single" w:color="auto" w:sz="4" w:space="0"/>
            </w:tcBorders>
          </w:tcPr>
          <w:p w14:paraId="39EB434B">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2364" w:type="dxa"/>
            <w:tcBorders>
              <w:top w:val="single" w:color="auto" w:sz="6" w:space="0"/>
              <w:left w:val="single" w:color="auto" w:sz="4" w:space="0"/>
              <w:bottom w:val="single" w:color="auto" w:sz="6" w:space="0"/>
              <w:right w:val="single" w:color="auto" w:sz="6" w:space="0"/>
            </w:tcBorders>
          </w:tcPr>
          <w:p w14:paraId="0E657F25">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2215" w:type="dxa"/>
            <w:tcBorders>
              <w:top w:val="single" w:color="auto" w:sz="6" w:space="0"/>
              <w:left w:val="single" w:color="auto" w:sz="6" w:space="0"/>
              <w:bottom w:val="single" w:color="auto" w:sz="6" w:space="0"/>
              <w:right w:val="single" w:color="auto" w:sz="6" w:space="0"/>
            </w:tcBorders>
          </w:tcPr>
          <w:p w14:paraId="1A0BBFAA">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1493" w:type="dxa"/>
            <w:tcBorders>
              <w:top w:val="single" w:color="auto" w:sz="6" w:space="0"/>
              <w:left w:val="single" w:color="auto" w:sz="6" w:space="0"/>
              <w:bottom w:val="single" w:color="auto" w:sz="6" w:space="0"/>
              <w:right w:val="double" w:color="auto" w:sz="4" w:space="0"/>
            </w:tcBorders>
          </w:tcPr>
          <w:p w14:paraId="651E3BF3">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r>
      <w:tr w14:paraId="4C26F7E4">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5BE3BCB">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383" w:type="dxa"/>
            <w:tcBorders>
              <w:top w:val="single" w:color="auto" w:sz="6" w:space="0"/>
              <w:left w:val="single" w:color="auto" w:sz="6" w:space="0"/>
              <w:bottom w:val="single" w:color="auto" w:sz="6" w:space="0"/>
              <w:right w:val="single" w:color="auto" w:sz="6" w:space="0"/>
            </w:tcBorders>
          </w:tcPr>
          <w:p w14:paraId="403C965E">
            <w:pPr>
              <w:autoSpaceDE w:val="0"/>
              <w:autoSpaceDN w:val="0"/>
              <w:adjustRightInd w:val="0"/>
              <w:snapToGrid w:val="0"/>
              <w:spacing w:line="360" w:lineRule="auto"/>
              <w:ind w:left="527" w:right="507"/>
              <w:jc w:val="center"/>
              <w:rPr>
                <w:rFonts w:hint="eastAsia" w:ascii="宋体" w:hAnsi="宋体" w:eastAsia="宋体" w:cs="宋体"/>
                <w:color w:val="auto"/>
                <w:kern w:val="0"/>
                <w:szCs w:val="21"/>
                <w:highlight w:val="none"/>
              </w:rPr>
            </w:pPr>
          </w:p>
        </w:tc>
        <w:tc>
          <w:tcPr>
            <w:tcW w:w="1665" w:type="dxa"/>
            <w:tcBorders>
              <w:top w:val="single" w:color="auto" w:sz="6" w:space="0"/>
              <w:left w:val="single" w:color="auto" w:sz="6" w:space="0"/>
              <w:bottom w:val="single" w:color="auto" w:sz="6" w:space="0"/>
              <w:right w:val="single" w:color="auto" w:sz="4" w:space="0"/>
            </w:tcBorders>
          </w:tcPr>
          <w:p w14:paraId="217B29DF">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2364" w:type="dxa"/>
            <w:tcBorders>
              <w:top w:val="single" w:color="auto" w:sz="6" w:space="0"/>
              <w:left w:val="single" w:color="auto" w:sz="4" w:space="0"/>
              <w:bottom w:val="single" w:color="auto" w:sz="6" w:space="0"/>
              <w:right w:val="single" w:color="auto" w:sz="6" w:space="0"/>
            </w:tcBorders>
          </w:tcPr>
          <w:p w14:paraId="4F65F4A3">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2215" w:type="dxa"/>
            <w:tcBorders>
              <w:top w:val="single" w:color="auto" w:sz="6" w:space="0"/>
              <w:left w:val="single" w:color="auto" w:sz="6" w:space="0"/>
              <w:bottom w:val="single" w:color="auto" w:sz="6" w:space="0"/>
              <w:right w:val="single" w:color="auto" w:sz="6" w:space="0"/>
            </w:tcBorders>
          </w:tcPr>
          <w:p w14:paraId="043853CE">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c>
          <w:tcPr>
            <w:tcW w:w="1493" w:type="dxa"/>
            <w:tcBorders>
              <w:top w:val="single" w:color="auto" w:sz="6" w:space="0"/>
              <w:left w:val="single" w:color="auto" w:sz="6" w:space="0"/>
              <w:bottom w:val="single" w:color="auto" w:sz="6" w:space="0"/>
              <w:right w:val="double" w:color="auto" w:sz="4" w:space="0"/>
            </w:tcBorders>
          </w:tcPr>
          <w:p w14:paraId="59D0B07D">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r>
      <w:tr w14:paraId="45D6BB33">
        <w:tblPrEx>
          <w:tblCellMar>
            <w:top w:w="0" w:type="dxa"/>
            <w:left w:w="0" w:type="dxa"/>
            <w:bottom w:w="0" w:type="dxa"/>
            <w:right w:w="0" w:type="dxa"/>
          </w:tblCellMar>
        </w:tblPrEx>
        <w:trPr>
          <w:trHeight w:val="415" w:hRule="exact"/>
        </w:trPr>
        <w:tc>
          <w:tcPr>
            <w:tcW w:w="7960" w:type="dxa"/>
            <w:gridSpan w:val="5"/>
            <w:tcBorders>
              <w:top w:val="single" w:color="auto" w:sz="6" w:space="0"/>
              <w:left w:val="double" w:color="auto" w:sz="4" w:space="0"/>
              <w:bottom w:val="double" w:color="auto" w:sz="4" w:space="0"/>
              <w:right w:val="single" w:color="auto" w:sz="6" w:space="0"/>
            </w:tcBorders>
            <w:vAlign w:val="center"/>
          </w:tcPr>
          <w:p w14:paraId="691A29F3">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position w:val="-1"/>
                <w:szCs w:val="21"/>
                <w:highlight w:val="none"/>
              </w:rPr>
              <w:t>投标报价（元）：</w:t>
            </w:r>
          </w:p>
        </w:tc>
        <w:tc>
          <w:tcPr>
            <w:tcW w:w="1493" w:type="dxa"/>
            <w:tcBorders>
              <w:top w:val="single" w:color="auto" w:sz="6" w:space="0"/>
              <w:left w:val="single" w:color="auto" w:sz="6" w:space="0"/>
              <w:bottom w:val="double" w:color="auto" w:sz="4" w:space="0"/>
              <w:right w:val="double" w:color="auto" w:sz="4" w:space="0"/>
            </w:tcBorders>
          </w:tcPr>
          <w:p w14:paraId="16528396">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p>
        </w:tc>
      </w:tr>
    </w:tbl>
    <w:p w14:paraId="0220D1F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备注：（1）</w:t>
      </w:r>
      <w:r>
        <w:rPr>
          <w:rFonts w:hint="eastAsia" w:ascii="宋体" w:hAnsi="宋体" w:eastAsia="宋体" w:cs="宋体"/>
          <w:b/>
          <w:color w:val="auto"/>
          <w:szCs w:val="21"/>
          <w:highlight w:val="none"/>
        </w:rPr>
        <w:t>本表应对应</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开标一览表</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，按包填写</w:t>
      </w:r>
      <w:r>
        <w:rPr>
          <w:rFonts w:hint="eastAsia" w:ascii="宋体" w:hAnsi="宋体" w:eastAsia="宋体" w:cs="宋体"/>
          <w:color w:val="auto"/>
          <w:szCs w:val="21"/>
          <w:highlight w:val="none"/>
        </w:rPr>
        <w:t>。投标人如果不提供分项报价明细表，其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44BC85FC">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（2）不得填写“免费”或“赠与”，也不得进行“零”报价，否则</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6DDD2DFF">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（3）如果开标一览表内容与本表内容不一致的，以开标一览表内容为准。</w:t>
      </w:r>
    </w:p>
    <w:p w14:paraId="1F0EF63E">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bCs/>
          <w:color w:val="auto"/>
          <w:szCs w:val="21"/>
          <w:highlight w:val="none"/>
        </w:rPr>
        <w:t>投标人在投标截止时间前修改“开标一览表”中的投标报价的，应按第二章第13.7款规定修改本表相应内容。否则，</w:t>
      </w:r>
      <w:r>
        <w:rPr>
          <w:rFonts w:hint="eastAsia" w:ascii="宋体" w:hAnsi="宋体" w:eastAsia="宋体" w:cs="宋体"/>
          <w:color w:val="auto"/>
          <w:szCs w:val="21"/>
          <w:highlight w:val="none"/>
        </w:rPr>
        <w:t>本表相应内容按投标报价修改的相同比例进行调整。</w:t>
      </w:r>
    </w:p>
    <w:p w14:paraId="68DC9705">
      <w:pPr>
        <w:adjustRightInd w:val="0"/>
        <w:snapToGrid w:val="0"/>
        <w:spacing w:line="360" w:lineRule="auto"/>
        <w:ind w:firstLine="422" w:firstLineChars="200"/>
        <w:rPr>
          <w:rFonts w:hint="eastAsia" w:ascii="宋体" w:hAnsi="宋体" w:eastAsia="宋体" w:cs="宋体"/>
          <w:b/>
          <w:color w:val="auto"/>
          <w:szCs w:val="21"/>
          <w:highlight w:val="none"/>
        </w:rPr>
      </w:pPr>
    </w:p>
    <w:p w14:paraId="25DFB82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085191BF">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0AFD980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F5EDB64">
      <w:pPr>
        <w:adjustRightInd w:val="0"/>
        <w:snapToGrid w:val="0"/>
        <w:spacing w:line="360" w:lineRule="auto"/>
        <w:rPr>
          <w:rFonts w:hint="eastAsia" w:ascii="宋体" w:hAnsi="宋体" w:eastAsia="宋体" w:cs="宋体"/>
          <w:color w:val="auto"/>
          <w:szCs w:val="21"/>
          <w:highlight w:val="none"/>
        </w:rPr>
        <w:sectPr>
          <w:pgSz w:w="11906" w:h="16838"/>
          <w:pgMar w:top="1474" w:right="1474" w:bottom="1474" w:left="1588" w:header="851" w:footer="992" w:gutter="0"/>
          <w:pgNumType w:fmt="decimal"/>
          <w:cols w:space="720" w:num="1"/>
          <w:docGrid w:type="lines" w:linePitch="312" w:charSpace="0"/>
        </w:sectPr>
      </w:pPr>
    </w:p>
    <w:p w14:paraId="3F16B9E6">
      <w:pPr>
        <w:adjustRightInd w:val="0"/>
        <w:snapToGrid w:val="0"/>
        <w:spacing w:line="360" w:lineRule="auto"/>
        <w:rPr>
          <w:rFonts w:hint="eastAsia" w:ascii="宋体" w:hAnsi="宋体" w:eastAsia="宋体" w:cs="宋体"/>
          <w:color w:val="auto"/>
          <w:szCs w:val="21"/>
          <w:highlight w:val="none"/>
        </w:rPr>
      </w:pPr>
    </w:p>
    <w:p w14:paraId="6626270D">
      <w:pPr>
        <w:pStyle w:val="4"/>
        <w:adjustRightInd w:val="0"/>
        <w:snapToGrid w:val="0"/>
        <w:spacing w:before="0" w:after="0" w:line="360" w:lineRule="auto"/>
        <w:jc w:val="center"/>
        <w:rPr>
          <w:rFonts w:hint="eastAsia" w:ascii="宋体" w:hAnsi="宋体" w:eastAsia="宋体" w:cs="宋体"/>
          <w:color w:val="auto"/>
          <w:sz w:val="44"/>
          <w:szCs w:val="44"/>
          <w:highlight w:val="none"/>
        </w:rPr>
      </w:pPr>
      <w:bookmarkStart w:id="221" w:name="_Toc28564"/>
      <w:bookmarkStart w:id="222" w:name="_Toc16287"/>
      <w:bookmarkStart w:id="223" w:name="_Toc29913967"/>
      <w:r>
        <w:rPr>
          <w:rFonts w:hint="eastAsia" w:ascii="宋体" w:hAnsi="宋体" w:cs="宋体"/>
          <w:color w:val="auto"/>
          <w:sz w:val="28"/>
          <w:szCs w:val="28"/>
          <w:highlight w:val="none"/>
          <w:lang w:val="en-US" w:eastAsia="zh-CN"/>
        </w:rPr>
        <w:t>七</w:t>
      </w:r>
      <w:r>
        <w:rPr>
          <w:rFonts w:hint="eastAsia" w:ascii="宋体" w:hAnsi="宋体" w:eastAsia="宋体" w:cs="宋体"/>
          <w:color w:val="auto"/>
          <w:sz w:val="28"/>
          <w:szCs w:val="28"/>
          <w:highlight w:val="none"/>
        </w:rPr>
        <w:t>、采购需求响应</w:t>
      </w:r>
      <w:bookmarkEnd w:id="221"/>
      <w:bookmarkEnd w:id="222"/>
    </w:p>
    <w:p w14:paraId="76679645">
      <w:pPr>
        <w:adjustRightInd w:val="0"/>
        <w:snapToGrid w:val="0"/>
        <w:spacing w:line="360" w:lineRule="auto"/>
        <w:rPr>
          <w:rFonts w:hint="eastAsia" w:ascii="宋体" w:hAnsi="宋体" w:eastAsia="宋体" w:cs="宋体"/>
          <w:b/>
          <w:color w:val="auto"/>
          <w:szCs w:val="21"/>
          <w:highlight w:val="none"/>
        </w:rPr>
      </w:pPr>
    </w:p>
    <w:p w14:paraId="37E87C29">
      <w:pPr>
        <w:adjustRightInd w:val="0"/>
        <w:snapToGrid w:val="0"/>
        <w:spacing w:line="360" w:lineRule="auto"/>
        <w:rPr>
          <w:rFonts w:hint="eastAsia" w:ascii="宋体" w:hAnsi="宋体" w:eastAsia="宋体" w:cs="宋体"/>
          <w:b/>
          <w:color w:val="auto"/>
          <w:highlight w:val="none"/>
        </w:rPr>
      </w:pPr>
      <w:r>
        <w:rPr>
          <w:rFonts w:hint="eastAsia" w:ascii="宋体" w:hAnsi="宋体" w:eastAsia="宋体" w:cs="宋体"/>
          <w:b/>
          <w:color w:val="auto"/>
          <w:szCs w:val="21"/>
          <w:highlight w:val="none"/>
        </w:rPr>
        <w:t>编制说明</w:t>
      </w:r>
      <w:r>
        <w:rPr>
          <w:rFonts w:hint="eastAsia" w:ascii="宋体" w:hAnsi="宋体" w:eastAsia="宋体" w:cs="宋体"/>
          <w:bCs/>
          <w:color w:val="auto"/>
          <w:szCs w:val="21"/>
          <w:highlight w:val="none"/>
        </w:rPr>
        <w:t>：</w:t>
      </w:r>
      <w:r>
        <w:rPr>
          <w:rFonts w:hint="eastAsia" w:ascii="宋体" w:hAnsi="宋体" w:eastAsia="宋体" w:cs="宋体"/>
          <w:b/>
          <w:color w:val="auto"/>
          <w:highlight w:val="none"/>
        </w:rPr>
        <w:t>投标人应按招标文件第五章采购需求自行编写采购需求响应（其内容可包括，且不限于详细的技术指标和服务的组织及保证措施等，格式自拟）。</w:t>
      </w:r>
    </w:p>
    <w:p w14:paraId="6C21271D">
      <w:pPr>
        <w:pStyle w:val="25"/>
        <w:adjustRightInd w:val="0"/>
        <w:snapToGrid w:val="0"/>
        <w:spacing w:line="360" w:lineRule="auto"/>
        <w:ind w:left="-88" w:leftChars="-42"/>
        <w:rPr>
          <w:rFonts w:hint="eastAsia" w:ascii="宋体" w:hAnsi="宋体" w:eastAsia="宋体" w:cs="宋体"/>
          <w:bCs/>
          <w:color w:val="auto"/>
          <w:sz w:val="21"/>
          <w:szCs w:val="21"/>
          <w:highlight w:val="none"/>
        </w:rPr>
      </w:pPr>
    </w:p>
    <w:p w14:paraId="2C7441A8">
      <w:pPr>
        <w:rPr>
          <w:rFonts w:hint="eastAsia" w:ascii="宋体" w:hAnsi="宋体" w:eastAsia="宋体" w:cs="宋体"/>
          <w:color w:val="auto"/>
          <w:highlight w:val="none"/>
        </w:rPr>
      </w:pPr>
    </w:p>
    <w:p w14:paraId="5F2398B5">
      <w:pPr>
        <w:rPr>
          <w:rFonts w:hint="eastAsia" w:ascii="宋体" w:hAnsi="宋体" w:eastAsia="宋体" w:cs="宋体"/>
          <w:color w:val="auto"/>
          <w:highlight w:val="none"/>
        </w:rPr>
      </w:pPr>
    </w:p>
    <w:p w14:paraId="7B683945">
      <w:pPr>
        <w:pStyle w:val="25"/>
        <w:tabs>
          <w:tab w:val="left" w:pos="6208"/>
        </w:tabs>
        <w:adjustRightInd w:val="0"/>
        <w:snapToGrid w:val="0"/>
        <w:spacing w:line="360" w:lineRule="auto"/>
        <w:ind w:left="-88" w:leftChars="-42"/>
        <w:rPr>
          <w:rFonts w:hint="eastAsia" w:ascii="宋体" w:hAnsi="宋体" w:eastAsia="宋体" w:cs="宋体"/>
          <w:bCs/>
          <w:color w:val="auto"/>
          <w:sz w:val="21"/>
          <w:szCs w:val="21"/>
          <w:highlight w:val="none"/>
        </w:rPr>
      </w:pPr>
    </w:p>
    <w:p w14:paraId="03ECAC0C">
      <w:pPr>
        <w:adjustRightInd w:val="0"/>
        <w:snapToGrid w:val="0"/>
        <w:spacing w:line="360" w:lineRule="auto"/>
        <w:rPr>
          <w:rFonts w:hint="eastAsia" w:ascii="宋体" w:hAnsi="宋体" w:eastAsia="宋体" w:cs="宋体"/>
          <w:color w:val="auto"/>
          <w:szCs w:val="21"/>
          <w:highlight w:val="none"/>
        </w:rPr>
      </w:pPr>
    </w:p>
    <w:p w14:paraId="03E0898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01B7DF47">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022D457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BE51553">
      <w:pPr>
        <w:rPr>
          <w:rFonts w:hint="eastAsia" w:ascii="宋体" w:hAnsi="宋体" w:eastAsia="宋体" w:cs="宋体"/>
          <w:color w:val="auto"/>
          <w:highlight w:val="none"/>
        </w:rPr>
      </w:pPr>
    </w:p>
    <w:p w14:paraId="62C704CB">
      <w:pPr>
        <w:rPr>
          <w:rFonts w:hint="eastAsia" w:ascii="宋体" w:hAnsi="宋体" w:eastAsia="宋体" w:cs="宋体"/>
          <w:color w:val="auto"/>
          <w:highlight w:val="none"/>
        </w:rPr>
      </w:pPr>
    </w:p>
    <w:p w14:paraId="5670C162">
      <w:pPr>
        <w:keepNext/>
        <w:keepLines/>
        <w:adjustRightInd w:val="0"/>
        <w:snapToGrid w:val="0"/>
        <w:spacing w:before="156" w:beforeLines="50" w:line="360" w:lineRule="auto"/>
        <w:outlineLvl w:val="3"/>
        <w:rPr>
          <w:rFonts w:ascii="黑体" w:hAnsi="黑体" w:eastAsia="黑体"/>
          <w:bCs/>
          <w:color w:val="auto"/>
          <w:szCs w:val="21"/>
          <w:highlight w:val="none"/>
        </w:rPr>
      </w:pPr>
      <w:r>
        <w:rPr>
          <w:rFonts w:hint="eastAsia" w:ascii="黑体" w:hAnsi="黑体" w:eastAsia="黑体" w:cs="宋体"/>
          <w:bCs/>
          <w:color w:val="auto"/>
          <w:spacing w:val="6"/>
          <w:kern w:val="0"/>
          <w:szCs w:val="21"/>
          <w:highlight w:val="none"/>
        </w:rPr>
        <w:t>附件7-1 响应</w:t>
      </w:r>
      <w:r>
        <w:rPr>
          <w:rFonts w:hint="eastAsia" w:ascii="黑体" w:hAnsi="黑体" w:eastAsia="黑体"/>
          <w:bCs/>
          <w:color w:val="auto"/>
          <w:szCs w:val="21"/>
          <w:highlight w:val="none"/>
        </w:rPr>
        <w:t>-览表</w:t>
      </w:r>
    </w:p>
    <w:p w14:paraId="03DFA876">
      <w:pPr>
        <w:adjustRightInd w:val="0"/>
        <w:snapToGrid w:val="0"/>
        <w:spacing w:before="156" w:beforeLines="50" w:line="360" w:lineRule="auto"/>
        <w:jc w:val="center"/>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响应-览表</w:t>
      </w:r>
    </w:p>
    <w:p w14:paraId="12344661">
      <w:pPr>
        <w:adjustRightInd w:val="0"/>
        <w:snapToGrid w:val="0"/>
        <w:spacing w:before="156" w:beforeLines="50" w:line="360" w:lineRule="auto"/>
        <w:jc w:val="center"/>
        <w:rPr>
          <w:rFonts w:ascii="黑体" w:hAnsi="黑体" w:eastAsia="黑体"/>
          <w:b/>
          <w:bCs/>
          <w:color w:val="auto"/>
          <w:sz w:val="28"/>
          <w:szCs w:val="28"/>
          <w:highlight w:val="none"/>
        </w:rPr>
      </w:pPr>
    </w:p>
    <w:tbl>
      <w:tblPr>
        <w:tblStyle w:val="44"/>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17DD60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noWrap w:val="0"/>
            <w:vAlign w:val="center"/>
          </w:tcPr>
          <w:p w14:paraId="7CB6AC7F">
            <w:pPr>
              <w:jc w:val="center"/>
              <w:rPr>
                <w:rFonts w:ascii="Times New Roman" w:hAnsi="Times New Roman"/>
                <w:color w:val="auto"/>
                <w:szCs w:val="21"/>
                <w:highlight w:val="none"/>
              </w:rPr>
            </w:pPr>
            <w:r>
              <w:rPr>
                <w:rFonts w:hint="eastAsia" w:ascii="Times New Roman" w:hAnsi="Times New Roman"/>
                <w:color w:val="auto"/>
                <w:szCs w:val="21"/>
                <w:highlight w:val="none"/>
              </w:rPr>
              <w:t xml:space="preserve">包号 </w:t>
            </w:r>
          </w:p>
        </w:tc>
        <w:tc>
          <w:tcPr>
            <w:tcW w:w="957" w:type="dxa"/>
            <w:vMerge w:val="restart"/>
            <w:tcBorders>
              <w:right w:val="single" w:color="auto" w:sz="4" w:space="0"/>
            </w:tcBorders>
            <w:noWrap w:val="0"/>
            <w:vAlign w:val="center"/>
          </w:tcPr>
          <w:p w14:paraId="777ADC82">
            <w:pPr>
              <w:jc w:val="center"/>
              <w:rPr>
                <w:rFonts w:ascii="Times New Roman" w:hAnsi="Times New Roman"/>
                <w:color w:val="auto"/>
                <w:szCs w:val="21"/>
                <w:highlight w:val="none"/>
              </w:rPr>
            </w:pPr>
            <w:r>
              <w:rPr>
                <w:rFonts w:hint="eastAsia" w:ascii="Times New Roman" w:hAnsi="Times New Roman"/>
                <w:color w:val="auto"/>
                <w:szCs w:val="21"/>
                <w:highlight w:val="none"/>
              </w:rPr>
              <w:t>包名称</w:t>
            </w:r>
          </w:p>
        </w:tc>
        <w:tc>
          <w:tcPr>
            <w:tcW w:w="2124" w:type="dxa"/>
            <w:vMerge w:val="restart"/>
            <w:tcBorders>
              <w:left w:val="single" w:color="auto" w:sz="4" w:space="0"/>
            </w:tcBorders>
            <w:noWrap w:val="0"/>
            <w:vAlign w:val="center"/>
          </w:tcPr>
          <w:p w14:paraId="405689D8">
            <w:pPr>
              <w:jc w:val="center"/>
              <w:rPr>
                <w:rFonts w:ascii="Times New Roman" w:hAnsi="Times New Roman"/>
                <w:color w:val="auto"/>
                <w:szCs w:val="21"/>
                <w:highlight w:val="none"/>
              </w:rPr>
            </w:pPr>
            <w:r>
              <w:rPr>
                <w:rFonts w:hint="eastAsia" w:ascii="Times New Roman" w:hAnsi="Times New Roman"/>
                <w:color w:val="auto"/>
                <w:szCs w:val="21"/>
                <w:highlight w:val="none"/>
              </w:rPr>
              <w:t>分项项目名称</w:t>
            </w:r>
          </w:p>
          <w:p w14:paraId="7C920B72">
            <w:pPr>
              <w:jc w:val="center"/>
              <w:rPr>
                <w:rFonts w:ascii="Times New Roman" w:hAnsi="Times New Roman"/>
                <w:color w:val="auto"/>
                <w:szCs w:val="21"/>
                <w:highlight w:val="none"/>
              </w:rPr>
            </w:pPr>
            <w:r>
              <w:rPr>
                <w:rFonts w:hint="eastAsia" w:ascii="Times New Roman" w:hAnsi="Times New Roman"/>
                <w:color w:val="auto"/>
                <w:szCs w:val="21"/>
                <w:highlight w:val="none"/>
              </w:rPr>
              <w:t>（条目号/品目名称）</w:t>
            </w:r>
          </w:p>
        </w:tc>
        <w:tc>
          <w:tcPr>
            <w:tcW w:w="2127" w:type="dxa"/>
            <w:vMerge w:val="restart"/>
            <w:noWrap w:val="0"/>
            <w:vAlign w:val="center"/>
          </w:tcPr>
          <w:p w14:paraId="7E2E6067">
            <w:pPr>
              <w:jc w:val="center"/>
              <w:rPr>
                <w:rFonts w:ascii="Times New Roman" w:hAnsi="Times New Roman"/>
                <w:color w:val="auto"/>
                <w:szCs w:val="21"/>
                <w:highlight w:val="none"/>
              </w:rPr>
            </w:pPr>
            <w:r>
              <w:rPr>
                <w:rFonts w:hint="eastAsia" w:ascii="Times New Roman" w:hAnsi="Times New Roman"/>
                <w:color w:val="auto"/>
                <w:szCs w:val="21"/>
                <w:highlight w:val="none"/>
              </w:rPr>
              <w:t>主要技术条款要求</w:t>
            </w:r>
          </w:p>
        </w:tc>
        <w:tc>
          <w:tcPr>
            <w:tcW w:w="992" w:type="dxa"/>
            <w:vMerge w:val="restart"/>
            <w:noWrap w:val="0"/>
            <w:vAlign w:val="center"/>
          </w:tcPr>
          <w:p w14:paraId="3ED3D088">
            <w:pPr>
              <w:jc w:val="center"/>
              <w:rPr>
                <w:rFonts w:ascii="Times New Roman" w:hAnsi="Times New Roman"/>
                <w:color w:val="auto"/>
                <w:szCs w:val="21"/>
                <w:highlight w:val="none"/>
              </w:rPr>
            </w:pPr>
            <w:r>
              <w:rPr>
                <w:rFonts w:hint="eastAsia" w:ascii="Times New Roman" w:hAnsi="Times New Roman"/>
                <w:color w:val="auto"/>
                <w:szCs w:val="21"/>
                <w:highlight w:val="none"/>
              </w:rPr>
              <w:t>数量</w:t>
            </w:r>
          </w:p>
        </w:tc>
        <w:tc>
          <w:tcPr>
            <w:tcW w:w="1460" w:type="dxa"/>
            <w:gridSpan w:val="2"/>
            <w:noWrap w:val="0"/>
            <w:vAlign w:val="center"/>
          </w:tcPr>
          <w:p w14:paraId="2DCFDD2C">
            <w:pPr>
              <w:jc w:val="center"/>
              <w:rPr>
                <w:rFonts w:ascii="Times New Roman" w:hAnsi="Times New Roman"/>
                <w:color w:val="auto"/>
                <w:szCs w:val="21"/>
                <w:highlight w:val="none"/>
              </w:rPr>
            </w:pPr>
            <w:r>
              <w:rPr>
                <w:rFonts w:hint="eastAsia" w:ascii="Times New Roman" w:hAnsi="Times New Roman"/>
                <w:color w:val="auto"/>
                <w:szCs w:val="21"/>
                <w:highlight w:val="none"/>
              </w:rPr>
              <w:t>服务</w:t>
            </w:r>
          </w:p>
        </w:tc>
        <w:tc>
          <w:tcPr>
            <w:tcW w:w="971" w:type="dxa"/>
            <w:vMerge w:val="restart"/>
            <w:noWrap w:val="0"/>
            <w:vAlign w:val="center"/>
          </w:tcPr>
          <w:p w14:paraId="17B24B1B">
            <w:pPr>
              <w:jc w:val="center"/>
              <w:rPr>
                <w:rFonts w:ascii="Times New Roman" w:hAnsi="Times New Roman"/>
                <w:color w:val="auto"/>
                <w:szCs w:val="21"/>
                <w:highlight w:val="none"/>
              </w:rPr>
            </w:pPr>
            <w:r>
              <w:rPr>
                <w:rFonts w:hint="eastAsia" w:ascii="Times New Roman" w:hAnsi="Times New Roman"/>
                <w:color w:val="auto"/>
                <w:szCs w:val="21"/>
                <w:highlight w:val="none"/>
              </w:rPr>
              <w:t>备注</w:t>
            </w:r>
          </w:p>
        </w:tc>
      </w:tr>
      <w:tr w14:paraId="14B76F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noWrap w:val="0"/>
            <w:vAlign w:val="center"/>
          </w:tcPr>
          <w:p w14:paraId="44759821">
            <w:pPr>
              <w:jc w:val="center"/>
              <w:rPr>
                <w:rFonts w:ascii="Times New Roman" w:hAnsi="Times New Roman"/>
                <w:color w:val="auto"/>
                <w:szCs w:val="21"/>
                <w:highlight w:val="none"/>
              </w:rPr>
            </w:pPr>
          </w:p>
        </w:tc>
        <w:tc>
          <w:tcPr>
            <w:tcW w:w="957" w:type="dxa"/>
            <w:vMerge w:val="continue"/>
            <w:tcBorders>
              <w:right w:val="single" w:color="auto" w:sz="4" w:space="0"/>
            </w:tcBorders>
            <w:noWrap w:val="0"/>
            <w:vAlign w:val="center"/>
          </w:tcPr>
          <w:p w14:paraId="7D5C0236">
            <w:pPr>
              <w:jc w:val="center"/>
              <w:rPr>
                <w:rFonts w:ascii="Times New Roman" w:hAnsi="Times New Roman"/>
                <w:color w:val="auto"/>
                <w:szCs w:val="21"/>
                <w:highlight w:val="none"/>
              </w:rPr>
            </w:pPr>
          </w:p>
        </w:tc>
        <w:tc>
          <w:tcPr>
            <w:tcW w:w="2124" w:type="dxa"/>
            <w:vMerge w:val="continue"/>
            <w:tcBorders>
              <w:left w:val="single" w:color="auto" w:sz="4" w:space="0"/>
            </w:tcBorders>
            <w:noWrap w:val="0"/>
            <w:vAlign w:val="center"/>
          </w:tcPr>
          <w:p w14:paraId="1B07A4AE">
            <w:pPr>
              <w:jc w:val="center"/>
              <w:rPr>
                <w:rFonts w:ascii="Times New Roman" w:hAnsi="Times New Roman"/>
                <w:color w:val="auto"/>
                <w:szCs w:val="21"/>
                <w:highlight w:val="none"/>
              </w:rPr>
            </w:pPr>
          </w:p>
        </w:tc>
        <w:tc>
          <w:tcPr>
            <w:tcW w:w="2127" w:type="dxa"/>
            <w:vMerge w:val="continue"/>
            <w:noWrap w:val="0"/>
            <w:vAlign w:val="center"/>
          </w:tcPr>
          <w:p w14:paraId="5E9B73F8">
            <w:pPr>
              <w:jc w:val="center"/>
              <w:rPr>
                <w:rFonts w:ascii="Times New Roman" w:hAnsi="Times New Roman"/>
                <w:color w:val="auto"/>
                <w:szCs w:val="21"/>
                <w:highlight w:val="none"/>
              </w:rPr>
            </w:pPr>
          </w:p>
        </w:tc>
        <w:tc>
          <w:tcPr>
            <w:tcW w:w="992" w:type="dxa"/>
            <w:vMerge w:val="continue"/>
            <w:noWrap w:val="0"/>
            <w:vAlign w:val="center"/>
          </w:tcPr>
          <w:p w14:paraId="15387DC9">
            <w:pPr>
              <w:jc w:val="center"/>
              <w:rPr>
                <w:rFonts w:ascii="Times New Roman" w:hAnsi="Times New Roman"/>
                <w:color w:val="auto"/>
                <w:szCs w:val="21"/>
                <w:highlight w:val="none"/>
              </w:rPr>
            </w:pPr>
          </w:p>
        </w:tc>
        <w:tc>
          <w:tcPr>
            <w:tcW w:w="709" w:type="dxa"/>
            <w:noWrap w:val="0"/>
            <w:vAlign w:val="center"/>
          </w:tcPr>
          <w:p w14:paraId="0B3B583A">
            <w:pPr>
              <w:jc w:val="center"/>
              <w:rPr>
                <w:rFonts w:ascii="Times New Roman" w:hAnsi="Times New Roman"/>
                <w:color w:val="auto"/>
                <w:szCs w:val="21"/>
                <w:highlight w:val="none"/>
              </w:rPr>
            </w:pPr>
            <w:r>
              <w:rPr>
                <w:rFonts w:hint="eastAsia" w:ascii="Times New Roman" w:hAnsi="Times New Roman"/>
                <w:color w:val="auto"/>
                <w:szCs w:val="21"/>
                <w:highlight w:val="none"/>
              </w:rPr>
              <w:t>时间</w:t>
            </w:r>
          </w:p>
        </w:tc>
        <w:tc>
          <w:tcPr>
            <w:tcW w:w="751" w:type="dxa"/>
            <w:noWrap w:val="0"/>
            <w:vAlign w:val="center"/>
          </w:tcPr>
          <w:p w14:paraId="58907534">
            <w:pPr>
              <w:jc w:val="center"/>
              <w:rPr>
                <w:rFonts w:ascii="Times New Roman" w:hAnsi="Times New Roman"/>
                <w:color w:val="auto"/>
                <w:szCs w:val="21"/>
                <w:highlight w:val="none"/>
              </w:rPr>
            </w:pPr>
            <w:r>
              <w:rPr>
                <w:rFonts w:hint="eastAsia" w:ascii="Times New Roman" w:hAnsi="Times New Roman"/>
                <w:color w:val="auto"/>
                <w:szCs w:val="21"/>
                <w:highlight w:val="none"/>
              </w:rPr>
              <w:t>地点</w:t>
            </w:r>
          </w:p>
        </w:tc>
        <w:tc>
          <w:tcPr>
            <w:tcW w:w="971" w:type="dxa"/>
            <w:vMerge w:val="continue"/>
            <w:noWrap w:val="0"/>
            <w:vAlign w:val="top"/>
          </w:tcPr>
          <w:p w14:paraId="51E95424">
            <w:pPr>
              <w:rPr>
                <w:rFonts w:ascii="Times New Roman" w:hAnsi="Times New Roman"/>
                <w:color w:val="auto"/>
                <w:szCs w:val="21"/>
                <w:highlight w:val="none"/>
              </w:rPr>
            </w:pPr>
          </w:p>
        </w:tc>
      </w:tr>
      <w:tr w14:paraId="36E8B8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1E32EAF7">
            <w:pPr>
              <w:rPr>
                <w:rFonts w:ascii="Times New Roman" w:hAnsi="Times New Roman"/>
                <w:color w:val="auto"/>
                <w:szCs w:val="21"/>
                <w:highlight w:val="none"/>
              </w:rPr>
            </w:pPr>
          </w:p>
        </w:tc>
        <w:tc>
          <w:tcPr>
            <w:tcW w:w="957" w:type="dxa"/>
            <w:tcBorders>
              <w:right w:val="single" w:color="auto" w:sz="4" w:space="0"/>
            </w:tcBorders>
            <w:noWrap w:val="0"/>
            <w:vAlign w:val="top"/>
          </w:tcPr>
          <w:p w14:paraId="459547E1">
            <w:pPr>
              <w:rPr>
                <w:rFonts w:ascii="Times New Roman" w:hAnsi="Times New Roman"/>
                <w:color w:val="auto"/>
                <w:szCs w:val="21"/>
                <w:highlight w:val="none"/>
              </w:rPr>
            </w:pPr>
          </w:p>
        </w:tc>
        <w:tc>
          <w:tcPr>
            <w:tcW w:w="2124" w:type="dxa"/>
            <w:tcBorders>
              <w:left w:val="single" w:color="auto" w:sz="4" w:space="0"/>
            </w:tcBorders>
            <w:noWrap w:val="0"/>
            <w:vAlign w:val="top"/>
          </w:tcPr>
          <w:p w14:paraId="0352CADA">
            <w:pPr>
              <w:rPr>
                <w:rFonts w:ascii="Times New Roman" w:hAnsi="Times New Roman"/>
                <w:color w:val="auto"/>
                <w:szCs w:val="21"/>
                <w:highlight w:val="none"/>
              </w:rPr>
            </w:pPr>
          </w:p>
        </w:tc>
        <w:tc>
          <w:tcPr>
            <w:tcW w:w="2127" w:type="dxa"/>
            <w:noWrap w:val="0"/>
            <w:vAlign w:val="top"/>
          </w:tcPr>
          <w:p w14:paraId="125778C7">
            <w:pPr>
              <w:rPr>
                <w:rFonts w:ascii="Times New Roman" w:hAnsi="Times New Roman"/>
                <w:color w:val="auto"/>
                <w:szCs w:val="21"/>
                <w:highlight w:val="none"/>
              </w:rPr>
            </w:pPr>
          </w:p>
        </w:tc>
        <w:tc>
          <w:tcPr>
            <w:tcW w:w="992" w:type="dxa"/>
            <w:noWrap w:val="0"/>
            <w:vAlign w:val="top"/>
          </w:tcPr>
          <w:p w14:paraId="7AF1CF84">
            <w:pPr>
              <w:rPr>
                <w:rFonts w:ascii="Times New Roman" w:hAnsi="Times New Roman"/>
                <w:color w:val="auto"/>
                <w:szCs w:val="21"/>
                <w:highlight w:val="none"/>
              </w:rPr>
            </w:pPr>
          </w:p>
        </w:tc>
        <w:tc>
          <w:tcPr>
            <w:tcW w:w="709" w:type="dxa"/>
            <w:tcBorders>
              <w:bottom w:val="single" w:color="auto" w:sz="4" w:space="0"/>
            </w:tcBorders>
            <w:noWrap w:val="0"/>
            <w:vAlign w:val="top"/>
          </w:tcPr>
          <w:p w14:paraId="7D0483E4">
            <w:pPr>
              <w:rPr>
                <w:rFonts w:ascii="Times New Roman" w:hAnsi="Times New Roman"/>
                <w:color w:val="auto"/>
                <w:szCs w:val="21"/>
                <w:highlight w:val="none"/>
              </w:rPr>
            </w:pPr>
          </w:p>
        </w:tc>
        <w:tc>
          <w:tcPr>
            <w:tcW w:w="751" w:type="dxa"/>
            <w:tcBorders>
              <w:bottom w:val="single" w:color="auto" w:sz="4" w:space="0"/>
            </w:tcBorders>
            <w:noWrap w:val="0"/>
            <w:vAlign w:val="top"/>
          </w:tcPr>
          <w:p w14:paraId="17230830">
            <w:pPr>
              <w:rPr>
                <w:rFonts w:ascii="Times New Roman" w:hAnsi="Times New Roman"/>
                <w:color w:val="auto"/>
                <w:szCs w:val="21"/>
                <w:highlight w:val="none"/>
              </w:rPr>
            </w:pPr>
          </w:p>
        </w:tc>
        <w:tc>
          <w:tcPr>
            <w:tcW w:w="971" w:type="dxa"/>
            <w:noWrap w:val="0"/>
            <w:vAlign w:val="top"/>
          </w:tcPr>
          <w:p w14:paraId="7BE7F4C0">
            <w:pPr>
              <w:rPr>
                <w:rFonts w:ascii="Times New Roman" w:hAnsi="Times New Roman"/>
                <w:color w:val="auto"/>
                <w:szCs w:val="21"/>
                <w:highlight w:val="none"/>
              </w:rPr>
            </w:pPr>
          </w:p>
        </w:tc>
      </w:tr>
      <w:tr w14:paraId="6A07CF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7B29243D">
            <w:pPr>
              <w:rPr>
                <w:rFonts w:ascii="Times New Roman" w:hAnsi="Times New Roman"/>
                <w:color w:val="auto"/>
                <w:szCs w:val="21"/>
                <w:highlight w:val="none"/>
              </w:rPr>
            </w:pPr>
          </w:p>
        </w:tc>
        <w:tc>
          <w:tcPr>
            <w:tcW w:w="957" w:type="dxa"/>
            <w:tcBorders>
              <w:right w:val="single" w:color="auto" w:sz="4" w:space="0"/>
            </w:tcBorders>
            <w:noWrap w:val="0"/>
            <w:vAlign w:val="top"/>
          </w:tcPr>
          <w:p w14:paraId="310183BF">
            <w:pPr>
              <w:rPr>
                <w:rFonts w:ascii="Times New Roman" w:hAnsi="Times New Roman"/>
                <w:color w:val="auto"/>
                <w:szCs w:val="21"/>
                <w:highlight w:val="none"/>
              </w:rPr>
            </w:pPr>
          </w:p>
        </w:tc>
        <w:tc>
          <w:tcPr>
            <w:tcW w:w="2124" w:type="dxa"/>
            <w:tcBorders>
              <w:left w:val="single" w:color="auto" w:sz="4" w:space="0"/>
            </w:tcBorders>
            <w:noWrap w:val="0"/>
            <w:vAlign w:val="top"/>
          </w:tcPr>
          <w:p w14:paraId="20061870">
            <w:pPr>
              <w:rPr>
                <w:rFonts w:ascii="Times New Roman" w:hAnsi="Times New Roman"/>
                <w:color w:val="auto"/>
                <w:szCs w:val="21"/>
                <w:highlight w:val="none"/>
              </w:rPr>
            </w:pPr>
          </w:p>
        </w:tc>
        <w:tc>
          <w:tcPr>
            <w:tcW w:w="2127" w:type="dxa"/>
            <w:noWrap w:val="0"/>
            <w:vAlign w:val="top"/>
          </w:tcPr>
          <w:p w14:paraId="6BC3E265">
            <w:pPr>
              <w:rPr>
                <w:rFonts w:ascii="Times New Roman" w:hAnsi="Times New Roman"/>
                <w:color w:val="auto"/>
                <w:szCs w:val="21"/>
                <w:highlight w:val="none"/>
              </w:rPr>
            </w:pPr>
          </w:p>
        </w:tc>
        <w:tc>
          <w:tcPr>
            <w:tcW w:w="992" w:type="dxa"/>
            <w:noWrap w:val="0"/>
            <w:vAlign w:val="top"/>
          </w:tcPr>
          <w:p w14:paraId="14E6B231">
            <w:pPr>
              <w:rPr>
                <w:rFonts w:ascii="Times New Roman" w:hAnsi="Times New Roman"/>
                <w:color w:val="auto"/>
                <w:szCs w:val="21"/>
                <w:highlight w:val="none"/>
              </w:rPr>
            </w:pPr>
          </w:p>
        </w:tc>
        <w:tc>
          <w:tcPr>
            <w:tcW w:w="709" w:type="dxa"/>
            <w:tcBorders>
              <w:top w:val="single" w:color="auto" w:sz="4" w:space="0"/>
              <w:bottom w:val="single" w:color="auto" w:sz="4" w:space="0"/>
            </w:tcBorders>
            <w:noWrap w:val="0"/>
            <w:vAlign w:val="top"/>
          </w:tcPr>
          <w:p w14:paraId="2EDD74BD">
            <w:pPr>
              <w:rPr>
                <w:rFonts w:ascii="Times New Roman" w:hAnsi="Times New Roman"/>
                <w:color w:val="auto"/>
                <w:szCs w:val="21"/>
                <w:highlight w:val="none"/>
              </w:rPr>
            </w:pPr>
          </w:p>
        </w:tc>
        <w:tc>
          <w:tcPr>
            <w:tcW w:w="751" w:type="dxa"/>
            <w:tcBorders>
              <w:top w:val="single" w:color="auto" w:sz="4" w:space="0"/>
              <w:bottom w:val="single" w:color="auto" w:sz="4" w:space="0"/>
            </w:tcBorders>
            <w:noWrap w:val="0"/>
            <w:vAlign w:val="top"/>
          </w:tcPr>
          <w:p w14:paraId="405B687C">
            <w:pPr>
              <w:rPr>
                <w:rFonts w:ascii="Times New Roman" w:hAnsi="Times New Roman"/>
                <w:color w:val="auto"/>
                <w:szCs w:val="21"/>
                <w:highlight w:val="none"/>
              </w:rPr>
            </w:pPr>
          </w:p>
        </w:tc>
        <w:tc>
          <w:tcPr>
            <w:tcW w:w="971" w:type="dxa"/>
            <w:noWrap w:val="0"/>
            <w:vAlign w:val="top"/>
          </w:tcPr>
          <w:p w14:paraId="17B42412">
            <w:pPr>
              <w:rPr>
                <w:rFonts w:ascii="Times New Roman" w:hAnsi="Times New Roman"/>
                <w:color w:val="auto"/>
                <w:szCs w:val="21"/>
                <w:highlight w:val="none"/>
              </w:rPr>
            </w:pPr>
          </w:p>
        </w:tc>
      </w:tr>
      <w:tr w14:paraId="1CCC2E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66652592">
            <w:pPr>
              <w:rPr>
                <w:rFonts w:ascii="Times New Roman" w:hAnsi="Times New Roman"/>
                <w:color w:val="auto"/>
                <w:szCs w:val="21"/>
                <w:highlight w:val="none"/>
              </w:rPr>
            </w:pPr>
          </w:p>
        </w:tc>
        <w:tc>
          <w:tcPr>
            <w:tcW w:w="957" w:type="dxa"/>
            <w:tcBorders>
              <w:right w:val="single" w:color="auto" w:sz="4" w:space="0"/>
            </w:tcBorders>
            <w:noWrap w:val="0"/>
            <w:vAlign w:val="top"/>
          </w:tcPr>
          <w:p w14:paraId="18C2517C">
            <w:pPr>
              <w:rPr>
                <w:rFonts w:ascii="Times New Roman" w:hAnsi="Times New Roman"/>
                <w:color w:val="auto"/>
                <w:szCs w:val="21"/>
                <w:highlight w:val="none"/>
              </w:rPr>
            </w:pPr>
          </w:p>
        </w:tc>
        <w:tc>
          <w:tcPr>
            <w:tcW w:w="2124" w:type="dxa"/>
            <w:tcBorders>
              <w:left w:val="single" w:color="auto" w:sz="4" w:space="0"/>
            </w:tcBorders>
            <w:noWrap w:val="0"/>
            <w:vAlign w:val="top"/>
          </w:tcPr>
          <w:p w14:paraId="5E1D04F8">
            <w:pPr>
              <w:rPr>
                <w:rFonts w:ascii="Times New Roman" w:hAnsi="Times New Roman"/>
                <w:color w:val="auto"/>
                <w:szCs w:val="21"/>
                <w:highlight w:val="none"/>
              </w:rPr>
            </w:pPr>
          </w:p>
        </w:tc>
        <w:tc>
          <w:tcPr>
            <w:tcW w:w="2127" w:type="dxa"/>
            <w:noWrap w:val="0"/>
            <w:vAlign w:val="top"/>
          </w:tcPr>
          <w:p w14:paraId="6D1FEABA">
            <w:pPr>
              <w:rPr>
                <w:rFonts w:ascii="Times New Roman" w:hAnsi="Times New Roman"/>
                <w:color w:val="auto"/>
                <w:szCs w:val="21"/>
                <w:highlight w:val="none"/>
              </w:rPr>
            </w:pPr>
          </w:p>
        </w:tc>
        <w:tc>
          <w:tcPr>
            <w:tcW w:w="992" w:type="dxa"/>
            <w:noWrap w:val="0"/>
            <w:vAlign w:val="top"/>
          </w:tcPr>
          <w:p w14:paraId="2ED174C0">
            <w:pPr>
              <w:rPr>
                <w:rFonts w:ascii="Times New Roman" w:hAnsi="Times New Roman"/>
                <w:color w:val="auto"/>
                <w:szCs w:val="21"/>
                <w:highlight w:val="none"/>
              </w:rPr>
            </w:pPr>
          </w:p>
        </w:tc>
        <w:tc>
          <w:tcPr>
            <w:tcW w:w="709" w:type="dxa"/>
            <w:tcBorders>
              <w:top w:val="single" w:color="auto" w:sz="4" w:space="0"/>
              <w:bottom w:val="single" w:color="auto" w:sz="4" w:space="0"/>
            </w:tcBorders>
            <w:noWrap w:val="0"/>
            <w:vAlign w:val="top"/>
          </w:tcPr>
          <w:p w14:paraId="1FA7E6A2">
            <w:pPr>
              <w:rPr>
                <w:rFonts w:ascii="Times New Roman" w:hAnsi="Times New Roman"/>
                <w:color w:val="auto"/>
                <w:szCs w:val="21"/>
                <w:highlight w:val="none"/>
              </w:rPr>
            </w:pPr>
          </w:p>
        </w:tc>
        <w:tc>
          <w:tcPr>
            <w:tcW w:w="751" w:type="dxa"/>
            <w:tcBorders>
              <w:top w:val="single" w:color="auto" w:sz="4" w:space="0"/>
              <w:bottom w:val="single" w:color="auto" w:sz="4" w:space="0"/>
            </w:tcBorders>
            <w:noWrap w:val="0"/>
            <w:vAlign w:val="top"/>
          </w:tcPr>
          <w:p w14:paraId="4412FD66">
            <w:pPr>
              <w:rPr>
                <w:rFonts w:ascii="Times New Roman" w:hAnsi="Times New Roman"/>
                <w:color w:val="auto"/>
                <w:szCs w:val="21"/>
                <w:highlight w:val="none"/>
              </w:rPr>
            </w:pPr>
          </w:p>
        </w:tc>
        <w:tc>
          <w:tcPr>
            <w:tcW w:w="971" w:type="dxa"/>
            <w:noWrap w:val="0"/>
            <w:vAlign w:val="top"/>
          </w:tcPr>
          <w:p w14:paraId="5BD4F1D5">
            <w:pPr>
              <w:rPr>
                <w:rFonts w:ascii="Times New Roman" w:hAnsi="Times New Roman"/>
                <w:color w:val="auto"/>
                <w:szCs w:val="21"/>
                <w:highlight w:val="none"/>
              </w:rPr>
            </w:pPr>
          </w:p>
        </w:tc>
      </w:tr>
      <w:tr w14:paraId="0698CE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344833D9">
            <w:pPr>
              <w:rPr>
                <w:rFonts w:ascii="Times New Roman" w:hAnsi="Times New Roman"/>
                <w:color w:val="auto"/>
                <w:szCs w:val="21"/>
                <w:highlight w:val="none"/>
              </w:rPr>
            </w:pPr>
          </w:p>
        </w:tc>
        <w:tc>
          <w:tcPr>
            <w:tcW w:w="957" w:type="dxa"/>
            <w:tcBorders>
              <w:right w:val="single" w:color="auto" w:sz="4" w:space="0"/>
            </w:tcBorders>
            <w:noWrap w:val="0"/>
            <w:vAlign w:val="top"/>
          </w:tcPr>
          <w:p w14:paraId="40EB57F8">
            <w:pPr>
              <w:rPr>
                <w:rFonts w:ascii="Times New Roman" w:hAnsi="Times New Roman"/>
                <w:color w:val="auto"/>
                <w:szCs w:val="21"/>
                <w:highlight w:val="none"/>
              </w:rPr>
            </w:pPr>
          </w:p>
        </w:tc>
        <w:tc>
          <w:tcPr>
            <w:tcW w:w="2124" w:type="dxa"/>
            <w:tcBorders>
              <w:left w:val="single" w:color="auto" w:sz="4" w:space="0"/>
            </w:tcBorders>
            <w:noWrap w:val="0"/>
            <w:vAlign w:val="top"/>
          </w:tcPr>
          <w:p w14:paraId="1B2BE232">
            <w:pPr>
              <w:rPr>
                <w:rFonts w:ascii="Times New Roman" w:hAnsi="Times New Roman"/>
                <w:color w:val="auto"/>
                <w:szCs w:val="21"/>
                <w:highlight w:val="none"/>
              </w:rPr>
            </w:pPr>
          </w:p>
        </w:tc>
        <w:tc>
          <w:tcPr>
            <w:tcW w:w="2127" w:type="dxa"/>
            <w:noWrap w:val="0"/>
            <w:vAlign w:val="top"/>
          </w:tcPr>
          <w:p w14:paraId="3B024825">
            <w:pPr>
              <w:rPr>
                <w:rFonts w:ascii="Times New Roman" w:hAnsi="Times New Roman"/>
                <w:color w:val="auto"/>
                <w:szCs w:val="21"/>
                <w:highlight w:val="none"/>
              </w:rPr>
            </w:pPr>
          </w:p>
        </w:tc>
        <w:tc>
          <w:tcPr>
            <w:tcW w:w="992" w:type="dxa"/>
            <w:noWrap w:val="0"/>
            <w:vAlign w:val="top"/>
          </w:tcPr>
          <w:p w14:paraId="30CD41CC">
            <w:pPr>
              <w:rPr>
                <w:rFonts w:ascii="Times New Roman" w:hAnsi="Times New Roman"/>
                <w:color w:val="auto"/>
                <w:szCs w:val="21"/>
                <w:highlight w:val="none"/>
              </w:rPr>
            </w:pPr>
          </w:p>
        </w:tc>
        <w:tc>
          <w:tcPr>
            <w:tcW w:w="709" w:type="dxa"/>
            <w:tcBorders>
              <w:top w:val="single" w:color="auto" w:sz="4" w:space="0"/>
              <w:bottom w:val="single" w:color="auto" w:sz="4" w:space="0"/>
            </w:tcBorders>
            <w:noWrap w:val="0"/>
            <w:vAlign w:val="top"/>
          </w:tcPr>
          <w:p w14:paraId="4E919B60">
            <w:pPr>
              <w:rPr>
                <w:rFonts w:ascii="Times New Roman" w:hAnsi="Times New Roman"/>
                <w:color w:val="auto"/>
                <w:szCs w:val="21"/>
                <w:highlight w:val="none"/>
              </w:rPr>
            </w:pPr>
          </w:p>
        </w:tc>
        <w:tc>
          <w:tcPr>
            <w:tcW w:w="751" w:type="dxa"/>
            <w:tcBorders>
              <w:top w:val="single" w:color="auto" w:sz="4" w:space="0"/>
              <w:bottom w:val="single" w:color="auto" w:sz="4" w:space="0"/>
            </w:tcBorders>
            <w:noWrap w:val="0"/>
            <w:vAlign w:val="top"/>
          </w:tcPr>
          <w:p w14:paraId="5025FABF">
            <w:pPr>
              <w:rPr>
                <w:rFonts w:ascii="Times New Roman" w:hAnsi="Times New Roman"/>
                <w:color w:val="auto"/>
                <w:szCs w:val="21"/>
                <w:highlight w:val="none"/>
              </w:rPr>
            </w:pPr>
          </w:p>
        </w:tc>
        <w:tc>
          <w:tcPr>
            <w:tcW w:w="971" w:type="dxa"/>
            <w:noWrap w:val="0"/>
            <w:vAlign w:val="top"/>
          </w:tcPr>
          <w:p w14:paraId="6ECBC1C6">
            <w:pPr>
              <w:rPr>
                <w:rFonts w:ascii="Times New Roman" w:hAnsi="Times New Roman"/>
                <w:color w:val="auto"/>
                <w:szCs w:val="21"/>
                <w:highlight w:val="none"/>
              </w:rPr>
            </w:pPr>
          </w:p>
        </w:tc>
      </w:tr>
      <w:tr w14:paraId="22F698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6813F704">
            <w:pPr>
              <w:rPr>
                <w:rFonts w:ascii="Times New Roman" w:hAnsi="Times New Roman"/>
                <w:color w:val="auto"/>
                <w:szCs w:val="21"/>
                <w:highlight w:val="none"/>
              </w:rPr>
            </w:pPr>
          </w:p>
        </w:tc>
        <w:tc>
          <w:tcPr>
            <w:tcW w:w="957" w:type="dxa"/>
            <w:tcBorders>
              <w:right w:val="single" w:color="auto" w:sz="4" w:space="0"/>
            </w:tcBorders>
            <w:noWrap w:val="0"/>
            <w:vAlign w:val="top"/>
          </w:tcPr>
          <w:p w14:paraId="5215B28B">
            <w:pPr>
              <w:rPr>
                <w:rFonts w:ascii="Times New Roman" w:hAnsi="Times New Roman"/>
                <w:color w:val="auto"/>
                <w:szCs w:val="21"/>
                <w:highlight w:val="none"/>
              </w:rPr>
            </w:pPr>
          </w:p>
        </w:tc>
        <w:tc>
          <w:tcPr>
            <w:tcW w:w="2124" w:type="dxa"/>
            <w:tcBorders>
              <w:left w:val="single" w:color="auto" w:sz="4" w:space="0"/>
            </w:tcBorders>
            <w:noWrap w:val="0"/>
            <w:vAlign w:val="top"/>
          </w:tcPr>
          <w:p w14:paraId="20561B78">
            <w:pPr>
              <w:rPr>
                <w:rFonts w:ascii="Times New Roman" w:hAnsi="Times New Roman"/>
                <w:color w:val="auto"/>
                <w:szCs w:val="21"/>
                <w:highlight w:val="none"/>
              </w:rPr>
            </w:pPr>
          </w:p>
        </w:tc>
        <w:tc>
          <w:tcPr>
            <w:tcW w:w="2127" w:type="dxa"/>
            <w:noWrap w:val="0"/>
            <w:vAlign w:val="top"/>
          </w:tcPr>
          <w:p w14:paraId="7AE57F1C">
            <w:pPr>
              <w:rPr>
                <w:rFonts w:ascii="Times New Roman" w:hAnsi="Times New Roman"/>
                <w:color w:val="auto"/>
                <w:szCs w:val="21"/>
                <w:highlight w:val="none"/>
              </w:rPr>
            </w:pPr>
          </w:p>
        </w:tc>
        <w:tc>
          <w:tcPr>
            <w:tcW w:w="992" w:type="dxa"/>
            <w:noWrap w:val="0"/>
            <w:vAlign w:val="top"/>
          </w:tcPr>
          <w:p w14:paraId="7ECF58C3">
            <w:pPr>
              <w:rPr>
                <w:rFonts w:ascii="Times New Roman" w:hAnsi="Times New Roman"/>
                <w:color w:val="auto"/>
                <w:szCs w:val="21"/>
                <w:highlight w:val="none"/>
              </w:rPr>
            </w:pPr>
          </w:p>
        </w:tc>
        <w:tc>
          <w:tcPr>
            <w:tcW w:w="709" w:type="dxa"/>
            <w:tcBorders>
              <w:top w:val="single" w:color="auto" w:sz="4" w:space="0"/>
            </w:tcBorders>
            <w:noWrap w:val="0"/>
            <w:vAlign w:val="top"/>
          </w:tcPr>
          <w:p w14:paraId="53A9BD95">
            <w:pPr>
              <w:rPr>
                <w:rFonts w:ascii="Times New Roman" w:hAnsi="Times New Roman"/>
                <w:color w:val="auto"/>
                <w:szCs w:val="21"/>
                <w:highlight w:val="none"/>
              </w:rPr>
            </w:pPr>
          </w:p>
        </w:tc>
        <w:tc>
          <w:tcPr>
            <w:tcW w:w="751" w:type="dxa"/>
            <w:tcBorders>
              <w:top w:val="single" w:color="auto" w:sz="4" w:space="0"/>
            </w:tcBorders>
            <w:noWrap w:val="0"/>
            <w:vAlign w:val="top"/>
          </w:tcPr>
          <w:p w14:paraId="32C5415E">
            <w:pPr>
              <w:rPr>
                <w:rFonts w:ascii="Times New Roman" w:hAnsi="Times New Roman"/>
                <w:color w:val="auto"/>
                <w:szCs w:val="21"/>
                <w:highlight w:val="none"/>
              </w:rPr>
            </w:pPr>
          </w:p>
        </w:tc>
        <w:tc>
          <w:tcPr>
            <w:tcW w:w="971" w:type="dxa"/>
            <w:noWrap w:val="0"/>
            <w:vAlign w:val="top"/>
          </w:tcPr>
          <w:p w14:paraId="7B5A6501">
            <w:pPr>
              <w:rPr>
                <w:rFonts w:ascii="Times New Roman" w:hAnsi="Times New Roman"/>
                <w:color w:val="auto"/>
                <w:szCs w:val="21"/>
                <w:highlight w:val="none"/>
              </w:rPr>
            </w:pPr>
          </w:p>
        </w:tc>
      </w:tr>
    </w:tbl>
    <w:p w14:paraId="0072458D">
      <w:pPr>
        <w:adjustRightInd w:val="0"/>
        <w:snapToGrid w:val="0"/>
        <w:spacing w:line="360" w:lineRule="auto"/>
        <w:rPr>
          <w:rFonts w:hint="eastAsia" w:ascii="宋体" w:hAnsi="宋体" w:eastAsia="宋体" w:cs="宋体"/>
          <w:color w:val="auto"/>
          <w:szCs w:val="21"/>
          <w:highlight w:val="none"/>
        </w:rPr>
      </w:pPr>
    </w:p>
    <w:p w14:paraId="599DB4EF">
      <w:pPr>
        <w:rPr>
          <w:rFonts w:hint="eastAsia" w:ascii="宋体" w:hAnsi="宋体" w:eastAsia="宋体" w:cs="宋体"/>
          <w:color w:val="auto"/>
          <w:highlight w:val="none"/>
        </w:rPr>
      </w:pPr>
    </w:p>
    <w:p w14:paraId="6C556ED5">
      <w:pPr>
        <w:rPr>
          <w:rFonts w:hint="eastAsia" w:ascii="宋体" w:hAnsi="宋体" w:eastAsia="宋体" w:cs="宋体"/>
          <w:color w:val="auto"/>
          <w:highlight w:val="none"/>
        </w:rPr>
      </w:pPr>
    </w:p>
    <w:p w14:paraId="1D70DA0C">
      <w:pPr>
        <w:adjustRightInd w:val="0"/>
        <w:snapToGrid w:val="0"/>
        <w:spacing w:before="156" w:beforeLines="50" w:line="360" w:lineRule="auto"/>
        <w:jc w:val="center"/>
        <w:rPr>
          <w:rFonts w:hint="eastAsia" w:ascii="宋体" w:hAnsi="宋体" w:eastAsia="宋体" w:cs="宋体"/>
          <w:b/>
          <w:bCs/>
          <w:color w:val="auto"/>
          <w:sz w:val="28"/>
          <w:szCs w:val="28"/>
          <w:highlight w:val="none"/>
        </w:rPr>
      </w:pPr>
    </w:p>
    <w:p w14:paraId="2A167340">
      <w:pPr>
        <w:jc w:val="center"/>
        <w:rPr>
          <w:rFonts w:hint="eastAsia" w:ascii="宋体" w:hAnsi="宋体" w:eastAsia="宋体" w:cs="宋体"/>
          <w:color w:val="auto"/>
          <w:szCs w:val="21"/>
          <w:highlight w:val="none"/>
        </w:rPr>
      </w:pPr>
    </w:p>
    <w:p w14:paraId="4D18D1C3">
      <w:pPr>
        <w:adjustRightInd w:val="0"/>
        <w:snapToGrid w:val="0"/>
        <w:spacing w:line="360" w:lineRule="auto"/>
        <w:rPr>
          <w:rFonts w:hint="eastAsia" w:ascii="宋体" w:hAnsi="宋体" w:eastAsia="宋体" w:cs="宋体"/>
          <w:color w:val="auto"/>
          <w:highlight w:val="none"/>
        </w:rPr>
      </w:pPr>
    </w:p>
    <w:p w14:paraId="488ACF54">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rPr>
      </w:pPr>
      <w:bookmarkStart w:id="224" w:name="_Toc25457"/>
      <w:bookmarkStart w:id="225" w:name="_Toc844"/>
      <w:r>
        <w:rPr>
          <w:rFonts w:hint="eastAsia" w:ascii="宋体" w:hAnsi="宋体" w:cs="宋体"/>
          <w:color w:val="auto"/>
          <w:sz w:val="28"/>
          <w:szCs w:val="28"/>
          <w:highlight w:val="none"/>
          <w:lang w:val="en-US" w:eastAsia="zh-CN"/>
        </w:rPr>
        <w:t>八</w:t>
      </w:r>
      <w:r>
        <w:rPr>
          <w:rFonts w:hint="eastAsia" w:ascii="宋体" w:hAnsi="宋体" w:eastAsia="宋体" w:cs="宋体"/>
          <w:color w:val="auto"/>
          <w:sz w:val="28"/>
          <w:szCs w:val="28"/>
          <w:highlight w:val="none"/>
        </w:rPr>
        <w:t>、合同条款偏离表</w:t>
      </w:r>
      <w:bookmarkEnd w:id="223"/>
      <w:bookmarkEnd w:id="224"/>
      <w:bookmarkEnd w:id="225"/>
    </w:p>
    <w:p w14:paraId="741B3295">
      <w:pPr>
        <w:adjustRightInd w:val="0"/>
        <w:snapToGrid w:val="0"/>
        <w:spacing w:before="156" w:beforeLines="50" w:line="360" w:lineRule="auto"/>
        <w:rPr>
          <w:rFonts w:hint="eastAsia" w:ascii="宋体" w:hAnsi="宋体" w:eastAsia="宋体" w:cs="宋体"/>
          <w:color w:val="auto"/>
          <w:szCs w:val="21"/>
          <w:highlight w:val="none"/>
          <w:u w:val="single"/>
        </w:rPr>
      </w:pPr>
      <w:r>
        <w:rPr>
          <w:rFonts w:hint="eastAsia" w:ascii="宋体" w:hAnsi="宋体" w:cs="宋体"/>
          <w:color w:val="auto"/>
          <w:spacing w:val="28"/>
          <w:szCs w:val="21"/>
          <w:highlight w:val="none"/>
          <w:lang w:eastAsia="zh-CN"/>
        </w:rPr>
        <w:t>政府采购计划编号</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____            ______</w:t>
      </w:r>
    </w:p>
    <w:p w14:paraId="6A0F8E90">
      <w:pPr>
        <w:adjustRightInd w:val="0"/>
        <w:snapToGrid w:val="0"/>
        <w:spacing w:before="50"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包           号：</w:t>
      </w:r>
      <w:r>
        <w:rPr>
          <w:rFonts w:hint="eastAsia" w:ascii="宋体" w:hAnsi="宋体" w:eastAsia="宋体" w:cs="宋体"/>
          <w:color w:val="auto"/>
          <w:szCs w:val="21"/>
          <w:highlight w:val="none"/>
          <w:u w:val="single"/>
        </w:rPr>
        <w:t xml:space="preserve">__    ________          </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___          _______</w:t>
      </w:r>
    </w:p>
    <w:tbl>
      <w:tblPr>
        <w:tblStyle w:val="44"/>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6BE5B1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11C9C3A0">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序</w:t>
            </w:r>
            <w:r>
              <w:rPr>
                <w:rFonts w:hint="eastAsia" w:ascii="宋体" w:hAnsi="宋体" w:eastAsia="宋体" w:cs="宋体"/>
                <w:color w:val="auto"/>
                <w:szCs w:val="21"/>
                <w:highlight w:val="none"/>
              </w:rPr>
              <w:t>号</w:t>
            </w:r>
          </w:p>
        </w:tc>
        <w:tc>
          <w:tcPr>
            <w:tcW w:w="2410" w:type="dxa"/>
            <w:vAlign w:val="center"/>
          </w:tcPr>
          <w:p w14:paraId="77896B2C">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招标文件章节</w:t>
            </w:r>
            <w:r>
              <w:rPr>
                <w:rFonts w:hint="eastAsia" w:ascii="宋体" w:hAnsi="宋体" w:eastAsia="宋体" w:cs="宋体"/>
                <w:bCs/>
                <w:color w:val="auto"/>
                <w:szCs w:val="21"/>
                <w:highlight w:val="none"/>
              </w:rPr>
              <w:t>条</w:t>
            </w:r>
            <w:r>
              <w:rPr>
                <w:rFonts w:hint="eastAsia" w:ascii="宋体" w:hAnsi="宋体" w:eastAsia="宋体" w:cs="宋体"/>
                <w:color w:val="auto"/>
                <w:szCs w:val="21"/>
                <w:highlight w:val="none"/>
              </w:rPr>
              <w:t>款号</w:t>
            </w:r>
          </w:p>
        </w:tc>
        <w:tc>
          <w:tcPr>
            <w:tcW w:w="1985" w:type="dxa"/>
            <w:vAlign w:val="center"/>
          </w:tcPr>
          <w:p w14:paraId="692A8167">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招标文件要求</w:t>
            </w:r>
          </w:p>
        </w:tc>
        <w:tc>
          <w:tcPr>
            <w:tcW w:w="2082" w:type="dxa"/>
            <w:tcBorders>
              <w:right w:val="single" w:color="auto" w:sz="4" w:space="0"/>
            </w:tcBorders>
            <w:vAlign w:val="center"/>
          </w:tcPr>
          <w:p w14:paraId="7FBE640A">
            <w:pPr>
              <w:adjustRightInd w:val="0"/>
              <w:snapToGrid w:val="0"/>
              <w:spacing w:before="50"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投标文件的应答</w:t>
            </w:r>
          </w:p>
        </w:tc>
        <w:tc>
          <w:tcPr>
            <w:tcW w:w="1942" w:type="dxa"/>
            <w:tcBorders>
              <w:left w:val="single" w:color="auto" w:sz="4" w:space="0"/>
            </w:tcBorders>
            <w:vAlign w:val="center"/>
          </w:tcPr>
          <w:p w14:paraId="2ED1125F">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3B7122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303233F">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2E3D552F">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Pr>
          <w:p w14:paraId="55120A90">
            <w:pPr>
              <w:adjustRightInd w:val="0"/>
              <w:snapToGrid w:val="0"/>
              <w:spacing w:before="50" w:line="360" w:lineRule="auto"/>
              <w:rPr>
                <w:rFonts w:hint="eastAsia" w:ascii="宋体" w:hAnsi="宋体" w:eastAsia="宋体" w:cs="宋体"/>
                <w:color w:val="auto"/>
                <w:highlight w:val="none"/>
              </w:rPr>
            </w:pPr>
          </w:p>
        </w:tc>
        <w:tc>
          <w:tcPr>
            <w:tcW w:w="2082" w:type="dxa"/>
            <w:tcBorders>
              <w:right w:val="single" w:color="auto" w:sz="4" w:space="0"/>
            </w:tcBorders>
          </w:tcPr>
          <w:p w14:paraId="11CFCA27">
            <w:pPr>
              <w:adjustRightInd w:val="0"/>
              <w:snapToGrid w:val="0"/>
              <w:spacing w:before="50" w:line="360" w:lineRule="auto"/>
              <w:rPr>
                <w:rFonts w:hint="eastAsia" w:ascii="宋体" w:hAnsi="宋体" w:eastAsia="宋体" w:cs="宋体"/>
                <w:color w:val="auto"/>
                <w:highlight w:val="none"/>
              </w:rPr>
            </w:pPr>
          </w:p>
        </w:tc>
        <w:tc>
          <w:tcPr>
            <w:tcW w:w="1942" w:type="dxa"/>
            <w:tcBorders>
              <w:left w:val="single" w:color="auto" w:sz="4" w:space="0"/>
            </w:tcBorders>
          </w:tcPr>
          <w:p w14:paraId="41731FB2">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171796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2EA4EA5">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34C8CAD8">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5AB6DB37">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51ADEB08">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194B303E">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5599E0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FA85E5B">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30BF3634">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071C7452">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6DF7DEDF">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153A9EF5">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782696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2C6EF58">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04B62344">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45F61FE9">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0DB70385">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35E1FFEA">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667CB8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7212932">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655C3B01">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7DF664DB">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4FD7A0CF">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26D999D3">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56A2D3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FFDE339">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08BC2353">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05BFD260">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1F3A125D">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48CE225E">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3D654C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2FE37BF">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025AF454">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7A138B33">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4024" w:type="dxa"/>
            <w:gridSpan w:val="2"/>
            <w:vAlign w:val="center"/>
          </w:tcPr>
          <w:p w14:paraId="2AA32DC0">
            <w:pPr>
              <w:adjustRightInd w:val="0"/>
              <w:snapToGrid w:val="0"/>
              <w:spacing w:before="50"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投标人保证：除本合同条款偏离表列出的偏离外，我单位对招标文件的其他商务、合同条款完全响应，无偏离。</w:t>
            </w:r>
          </w:p>
        </w:tc>
      </w:tr>
    </w:tbl>
    <w:p w14:paraId="7FF607DF">
      <w:pPr>
        <w:adjustRightInd w:val="0"/>
        <w:snapToGrid w:val="0"/>
        <w:spacing w:before="50" w:line="360" w:lineRule="auto"/>
        <w:ind w:left="-88" w:leftChars="-4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备注</w:t>
      </w:r>
      <w:r>
        <w:rPr>
          <w:rFonts w:hint="eastAsia" w:ascii="宋体" w:hAnsi="宋体" w:eastAsia="宋体" w:cs="宋体"/>
          <w:color w:val="auto"/>
          <w:szCs w:val="21"/>
          <w:highlight w:val="none"/>
        </w:rPr>
        <w:t>：（1）投标人应根据招标文件第六章“政府采购合同”填写本表；</w:t>
      </w:r>
    </w:p>
    <w:p w14:paraId="6424654E">
      <w:pPr>
        <w:adjustRightInd w:val="0"/>
        <w:snapToGrid w:val="0"/>
        <w:spacing w:before="50" w:line="360" w:lineRule="auto"/>
        <w:ind w:left="-88" w:leftChars="-42"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投标人如果对招标文件第六章“政府采购合同”的响应有偏离，应将偏离条款逐条如实应答，并作出说明；</w:t>
      </w:r>
    </w:p>
    <w:p w14:paraId="10F9D32F">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（3）如不提供此表，则视为投标人不满足招标文件第六章的所有条款要求，其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21453C38">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7B2321E4">
      <w:pPr>
        <w:adjustRightInd w:val="0"/>
        <w:snapToGrid w:val="0"/>
        <w:spacing w:before="50" w:line="360" w:lineRule="auto"/>
        <w:rPr>
          <w:rFonts w:hint="eastAsia" w:ascii="宋体" w:hAnsi="宋体" w:eastAsia="宋体" w:cs="宋体"/>
          <w:color w:val="auto"/>
          <w:szCs w:val="21"/>
          <w:highlight w:val="none"/>
        </w:rPr>
      </w:pPr>
    </w:p>
    <w:p w14:paraId="5762E31C">
      <w:pPr>
        <w:adjustRightInd w:val="0"/>
        <w:snapToGrid w:val="0"/>
        <w:spacing w:before="50" w:line="360" w:lineRule="auto"/>
        <w:rPr>
          <w:rFonts w:hint="eastAsia" w:ascii="宋体" w:hAnsi="宋体" w:eastAsia="宋体" w:cs="宋体"/>
          <w:color w:val="auto"/>
          <w:szCs w:val="21"/>
          <w:highlight w:val="none"/>
        </w:rPr>
      </w:pPr>
    </w:p>
    <w:p w14:paraId="02C9F7FF">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16E17209">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4B9B5913">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D4C6ED2">
      <w:pPr>
        <w:adjustRightInd w:val="0"/>
        <w:snapToGrid w:val="0"/>
        <w:spacing w:before="50" w:line="360" w:lineRule="auto"/>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br w:type="page"/>
      </w:r>
    </w:p>
    <w:p w14:paraId="692321D9">
      <w:pPr>
        <w:pStyle w:val="4"/>
        <w:adjustRightInd w:val="0"/>
        <w:snapToGrid w:val="0"/>
        <w:spacing w:before="156" w:beforeLines="50" w:after="0" w:line="360" w:lineRule="auto"/>
        <w:jc w:val="center"/>
        <w:rPr>
          <w:rFonts w:hint="eastAsia" w:ascii="宋体" w:hAnsi="宋体" w:eastAsia="宋体" w:cs="宋体"/>
          <w:color w:val="auto"/>
          <w:sz w:val="28"/>
          <w:szCs w:val="28"/>
          <w:highlight w:val="none"/>
          <w:lang w:eastAsia="zh-CN"/>
        </w:rPr>
      </w:pPr>
      <w:bookmarkStart w:id="226" w:name="_Toc29913968"/>
      <w:bookmarkStart w:id="227" w:name="_Toc18903"/>
      <w:bookmarkStart w:id="228" w:name="_Toc24790"/>
      <w:r>
        <w:rPr>
          <w:rFonts w:hint="eastAsia" w:ascii="宋体" w:hAnsi="宋体" w:cs="宋体"/>
          <w:color w:val="auto"/>
          <w:sz w:val="28"/>
          <w:szCs w:val="28"/>
          <w:highlight w:val="none"/>
          <w:lang w:val="en-US" w:eastAsia="zh-CN"/>
        </w:rPr>
        <w:t>九</w:t>
      </w:r>
      <w:r>
        <w:rPr>
          <w:rFonts w:hint="eastAsia" w:ascii="宋体" w:hAnsi="宋体" w:eastAsia="宋体" w:cs="宋体"/>
          <w:color w:val="auto"/>
          <w:sz w:val="28"/>
          <w:szCs w:val="28"/>
          <w:highlight w:val="none"/>
        </w:rPr>
        <w:t>、</w:t>
      </w:r>
      <w:bookmarkEnd w:id="226"/>
      <w:bookmarkEnd w:id="227"/>
      <w:bookmarkEnd w:id="228"/>
      <w:r>
        <w:rPr>
          <w:rFonts w:hint="eastAsia" w:ascii="宋体" w:hAnsi="宋体" w:eastAsia="宋体" w:cs="宋体"/>
          <w:color w:val="auto"/>
          <w:sz w:val="28"/>
          <w:szCs w:val="28"/>
          <w:highlight w:val="none"/>
          <w:lang w:eastAsia="zh-CN"/>
        </w:rPr>
        <w:t>采购需求偏离表</w:t>
      </w:r>
    </w:p>
    <w:p w14:paraId="4C9AAF0F">
      <w:pPr>
        <w:adjustRightInd w:val="0"/>
        <w:snapToGrid w:val="0"/>
        <w:spacing w:before="156" w:beforeLines="50" w:line="360" w:lineRule="auto"/>
        <w:rPr>
          <w:rFonts w:hint="eastAsia" w:ascii="宋体" w:hAnsi="宋体" w:eastAsia="宋体" w:cs="宋体"/>
          <w:color w:val="auto"/>
          <w:szCs w:val="21"/>
          <w:highlight w:val="none"/>
          <w:u w:val="single"/>
        </w:rPr>
      </w:pPr>
      <w:r>
        <w:rPr>
          <w:rFonts w:hint="eastAsia" w:ascii="宋体" w:hAnsi="宋体" w:cs="宋体"/>
          <w:color w:val="auto"/>
          <w:spacing w:val="28"/>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____            ______</w:t>
      </w:r>
    </w:p>
    <w:p w14:paraId="76658E8E">
      <w:pPr>
        <w:adjustRightInd w:val="0"/>
        <w:snapToGrid w:val="0"/>
        <w:spacing w:before="156" w:beforeLines="50"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包           号：</w:t>
      </w:r>
      <w:r>
        <w:rPr>
          <w:rFonts w:hint="eastAsia" w:ascii="宋体" w:hAnsi="宋体" w:eastAsia="宋体" w:cs="宋体"/>
          <w:color w:val="auto"/>
          <w:szCs w:val="21"/>
          <w:highlight w:val="none"/>
          <w:u w:val="single"/>
        </w:rPr>
        <w:t>__    _______</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___          _______</w:t>
      </w:r>
    </w:p>
    <w:tbl>
      <w:tblPr>
        <w:tblStyle w:val="44"/>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0E9AF6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4AA4077A">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序</w:t>
            </w:r>
            <w:r>
              <w:rPr>
                <w:rFonts w:hint="eastAsia" w:ascii="宋体" w:hAnsi="宋体" w:eastAsia="宋体" w:cs="宋体"/>
                <w:color w:val="auto"/>
                <w:szCs w:val="21"/>
                <w:highlight w:val="none"/>
              </w:rPr>
              <w:t>号</w:t>
            </w:r>
          </w:p>
        </w:tc>
        <w:tc>
          <w:tcPr>
            <w:tcW w:w="2410" w:type="dxa"/>
            <w:vAlign w:val="center"/>
          </w:tcPr>
          <w:p w14:paraId="35F9832B">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招标文件章节</w:t>
            </w:r>
            <w:r>
              <w:rPr>
                <w:rFonts w:hint="eastAsia" w:ascii="宋体" w:hAnsi="宋体" w:eastAsia="宋体" w:cs="宋体"/>
                <w:bCs/>
                <w:color w:val="auto"/>
                <w:szCs w:val="21"/>
                <w:highlight w:val="none"/>
              </w:rPr>
              <w:t>条</w:t>
            </w:r>
            <w:r>
              <w:rPr>
                <w:rFonts w:hint="eastAsia" w:ascii="宋体" w:hAnsi="宋体" w:eastAsia="宋体" w:cs="宋体"/>
                <w:color w:val="auto"/>
                <w:szCs w:val="21"/>
                <w:highlight w:val="none"/>
              </w:rPr>
              <w:t>款号</w:t>
            </w:r>
          </w:p>
        </w:tc>
        <w:tc>
          <w:tcPr>
            <w:tcW w:w="1985" w:type="dxa"/>
            <w:tcBorders>
              <w:right w:val="single" w:color="auto" w:sz="4" w:space="0"/>
            </w:tcBorders>
          </w:tcPr>
          <w:p w14:paraId="7C725E69">
            <w:pPr>
              <w:adjustRightInd w:val="0"/>
              <w:snapToGrid w:val="0"/>
              <w:spacing w:before="5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招标文件要求</w:t>
            </w:r>
          </w:p>
        </w:tc>
        <w:tc>
          <w:tcPr>
            <w:tcW w:w="2126" w:type="dxa"/>
            <w:tcBorders>
              <w:left w:val="single" w:color="auto" w:sz="4" w:space="0"/>
            </w:tcBorders>
          </w:tcPr>
          <w:p w14:paraId="772D3039">
            <w:pPr>
              <w:adjustRightInd w:val="0"/>
              <w:snapToGrid w:val="0"/>
              <w:spacing w:before="5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投标文件应答</w:t>
            </w:r>
          </w:p>
        </w:tc>
        <w:tc>
          <w:tcPr>
            <w:tcW w:w="1756" w:type="dxa"/>
            <w:vAlign w:val="center"/>
          </w:tcPr>
          <w:p w14:paraId="05F01407">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3740CF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8E68877">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21D8CD2A">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392EF964">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5E16F2A7">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12A7C28E">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1A6307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0F95E7D">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29EFAC9A">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436C461D">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6C176368">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4359195C">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1DACA9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3EC046E">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76E4F4D9">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076CDAB9">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2F0308A7">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75E440EF">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58E49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70F42C7">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0084AF69">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50AC1E9F">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315450C0">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57744F53">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19F0D4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C9DD142">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0D1F0DFF">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45EBCE59">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6B04D455">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1DBB8DDA">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30A18D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6C59631">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4BD6908B">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3D461BAB">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3882" w:type="dxa"/>
            <w:gridSpan w:val="2"/>
            <w:tcBorders>
              <w:left w:val="single" w:color="auto" w:sz="4" w:space="0"/>
            </w:tcBorders>
            <w:vAlign w:val="center"/>
          </w:tcPr>
          <w:p w14:paraId="4AC0922E">
            <w:pPr>
              <w:adjustRightInd w:val="0"/>
              <w:snapToGrid w:val="0"/>
              <w:spacing w:before="50"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投标人保证：除本采购需求偏离表列出的偏离外，我单位对招标文件的其他采购需求条款完全响应，无偏离。</w:t>
            </w:r>
          </w:p>
        </w:tc>
      </w:tr>
    </w:tbl>
    <w:p w14:paraId="37CD721E">
      <w:pPr>
        <w:adjustRightInd w:val="0"/>
        <w:snapToGrid w:val="0"/>
        <w:spacing w:before="50" w:line="360" w:lineRule="auto"/>
        <w:ind w:left="-88" w:leftChars="-4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备注</w:t>
      </w:r>
      <w:r>
        <w:rPr>
          <w:rFonts w:hint="eastAsia" w:ascii="宋体" w:hAnsi="宋体" w:eastAsia="宋体" w:cs="宋体"/>
          <w:color w:val="auto"/>
          <w:szCs w:val="21"/>
          <w:highlight w:val="none"/>
        </w:rPr>
        <w:t>：（1）投标人应根据招标文件第五章“采购需求”填写本表；</w:t>
      </w:r>
    </w:p>
    <w:p w14:paraId="51ED472D">
      <w:pPr>
        <w:adjustRightInd w:val="0"/>
        <w:snapToGrid w:val="0"/>
        <w:spacing w:before="50" w:line="360" w:lineRule="auto"/>
        <w:ind w:left="-88" w:leftChars="-42"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投标人如果对招标文件第五章“采购需求”的响应有偏离，应将偏离条款逐条如实应答，并作出说明；</w:t>
      </w:r>
    </w:p>
    <w:p w14:paraId="477BA32F">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（3）如不提供此表，则视为投标人不满足招标文件第五章的所有条款要求，其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208186D2">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43A19F04">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（5）本偏离表与本章第</w:t>
      </w:r>
      <w:r>
        <w:rPr>
          <w:rFonts w:hint="eastAsia" w:ascii="宋体" w:hAnsi="宋体" w:eastAsia="宋体" w:cs="宋体"/>
          <w:color w:val="auto"/>
          <w:szCs w:val="21"/>
          <w:highlight w:val="none"/>
          <w:lang w:eastAsia="zh-CN"/>
        </w:rPr>
        <w:t>六</w:t>
      </w:r>
      <w:r>
        <w:rPr>
          <w:rFonts w:hint="eastAsia" w:ascii="宋体" w:hAnsi="宋体" w:eastAsia="宋体" w:cs="宋体"/>
          <w:color w:val="auto"/>
          <w:szCs w:val="21"/>
          <w:highlight w:val="none"/>
        </w:rPr>
        <w:t>节“采购需求响应”不一致时，以“采购需求响应”为准。</w:t>
      </w:r>
    </w:p>
    <w:p w14:paraId="2B4A67C9">
      <w:pPr>
        <w:adjustRightInd w:val="0"/>
        <w:snapToGrid w:val="0"/>
        <w:spacing w:before="50" w:line="360" w:lineRule="auto"/>
        <w:rPr>
          <w:rFonts w:hint="eastAsia" w:ascii="宋体" w:hAnsi="宋体" w:eastAsia="宋体" w:cs="宋体"/>
          <w:color w:val="auto"/>
          <w:szCs w:val="21"/>
          <w:highlight w:val="none"/>
        </w:rPr>
      </w:pPr>
    </w:p>
    <w:p w14:paraId="0FAA3442">
      <w:pPr>
        <w:adjustRightInd w:val="0"/>
        <w:snapToGrid w:val="0"/>
        <w:spacing w:before="50" w:line="360" w:lineRule="auto"/>
        <w:rPr>
          <w:rFonts w:hint="eastAsia" w:ascii="宋体" w:hAnsi="宋体" w:eastAsia="宋体" w:cs="宋体"/>
          <w:color w:val="auto"/>
          <w:szCs w:val="21"/>
          <w:highlight w:val="none"/>
        </w:rPr>
      </w:pPr>
    </w:p>
    <w:p w14:paraId="6D37A56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343C65C9">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56B0B4B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B720ABB">
      <w:pPr>
        <w:pStyle w:val="4"/>
        <w:adjustRightInd w:val="0"/>
        <w:snapToGrid w:val="0"/>
        <w:spacing w:before="0" w:after="0" w:line="360" w:lineRule="auto"/>
        <w:jc w:val="center"/>
        <w:rPr>
          <w:rFonts w:hint="eastAsia" w:ascii="宋体" w:hAnsi="宋体" w:eastAsia="宋体" w:cs="宋体"/>
          <w:color w:val="auto"/>
          <w:szCs w:val="21"/>
          <w:highlight w:val="none"/>
        </w:rPr>
        <w:sectPr>
          <w:footerReference r:id="rId10" w:type="default"/>
          <w:pgSz w:w="11906" w:h="16838"/>
          <w:pgMar w:top="1474" w:right="1474" w:bottom="1474" w:left="1474" w:header="851" w:footer="992" w:gutter="0"/>
          <w:pgNumType w:fmt="decimal"/>
          <w:cols w:space="720" w:num="1"/>
          <w:docGrid w:type="lines" w:linePitch="312" w:charSpace="0"/>
        </w:sectPr>
      </w:pPr>
      <w:r>
        <w:rPr>
          <w:rFonts w:hint="eastAsia" w:ascii="宋体" w:hAnsi="宋体" w:eastAsia="宋体" w:cs="宋体"/>
          <w:color w:val="auto"/>
          <w:szCs w:val="21"/>
          <w:highlight w:val="none"/>
        </w:rPr>
        <w:br w:type="page"/>
      </w:r>
    </w:p>
    <w:p w14:paraId="1CD5B3E1">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229" w:name="_Toc32763"/>
      <w:bookmarkStart w:id="230" w:name="_Toc29913969"/>
      <w:bookmarkStart w:id="231" w:name="_Toc32500"/>
      <w:r>
        <w:rPr>
          <w:rFonts w:hint="eastAsia" w:ascii="宋体" w:hAnsi="宋体" w:cs="宋体"/>
          <w:color w:val="auto"/>
          <w:szCs w:val="21"/>
          <w:highlight w:val="none"/>
          <w:lang w:val="en-US" w:eastAsia="zh-CN"/>
        </w:rPr>
        <w:t>十</w:t>
      </w:r>
      <w:r>
        <w:rPr>
          <w:rFonts w:hint="eastAsia" w:ascii="宋体" w:hAnsi="宋体" w:eastAsia="宋体" w:cs="宋体"/>
          <w:color w:val="auto"/>
          <w:sz w:val="28"/>
          <w:szCs w:val="28"/>
          <w:highlight w:val="none"/>
        </w:rPr>
        <w:t>、享受政府采购政策优惠的证明资料</w:t>
      </w:r>
      <w:bookmarkEnd w:id="229"/>
      <w:bookmarkEnd w:id="230"/>
      <w:bookmarkEnd w:id="231"/>
    </w:p>
    <w:p w14:paraId="0EB3748A">
      <w:pPr>
        <w:adjustRightInd w:val="0"/>
        <w:snapToGrid w:val="0"/>
        <w:spacing w:line="360" w:lineRule="auto"/>
        <w:ind w:firstLine="444" w:firstLineChars="200"/>
        <w:rPr>
          <w:rFonts w:hint="eastAsia" w:ascii="宋体" w:hAnsi="宋体" w:eastAsia="宋体" w:cs="宋体"/>
          <w:bCs/>
          <w:color w:val="auto"/>
          <w:spacing w:val="6"/>
          <w:kern w:val="0"/>
          <w:szCs w:val="21"/>
          <w:highlight w:val="none"/>
        </w:rPr>
        <w:sectPr>
          <w:pgSz w:w="11906" w:h="16838"/>
          <w:pgMar w:top="1474" w:right="1474" w:bottom="1474" w:left="1588" w:header="851" w:footer="992" w:gutter="0"/>
          <w:pgNumType w:fmt="decimal"/>
          <w:cols w:space="720" w:num="1"/>
          <w:docGrid w:type="lines" w:linePitch="312" w:charSpace="0"/>
        </w:sectPr>
      </w:pPr>
      <w:r>
        <w:rPr>
          <w:rFonts w:hint="eastAsia" w:ascii="宋体" w:hAnsi="宋体" w:eastAsia="宋体" w:cs="宋体"/>
          <w:bCs/>
          <w:color w:val="auto"/>
          <w:spacing w:val="6"/>
          <w:kern w:val="0"/>
          <w:szCs w:val="21"/>
          <w:highlight w:val="none"/>
        </w:rPr>
        <w:t>投标人符合第二章第3</w:t>
      </w:r>
      <w:r>
        <w:rPr>
          <w:rFonts w:hint="eastAsia" w:ascii="宋体" w:hAnsi="宋体" w:eastAsia="宋体" w:cs="宋体"/>
          <w:bCs/>
          <w:color w:val="auto"/>
          <w:spacing w:val="6"/>
          <w:kern w:val="0"/>
          <w:szCs w:val="21"/>
          <w:highlight w:val="none"/>
          <w:lang w:val="en-US" w:eastAsia="zh-CN"/>
        </w:rPr>
        <w:t>0</w:t>
      </w:r>
      <w:r>
        <w:rPr>
          <w:rFonts w:hint="eastAsia" w:ascii="宋体" w:hAnsi="宋体" w:eastAsia="宋体" w:cs="宋体"/>
          <w:bCs/>
          <w:color w:val="auto"/>
          <w:spacing w:val="6"/>
          <w:kern w:val="0"/>
          <w:szCs w:val="21"/>
          <w:highlight w:val="none"/>
        </w:rPr>
        <w:t>.6款要求的，应提供下列证明资料，并填写相关数据。否则，评审时不予以考虑。</w:t>
      </w:r>
    </w:p>
    <w:p w14:paraId="0E38B6F9">
      <w:pPr>
        <w:keepNext/>
        <w:keepLines/>
        <w:spacing w:before="280" w:after="290" w:line="376" w:lineRule="auto"/>
        <w:outlineLvl w:val="3"/>
        <w:rPr>
          <w:rFonts w:ascii="黑体" w:hAnsi="华文中宋" w:eastAsia="黑体" w:cs="宋体"/>
          <w:color w:val="auto"/>
          <w:spacing w:val="6"/>
          <w:kern w:val="0"/>
          <w:szCs w:val="21"/>
          <w:highlight w:val="none"/>
        </w:rPr>
      </w:pPr>
      <w:bookmarkStart w:id="232" w:name="_Toc29913970"/>
      <w:bookmarkStart w:id="233" w:name="_Toc29443"/>
      <w:bookmarkStart w:id="234" w:name="_Toc22100"/>
      <w:bookmarkStart w:id="235" w:name="_Toc14152"/>
      <w:r>
        <w:rPr>
          <w:rFonts w:hint="eastAsia" w:ascii="黑体" w:hAnsi="华文中宋" w:eastAsia="黑体" w:cs="宋体"/>
          <w:color w:val="auto"/>
          <w:spacing w:val="6"/>
          <w:kern w:val="0"/>
          <w:szCs w:val="21"/>
          <w:highlight w:val="none"/>
        </w:rPr>
        <w:t>附件10-1</w:t>
      </w:r>
      <w:bookmarkEnd w:id="232"/>
      <w:bookmarkEnd w:id="233"/>
      <w:bookmarkEnd w:id="234"/>
      <w:bookmarkEnd w:id="235"/>
      <w:r>
        <w:rPr>
          <w:rFonts w:hint="eastAsia" w:ascii="黑体" w:hAnsi="华文中宋" w:eastAsia="黑体" w:cs="宋体"/>
          <w:color w:val="auto"/>
          <w:spacing w:val="6"/>
          <w:kern w:val="0"/>
          <w:szCs w:val="21"/>
          <w:highlight w:val="none"/>
        </w:rPr>
        <w:t>中小企业声明函</w:t>
      </w:r>
    </w:p>
    <w:p w14:paraId="31643AC7">
      <w:pPr>
        <w:widowControl/>
        <w:spacing w:before="100" w:beforeAutospacing="1" w:after="100" w:afterAutospacing="1" w:line="435" w:lineRule="atLeast"/>
        <w:jc w:val="center"/>
        <w:rPr>
          <w:color w:val="auto"/>
          <w:szCs w:val="24"/>
          <w:highlight w:val="none"/>
        </w:rPr>
      </w:pPr>
      <w:r>
        <w:rPr>
          <w:rFonts w:hint="eastAsia" w:ascii="宋体" w:hAnsi="宋体" w:cs="宋体"/>
          <w:b/>
          <w:color w:val="auto"/>
          <w:kern w:val="0"/>
          <w:sz w:val="28"/>
          <w:szCs w:val="28"/>
          <w:highlight w:val="none"/>
          <w:lang w:bidi="ar"/>
        </w:rPr>
        <w:t>中小企业声明函（工程、服务）</w:t>
      </w:r>
    </w:p>
    <w:p w14:paraId="374BCA37">
      <w:pPr>
        <w:widowControl/>
        <w:spacing w:before="100" w:beforeAutospacing="1" w:after="100" w:afterAutospacing="1" w:line="540" w:lineRule="exact"/>
        <w:ind w:firstLine="482"/>
        <w:jc w:val="left"/>
        <w:rPr>
          <w:color w:val="auto"/>
          <w:sz w:val="21"/>
          <w:szCs w:val="21"/>
          <w:highlight w:val="none"/>
        </w:rPr>
      </w:pPr>
      <w:r>
        <w:rPr>
          <w:rFonts w:hint="eastAsia" w:ascii="宋体" w:hAnsi="宋体" w:cs="宋体"/>
          <w:color w:val="auto"/>
          <w:kern w:val="0"/>
          <w:sz w:val="21"/>
          <w:szCs w:val="21"/>
          <w:highlight w:val="none"/>
          <w:lang w:bidi="ar"/>
        </w:rPr>
        <w:t>本公司（联合体）郑重声明，根据《政府采购促进中小企业发展管理办法》（财库﹝2020﹞46 号）的规定，本公司（联合体）参加</w:t>
      </w:r>
      <w:r>
        <w:rPr>
          <w:rFonts w:hint="eastAsia" w:ascii="宋体" w:hAnsi="宋体" w:cs="宋体"/>
          <w:color w:val="auto"/>
          <w:kern w:val="0"/>
          <w:sz w:val="21"/>
          <w:szCs w:val="21"/>
          <w:highlight w:val="none"/>
          <w:u w:val="single"/>
          <w:lang w:bidi="ar"/>
        </w:rPr>
        <w:t>    （单位名称）</w:t>
      </w:r>
      <w:r>
        <w:rPr>
          <w:rFonts w:hint="eastAsia" w:ascii="宋体" w:hAnsi="宋体" w:cs="宋体"/>
          <w:color w:val="auto"/>
          <w:kern w:val="0"/>
          <w:sz w:val="21"/>
          <w:szCs w:val="21"/>
          <w:highlight w:val="none"/>
          <w:lang w:bidi="ar"/>
        </w:rPr>
        <w:t>的</w:t>
      </w:r>
      <w:r>
        <w:rPr>
          <w:rFonts w:hint="eastAsia" w:ascii="宋体" w:hAnsi="宋体" w:cs="宋体"/>
          <w:color w:val="auto"/>
          <w:kern w:val="0"/>
          <w:sz w:val="21"/>
          <w:szCs w:val="21"/>
          <w:highlight w:val="none"/>
          <w:u w:val="single"/>
          <w:lang w:bidi="ar"/>
        </w:rPr>
        <w:t>（项目名称）</w:t>
      </w:r>
      <w:r>
        <w:rPr>
          <w:rFonts w:hint="eastAsia" w:ascii="宋体" w:hAnsi="宋体" w:cs="宋体"/>
          <w:color w:val="auto"/>
          <w:kern w:val="0"/>
          <w:sz w:val="21"/>
          <w:szCs w:val="21"/>
          <w:highlight w:val="none"/>
          <w:lang w:bidi="ar"/>
        </w:rPr>
        <w:t>采购活动，工程的施工单位全部为符合政策要求的中小企业（或者：服务全部由符合政策要求的中小企业承接）。相关企业（含联合体中的中小企业、签订分包意向协议的中小企业）的具体情况如下：</w:t>
      </w:r>
    </w:p>
    <w:p w14:paraId="4411DA49">
      <w:pPr>
        <w:widowControl/>
        <w:spacing w:before="100" w:beforeAutospacing="1" w:after="100" w:afterAutospacing="1" w:line="360" w:lineRule="auto"/>
        <w:ind w:firstLine="482"/>
        <w:rPr>
          <w:color w:val="auto"/>
          <w:sz w:val="21"/>
          <w:szCs w:val="21"/>
          <w:highlight w:val="none"/>
        </w:rPr>
      </w:pPr>
      <w:r>
        <w:rPr>
          <w:rFonts w:hint="eastAsia" w:ascii="宋体" w:hAnsi="宋体" w:cs="宋体"/>
          <w:color w:val="auto"/>
          <w:kern w:val="0"/>
          <w:sz w:val="21"/>
          <w:szCs w:val="21"/>
          <w:highlight w:val="none"/>
          <w:u w:val="single"/>
          <w:lang w:bidi="ar"/>
        </w:rPr>
        <w:t>1.   （标的名称）</w:t>
      </w:r>
      <w:r>
        <w:rPr>
          <w:rFonts w:hint="eastAsia" w:ascii="宋体" w:hAnsi="宋体" w:cs="宋体"/>
          <w:color w:val="auto"/>
          <w:kern w:val="0"/>
          <w:sz w:val="21"/>
          <w:szCs w:val="21"/>
          <w:highlight w:val="none"/>
          <w:lang w:bidi="ar"/>
        </w:rPr>
        <w:t>，属于</w:t>
      </w:r>
      <w:r>
        <w:rPr>
          <w:rFonts w:hint="eastAsia" w:ascii="宋体" w:hAnsi="宋体" w:cs="宋体"/>
          <w:color w:val="auto"/>
          <w:kern w:val="0"/>
          <w:sz w:val="21"/>
          <w:szCs w:val="21"/>
          <w:highlight w:val="none"/>
          <w:u w:val="single"/>
          <w:lang w:bidi="ar"/>
        </w:rPr>
        <w:t>    （采购文件中明确的所属行业）</w:t>
      </w:r>
      <w:r>
        <w:rPr>
          <w:rFonts w:hint="eastAsia" w:ascii="宋体" w:hAnsi="宋体" w:cs="宋体"/>
          <w:color w:val="auto"/>
          <w:kern w:val="0"/>
          <w:sz w:val="21"/>
          <w:szCs w:val="21"/>
          <w:highlight w:val="none"/>
          <w:lang w:bidi="ar"/>
        </w:rPr>
        <w:t>；承建（承接）企业为</w:t>
      </w:r>
      <w:r>
        <w:rPr>
          <w:rFonts w:hint="eastAsia" w:ascii="宋体" w:hAnsi="宋体" w:cs="宋体"/>
          <w:color w:val="auto"/>
          <w:kern w:val="0"/>
          <w:sz w:val="21"/>
          <w:szCs w:val="21"/>
          <w:highlight w:val="none"/>
          <w:u w:val="single"/>
          <w:lang w:bidi="ar"/>
        </w:rPr>
        <w:t>    （企业名称）</w:t>
      </w:r>
      <w:r>
        <w:rPr>
          <w:rFonts w:hint="eastAsia" w:ascii="宋体" w:hAnsi="宋体" w:cs="宋体"/>
          <w:color w:val="auto"/>
          <w:kern w:val="0"/>
          <w:sz w:val="21"/>
          <w:szCs w:val="21"/>
          <w:highlight w:val="none"/>
          <w:lang w:bidi="ar"/>
        </w:rPr>
        <w:t>，从业人员</w:t>
      </w:r>
      <w:r>
        <w:rPr>
          <w:rFonts w:hint="eastAsia" w:ascii="宋体" w:hAnsi="宋体" w:cs="宋体"/>
          <w:color w:val="auto"/>
          <w:kern w:val="0"/>
          <w:sz w:val="21"/>
          <w:szCs w:val="21"/>
          <w:highlight w:val="none"/>
          <w:u w:val="single"/>
          <w:lang w:bidi="ar"/>
        </w:rPr>
        <w:t>    </w:t>
      </w:r>
      <w:r>
        <w:rPr>
          <w:rFonts w:hint="eastAsia" w:ascii="宋体" w:hAnsi="宋体" w:cs="宋体"/>
          <w:color w:val="auto"/>
          <w:kern w:val="0"/>
          <w:sz w:val="21"/>
          <w:szCs w:val="21"/>
          <w:highlight w:val="none"/>
          <w:lang w:bidi="ar"/>
        </w:rPr>
        <w:t>人，营业收入为</w:t>
      </w:r>
      <w:r>
        <w:rPr>
          <w:rFonts w:hint="eastAsia" w:ascii="宋体" w:hAnsi="宋体" w:cs="宋体"/>
          <w:color w:val="auto"/>
          <w:kern w:val="0"/>
          <w:sz w:val="21"/>
          <w:szCs w:val="21"/>
          <w:highlight w:val="none"/>
          <w:u w:val="single"/>
          <w:lang w:bidi="ar"/>
        </w:rPr>
        <w:t>    </w:t>
      </w:r>
      <w:r>
        <w:rPr>
          <w:rFonts w:hint="eastAsia" w:ascii="宋体" w:hAnsi="宋体" w:cs="宋体"/>
          <w:color w:val="auto"/>
          <w:kern w:val="0"/>
          <w:sz w:val="21"/>
          <w:szCs w:val="21"/>
          <w:highlight w:val="none"/>
          <w:lang w:bidi="ar"/>
        </w:rPr>
        <w:t>万元，资产总额为</w:t>
      </w:r>
      <w:r>
        <w:rPr>
          <w:rFonts w:hint="eastAsia" w:ascii="宋体" w:hAnsi="宋体" w:cs="宋体"/>
          <w:color w:val="auto"/>
          <w:kern w:val="0"/>
          <w:sz w:val="21"/>
          <w:szCs w:val="21"/>
          <w:highlight w:val="none"/>
          <w:u w:val="single"/>
          <w:lang w:bidi="ar"/>
        </w:rPr>
        <w:t>    </w:t>
      </w:r>
      <w:r>
        <w:rPr>
          <w:rFonts w:hint="eastAsia" w:ascii="宋体" w:hAnsi="宋体" w:cs="宋体"/>
          <w:color w:val="auto"/>
          <w:kern w:val="0"/>
          <w:sz w:val="21"/>
          <w:szCs w:val="21"/>
          <w:highlight w:val="none"/>
          <w:lang w:bidi="ar"/>
        </w:rPr>
        <w:t>万元，属于</w:t>
      </w:r>
      <w:r>
        <w:rPr>
          <w:rFonts w:hint="eastAsia" w:ascii="宋体" w:hAnsi="宋体" w:cs="宋体"/>
          <w:color w:val="auto"/>
          <w:kern w:val="0"/>
          <w:sz w:val="21"/>
          <w:szCs w:val="21"/>
          <w:highlight w:val="none"/>
          <w:u w:val="single"/>
          <w:lang w:bidi="ar"/>
        </w:rPr>
        <w:t>     （中型企业、小型企业、微型企业）</w:t>
      </w:r>
      <w:r>
        <w:rPr>
          <w:rFonts w:hint="eastAsia" w:ascii="宋体" w:hAnsi="宋体" w:cs="宋体"/>
          <w:color w:val="auto"/>
          <w:kern w:val="0"/>
          <w:sz w:val="21"/>
          <w:szCs w:val="21"/>
          <w:highlight w:val="none"/>
          <w:lang w:bidi="ar"/>
        </w:rPr>
        <w:t>；</w:t>
      </w:r>
    </w:p>
    <w:p w14:paraId="2E1C18A7">
      <w:pPr>
        <w:widowControl/>
        <w:spacing w:before="100" w:beforeAutospacing="1" w:after="100" w:afterAutospacing="1" w:line="360" w:lineRule="auto"/>
        <w:ind w:firstLine="482"/>
        <w:rPr>
          <w:color w:val="auto"/>
          <w:sz w:val="21"/>
          <w:szCs w:val="21"/>
          <w:highlight w:val="none"/>
        </w:rPr>
      </w:pPr>
      <w:r>
        <w:rPr>
          <w:rFonts w:hint="eastAsia" w:ascii="宋体" w:hAnsi="宋体" w:cs="宋体"/>
          <w:color w:val="auto"/>
          <w:kern w:val="0"/>
          <w:sz w:val="21"/>
          <w:szCs w:val="21"/>
          <w:highlight w:val="none"/>
          <w:lang w:bidi="ar"/>
        </w:rPr>
        <w:t>2.</w:t>
      </w:r>
      <w:r>
        <w:rPr>
          <w:rFonts w:hint="eastAsia" w:ascii="宋体" w:hAnsi="宋体" w:cs="宋体"/>
          <w:color w:val="auto"/>
          <w:kern w:val="0"/>
          <w:sz w:val="21"/>
          <w:szCs w:val="21"/>
          <w:highlight w:val="none"/>
          <w:u w:val="single"/>
          <w:lang w:bidi="ar"/>
        </w:rPr>
        <w:t>     （标的名称）</w:t>
      </w:r>
      <w:r>
        <w:rPr>
          <w:rFonts w:hint="eastAsia" w:ascii="宋体" w:hAnsi="宋体" w:cs="宋体"/>
          <w:color w:val="auto"/>
          <w:kern w:val="0"/>
          <w:sz w:val="21"/>
          <w:szCs w:val="21"/>
          <w:highlight w:val="none"/>
          <w:lang w:bidi="ar"/>
        </w:rPr>
        <w:t>，属于</w:t>
      </w:r>
      <w:r>
        <w:rPr>
          <w:rFonts w:hint="eastAsia" w:ascii="宋体" w:hAnsi="宋体" w:cs="宋体"/>
          <w:color w:val="auto"/>
          <w:kern w:val="0"/>
          <w:sz w:val="21"/>
          <w:szCs w:val="21"/>
          <w:highlight w:val="none"/>
          <w:u w:val="single"/>
          <w:lang w:bidi="ar"/>
        </w:rPr>
        <w:t>     （采购文件中明确的所属行业）</w:t>
      </w:r>
      <w:r>
        <w:rPr>
          <w:rFonts w:hint="eastAsia" w:ascii="宋体" w:hAnsi="宋体" w:cs="宋体"/>
          <w:color w:val="auto"/>
          <w:kern w:val="0"/>
          <w:sz w:val="21"/>
          <w:szCs w:val="21"/>
          <w:highlight w:val="none"/>
          <w:lang w:bidi="ar"/>
        </w:rPr>
        <w:t>行业；制造商为</w:t>
      </w:r>
      <w:r>
        <w:rPr>
          <w:rFonts w:hint="eastAsia" w:ascii="宋体" w:hAnsi="宋体" w:cs="宋体"/>
          <w:color w:val="auto"/>
          <w:kern w:val="0"/>
          <w:sz w:val="21"/>
          <w:szCs w:val="21"/>
          <w:highlight w:val="none"/>
          <w:u w:val="single"/>
          <w:lang w:bidi="ar"/>
        </w:rPr>
        <w:t>       （企业名称）</w:t>
      </w:r>
      <w:r>
        <w:rPr>
          <w:rFonts w:hint="eastAsia" w:ascii="宋体" w:hAnsi="宋体" w:cs="宋体"/>
          <w:color w:val="auto"/>
          <w:kern w:val="0"/>
          <w:sz w:val="21"/>
          <w:szCs w:val="21"/>
          <w:highlight w:val="none"/>
          <w:lang w:bidi="ar"/>
        </w:rPr>
        <w:t>，从业人员</w:t>
      </w:r>
      <w:r>
        <w:rPr>
          <w:rFonts w:hint="eastAsia" w:ascii="宋体" w:hAnsi="宋体" w:cs="宋体"/>
          <w:color w:val="auto"/>
          <w:kern w:val="0"/>
          <w:sz w:val="21"/>
          <w:szCs w:val="21"/>
          <w:highlight w:val="none"/>
          <w:u w:val="single"/>
          <w:lang w:bidi="ar"/>
        </w:rPr>
        <w:t>    </w:t>
      </w:r>
      <w:r>
        <w:rPr>
          <w:rFonts w:hint="eastAsia" w:ascii="宋体" w:hAnsi="宋体" w:cs="宋体"/>
          <w:color w:val="auto"/>
          <w:kern w:val="0"/>
          <w:sz w:val="21"/>
          <w:szCs w:val="21"/>
          <w:highlight w:val="none"/>
          <w:lang w:bidi="ar"/>
        </w:rPr>
        <w:t>人，营业收入为</w:t>
      </w:r>
      <w:r>
        <w:rPr>
          <w:rFonts w:hint="eastAsia" w:ascii="宋体" w:hAnsi="宋体" w:cs="宋体"/>
          <w:color w:val="auto"/>
          <w:kern w:val="0"/>
          <w:sz w:val="21"/>
          <w:szCs w:val="21"/>
          <w:highlight w:val="none"/>
          <w:u w:val="single"/>
          <w:lang w:bidi="ar"/>
        </w:rPr>
        <w:t>    </w:t>
      </w:r>
      <w:r>
        <w:rPr>
          <w:rFonts w:hint="eastAsia" w:ascii="宋体" w:hAnsi="宋体" w:cs="宋体"/>
          <w:color w:val="auto"/>
          <w:kern w:val="0"/>
          <w:sz w:val="21"/>
          <w:szCs w:val="21"/>
          <w:highlight w:val="none"/>
          <w:lang w:bidi="ar"/>
        </w:rPr>
        <w:t>万元，资产总额为</w:t>
      </w:r>
      <w:r>
        <w:rPr>
          <w:rFonts w:hint="eastAsia" w:ascii="宋体" w:hAnsi="宋体" w:cs="宋体"/>
          <w:color w:val="auto"/>
          <w:kern w:val="0"/>
          <w:sz w:val="21"/>
          <w:szCs w:val="21"/>
          <w:highlight w:val="none"/>
          <w:u w:val="single"/>
          <w:lang w:bidi="ar"/>
        </w:rPr>
        <w:t>   </w:t>
      </w:r>
      <w:r>
        <w:rPr>
          <w:rFonts w:hint="eastAsia" w:ascii="宋体" w:hAnsi="宋体" w:cs="宋体"/>
          <w:color w:val="auto"/>
          <w:kern w:val="0"/>
          <w:sz w:val="21"/>
          <w:szCs w:val="21"/>
          <w:highlight w:val="none"/>
          <w:lang w:bidi="ar"/>
        </w:rPr>
        <w:t>万元</w:t>
      </w:r>
      <w:r>
        <w:rPr>
          <w:rFonts w:hint="eastAsia" w:ascii="宋体" w:hAnsi="宋体" w:cs="宋体"/>
          <w:color w:val="auto"/>
          <w:kern w:val="0"/>
          <w:sz w:val="21"/>
          <w:szCs w:val="21"/>
          <w:highlight w:val="none"/>
          <w:vertAlign w:val="superscript"/>
          <w:lang w:bidi="ar"/>
        </w:rPr>
        <w:t>1</w:t>
      </w:r>
      <w:r>
        <w:rPr>
          <w:rFonts w:hint="eastAsia" w:ascii="宋体" w:hAnsi="宋体" w:cs="宋体"/>
          <w:color w:val="auto"/>
          <w:kern w:val="0"/>
          <w:sz w:val="21"/>
          <w:szCs w:val="21"/>
          <w:highlight w:val="none"/>
          <w:lang w:bidi="ar"/>
        </w:rPr>
        <w:t>，属于</w:t>
      </w:r>
      <w:r>
        <w:rPr>
          <w:rFonts w:hint="eastAsia" w:ascii="宋体" w:hAnsi="宋体" w:cs="宋体"/>
          <w:color w:val="auto"/>
          <w:kern w:val="0"/>
          <w:sz w:val="21"/>
          <w:szCs w:val="21"/>
          <w:highlight w:val="none"/>
          <w:u w:val="single"/>
          <w:lang w:bidi="ar"/>
        </w:rPr>
        <w:t>     （中型企业、小型企业、微型企业）</w:t>
      </w:r>
      <w:r>
        <w:rPr>
          <w:rFonts w:hint="eastAsia" w:ascii="宋体" w:hAnsi="宋体" w:cs="宋体"/>
          <w:color w:val="auto"/>
          <w:kern w:val="0"/>
          <w:sz w:val="21"/>
          <w:szCs w:val="21"/>
          <w:highlight w:val="none"/>
          <w:lang w:bidi="ar"/>
        </w:rPr>
        <w:t>；</w:t>
      </w:r>
    </w:p>
    <w:p w14:paraId="118052D3">
      <w:pPr>
        <w:widowControl/>
        <w:spacing w:before="100" w:beforeAutospacing="1" w:after="100" w:afterAutospacing="1" w:line="360" w:lineRule="auto"/>
        <w:ind w:firstLine="482"/>
        <w:rPr>
          <w:color w:val="auto"/>
          <w:sz w:val="21"/>
          <w:szCs w:val="21"/>
          <w:highlight w:val="none"/>
        </w:rPr>
      </w:pPr>
      <w:r>
        <w:rPr>
          <w:rFonts w:hint="eastAsia" w:ascii="宋体" w:hAnsi="宋体" w:cs="宋体"/>
          <w:color w:val="auto"/>
          <w:kern w:val="0"/>
          <w:sz w:val="21"/>
          <w:szCs w:val="21"/>
          <w:highlight w:val="none"/>
          <w:lang w:bidi="ar"/>
        </w:rPr>
        <w:t>……</w:t>
      </w:r>
    </w:p>
    <w:p w14:paraId="31D1B0AC">
      <w:pPr>
        <w:widowControl/>
        <w:spacing w:before="100" w:beforeAutospacing="1" w:after="100" w:afterAutospacing="1" w:line="540" w:lineRule="exact"/>
        <w:ind w:firstLine="482"/>
        <w:jc w:val="left"/>
        <w:rPr>
          <w:color w:val="auto"/>
          <w:sz w:val="21"/>
          <w:szCs w:val="21"/>
          <w:highlight w:val="none"/>
        </w:rPr>
      </w:pPr>
      <w:r>
        <w:rPr>
          <w:rFonts w:hint="eastAsia" w:ascii="宋体" w:hAnsi="宋体" w:cs="宋体"/>
          <w:color w:val="auto"/>
          <w:kern w:val="0"/>
          <w:sz w:val="21"/>
          <w:szCs w:val="21"/>
          <w:highlight w:val="none"/>
          <w:lang w:bidi="ar"/>
        </w:rPr>
        <w:t>以上企业，不属于大企业的分支机构，不存在控股股东为大企业的情形，也不存在与大企业的负责人为同一人的情形。</w:t>
      </w:r>
    </w:p>
    <w:p w14:paraId="701C6459">
      <w:pPr>
        <w:widowControl/>
        <w:spacing w:before="100" w:beforeAutospacing="1" w:after="100" w:afterAutospacing="1" w:line="540" w:lineRule="exact"/>
        <w:ind w:firstLine="482"/>
        <w:jc w:val="left"/>
        <w:rPr>
          <w:color w:val="auto"/>
          <w:sz w:val="21"/>
          <w:szCs w:val="21"/>
          <w:highlight w:val="none"/>
        </w:rPr>
      </w:pPr>
      <w:r>
        <w:rPr>
          <w:rFonts w:hint="eastAsia" w:ascii="宋体" w:hAnsi="宋体" w:cs="宋体"/>
          <w:color w:val="auto"/>
          <w:kern w:val="0"/>
          <w:sz w:val="21"/>
          <w:szCs w:val="21"/>
          <w:highlight w:val="none"/>
          <w:lang w:bidi="ar"/>
        </w:rPr>
        <w:t>本企业对上述声明内容的真实性负责。如有虚假，将依法承担相应责任。</w:t>
      </w:r>
    </w:p>
    <w:p w14:paraId="59105B30">
      <w:pPr>
        <w:widowControl/>
        <w:spacing w:before="100" w:beforeAutospacing="1" w:after="100" w:afterAutospacing="1" w:line="540" w:lineRule="exact"/>
        <w:ind w:firstLine="5280"/>
        <w:jc w:val="left"/>
        <w:rPr>
          <w:color w:val="auto"/>
          <w:sz w:val="21"/>
          <w:szCs w:val="21"/>
          <w:highlight w:val="none"/>
        </w:rPr>
      </w:pPr>
      <w:r>
        <w:rPr>
          <w:rFonts w:hint="eastAsia" w:ascii="宋体" w:hAnsi="宋体" w:cs="宋体"/>
          <w:color w:val="auto"/>
          <w:kern w:val="0"/>
          <w:sz w:val="21"/>
          <w:szCs w:val="21"/>
          <w:highlight w:val="none"/>
          <w:lang w:bidi="ar"/>
        </w:rPr>
        <w:t>企业名称（盖章）：</w:t>
      </w:r>
    </w:p>
    <w:p w14:paraId="510CC58D">
      <w:pPr>
        <w:widowControl/>
        <w:spacing w:before="100" w:beforeAutospacing="1" w:after="100" w:afterAutospacing="1" w:line="540" w:lineRule="exact"/>
        <w:ind w:firstLine="5280"/>
        <w:jc w:val="left"/>
        <w:rPr>
          <w:color w:val="auto"/>
          <w:sz w:val="21"/>
          <w:szCs w:val="21"/>
          <w:highlight w:val="none"/>
        </w:rPr>
      </w:pPr>
      <w:r>
        <w:rPr>
          <w:rFonts w:hint="eastAsia" w:ascii="宋体" w:hAnsi="宋体" w:cs="宋体"/>
          <w:color w:val="auto"/>
          <w:kern w:val="0"/>
          <w:sz w:val="21"/>
          <w:szCs w:val="21"/>
          <w:highlight w:val="none"/>
          <w:lang w:bidi="ar"/>
        </w:rPr>
        <w:t>日 期：</w:t>
      </w:r>
    </w:p>
    <w:p w14:paraId="3944843B">
      <w:pPr>
        <w:widowControl/>
        <w:spacing w:before="100" w:beforeAutospacing="1" w:after="100" w:afterAutospacing="1" w:line="435" w:lineRule="atLeast"/>
        <w:jc w:val="left"/>
        <w:rPr>
          <w:color w:val="auto"/>
          <w:szCs w:val="24"/>
          <w:highlight w:val="none"/>
        </w:rPr>
      </w:pPr>
      <w:r>
        <w:rPr>
          <w:rFonts w:hint="eastAsia" w:ascii="宋体" w:hAnsi="宋体" w:cs="宋体"/>
          <w:color w:val="auto"/>
          <w:kern w:val="0"/>
          <w:sz w:val="18"/>
          <w:szCs w:val="18"/>
          <w:highlight w:val="none"/>
          <w:vertAlign w:val="superscript"/>
          <w:lang w:bidi="ar"/>
        </w:rPr>
        <w:t>1</w:t>
      </w:r>
      <w:r>
        <w:rPr>
          <w:rFonts w:hint="eastAsia" w:ascii="宋体" w:hAnsi="宋体" w:cs="宋体"/>
          <w:color w:val="auto"/>
          <w:kern w:val="0"/>
          <w:sz w:val="18"/>
          <w:szCs w:val="18"/>
          <w:highlight w:val="none"/>
          <w:lang w:bidi="ar"/>
        </w:rPr>
        <w:t>从业人员、营业收入、资产总额填报上一年度数据，无上一年度数据的新成立企业可不填报。</w:t>
      </w:r>
    </w:p>
    <w:p w14:paraId="1B41CA1E">
      <w:pPr>
        <w:widowControl/>
        <w:adjustRightInd w:val="0"/>
        <w:snapToGrid w:val="0"/>
        <w:spacing w:line="360" w:lineRule="auto"/>
        <w:ind w:firstLine="446" w:firstLineChars="200"/>
        <w:jc w:val="center"/>
        <w:rPr>
          <w:rFonts w:hint="eastAsia" w:ascii="宋体" w:hAnsi="宋体" w:eastAsia="宋体" w:cs="宋体"/>
          <w:b/>
          <w:color w:val="auto"/>
          <w:spacing w:val="6"/>
          <w:kern w:val="0"/>
          <w:szCs w:val="21"/>
          <w:highlight w:val="none"/>
          <w:u w:val="single"/>
        </w:rPr>
      </w:pPr>
    </w:p>
    <w:p w14:paraId="1E951C7C">
      <w:pPr>
        <w:pStyle w:val="5"/>
        <w:rPr>
          <w:rFonts w:hint="eastAsia" w:ascii="宋体" w:hAnsi="宋体" w:eastAsia="宋体" w:cs="宋体"/>
          <w:b w:val="0"/>
          <w:color w:val="auto"/>
          <w:spacing w:val="6"/>
          <w:sz w:val="21"/>
          <w:szCs w:val="21"/>
          <w:highlight w:val="none"/>
        </w:rPr>
      </w:pPr>
      <w:bookmarkStart w:id="236" w:name="_Toc1057"/>
      <w:bookmarkStart w:id="237" w:name="_Toc14005"/>
      <w:bookmarkStart w:id="238" w:name="_Toc29913972"/>
      <w:r>
        <w:rPr>
          <w:rFonts w:hint="eastAsia" w:ascii="宋体" w:hAnsi="宋体" w:eastAsia="宋体" w:cs="宋体"/>
          <w:b w:val="0"/>
          <w:bCs w:val="0"/>
          <w:color w:val="auto"/>
          <w:spacing w:val="6"/>
          <w:kern w:val="0"/>
          <w:sz w:val="21"/>
          <w:szCs w:val="21"/>
          <w:highlight w:val="none"/>
          <w:lang w:eastAsia="zh-CN"/>
        </w:rPr>
        <w:t>附件</w:t>
      </w:r>
      <w:r>
        <w:rPr>
          <w:rFonts w:hint="eastAsia" w:ascii="宋体" w:hAnsi="宋体" w:eastAsia="宋体" w:cs="宋体"/>
          <w:b w:val="0"/>
          <w:bCs w:val="0"/>
          <w:color w:val="auto"/>
          <w:spacing w:val="6"/>
          <w:kern w:val="0"/>
          <w:sz w:val="21"/>
          <w:szCs w:val="21"/>
          <w:highlight w:val="none"/>
          <w:lang w:val="en-US" w:eastAsia="zh-CN"/>
        </w:rPr>
        <w:t>10</w:t>
      </w:r>
      <w:r>
        <w:rPr>
          <w:rFonts w:hint="eastAsia" w:ascii="宋体" w:hAnsi="宋体" w:eastAsia="宋体" w:cs="宋体"/>
          <w:b w:val="0"/>
          <w:bCs w:val="0"/>
          <w:color w:val="auto"/>
          <w:spacing w:val="6"/>
          <w:kern w:val="0"/>
          <w:sz w:val="21"/>
          <w:szCs w:val="21"/>
          <w:highlight w:val="none"/>
        </w:rPr>
        <w:t xml:space="preserve">-2 </w:t>
      </w:r>
      <w:r>
        <w:rPr>
          <w:rFonts w:hint="eastAsia" w:ascii="宋体" w:hAnsi="宋体" w:eastAsia="宋体" w:cs="宋体"/>
          <w:b w:val="0"/>
          <w:color w:val="auto"/>
          <w:spacing w:val="6"/>
          <w:sz w:val="21"/>
          <w:szCs w:val="21"/>
          <w:highlight w:val="none"/>
        </w:rPr>
        <w:t>残疾人福利性单位声明函</w:t>
      </w:r>
      <w:bookmarkEnd w:id="236"/>
      <w:bookmarkEnd w:id="237"/>
      <w:bookmarkEnd w:id="238"/>
    </w:p>
    <w:p w14:paraId="0D76592C">
      <w:pPr>
        <w:adjustRightInd w:val="0"/>
        <w:snapToGrid w:val="0"/>
        <w:spacing w:line="360" w:lineRule="auto"/>
        <w:jc w:val="center"/>
        <w:rPr>
          <w:rFonts w:hint="eastAsia" w:ascii="宋体" w:hAnsi="宋体" w:eastAsia="宋体" w:cs="宋体"/>
          <w:b/>
          <w:color w:val="auto"/>
          <w:spacing w:val="6"/>
          <w:sz w:val="28"/>
          <w:szCs w:val="28"/>
          <w:highlight w:val="none"/>
        </w:rPr>
      </w:pPr>
      <w:r>
        <w:rPr>
          <w:rFonts w:hint="eastAsia" w:ascii="宋体" w:hAnsi="宋体" w:eastAsia="宋体" w:cs="宋体"/>
          <w:b/>
          <w:color w:val="auto"/>
          <w:spacing w:val="6"/>
          <w:sz w:val="28"/>
          <w:szCs w:val="28"/>
          <w:highlight w:val="none"/>
        </w:rPr>
        <w:t>残疾人福利性单位声明函</w:t>
      </w:r>
    </w:p>
    <w:p w14:paraId="4708DBF9">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(不属于残疾人福利性单位的无需填写)</w:t>
      </w:r>
    </w:p>
    <w:p w14:paraId="68167B60">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3F25B77B">
      <w:pPr>
        <w:adjustRightInd w:val="0"/>
        <w:snapToGrid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eastAsia="宋体" w:cs="宋体"/>
          <w:color w:val="auto"/>
          <w:szCs w:val="21"/>
          <w:highlight w:val="none"/>
        </w:rPr>
        <w:t>〔2017〕141</w:t>
      </w:r>
      <w:r>
        <w:rPr>
          <w:rFonts w:hint="eastAsia" w:ascii="宋体" w:hAnsi="宋体" w:eastAsia="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81FF2E8">
      <w:pPr>
        <w:adjustRightInd w:val="0"/>
        <w:snapToGrid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本单位对上述声明的真实性负责。如有虚假，将依法承担相应责任。</w:t>
      </w:r>
    </w:p>
    <w:p w14:paraId="612050CE">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314A6582">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4A80BD6F">
      <w:pPr>
        <w:tabs>
          <w:tab w:val="left" w:pos="4860"/>
        </w:tabs>
        <w:adjustRightInd w:val="0"/>
        <w:snapToGrid w:val="0"/>
        <w:spacing w:line="360" w:lineRule="auto"/>
        <w:ind w:right="1560" w:firstLine="444" w:firstLineChars="200"/>
        <w:jc w:val="center"/>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单位名称（盖单位电子章）：</w:t>
      </w:r>
    </w:p>
    <w:p w14:paraId="383D38F5">
      <w:pPr>
        <w:tabs>
          <w:tab w:val="left" w:pos="4860"/>
        </w:tabs>
        <w:adjustRightInd w:val="0"/>
        <w:snapToGrid w:val="0"/>
        <w:spacing w:line="360" w:lineRule="auto"/>
        <w:ind w:right="1560" w:firstLine="444" w:firstLineChars="200"/>
        <w:jc w:val="center"/>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日  期：</w:t>
      </w:r>
    </w:p>
    <w:p w14:paraId="26ED7FFE">
      <w:pPr>
        <w:widowControl/>
        <w:adjustRightInd w:val="0"/>
        <w:snapToGrid w:val="0"/>
        <w:spacing w:line="360" w:lineRule="auto"/>
        <w:jc w:val="left"/>
        <w:rPr>
          <w:rFonts w:hint="eastAsia" w:ascii="宋体" w:hAnsi="宋体" w:eastAsia="宋体" w:cs="宋体"/>
          <w:color w:val="auto"/>
          <w:kern w:val="0"/>
          <w:szCs w:val="21"/>
          <w:highlight w:val="none"/>
        </w:rPr>
      </w:pPr>
    </w:p>
    <w:p w14:paraId="29D6AC46">
      <w:pPr>
        <w:widowControl/>
        <w:jc w:val="left"/>
        <w:rPr>
          <w:rFonts w:hint="eastAsia" w:ascii="宋体" w:hAnsi="宋体" w:eastAsia="宋体" w:cs="宋体"/>
          <w:color w:val="auto"/>
          <w:spacing w:val="6"/>
          <w:kern w:val="0"/>
          <w:szCs w:val="21"/>
          <w:highlight w:val="none"/>
        </w:rPr>
      </w:pPr>
      <w:r>
        <w:rPr>
          <w:rFonts w:hint="eastAsia" w:ascii="宋体" w:hAnsi="宋体" w:eastAsia="宋体" w:cs="宋体"/>
          <w:b/>
          <w:bCs/>
          <w:color w:val="auto"/>
          <w:spacing w:val="6"/>
          <w:kern w:val="0"/>
          <w:szCs w:val="21"/>
          <w:highlight w:val="none"/>
        </w:rPr>
        <w:br w:type="page"/>
      </w:r>
    </w:p>
    <w:p w14:paraId="04BE8409">
      <w:pPr>
        <w:pStyle w:val="5"/>
        <w:rPr>
          <w:rFonts w:hint="eastAsia" w:ascii="宋体" w:hAnsi="宋体" w:eastAsia="宋体" w:cs="宋体"/>
          <w:b w:val="0"/>
          <w:color w:val="auto"/>
          <w:sz w:val="21"/>
          <w:szCs w:val="21"/>
          <w:highlight w:val="none"/>
        </w:rPr>
      </w:pPr>
      <w:bookmarkStart w:id="239" w:name="_Toc29913973"/>
      <w:bookmarkStart w:id="240" w:name="_Toc18312"/>
      <w:bookmarkStart w:id="241" w:name="_Toc27688"/>
      <w:r>
        <w:rPr>
          <w:rFonts w:hint="eastAsia" w:ascii="宋体" w:hAnsi="宋体" w:eastAsia="宋体" w:cs="宋体"/>
          <w:b w:val="0"/>
          <w:color w:val="auto"/>
          <w:kern w:val="0"/>
          <w:sz w:val="21"/>
          <w:szCs w:val="21"/>
          <w:highlight w:val="none"/>
          <w:lang w:eastAsia="zh-CN"/>
        </w:rPr>
        <w:t>附件</w:t>
      </w:r>
      <w:r>
        <w:rPr>
          <w:rFonts w:hint="eastAsia" w:ascii="宋体" w:hAnsi="宋体" w:eastAsia="宋体" w:cs="宋体"/>
          <w:b w:val="0"/>
          <w:color w:val="auto"/>
          <w:kern w:val="0"/>
          <w:sz w:val="21"/>
          <w:szCs w:val="21"/>
          <w:highlight w:val="none"/>
          <w:lang w:val="en-US" w:eastAsia="zh-CN"/>
        </w:rPr>
        <w:t>10</w:t>
      </w:r>
      <w:r>
        <w:rPr>
          <w:rFonts w:hint="eastAsia" w:ascii="宋体" w:hAnsi="宋体" w:eastAsia="宋体" w:cs="宋体"/>
          <w:b w:val="0"/>
          <w:color w:val="auto"/>
          <w:kern w:val="0"/>
          <w:sz w:val="21"/>
          <w:szCs w:val="21"/>
          <w:highlight w:val="none"/>
        </w:rPr>
        <w:t xml:space="preserve">-3 </w:t>
      </w:r>
      <w:r>
        <w:rPr>
          <w:rFonts w:hint="eastAsia" w:ascii="宋体" w:hAnsi="宋体" w:eastAsia="宋体" w:cs="宋体"/>
          <w:b w:val="0"/>
          <w:color w:val="auto"/>
          <w:sz w:val="21"/>
          <w:szCs w:val="21"/>
          <w:highlight w:val="none"/>
        </w:rPr>
        <w:t>监狱企业证明资料</w:t>
      </w:r>
      <w:bookmarkEnd w:id="239"/>
      <w:bookmarkEnd w:id="240"/>
      <w:bookmarkEnd w:id="241"/>
    </w:p>
    <w:p w14:paraId="26B476AF">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监狱企业证明资料</w:t>
      </w:r>
    </w:p>
    <w:p w14:paraId="7206B1AE">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(不属于监狱企业的无需提供)</w:t>
      </w:r>
    </w:p>
    <w:p w14:paraId="26502110">
      <w:pPr>
        <w:adjustRightInd w:val="0"/>
        <w:snapToGrid w:val="0"/>
        <w:spacing w:line="360" w:lineRule="auto"/>
        <w:rPr>
          <w:rFonts w:hint="eastAsia" w:ascii="宋体" w:hAnsi="宋体" w:eastAsia="宋体" w:cs="宋体"/>
          <w:color w:val="auto"/>
          <w:szCs w:val="21"/>
          <w:highlight w:val="none"/>
        </w:rPr>
      </w:pPr>
    </w:p>
    <w:p w14:paraId="73BB091C">
      <w:pPr>
        <w:adjustRightInd w:val="0"/>
        <w:snapToGrid w:val="0"/>
        <w:spacing w:line="360" w:lineRule="auto"/>
        <w:ind w:firstLine="444" w:firstLineChars="200"/>
        <w:rPr>
          <w:rFonts w:hint="eastAsia" w:ascii="宋体" w:hAnsi="宋体" w:eastAsia="宋体" w:cs="宋体"/>
          <w:color w:val="auto"/>
          <w:szCs w:val="21"/>
          <w:highlight w:val="none"/>
        </w:rPr>
      </w:pPr>
      <w:r>
        <w:rPr>
          <w:rFonts w:hint="eastAsia" w:ascii="宋体" w:hAnsi="宋体" w:eastAsia="宋体" w:cs="宋体"/>
          <w:bCs/>
          <w:color w:val="auto"/>
          <w:spacing w:val="6"/>
          <w:kern w:val="0"/>
          <w:szCs w:val="21"/>
          <w:highlight w:val="none"/>
        </w:rPr>
        <w:t>备注：</w:t>
      </w:r>
      <w:r>
        <w:rPr>
          <w:rFonts w:hint="eastAsia" w:ascii="宋体" w:hAnsi="宋体" w:eastAsia="宋体" w:cs="宋体"/>
          <w:color w:val="auto"/>
          <w:szCs w:val="21"/>
          <w:highlight w:val="none"/>
        </w:rPr>
        <w:t>按</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rPr>
        <w:t>财政部 司法部关于政府采购支持监狱企业发展有关问题的通知</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rPr>
        <w:t>(财库〔2014〕68号)文件规定提供证明文件（复印件）。</w:t>
      </w:r>
    </w:p>
    <w:p w14:paraId="74634013">
      <w:pPr>
        <w:adjustRightInd w:val="0"/>
        <w:snapToGrid w:val="0"/>
        <w:spacing w:line="360" w:lineRule="auto"/>
        <w:rPr>
          <w:rFonts w:hint="eastAsia" w:ascii="宋体" w:hAnsi="宋体" w:eastAsia="宋体" w:cs="宋体"/>
          <w:bCs/>
          <w:color w:val="auto"/>
          <w:spacing w:val="6"/>
          <w:kern w:val="0"/>
          <w:szCs w:val="21"/>
          <w:highlight w:val="none"/>
        </w:rPr>
      </w:pPr>
    </w:p>
    <w:p w14:paraId="60503FF8">
      <w:pPr>
        <w:pStyle w:val="58"/>
        <w:rPr>
          <w:rFonts w:hint="eastAsia" w:ascii="宋体" w:hAnsi="宋体" w:eastAsia="宋体" w:cs="宋体"/>
          <w:bCs/>
          <w:color w:val="auto"/>
          <w:spacing w:val="6"/>
          <w:kern w:val="0"/>
          <w:szCs w:val="21"/>
          <w:highlight w:val="none"/>
        </w:rPr>
      </w:pPr>
    </w:p>
    <w:p w14:paraId="69F4CCB9">
      <w:pPr>
        <w:pStyle w:val="58"/>
        <w:rPr>
          <w:rFonts w:hint="eastAsia" w:ascii="宋体" w:hAnsi="宋体" w:eastAsia="宋体" w:cs="宋体"/>
          <w:bCs/>
          <w:color w:val="auto"/>
          <w:spacing w:val="6"/>
          <w:kern w:val="0"/>
          <w:szCs w:val="21"/>
          <w:highlight w:val="none"/>
        </w:rPr>
      </w:pPr>
    </w:p>
    <w:p w14:paraId="10FDB6C6">
      <w:pPr>
        <w:pStyle w:val="5"/>
        <w:rPr>
          <w:rFonts w:hint="eastAsia" w:ascii="宋体" w:hAnsi="宋体" w:eastAsia="宋体" w:cs="宋体"/>
          <w:b w:val="0"/>
          <w:color w:val="auto"/>
          <w:sz w:val="21"/>
          <w:szCs w:val="21"/>
          <w:highlight w:val="none"/>
        </w:rPr>
      </w:pPr>
      <w:bookmarkStart w:id="242" w:name="_Toc29913974"/>
      <w:bookmarkStart w:id="243" w:name="_Toc23102"/>
      <w:bookmarkStart w:id="244" w:name="_Toc10072"/>
      <w:r>
        <w:rPr>
          <w:rFonts w:hint="eastAsia" w:ascii="宋体" w:hAnsi="宋体" w:eastAsia="宋体" w:cs="宋体"/>
          <w:b w:val="0"/>
          <w:bCs w:val="0"/>
          <w:color w:val="auto"/>
          <w:spacing w:val="6"/>
          <w:kern w:val="0"/>
          <w:sz w:val="21"/>
          <w:szCs w:val="21"/>
          <w:highlight w:val="none"/>
          <w:lang w:eastAsia="zh-CN"/>
        </w:rPr>
        <w:t>附件</w:t>
      </w:r>
      <w:r>
        <w:rPr>
          <w:rFonts w:hint="eastAsia" w:ascii="宋体" w:hAnsi="宋体" w:eastAsia="宋体" w:cs="宋体"/>
          <w:b w:val="0"/>
          <w:bCs w:val="0"/>
          <w:color w:val="auto"/>
          <w:spacing w:val="6"/>
          <w:kern w:val="0"/>
          <w:sz w:val="21"/>
          <w:szCs w:val="21"/>
          <w:highlight w:val="none"/>
          <w:lang w:val="en-US" w:eastAsia="zh-CN"/>
        </w:rPr>
        <w:t>10</w:t>
      </w:r>
      <w:r>
        <w:rPr>
          <w:rFonts w:hint="eastAsia" w:ascii="宋体" w:hAnsi="宋体" w:eastAsia="宋体" w:cs="宋体"/>
          <w:b w:val="0"/>
          <w:bCs w:val="0"/>
          <w:color w:val="auto"/>
          <w:spacing w:val="6"/>
          <w:kern w:val="0"/>
          <w:sz w:val="21"/>
          <w:szCs w:val="21"/>
          <w:highlight w:val="none"/>
        </w:rPr>
        <w:t xml:space="preserve">-4 </w:t>
      </w:r>
      <w:r>
        <w:rPr>
          <w:rFonts w:hint="eastAsia" w:ascii="宋体" w:hAnsi="宋体" w:eastAsia="宋体" w:cs="宋体"/>
          <w:b w:val="0"/>
          <w:color w:val="auto"/>
          <w:sz w:val="21"/>
          <w:szCs w:val="21"/>
          <w:highlight w:val="none"/>
        </w:rPr>
        <w:t>强制采购或者优先采购产品</w:t>
      </w:r>
      <w:r>
        <w:rPr>
          <w:rFonts w:hint="eastAsia" w:ascii="宋体" w:hAnsi="宋体" w:eastAsia="宋体" w:cs="宋体"/>
          <w:b w:val="0"/>
          <w:bCs w:val="0"/>
          <w:color w:val="auto"/>
          <w:sz w:val="21"/>
          <w:szCs w:val="21"/>
          <w:highlight w:val="none"/>
        </w:rPr>
        <w:t>的</w:t>
      </w:r>
      <w:r>
        <w:rPr>
          <w:rFonts w:hint="eastAsia" w:ascii="宋体" w:hAnsi="宋体" w:eastAsia="宋体" w:cs="宋体"/>
          <w:b w:val="0"/>
          <w:color w:val="auto"/>
          <w:sz w:val="21"/>
          <w:szCs w:val="21"/>
          <w:highlight w:val="none"/>
        </w:rPr>
        <w:t>证明材料</w:t>
      </w:r>
      <w:bookmarkEnd w:id="242"/>
      <w:bookmarkEnd w:id="243"/>
      <w:bookmarkEnd w:id="244"/>
    </w:p>
    <w:p w14:paraId="356FB93F">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强制采购或者优先采购产品</w:t>
      </w:r>
      <w:r>
        <w:rPr>
          <w:rFonts w:hint="eastAsia" w:ascii="宋体" w:hAnsi="宋体" w:eastAsia="宋体" w:cs="宋体"/>
          <w:b/>
          <w:bCs/>
          <w:color w:val="auto"/>
          <w:sz w:val="28"/>
          <w:szCs w:val="28"/>
          <w:highlight w:val="none"/>
        </w:rPr>
        <w:t>的</w:t>
      </w:r>
      <w:r>
        <w:rPr>
          <w:rFonts w:hint="eastAsia" w:ascii="宋体" w:hAnsi="宋体" w:eastAsia="宋体" w:cs="宋体"/>
          <w:b/>
          <w:color w:val="auto"/>
          <w:sz w:val="28"/>
          <w:szCs w:val="28"/>
          <w:highlight w:val="none"/>
        </w:rPr>
        <w:t>证明材料</w:t>
      </w:r>
    </w:p>
    <w:p w14:paraId="430C1D09">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(不属于强制采购或者优先采购产品的无需提供)</w:t>
      </w:r>
    </w:p>
    <w:p w14:paraId="288675D5">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49EAD5F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说明：投标人提供的产品</w:t>
      </w:r>
      <w:r>
        <w:rPr>
          <w:rFonts w:hint="eastAsia" w:ascii="宋体" w:hAnsi="宋体" w:eastAsia="宋体" w:cs="宋体"/>
          <w:bCs/>
          <w:color w:val="auto"/>
          <w:szCs w:val="21"/>
          <w:highlight w:val="none"/>
        </w:rPr>
        <w:t>属于强制采购或者优先采购的</w:t>
      </w:r>
      <w:r>
        <w:rPr>
          <w:rFonts w:hint="eastAsia" w:ascii="宋体" w:hAnsi="宋体" w:eastAsia="宋体" w:cs="宋体"/>
          <w:color w:val="auto"/>
          <w:szCs w:val="21"/>
          <w:highlight w:val="none"/>
        </w:rPr>
        <w:t>，应按第二章第3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.6款规定提供证明材料和本章本节附页2“优先采购产品清单”，并加盖投标人单位电子章。</w:t>
      </w:r>
    </w:p>
    <w:p w14:paraId="350F9F85">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740948B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 w:val="28"/>
          <w:szCs w:val="28"/>
          <w:highlight w:val="none"/>
        </w:rPr>
        <w:br w:type="page"/>
      </w:r>
    </w:p>
    <w:p w14:paraId="204DABA3">
      <w:pPr>
        <w:adjustRightInd w:val="0"/>
        <w:snapToGrid w:val="0"/>
        <w:spacing w:line="360" w:lineRule="auto"/>
        <w:jc w:val="both"/>
        <w:rPr>
          <w:rFonts w:hint="eastAsia" w:ascii="宋体" w:hAnsi="宋体" w:eastAsia="宋体" w:cs="宋体"/>
          <w:b/>
          <w:color w:val="auto"/>
          <w:spacing w:val="6"/>
          <w:szCs w:val="21"/>
          <w:highlight w:val="none"/>
        </w:rPr>
      </w:pPr>
      <w:bookmarkStart w:id="245" w:name="_Toc22237"/>
      <w:bookmarkStart w:id="246" w:name="_Toc32584"/>
      <w:bookmarkStart w:id="247" w:name="_Toc29913975"/>
      <w:r>
        <w:rPr>
          <w:rFonts w:hint="eastAsia" w:ascii="宋体" w:hAnsi="宋体" w:eastAsia="宋体" w:cs="宋体"/>
          <w:b w:val="0"/>
          <w:bCs w:val="0"/>
          <w:color w:val="auto"/>
          <w:spacing w:val="6"/>
          <w:kern w:val="0"/>
          <w:sz w:val="21"/>
          <w:szCs w:val="21"/>
          <w:highlight w:val="none"/>
        </w:rPr>
        <w:t xml:space="preserve">附页 2 </w:t>
      </w:r>
      <w:r>
        <w:rPr>
          <w:rFonts w:hint="eastAsia" w:ascii="宋体" w:hAnsi="宋体" w:eastAsia="宋体" w:cs="宋体"/>
          <w:b w:val="0"/>
          <w:color w:val="auto"/>
          <w:sz w:val="21"/>
          <w:szCs w:val="21"/>
          <w:highlight w:val="none"/>
        </w:rPr>
        <w:t>优先采购产品清单</w:t>
      </w:r>
      <w:bookmarkEnd w:id="245"/>
      <w:bookmarkEnd w:id="246"/>
      <w:bookmarkEnd w:id="247"/>
      <w:r>
        <w:rPr>
          <w:rFonts w:hint="eastAsia" w:ascii="宋体" w:hAnsi="宋体" w:eastAsia="宋体" w:cs="宋体"/>
          <w:b/>
          <w:color w:val="auto"/>
          <w:spacing w:val="6"/>
          <w:szCs w:val="21"/>
          <w:highlight w:val="none"/>
        </w:rPr>
        <w:t>(不属于强制采购或者优先采购产品的无需提供)</w:t>
      </w:r>
    </w:p>
    <w:p w14:paraId="6078292B">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z w:val="28"/>
          <w:szCs w:val="28"/>
          <w:highlight w:val="none"/>
        </w:rPr>
        <w:t>优先采购产品清单</w:t>
      </w:r>
    </w:p>
    <w:p w14:paraId="07BC1549">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    ________</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____            ______</w:t>
      </w:r>
      <w:r>
        <w:rPr>
          <w:rFonts w:hint="eastAsia" w:ascii="宋体" w:hAnsi="宋体" w:eastAsia="宋体" w:cs="宋体"/>
          <w:color w:val="auto"/>
          <w:szCs w:val="21"/>
          <w:highlight w:val="none"/>
        </w:rPr>
        <w:t xml:space="preserve"> </w:t>
      </w:r>
    </w:p>
    <w:p w14:paraId="0FECF21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       号：</w:t>
      </w:r>
      <w:r>
        <w:rPr>
          <w:rFonts w:hint="eastAsia" w:ascii="宋体" w:hAnsi="宋体" w:eastAsia="宋体" w:cs="宋体"/>
          <w:color w:val="auto"/>
          <w:szCs w:val="21"/>
          <w:highlight w:val="none"/>
          <w:u w:val="single"/>
        </w:rPr>
        <w:t>__    ________</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___          _______</w:t>
      </w:r>
      <w:r>
        <w:rPr>
          <w:rFonts w:hint="eastAsia" w:ascii="宋体" w:hAnsi="宋体" w:eastAsia="宋体" w:cs="宋体"/>
          <w:color w:val="auto"/>
          <w:szCs w:val="21"/>
          <w:highlight w:val="none"/>
        </w:rPr>
        <w:t xml:space="preserve">  </w:t>
      </w:r>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738B8A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23FBA271">
            <w:pPr>
              <w:widowControl/>
              <w:adjustRightInd w:val="0"/>
              <w:snapToGri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以下为投标人提供的政府采购优先采购产品，投标人对本表的真实性负责。如有虚假，将依法承担相应责任。</w:t>
            </w:r>
          </w:p>
        </w:tc>
      </w:tr>
      <w:tr w14:paraId="3DA5D9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495DDCD2">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739" w:type="dxa"/>
            <w:vAlign w:val="center"/>
          </w:tcPr>
          <w:p w14:paraId="6A130395">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134" w:type="dxa"/>
            <w:tcBorders>
              <w:right w:val="single" w:color="auto" w:sz="4" w:space="0"/>
            </w:tcBorders>
            <w:vAlign w:val="center"/>
          </w:tcPr>
          <w:p w14:paraId="78C19DD3">
            <w:pPr>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418" w:type="dxa"/>
            <w:tcBorders>
              <w:left w:val="single" w:color="auto" w:sz="4" w:space="0"/>
            </w:tcBorders>
            <w:vAlign w:val="center"/>
          </w:tcPr>
          <w:p w14:paraId="0E132FAF">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984" w:type="dxa"/>
            <w:vAlign w:val="center"/>
          </w:tcPr>
          <w:p w14:paraId="4BF3B6DE">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1843" w:type="dxa"/>
            <w:vAlign w:val="center"/>
          </w:tcPr>
          <w:p w14:paraId="0BCEFD49">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r>
      <w:tr w14:paraId="73DF3F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38C006E">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739" w:type="dxa"/>
            <w:vAlign w:val="center"/>
          </w:tcPr>
          <w:p w14:paraId="6BFBA820">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货物名称</w:t>
            </w:r>
          </w:p>
        </w:tc>
        <w:tc>
          <w:tcPr>
            <w:tcW w:w="1134" w:type="dxa"/>
            <w:tcBorders>
              <w:right w:val="single" w:color="auto" w:sz="4" w:space="0"/>
            </w:tcBorders>
            <w:vAlign w:val="center"/>
          </w:tcPr>
          <w:p w14:paraId="21FB1F75">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规格型号</w:t>
            </w:r>
          </w:p>
        </w:tc>
        <w:tc>
          <w:tcPr>
            <w:tcW w:w="1418" w:type="dxa"/>
            <w:tcBorders>
              <w:left w:val="single" w:color="auto" w:sz="4" w:space="0"/>
            </w:tcBorders>
            <w:vAlign w:val="center"/>
          </w:tcPr>
          <w:p w14:paraId="2C4E2D8B">
            <w:pPr>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价格（元）</w:t>
            </w:r>
          </w:p>
        </w:tc>
        <w:tc>
          <w:tcPr>
            <w:tcW w:w="1984" w:type="dxa"/>
            <w:vAlign w:val="center"/>
          </w:tcPr>
          <w:p w14:paraId="22F141A8">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货物制造商名称</w:t>
            </w:r>
          </w:p>
        </w:tc>
        <w:tc>
          <w:tcPr>
            <w:tcW w:w="1843" w:type="dxa"/>
            <w:vAlign w:val="center"/>
          </w:tcPr>
          <w:p w14:paraId="4D6CB3B0">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政策功能编码</w:t>
            </w:r>
          </w:p>
        </w:tc>
      </w:tr>
      <w:tr w14:paraId="6628E4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62A4F590">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节能产品</w:t>
            </w:r>
          </w:p>
        </w:tc>
      </w:tr>
      <w:tr w14:paraId="4A2A51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04D8E81">
            <w:pPr>
              <w:adjustRightInd w:val="0"/>
              <w:snapToGrid w:val="0"/>
              <w:spacing w:line="360" w:lineRule="auto"/>
              <w:jc w:val="center"/>
              <w:rPr>
                <w:rFonts w:hint="eastAsia" w:ascii="宋体" w:hAnsi="宋体" w:eastAsia="宋体" w:cs="宋体"/>
                <w:b/>
                <w:color w:val="auto"/>
                <w:szCs w:val="21"/>
                <w:highlight w:val="none"/>
              </w:rPr>
            </w:pPr>
          </w:p>
        </w:tc>
        <w:tc>
          <w:tcPr>
            <w:tcW w:w="1739" w:type="dxa"/>
            <w:vAlign w:val="center"/>
          </w:tcPr>
          <w:p w14:paraId="3BA0A9D6">
            <w:pPr>
              <w:adjustRightInd w:val="0"/>
              <w:snapToGrid w:val="0"/>
              <w:spacing w:line="360" w:lineRule="auto"/>
              <w:jc w:val="center"/>
              <w:rPr>
                <w:rFonts w:hint="eastAsia" w:ascii="宋体" w:hAnsi="宋体" w:eastAsia="宋体" w:cs="宋体"/>
                <w:b/>
                <w:color w:val="auto"/>
                <w:szCs w:val="21"/>
                <w:highlight w:val="none"/>
              </w:rPr>
            </w:pPr>
          </w:p>
        </w:tc>
        <w:tc>
          <w:tcPr>
            <w:tcW w:w="1134" w:type="dxa"/>
            <w:tcBorders>
              <w:right w:val="single" w:color="auto" w:sz="4" w:space="0"/>
            </w:tcBorders>
            <w:vAlign w:val="center"/>
          </w:tcPr>
          <w:p w14:paraId="3EECB711">
            <w:pPr>
              <w:adjustRightInd w:val="0"/>
              <w:snapToGrid w:val="0"/>
              <w:spacing w:line="360" w:lineRule="auto"/>
              <w:jc w:val="left"/>
              <w:rPr>
                <w:rFonts w:hint="eastAsia" w:ascii="宋体" w:hAnsi="宋体" w:eastAsia="宋体" w:cs="宋体"/>
                <w:b/>
                <w:color w:val="auto"/>
                <w:szCs w:val="21"/>
                <w:highlight w:val="none"/>
              </w:rPr>
            </w:pPr>
          </w:p>
        </w:tc>
        <w:tc>
          <w:tcPr>
            <w:tcW w:w="1418" w:type="dxa"/>
            <w:tcBorders>
              <w:left w:val="single" w:color="auto" w:sz="4" w:space="0"/>
            </w:tcBorders>
            <w:vAlign w:val="center"/>
          </w:tcPr>
          <w:p w14:paraId="4DF7FC44">
            <w:pPr>
              <w:adjustRightInd w:val="0"/>
              <w:snapToGrid w:val="0"/>
              <w:spacing w:line="360" w:lineRule="auto"/>
              <w:jc w:val="left"/>
              <w:rPr>
                <w:rFonts w:hint="eastAsia" w:ascii="宋体" w:hAnsi="宋体" w:eastAsia="宋体" w:cs="宋体"/>
                <w:b/>
                <w:color w:val="auto"/>
                <w:szCs w:val="21"/>
                <w:highlight w:val="none"/>
              </w:rPr>
            </w:pPr>
          </w:p>
        </w:tc>
        <w:tc>
          <w:tcPr>
            <w:tcW w:w="1984" w:type="dxa"/>
            <w:vAlign w:val="center"/>
          </w:tcPr>
          <w:p w14:paraId="7C46EDD7">
            <w:pPr>
              <w:adjustRightInd w:val="0"/>
              <w:snapToGrid w:val="0"/>
              <w:spacing w:line="360" w:lineRule="auto"/>
              <w:jc w:val="center"/>
              <w:rPr>
                <w:rFonts w:hint="eastAsia" w:ascii="宋体" w:hAnsi="宋体" w:eastAsia="宋体" w:cs="宋体"/>
                <w:b/>
                <w:color w:val="auto"/>
                <w:szCs w:val="21"/>
                <w:highlight w:val="none"/>
              </w:rPr>
            </w:pPr>
          </w:p>
        </w:tc>
        <w:tc>
          <w:tcPr>
            <w:tcW w:w="1843" w:type="dxa"/>
          </w:tcPr>
          <w:p w14:paraId="77D00537">
            <w:pPr>
              <w:adjustRightInd w:val="0"/>
              <w:snapToGrid w:val="0"/>
              <w:spacing w:line="360" w:lineRule="auto"/>
              <w:jc w:val="center"/>
              <w:rPr>
                <w:rFonts w:hint="eastAsia" w:ascii="宋体" w:hAnsi="宋体" w:eastAsia="宋体" w:cs="宋体"/>
                <w:b/>
                <w:color w:val="auto"/>
                <w:szCs w:val="21"/>
                <w:highlight w:val="none"/>
              </w:rPr>
            </w:pPr>
          </w:p>
        </w:tc>
      </w:tr>
      <w:tr w14:paraId="52DEC0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01F5BF2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1739" w:type="dxa"/>
            <w:vAlign w:val="center"/>
          </w:tcPr>
          <w:p w14:paraId="2A696DED">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134" w:type="dxa"/>
            <w:tcBorders>
              <w:right w:val="single" w:color="auto" w:sz="4" w:space="0"/>
            </w:tcBorders>
            <w:vAlign w:val="center"/>
          </w:tcPr>
          <w:p w14:paraId="40C88FF7">
            <w:pPr>
              <w:adjustRightInd w:val="0"/>
              <w:snapToGrid w:val="0"/>
              <w:spacing w:line="360" w:lineRule="auto"/>
              <w:jc w:val="left"/>
              <w:rPr>
                <w:rFonts w:hint="eastAsia" w:ascii="宋体" w:hAnsi="宋体" w:eastAsia="宋体" w:cs="宋体"/>
                <w:b/>
                <w:color w:val="auto"/>
                <w:szCs w:val="21"/>
                <w:highlight w:val="none"/>
              </w:rPr>
            </w:pPr>
          </w:p>
        </w:tc>
        <w:tc>
          <w:tcPr>
            <w:tcW w:w="1418" w:type="dxa"/>
            <w:tcBorders>
              <w:left w:val="single" w:color="auto" w:sz="4" w:space="0"/>
            </w:tcBorders>
            <w:vAlign w:val="center"/>
          </w:tcPr>
          <w:p w14:paraId="0C9C3BCB">
            <w:pPr>
              <w:adjustRightInd w:val="0"/>
              <w:snapToGrid w:val="0"/>
              <w:spacing w:line="360" w:lineRule="auto"/>
              <w:jc w:val="left"/>
              <w:rPr>
                <w:rFonts w:hint="eastAsia" w:ascii="宋体" w:hAnsi="宋体" w:eastAsia="宋体" w:cs="宋体"/>
                <w:b/>
                <w:color w:val="auto"/>
                <w:szCs w:val="21"/>
                <w:highlight w:val="none"/>
              </w:rPr>
            </w:pPr>
          </w:p>
        </w:tc>
        <w:tc>
          <w:tcPr>
            <w:tcW w:w="1984" w:type="dxa"/>
            <w:vAlign w:val="center"/>
          </w:tcPr>
          <w:p w14:paraId="5C8D066C">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843" w:type="dxa"/>
          </w:tcPr>
          <w:p w14:paraId="16CABE7D">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r>
      <w:tr w14:paraId="798E62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72D8661D">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环境标志产品</w:t>
            </w:r>
          </w:p>
        </w:tc>
      </w:tr>
      <w:tr w14:paraId="1A0CFC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2126451">
            <w:pPr>
              <w:adjustRightInd w:val="0"/>
              <w:snapToGrid w:val="0"/>
              <w:spacing w:line="360" w:lineRule="auto"/>
              <w:jc w:val="center"/>
              <w:rPr>
                <w:rFonts w:hint="eastAsia" w:ascii="宋体" w:hAnsi="宋体" w:eastAsia="宋体" w:cs="宋体"/>
                <w:b/>
                <w:color w:val="auto"/>
                <w:szCs w:val="21"/>
                <w:highlight w:val="none"/>
              </w:rPr>
            </w:pPr>
          </w:p>
        </w:tc>
        <w:tc>
          <w:tcPr>
            <w:tcW w:w="1739" w:type="dxa"/>
            <w:vAlign w:val="center"/>
          </w:tcPr>
          <w:p w14:paraId="2A1B4CA4">
            <w:pPr>
              <w:adjustRightInd w:val="0"/>
              <w:snapToGrid w:val="0"/>
              <w:spacing w:line="360" w:lineRule="auto"/>
              <w:jc w:val="center"/>
              <w:rPr>
                <w:rFonts w:hint="eastAsia" w:ascii="宋体" w:hAnsi="宋体" w:eastAsia="宋体" w:cs="宋体"/>
                <w:b/>
                <w:color w:val="auto"/>
                <w:szCs w:val="21"/>
                <w:highlight w:val="none"/>
              </w:rPr>
            </w:pPr>
          </w:p>
        </w:tc>
        <w:tc>
          <w:tcPr>
            <w:tcW w:w="1134" w:type="dxa"/>
            <w:tcBorders>
              <w:right w:val="single" w:color="auto" w:sz="4" w:space="0"/>
            </w:tcBorders>
            <w:vAlign w:val="center"/>
          </w:tcPr>
          <w:p w14:paraId="2DFEC1B1">
            <w:pPr>
              <w:adjustRightInd w:val="0"/>
              <w:snapToGrid w:val="0"/>
              <w:spacing w:line="360" w:lineRule="auto"/>
              <w:jc w:val="left"/>
              <w:rPr>
                <w:rFonts w:hint="eastAsia" w:ascii="宋体" w:hAnsi="宋体" w:eastAsia="宋体" w:cs="宋体"/>
                <w:b/>
                <w:color w:val="auto"/>
                <w:szCs w:val="21"/>
                <w:highlight w:val="none"/>
              </w:rPr>
            </w:pPr>
          </w:p>
        </w:tc>
        <w:tc>
          <w:tcPr>
            <w:tcW w:w="1418" w:type="dxa"/>
            <w:tcBorders>
              <w:left w:val="single" w:color="auto" w:sz="4" w:space="0"/>
            </w:tcBorders>
            <w:vAlign w:val="center"/>
          </w:tcPr>
          <w:p w14:paraId="5A63B817">
            <w:pPr>
              <w:adjustRightInd w:val="0"/>
              <w:snapToGrid w:val="0"/>
              <w:spacing w:line="360" w:lineRule="auto"/>
              <w:jc w:val="left"/>
              <w:rPr>
                <w:rFonts w:hint="eastAsia" w:ascii="宋体" w:hAnsi="宋体" w:eastAsia="宋体" w:cs="宋体"/>
                <w:b/>
                <w:color w:val="auto"/>
                <w:szCs w:val="21"/>
                <w:highlight w:val="none"/>
              </w:rPr>
            </w:pPr>
          </w:p>
        </w:tc>
        <w:tc>
          <w:tcPr>
            <w:tcW w:w="1984" w:type="dxa"/>
            <w:vAlign w:val="center"/>
          </w:tcPr>
          <w:p w14:paraId="0E0ED8B7">
            <w:pPr>
              <w:adjustRightInd w:val="0"/>
              <w:snapToGrid w:val="0"/>
              <w:spacing w:line="360" w:lineRule="auto"/>
              <w:jc w:val="center"/>
              <w:rPr>
                <w:rFonts w:hint="eastAsia" w:ascii="宋体" w:hAnsi="宋体" w:eastAsia="宋体" w:cs="宋体"/>
                <w:b/>
                <w:color w:val="auto"/>
                <w:szCs w:val="21"/>
                <w:highlight w:val="none"/>
              </w:rPr>
            </w:pPr>
          </w:p>
        </w:tc>
        <w:tc>
          <w:tcPr>
            <w:tcW w:w="1843" w:type="dxa"/>
          </w:tcPr>
          <w:p w14:paraId="5A1EA7D0">
            <w:pPr>
              <w:adjustRightInd w:val="0"/>
              <w:snapToGrid w:val="0"/>
              <w:spacing w:line="360" w:lineRule="auto"/>
              <w:jc w:val="center"/>
              <w:rPr>
                <w:rFonts w:hint="eastAsia" w:ascii="宋体" w:hAnsi="宋体" w:eastAsia="宋体" w:cs="宋体"/>
                <w:b/>
                <w:color w:val="auto"/>
                <w:szCs w:val="21"/>
                <w:highlight w:val="none"/>
              </w:rPr>
            </w:pPr>
          </w:p>
        </w:tc>
      </w:tr>
      <w:tr w14:paraId="2921CF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025DF03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1739" w:type="dxa"/>
            <w:vAlign w:val="center"/>
          </w:tcPr>
          <w:p w14:paraId="465B0E4A">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134" w:type="dxa"/>
            <w:tcBorders>
              <w:right w:val="single" w:color="auto" w:sz="4" w:space="0"/>
            </w:tcBorders>
            <w:vAlign w:val="center"/>
          </w:tcPr>
          <w:p w14:paraId="0A4FCCF0">
            <w:pPr>
              <w:adjustRightInd w:val="0"/>
              <w:snapToGrid w:val="0"/>
              <w:spacing w:line="360" w:lineRule="auto"/>
              <w:jc w:val="left"/>
              <w:rPr>
                <w:rFonts w:hint="eastAsia" w:ascii="宋体" w:hAnsi="宋体" w:eastAsia="宋体" w:cs="宋体"/>
                <w:b/>
                <w:color w:val="auto"/>
                <w:szCs w:val="21"/>
                <w:highlight w:val="none"/>
              </w:rPr>
            </w:pPr>
          </w:p>
        </w:tc>
        <w:tc>
          <w:tcPr>
            <w:tcW w:w="1418" w:type="dxa"/>
            <w:tcBorders>
              <w:left w:val="single" w:color="auto" w:sz="4" w:space="0"/>
            </w:tcBorders>
            <w:vAlign w:val="center"/>
          </w:tcPr>
          <w:p w14:paraId="2AE05C07">
            <w:pPr>
              <w:adjustRightInd w:val="0"/>
              <w:snapToGrid w:val="0"/>
              <w:spacing w:line="360" w:lineRule="auto"/>
              <w:jc w:val="left"/>
              <w:rPr>
                <w:rFonts w:hint="eastAsia" w:ascii="宋体" w:hAnsi="宋体" w:eastAsia="宋体" w:cs="宋体"/>
                <w:b/>
                <w:color w:val="auto"/>
                <w:szCs w:val="21"/>
                <w:highlight w:val="none"/>
              </w:rPr>
            </w:pPr>
          </w:p>
        </w:tc>
        <w:tc>
          <w:tcPr>
            <w:tcW w:w="1984" w:type="dxa"/>
            <w:vAlign w:val="center"/>
          </w:tcPr>
          <w:p w14:paraId="31C5CBC5">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843" w:type="dxa"/>
          </w:tcPr>
          <w:p w14:paraId="5B1C31FF">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r>
    </w:tbl>
    <w:p w14:paraId="220C608D">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r>
        <w:rPr>
          <w:rFonts w:hint="eastAsia" w:ascii="宋体" w:hAnsi="宋体" w:eastAsia="宋体" w:cs="宋体"/>
          <w:bCs/>
          <w:color w:val="auto"/>
          <w:szCs w:val="21"/>
          <w:highlight w:val="none"/>
        </w:rPr>
        <w:t>1、</w:t>
      </w:r>
      <w:r>
        <w:rPr>
          <w:rFonts w:hint="eastAsia" w:ascii="宋体" w:hAnsi="宋体" w:eastAsia="宋体" w:cs="宋体"/>
          <w:color w:val="auto"/>
          <w:szCs w:val="21"/>
          <w:highlight w:val="none"/>
        </w:rPr>
        <w:t>本表用于计算政府采购优先采购产品（节能产品或环境标志产品）的政府采购政策加分或者价格扣除。</w:t>
      </w:r>
    </w:p>
    <w:p w14:paraId="3A2A01A0">
      <w:pPr>
        <w:adjustRightInd w:val="0"/>
        <w:snapToGrid w:val="0"/>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2、栏目4“价格”为综合单价，包含货物所有隐含的内容，如运输费、保险费、管理费和利润等。</w:t>
      </w:r>
    </w:p>
    <w:p w14:paraId="6FBA69A7">
      <w:pPr>
        <w:adjustRightInd w:val="0"/>
        <w:snapToGrid w:val="0"/>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3、栏目6“政策功能编码”是指货物的中国环境标志认证证书编号、中国节能标志认证证书号（货物同时属于节能产品、环境标志产品</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，只须填写一种）。</w:t>
      </w:r>
    </w:p>
    <w:p w14:paraId="0E820E0F">
      <w:pPr>
        <w:adjustRightInd w:val="0"/>
        <w:snapToGrid w:val="0"/>
        <w:spacing w:line="360" w:lineRule="auto"/>
        <w:ind w:firstLine="630" w:firstLineChars="3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4、投标人在投标截止时间前修改“开标一览表”中的投标报价的，应按第二章第13.7款规定修改本表相应内容。否则，评审时涉及本表所有优惠不予以考虑。</w:t>
      </w:r>
    </w:p>
    <w:p w14:paraId="684A2CD2">
      <w:pPr>
        <w:adjustRightInd w:val="0"/>
        <w:snapToGrid w:val="0"/>
        <w:spacing w:line="360" w:lineRule="auto"/>
        <w:rPr>
          <w:rFonts w:hint="eastAsia" w:ascii="宋体" w:hAnsi="宋体" w:eastAsia="宋体" w:cs="宋体"/>
          <w:color w:val="auto"/>
          <w:szCs w:val="21"/>
          <w:highlight w:val="none"/>
        </w:rPr>
      </w:pPr>
    </w:p>
    <w:p w14:paraId="49EE2F5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75B459AA">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3DCB8693">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072548E">
      <w:pPr>
        <w:rPr>
          <w:rFonts w:hint="eastAsia" w:ascii="宋体" w:hAnsi="宋体" w:eastAsia="宋体" w:cs="宋体"/>
          <w:b/>
          <w:bCs/>
          <w:color w:val="auto"/>
          <w:sz w:val="32"/>
          <w:szCs w:val="21"/>
          <w:highlight w:val="none"/>
        </w:rPr>
      </w:pPr>
      <w:r>
        <w:rPr>
          <w:rFonts w:hint="eastAsia" w:ascii="宋体" w:hAnsi="宋体" w:eastAsia="宋体" w:cs="宋体"/>
          <w:color w:val="auto"/>
          <w:szCs w:val="21"/>
          <w:highlight w:val="none"/>
        </w:rPr>
        <w:br w:type="page"/>
      </w:r>
    </w:p>
    <w:p w14:paraId="4E89301C">
      <w:pPr>
        <w:pStyle w:val="4"/>
        <w:adjustRightInd w:val="0"/>
        <w:snapToGrid w:val="0"/>
        <w:spacing w:before="0" w:after="0" w:line="360" w:lineRule="auto"/>
        <w:jc w:val="center"/>
        <w:rPr>
          <w:rFonts w:hint="eastAsia" w:ascii="宋体" w:hAnsi="宋体" w:eastAsia="宋体" w:cs="宋体"/>
          <w:color w:val="auto"/>
          <w:sz w:val="28"/>
          <w:szCs w:val="28"/>
          <w:highlight w:val="none"/>
          <w:lang w:eastAsia="zh-CN"/>
        </w:rPr>
      </w:pPr>
      <w:bookmarkStart w:id="248" w:name="_Toc23769"/>
      <w:bookmarkStart w:id="249" w:name="_Toc2561"/>
      <w:bookmarkStart w:id="250" w:name="_Toc29913977"/>
      <w:r>
        <w:rPr>
          <w:rFonts w:hint="eastAsia" w:ascii="宋体" w:hAnsi="宋体" w:cs="宋体"/>
          <w:color w:val="auto"/>
          <w:sz w:val="28"/>
          <w:szCs w:val="28"/>
          <w:highlight w:val="none"/>
          <w:lang w:val="en-US" w:eastAsia="zh-CN"/>
        </w:rPr>
        <w:t>十一</w:t>
      </w:r>
      <w:r>
        <w:rPr>
          <w:rFonts w:hint="eastAsia" w:ascii="宋体" w:hAnsi="宋体" w:eastAsia="宋体" w:cs="宋体"/>
          <w:color w:val="auto"/>
          <w:sz w:val="28"/>
          <w:szCs w:val="28"/>
          <w:highlight w:val="none"/>
        </w:rPr>
        <w:t>、</w:t>
      </w:r>
      <w:bookmarkEnd w:id="248"/>
      <w:bookmarkEnd w:id="249"/>
      <w:r>
        <w:rPr>
          <w:rFonts w:hint="eastAsia" w:ascii="宋体" w:hAnsi="宋体" w:eastAsia="宋体" w:cs="宋体"/>
          <w:color w:val="auto"/>
          <w:sz w:val="28"/>
          <w:szCs w:val="28"/>
          <w:highlight w:val="none"/>
          <w:lang w:eastAsia="zh-CN"/>
        </w:rPr>
        <w:t>投标服务（含配套货物）符合招标文件规定的证明文件</w:t>
      </w:r>
    </w:p>
    <w:p w14:paraId="3FFF19C5">
      <w:pPr>
        <w:adjustRightInd w:val="0"/>
        <w:snapToGrid w:val="0"/>
        <w:spacing w:line="360" w:lineRule="auto"/>
        <w:rPr>
          <w:rFonts w:hint="eastAsia" w:ascii="宋体" w:hAnsi="宋体" w:eastAsia="宋体" w:cs="宋体"/>
          <w:color w:val="auto"/>
          <w:szCs w:val="21"/>
          <w:highlight w:val="none"/>
        </w:rPr>
      </w:pPr>
    </w:p>
    <w:p w14:paraId="626645A9">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备注：提供第五章规定的证明材料复印件。</w:t>
      </w:r>
    </w:p>
    <w:p w14:paraId="01A24DCE">
      <w:pPr>
        <w:widowControl/>
        <w:jc w:val="left"/>
        <w:rPr>
          <w:rFonts w:hint="eastAsia" w:ascii="宋体" w:hAnsi="宋体" w:eastAsia="宋体" w:cs="宋体"/>
          <w:color w:val="auto"/>
          <w:sz w:val="28"/>
          <w:szCs w:val="28"/>
          <w:highlight w:val="none"/>
        </w:rPr>
      </w:pPr>
    </w:p>
    <w:p w14:paraId="488CE8D3">
      <w:pPr>
        <w:pStyle w:val="58"/>
        <w:rPr>
          <w:rFonts w:hint="eastAsia" w:ascii="宋体" w:hAnsi="宋体" w:eastAsia="宋体" w:cs="宋体"/>
          <w:color w:val="auto"/>
          <w:sz w:val="28"/>
          <w:szCs w:val="28"/>
          <w:highlight w:val="none"/>
        </w:rPr>
      </w:pPr>
    </w:p>
    <w:p w14:paraId="051B59EE">
      <w:pPr>
        <w:pStyle w:val="58"/>
        <w:rPr>
          <w:rFonts w:hint="eastAsia" w:ascii="宋体" w:hAnsi="宋体" w:eastAsia="宋体" w:cs="宋体"/>
          <w:color w:val="auto"/>
          <w:sz w:val="28"/>
          <w:szCs w:val="28"/>
          <w:highlight w:val="none"/>
        </w:rPr>
      </w:pPr>
    </w:p>
    <w:p w14:paraId="4F7CA66D">
      <w:pPr>
        <w:pStyle w:val="58"/>
        <w:rPr>
          <w:rFonts w:hint="eastAsia" w:ascii="宋体" w:hAnsi="宋体" w:eastAsia="宋体" w:cs="宋体"/>
          <w:color w:val="auto"/>
          <w:sz w:val="28"/>
          <w:szCs w:val="28"/>
          <w:highlight w:val="none"/>
        </w:rPr>
      </w:pPr>
    </w:p>
    <w:p w14:paraId="4A0CD31B">
      <w:pPr>
        <w:pStyle w:val="58"/>
        <w:rPr>
          <w:rFonts w:hint="eastAsia" w:ascii="宋体" w:hAnsi="宋体" w:eastAsia="宋体" w:cs="宋体"/>
          <w:color w:val="auto"/>
          <w:sz w:val="28"/>
          <w:szCs w:val="28"/>
          <w:highlight w:val="none"/>
        </w:rPr>
      </w:pPr>
    </w:p>
    <w:p w14:paraId="5460A080">
      <w:pPr>
        <w:pStyle w:val="4"/>
        <w:adjustRightInd w:val="0"/>
        <w:snapToGrid w:val="0"/>
        <w:spacing w:before="0" w:after="0" w:line="360" w:lineRule="auto"/>
        <w:jc w:val="center"/>
        <w:rPr>
          <w:rFonts w:hint="eastAsia" w:ascii="宋体" w:hAnsi="宋体" w:eastAsia="宋体" w:cs="宋体"/>
          <w:color w:val="auto"/>
          <w:sz w:val="28"/>
          <w:szCs w:val="28"/>
          <w:highlight w:val="none"/>
        </w:rPr>
      </w:pPr>
      <w:bookmarkStart w:id="251" w:name="_Toc15533"/>
      <w:bookmarkStart w:id="252" w:name="_Toc29068"/>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二</w:t>
      </w:r>
      <w:r>
        <w:rPr>
          <w:rFonts w:hint="eastAsia" w:ascii="宋体" w:hAnsi="宋体" w:eastAsia="宋体" w:cs="宋体"/>
          <w:color w:val="auto"/>
          <w:sz w:val="28"/>
          <w:szCs w:val="28"/>
          <w:highlight w:val="none"/>
        </w:rPr>
        <w:t>、投标人认为需提供的其他资料</w:t>
      </w:r>
      <w:bookmarkEnd w:id="250"/>
      <w:bookmarkEnd w:id="251"/>
      <w:bookmarkEnd w:id="252"/>
    </w:p>
    <w:p w14:paraId="6F69BD40">
      <w:pPr>
        <w:adjustRightInd w:val="0"/>
        <w:snapToGrid w:val="0"/>
        <w:spacing w:before="156" w:beforeLines="50" w:line="360" w:lineRule="auto"/>
        <w:rPr>
          <w:rFonts w:hint="eastAsia" w:ascii="宋体" w:hAnsi="宋体" w:eastAsia="宋体" w:cs="宋体"/>
          <w:color w:val="auto"/>
          <w:highlight w:val="none"/>
        </w:rPr>
      </w:pPr>
    </w:p>
    <w:p w14:paraId="665BC6F1">
      <w:pPr>
        <w:adjustRightInd w:val="0"/>
        <w:snapToGrid w:val="0"/>
        <w:spacing w:before="156" w:beforeLines="50"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备注：投标人认为需提供的其他资料包括：</w:t>
      </w:r>
    </w:p>
    <w:p w14:paraId="3BA59A09">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（1）招标文件第五章采购需求要求的其他资料；</w:t>
      </w:r>
    </w:p>
    <w:p w14:paraId="528A6B3E">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（2）招标文件第四章评标方法及标准要求的其他相关资料。</w:t>
      </w:r>
    </w:p>
    <w:sectPr>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669FD14-AB65-46C7-9AC6-7486B995C47B}"/>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249AD07E-8C3B-4088-B349-84474BD9D1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104D555-2E48-418D-B1DB-CEDCF33E82E3}"/>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4FEC096A-E359-437E-9EE7-79B66DCBDBA5}"/>
  </w:font>
  <w:font w:name="楷体_GB2312">
    <w:altName w:val="楷体"/>
    <w:panose1 w:val="02010609030101010101"/>
    <w:charset w:val="86"/>
    <w:family w:val="roman"/>
    <w:pitch w:val="default"/>
    <w:sig w:usb0="00000000" w:usb1="00000000" w:usb2="00000000" w:usb3="00000000" w:csb0="00040000" w:csb1="00000000"/>
    <w:embedRegular r:id="rId5" w:fontKey="{B3AC505D-AA6D-4EF8-8709-94C1CF3F9999}"/>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0"/>
    <w:family w:val="auto"/>
    <w:pitch w:val="default"/>
    <w:sig w:usb0="00000000" w:usb1="00000000" w:usb2="00000000" w:usb3="00000000" w:csb0="80000000" w:csb1="00000000"/>
    <w:embedRegular r:id="rId6" w:fontKey="{3AF1A9A0-E0E3-429D-9270-3C54D840B4C0}"/>
  </w:font>
  <w:font w:name="方正仿宋_GB2312">
    <w:panose1 w:val="02000000000000000000"/>
    <w:charset w:val="86"/>
    <w:family w:val="auto"/>
    <w:pitch w:val="default"/>
    <w:sig w:usb0="A00002BF" w:usb1="184F6CFA" w:usb2="00000012" w:usb3="00000000" w:csb0="00040001" w:csb1="00000000"/>
    <w:embedRegular r:id="rId7" w:fontKey="{16DC6E6C-E6EF-47CD-A667-CDCE11E2E1A7}"/>
  </w:font>
  <w:font w:name="华文中宋">
    <w:altName w:val="汉仪中宋简"/>
    <w:panose1 w:val="02010600040101010101"/>
    <w:charset w:val="86"/>
    <w:family w:val="auto"/>
    <w:pitch w:val="default"/>
    <w:sig w:usb0="00000000" w:usb1="00000000" w:usb2="00000000" w:usb3="00000000" w:csb0="0004009F" w:csb1="DFD70000"/>
    <w:embedRegular r:id="rId8" w:fontKey="{5654CAF8-352F-45FF-99C0-0ED3719B2FA2}"/>
  </w:font>
  <w:font w:name="汉仪中宋简">
    <w:panose1 w:val="02010600000101010101"/>
    <w:charset w:val="86"/>
    <w:family w:val="auto"/>
    <w:pitch w:val="default"/>
    <w:sig w:usb0="800002BF" w:usb1="184F6CF8" w:usb2="00000012" w:usb3="00000000" w:csb0="00020001"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9E826">
    <w:pPr>
      <w:pStyle w:val="2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9AFC3">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429AFC3">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96B0C">
    <w:pPr>
      <w:pStyle w:val="27"/>
      <w:ind w:left="300" w:right="359" w:rightChars="171" w:hanging="180" w:hangingChars="100"/>
      <w:jc w:val="right"/>
      <w:rPr>
        <w:rFonts w:eastAsia="楷体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6BE07D">
                          <w:pPr>
                            <w:pStyle w:val="2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E6BE07D">
                    <w:pPr>
                      <w:pStyle w:val="2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8A8C6">
    <w:pPr>
      <w:pStyle w:val="27"/>
      <w:ind w:right="36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E29AE">
                          <w:pPr>
                            <w:pStyle w:val="2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E8E29AE">
                    <w:pPr>
                      <w:pStyle w:val="2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2216C">
    <w:pPr>
      <w:pStyle w:val="27"/>
      <w:ind w:left="300" w:right="359" w:rightChars="171" w:hanging="180" w:hangingChars="100"/>
      <w:jc w:val="right"/>
      <w:rPr>
        <w:rFonts w:eastAsia="楷体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F259A5">
                          <w:pPr>
                            <w:pStyle w:val="27"/>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CF259A5">
                    <w:pPr>
                      <w:pStyle w:val="27"/>
                    </w:pPr>
                    <w:r>
                      <w:fldChar w:fldCharType="begin"/>
                    </w:r>
                    <w:r>
                      <w:instrText xml:space="preserve"> PAGE  \* MERGEFORMAT </w:instrText>
                    </w:r>
                    <w:r>
                      <w:fldChar w:fldCharType="separate"/>
                    </w:r>
                    <w:r>
                      <w:t>91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883B1">
    <w:pPr>
      <w:pStyle w:val="28"/>
      <w:pBdr>
        <w:bottom w:val="none" w:color="auto" w:sz="0" w:space="0"/>
      </w:pBdr>
    </w:pPr>
    <w:r>
      <w:rPr>
        <w:rFonts w:hint="eastAsia" w:ascii="宋体" w:hAnsi="宋体" w:eastAsia="宋体" w:cs="宋体"/>
        <w:b/>
        <w:color w:val="auto"/>
        <w:sz w:val="72"/>
        <w:szCs w:val="72"/>
        <w:highlight w:val="none"/>
        <w:lang w:eastAsia="zh-CN"/>
      </w:rPr>
      <w:drawing>
        <wp:anchor distT="0" distB="0" distL="114300" distR="114300" simplePos="0" relativeHeight="251659264" behindDoc="0" locked="0" layoutInCell="1" allowOverlap="1">
          <wp:simplePos x="0" y="0"/>
          <wp:positionH relativeFrom="column">
            <wp:posOffset>-146685</wp:posOffset>
          </wp:positionH>
          <wp:positionV relativeFrom="paragraph">
            <wp:posOffset>211455</wp:posOffset>
          </wp:positionV>
          <wp:extent cx="2704465" cy="757555"/>
          <wp:effectExtent l="0" t="0" r="635" b="4445"/>
          <wp:wrapNone/>
          <wp:docPr id="1" name="图片 3" descr="5af0e847225114d02bfe3f0837b57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5af0e847225114d02bfe3f0837b57d2"/>
                  <pic:cNvPicPr>
                    <a:picLocks noChangeAspect="1"/>
                  </pic:cNvPicPr>
                </pic:nvPicPr>
                <pic:blipFill>
                  <a:blip r:embed="rId1"/>
                  <a:stretch>
                    <a:fillRect/>
                  </a:stretch>
                </pic:blipFill>
                <pic:spPr>
                  <a:xfrm>
                    <a:off x="0" y="0"/>
                    <a:ext cx="2704465" cy="75755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1D359">
    <w:pPr>
      <w:widowControl w:val="0"/>
      <w:pBdr>
        <w:top w:val="none" w:color="auto" w:sz="0" w:space="1"/>
        <w:left w:val="none" w:color="auto" w:sz="0" w:space="4"/>
        <w:bottom w:val="none" w:color="auto" w:sz="0" w:space="1"/>
        <w:right w:val="none" w:color="auto" w:sz="0" w:space="4"/>
      </w:pBdr>
      <w:adjustRightInd w:val="0"/>
      <w:snapToGrid w:val="0"/>
      <w:spacing w:after="120" w:afterLines="50" w:line="240" w:lineRule="auto"/>
      <w:ind w:firstLine="840" w:firstLineChars="400"/>
      <w:jc w:val="left"/>
      <w:rPr>
        <w:rFonts w:hint="default" w:ascii="黑体" w:hAnsi="黑体" w:eastAsia="黑体" w:cs="黑体"/>
        <w:color w:val="252525"/>
        <w:kern w:val="2"/>
        <w:sz w:val="24"/>
        <w:szCs w:val="18"/>
        <w:lang w:val="en-US" w:eastAsia="zh-CN" w:bidi="ar-SA"/>
      </w:rPr>
    </w:pPr>
    <w:r>
      <w:drawing>
        <wp:anchor distT="0" distB="0" distL="114300" distR="114300" simplePos="0" relativeHeight="251661312" behindDoc="0" locked="0" layoutInCell="1" allowOverlap="1">
          <wp:simplePos x="0" y="0"/>
          <wp:positionH relativeFrom="column">
            <wp:posOffset>-86360</wp:posOffset>
          </wp:positionH>
          <wp:positionV relativeFrom="paragraph">
            <wp:posOffset>-149225</wp:posOffset>
          </wp:positionV>
          <wp:extent cx="469265" cy="375920"/>
          <wp:effectExtent l="0" t="0" r="635" b="508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69265" cy="375920"/>
                  </a:xfrm>
                  <a:prstGeom prst="rect">
                    <a:avLst/>
                  </a:prstGeom>
                  <a:noFill/>
                  <a:ln>
                    <a:noFill/>
                  </a:ln>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-378460</wp:posOffset>
              </wp:positionH>
              <wp:positionV relativeFrom="paragraph">
                <wp:posOffset>249555</wp:posOffset>
              </wp:positionV>
              <wp:extent cx="6573520" cy="6985"/>
              <wp:effectExtent l="0" t="12700" r="5080" b="18415"/>
              <wp:wrapNone/>
              <wp:docPr id="56" name="直接连接符 56"/>
              <wp:cNvGraphicFramePr/>
              <a:graphic xmlns:a="http://schemas.openxmlformats.org/drawingml/2006/main">
                <a:graphicData uri="http://schemas.microsoft.com/office/word/2010/wordprocessingShape">
                  <wps:wsp>
                    <wps:cNvCnPr/>
                    <wps:spPr>
                      <a:xfrm>
                        <a:off x="496570" y="668020"/>
                        <a:ext cx="6573520" cy="6985"/>
                      </a:xfrm>
                      <a:prstGeom prst="line">
                        <a:avLst/>
                      </a:prstGeom>
                      <a:noFill/>
                      <a:ln w="25400" cap="flat" cmpd="sng" algn="ctr">
                        <a:solidFill>
                          <a:srgbClr val="000000"/>
                        </a:solidFill>
                        <a:prstDash val="solid"/>
                      </a:ln>
                      <a:effectLst/>
                    </wps:spPr>
                    <wps:bodyPr/>
                  </wps:wsp>
                </a:graphicData>
              </a:graphic>
            </wp:anchor>
          </w:drawing>
        </mc:Choice>
        <mc:Fallback>
          <w:pict>
            <v:line id="_x0000_s1026" o:spid="_x0000_s1026" o:spt="20" style="position:absolute;left:0pt;margin-left:-29.8pt;margin-top:19.65pt;height:0.55pt;width:517.6pt;z-index:251660288;mso-width-relative:page;mso-height-relative:page;" filled="f" stroked="t" coordsize="21600,21600" o:gfxdata="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Vg&#10;XwDZAAAACQEAAA8AAAAAAAAAAQAgAAAAIgAAAGRycy9kb3ducmV2LnhtbFBLAQIUABQAAAAIAIdO&#10;4kAmXlo56QEAALgDAAAOAAAAAAAAAAEAIAAAACgBAABkcnMvZTJvRG9jLnhtbFBLBQYAAAAABgAG&#10;AFkBAACDBQAAAAA=&#10;">
              <v:fill on="f" focussize="0,0"/>
              <v:stroke weight="2pt" color="#000000" joinstyle="round"/>
              <v:imagedata o:title=""/>
              <o:lock v:ext="edit" aspectratio="f"/>
            </v:line>
          </w:pict>
        </mc:Fallback>
      </mc:AlternateContent>
    </w:r>
    <w:r>
      <w:rPr>
        <w:rFonts w:hint="eastAsia" w:ascii="黑体" w:hAnsi="黑体" w:eastAsia="黑体" w:cs="黑体"/>
        <w:color w:val="252525"/>
        <w:kern w:val="2"/>
        <w:sz w:val="24"/>
        <w:szCs w:val="24"/>
        <w:lang w:val="en-US" w:eastAsia="zh-CN" w:bidi="ar-SA"/>
      </w:rPr>
      <w:t>中科高盛咨询集团有限公司</w:t>
    </w:r>
  </w:p>
  <w:p w14:paraId="6935BE33">
    <w:pPr>
      <w:pStyle w:val="2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789FC">
    <w:pPr>
      <w:pStyle w:val="2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531F3">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385B4"/>
    <w:multiLevelType w:val="singleLevel"/>
    <w:tmpl w:val="9B9385B4"/>
    <w:lvl w:ilvl="0" w:tentative="0">
      <w:start w:val="2"/>
      <w:numFmt w:val="decimal"/>
      <w:suff w:val="nothing"/>
      <w:lvlText w:val="%1、"/>
      <w:lvlJc w:val="left"/>
    </w:lvl>
  </w:abstractNum>
  <w:abstractNum w:abstractNumId="1">
    <w:nsid w:val="A4342F25"/>
    <w:multiLevelType w:val="singleLevel"/>
    <w:tmpl w:val="A4342F25"/>
    <w:lvl w:ilvl="0" w:tentative="0">
      <w:start w:val="1"/>
      <w:numFmt w:val="chineseCounting"/>
      <w:suff w:val="nothing"/>
      <w:lvlText w:val="%1、"/>
      <w:lvlJc w:val="left"/>
      <w:rPr>
        <w:rFonts w:hint="eastAsia"/>
      </w:rPr>
    </w:lvl>
  </w:abstractNum>
  <w:abstractNum w:abstractNumId="2">
    <w:nsid w:val="EE1DA5C4"/>
    <w:multiLevelType w:val="singleLevel"/>
    <w:tmpl w:val="EE1DA5C4"/>
    <w:lvl w:ilvl="0" w:tentative="0">
      <w:start w:val="2"/>
      <w:numFmt w:val="decimal"/>
      <w:suff w:val="nothing"/>
      <w:lvlText w:val="%1、"/>
      <w:lvlJc w:val="left"/>
    </w:lvl>
  </w:abstractNum>
  <w:abstractNum w:abstractNumId="3">
    <w:nsid w:val="FFFC98CE"/>
    <w:multiLevelType w:val="singleLevel"/>
    <w:tmpl w:val="FFFC98CE"/>
    <w:lvl w:ilvl="0" w:tentative="0">
      <w:start w:val="16"/>
      <w:numFmt w:val="decimal"/>
      <w:suff w:val="space"/>
      <w:lvlText w:val="%1."/>
      <w:lvlJc w:val="left"/>
    </w:lvl>
  </w:abstractNum>
  <w:abstractNum w:abstractNumId="4">
    <w:nsid w:val="34266D6A"/>
    <w:multiLevelType w:val="singleLevel"/>
    <w:tmpl w:val="34266D6A"/>
    <w:lvl w:ilvl="0" w:tentative="0">
      <w:start w:val="27"/>
      <w:numFmt w:val="decimal"/>
      <w:suff w:val="space"/>
      <w:lvlText w:val="%1."/>
      <w:lvlJc w:val="left"/>
    </w:lvl>
  </w:abstractNum>
  <w:abstractNum w:abstractNumId="5">
    <w:nsid w:val="49C49B56"/>
    <w:multiLevelType w:val="singleLevel"/>
    <w:tmpl w:val="49C49B56"/>
    <w:lvl w:ilvl="0" w:tentative="0">
      <w:start w:val="4"/>
      <w:numFmt w:val="chineseCounting"/>
      <w:suff w:val="nothing"/>
      <w:lvlText w:val="%1、"/>
      <w:lvlJc w:val="left"/>
      <w:rPr>
        <w:rFonts w:hint="eastAsia"/>
      </w:rPr>
    </w:lvl>
  </w:abstractNum>
  <w:abstractNum w:abstractNumId="6">
    <w:nsid w:val="5DBF49B1"/>
    <w:multiLevelType w:val="singleLevel"/>
    <w:tmpl w:val="5DBF49B1"/>
    <w:lvl w:ilvl="0" w:tentative="0">
      <w:start w:val="1"/>
      <w:numFmt w:val="chineseCounting"/>
      <w:suff w:val="nothing"/>
      <w:lvlText w:val="%1、"/>
      <w:lvlJc w:val="left"/>
      <w:rPr>
        <w:rFonts w:hint="eastAsia"/>
      </w:rPr>
    </w:lvl>
  </w:abstractNum>
  <w:abstractNum w:abstractNumId="7">
    <w:nsid w:val="69EA8400"/>
    <w:multiLevelType w:val="singleLevel"/>
    <w:tmpl w:val="69EA8400"/>
    <w:lvl w:ilvl="0" w:tentative="0">
      <w:start w:val="4"/>
      <w:numFmt w:val="decimal"/>
      <w:suff w:val="nothing"/>
      <w:lvlText w:val="（%1）"/>
      <w:lvlJc w:val="left"/>
    </w:lvl>
  </w:abstractNum>
  <w:num w:numId="1">
    <w:abstractNumId w:val="1"/>
  </w:num>
  <w:num w:numId="2">
    <w:abstractNumId w:val="2"/>
  </w:num>
  <w:num w:numId="3">
    <w:abstractNumId w:val="7"/>
  </w:num>
  <w:num w:numId="4">
    <w:abstractNumId w:val="3"/>
  </w:num>
  <w:num w:numId="5">
    <w:abstractNumId w:val="5"/>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kMzUxYWUyMjBhYmM2YjAwMzQ5YjRjZTg5NzZiNmMifQ=="/>
    <w:docVar w:name="KSO_WPS_MARK_KEY" w:val="95dc3de5-51e7-4b7a-b81b-a11ad67d0ce0"/>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1A7B"/>
    <w:rsid w:val="00013365"/>
    <w:rsid w:val="00013466"/>
    <w:rsid w:val="00013574"/>
    <w:rsid w:val="000135B0"/>
    <w:rsid w:val="00013923"/>
    <w:rsid w:val="00014A82"/>
    <w:rsid w:val="00015858"/>
    <w:rsid w:val="00015A29"/>
    <w:rsid w:val="0001617A"/>
    <w:rsid w:val="00017581"/>
    <w:rsid w:val="000175E8"/>
    <w:rsid w:val="00017CF0"/>
    <w:rsid w:val="00017F9C"/>
    <w:rsid w:val="000252F0"/>
    <w:rsid w:val="00025EED"/>
    <w:rsid w:val="00027D0F"/>
    <w:rsid w:val="00030A53"/>
    <w:rsid w:val="00031705"/>
    <w:rsid w:val="00031BBE"/>
    <w:rsid w:val="00031C52"/>
    <w:rsid w:val="00032D53"/>
    <w:rsid w:val="000333AE"/>
    <w:rsid w:val="00033EFF"/>
    <w:rsid w:val="00035663"/>
    <w:rsid w:val="000358FA"/>
    <w:rsid w:val="00035B2B"/>
    <w:rsid w:val="00040247"/>
    <w:rsid w:val="00040313"/>
    <w:rsid w:val="00040E14"/>
    <w:rsid w:val="0004234C"/>
    <w:rsid w:val="0004444E"/>
    <w:rsid w:val="00045B4B"/>
    <w:rsid w:val="00046881"/>
    <w:rsid w:val="00047440"/>
    <w:rsid w:val="0004759C"/>
    <w:rsid w:val="0005019F"/>
    <w:rsid w:val="000508AD"/>
    <w:rsid w:val="0005168D"/>
    <w:rsid w:val="0005208E"/>
    <w:rsid w:val="00052DBD"/>
    <w:rsid w:val="00053BE1"/>
    <w:rsid w:val="00053C94"/>
    <w:rsid w:val="000566BD"/>
    <w:rsid w:val="0005701C"/>
    <w:rsid w:val="000606A2"/>
    <w:rsid w:val="00060C04"/>
    <w:rsid w:val="00061310"/>
    <w:rsid w:val="00061914"/>
    <w:rsid w:val="000620A1"/>
    <w:rsid w:val="000638C9"/>
    <w:rsid w:val="000662FC"/>
    <w:rsid w:val="000666F2"/>
    <w:rsid w:val="000675E6"/>
    <w:rsid w:val="000677C7"/>
    <w:rsid w:val="00067D0B"/>
    <w:rsid w:val="000709FB"/>
    <w:rsid w:val="00070B21"/>
    <w:rsid w:val="00070F95"/>
    <w:rsid w:val="00072573"/>
    <w:rsid w:val="0007343D"/>
    <w:rsid w:val="000745C1"/>
    <w:rsid w:val="0007473A"/>
    <w:rsid w:val="00074CB8"/>
    <w:rsid w:val="00076502"/>
    <w:rsid w:val="000775DD"/>
    <w:rsid w:val="000777C0"/>
    <w:rsid w:val="000821AB"/>
    <w:rsid w:val="00082346"/>
    <w:rsid w:val="000841E5"/>
    <w:rsid w:val="00085204"/>
    <w:rsid w:val="00087CA6"/>
    <w:rsid w:val="000904BC"/>
    <w:rsid w:val="000909AB"/>
    <w:rsid w:val="00090D47"/>
    <w:rsid w:val="00091751"/>
    <w:rsid w:val="000917F5"/>
    <w:rsid w:val="000921D2"/>
    <w:rsid w:val="00092E61"/>
    <w:rsid w:val="00094343"/>
    <w:rsid w:val="0009483A"/>
    <w:rsid w:val="0009530E"/>
    <w:rsid w:val="00095A0E"/>
    <w:rsid w:val="00096239"/>
    <w:rsid w:val="00096A68"/>
    <w:rsid w:val="00097FB9"/>
    <w:rsid w:val="000A0CD6"/>
    <w:rsid w:val="000A2575"/>
    <w:rsid w:val="000A25D2"/>
    <w:rsid w:val="000A2631"/>
    <w:rsid w:val="000A3313"/>
    <w:rsid w:val="000A3BB4"/>
    <w:rsid w:val="000A4283"/>
    <w:rsid w:val="000A4354"/>
    <w:rsid w:val="000A6658"/>
    <w:rsid w:val="000B0390"/>
    <w:rsid w:val="000B0F6F"/>
    <w:rsid w:val="000B1637"/>
    <w:rsid w:val="000B1715"/>
    <w:rsid w:val="000B2722"/>
    <w:rsid w:val="000B2C01"/>
    <w:rsid w:val="000B320F"/>
    <w:rsid w:val="000B33DF"/>
    <w:rsid w:val="000B3A4F"/>
    <w:rsid w:val="000B4504"/>
    <w:rsid w:val="000B48CB"/>
    <w:rsid w:val="000B5D7D"/>
    <w:rsid w:val="000B67D9"/>
    <w:rsid w:val="000B6A6A"/>
    <w:rsid w:val="000B7DF1"/>
    <w:rsid w:val="000C035B"/>
    <w:rsid w:val="000C0714"/>
    <w:rsid w:val="000C188C"/>
    <w:rsid w:val="000C245B"/>
    <w:rsid w:val="000C2AE6"/>
    <w:rsid w:val="000C354A"/>
    <w:rsid w:val="000C4FD9"/>
    <w:rsid w:val="000C52A0"/>
    <w:rsid w:val="000C6B2C"/>
    <w:rsid w:val="000C70C2"/>
    <w:rsid w:val="000C7812"/>
    <w:rsid w:val="000D04C8"/>
    <w:rsid w:val="000D0769"/>
    <w:rsid w:val="000D0E5E"/>
    <w:rsid w:val="000D1018"/>
    <w:rsid w:val="000D211B"/>
    <w:rsid w:val="000D2A3F"/>
    <w:rsid w:val="000D344B"/>
    <w:rsid w:val="000D5249"/>
    <w:rsid w:val="000D6185"/>
    <w:rsid w:val="000D6514"/>
    <w:rsid w:val="000E166F"/>
    <w:rsid w:val="000E3DCC"/>
    <w:rsid w:val="000E4525"/>
    <w:rsid w:val="000E46D9"/>
    <w:rsid w:val="000E4E95"/>
    <w:rsid w:val="000E50DD"/>
    <w:rsid w:val="000E640C"/>
    <w:rsid w:val="000E7308"/>
    <w:rsid w:val="000E7417"/>
    <w:rsid w:val="000E741F"/>
    <w:rsid w:val="000E7B7A"/>
    <w:rsid w:val="000F1A45"/>
    <w:rsid w:val="000F1AF9"/>
    <w:rsid w:val="000F21C8"/>
    <w:rsid w:val="000F3713"/>
    <w:rsid w:val="000F376A"/>
    <w:rsid w:val="000F37AB"/>
    <w:rsid w:val="000F4155"/>
    <w:rsid w:val="000F44CB"/>
    <w:rsid w:val="000F4F2F"/>
    <w:rsid w:val="000F5866"/>
    <w:rsid w:val="000F620C"/>
    <w:rsid w:val="000F7591"/>
    <w:rsid w:val="001000C3"/>
    <w:rsid w:val="0010071B"/>
    <w:rsid w:val="001047E3"/>
    <w:rsid w:val="00104908"/>
    <w:rsid w:val="00104D5D"/>
    <w:rsid w:val="00105A9C"/>
    <w:rsid w:val="00106446"/>
    <w:rsid w:val="00107077"/>
    <w:rsid w:val="00107FD9"/>
    <w:rsid w:val="00110169"/>
    <w:rsid w:val="00110B4B"/>
    <w:rsid w:val="001113FC"/>
    <w:rsid w:val="00111596"/>
    <w:rsid w:val="00111CC9"/>
    <w:rsid w:val="00112A3D"/>
    <w:rsid w:val="001133AC"/>
    <w:rsid w:val="00113C61"/>
    <w:rsid w:val="00114B15"/>
    <w:rsid w:val="00117058"/>
    <w:rsid w:val="00117143"/>
    <w:rsid w:val="00117E7C"/>
    <w:rsid w:val="00120369"/>
    <w:rsid w:val="00121A30"/>
    <w:rsid w:val="001228FD"/>
    <w:rsid w:val="001232B6"/>
    <w:rsid w:val="00124345"/>
    <w:rsid w:val="00125769"/>
    <w:rsid w:val="00125F48"/>
    <w:rsid w:val="00126231"/>
    <w:rsid w:val="001264B5"/>
    <w:rsid w:val="001264DC"/>
    <w:rsid w:val="00126691"/>
    <w:rsid w:val="00127083"/>
    <w:rsid w:val="0013172D"/>
    <w:rsid w:val="001322EF"/>
    <w:rsid w:val="001324B3"/>
    <w:rsid w:val="001345E9"/>
    <w:rsid w:val="00134894"/>
    <w:rsid w:val="001348D3"/>
    <w:rsid w:val="00135375"/>
    <w:rsid w:val="001370E3"/>
    <w:rsid w:val="00137DBD"/>
    <w:rsid w:val="00137DCD"/>
    <w:rsid w:val="00140DA3"/>
    <w:rsid w:val="001413DF"/>
    <w:rsid w:val="00141BEE"/>
    <w:rsid w:val="00143121"/>
    <w:rsid w:val="00144141"/>
    <w:rsid w:val="00144F97"/>
    <w:rsid w:val="00145791"/>
    <w:rsid w:val="0014699B"/>
    <w:rsid w:val="00146D14"/>
    <w:rsid w:val="00151BA6"/>
    <w:rsid w:val="0015269F"/>
    <w:rsid w:val="00153C89"/>
    <w:rsid w:val="00156049"/>
    <w:rsid w:val="001564DB"/>
    <w:rsid w:val="00156F75"/>
    <w:rsid w:val="00160E3C"/>
    <w:rsid w:val="001617E9"/>
    <w:rsid w:val="00162175"/>
    <w:rsid w:val="00162403"/>
    <w:rsid w:val="0016254E"/>
    <w:rsid w:val="00162F23"/>
    <w:rsid w:val="001637C1"/>
    <w:rsid w:val="0016451E"/>
    <w:rsid w:val="00164C0D"/>
    <w:rsid w:val="001655DB"/>
    <w:rsid w:val="0016583A"/>
    <w:rsid w:val="00166A7A"/>
    <w:rsid w:val="00166F38"/>
    <w:rsid w:val="00167313"/>
    <w:rsid w:val="00167763"/>
    <w:rsid w:val="001708E8"/>
    <w:rsid w:val="0017148D"/>
    <w:rsid w:val="0017284E"/>
    <w:rsid w:val="0017334A"/>
    <w:rsid w:val="00173713"/>
    <w:rsid w:val="00173A95"/>
    <w:rsid w:val="00173D83"/>
    <w:rsid w:val="0017404D"/>
    <w:rsid w:val="00175C3F"/>
    <w:rsid w:val="00175FE2"/>
    <w:rsid w:val="0017633E"/>
    <w:rsid w:val="001773C6"/>
    <w:rsid w:val="0017741D"/>
    <w:rsid w:val="001810E9"/>
    <w:rsid w:val="00181D2E"/>
    <w:rsid w:val="001828D3"/>
    <w:rsid w:val="001846F2"/>
    <w:rsid w:val="001850A4"/>
    <w:rsid w:val="00185B43"/>
    <w:rsid w:val="00186927"/>
    <w:rsid w:val="001870D2"/>
    <w:rsid w:val="00190053"/>
    <w:rsid w:val="00190101"/>
    <w:rsid w:val="00190C8F"/>
    <w:rsid w:val="00191A57"/>
    <w:rsid w:val="00192075"/>
    <w:rsid w:val="00193526"/>
    <w:rsid w:val="00195771"/>
    <w:rsid w:val="00197441"/>
    <w:rsid w:val="001A053D"/>
    <w:rsid w:val="001A101A"/>
    <w:rsid w:val="001A12A4"/>
    <w:rsid w:val="001A130A"/>
    <w:rsid w:val="001A2976"/>
    <w:rsid w:val="001A3AA5"/>
    <w:rsid w:val="001A3AFC"/>
    <w:rsid w:val="001A3BCB"/>
    <w:rsid w:val="001A4D9B"/>
    <w:rsid w:val="001A561A"/>
    <w:rsid w:val="001A58C6"/>
    <w:rsid w:val="001A59EB"/>
    <w:rsid w:val="001B0B82"/>
    <w:rsid w:val="001B2294"/>
    <w:rsid w:val="001B313B"/>
    <w:rsid w:val="001B383C"/>
    <w:rsid w:val="001B4531"/>
    <w:rsid w:val="001B4F01"/>
    <w:rsid w:val="001B5907"/>
    <w:rsid w:val="001B78EC"/>
    <w:rsid w:val="001C2072"/>
    <w:rsid w:val="001C274B"/>
    <w:rsid w:val="001C3481"/>
    <w:rsid w:val="001C4E4C"/>
    <w:rsid w:val="001C5444"/>
    <w:rsid w:val="001C737E"/>
    <w:rsid w:val="001C7B25"/>
    <w:rsid w:val="001D0F5F"/>
    <w:rsid w:val="001D1A86"/>
    <w:rsid w:val="001D26DC"/>
    <w:rsid w:val="001D300D"/>
    <w:rsid w:val="001D302B"/>
    <w:rsid w:val="001D34F7"/>
    <w:rsid w:val="001D574C"/>
    <w:rsid w:val="001D5B75"/>
    <w:rsid w:val="001E1D4A"/>
    <w:rsid w:val="001E3396"/>
    <w:rsid w:val="001E3A6E"/>
    <w:rsid w:val="001E3AF6"/>
    <w:rsid w:val="001E3D6A"/>
    <w:rsid w:val="001E4458"/>
    <w:rsid w:val="001E59F7"/>
    <w:rsid w:val="001E6A66"/>
    <w:rsid w:val="001F075D"/>
    <w:rsid w:val="001F130D"/>
    <w:rsid w:val="001F1819"/>
    <w:rsid w:val="001F3A23"/>
    <w:rsid w:val="001F4878"/>
    <w:rsid w:val="001F5321"/>
    <w:rsid w:val="001F534E"/>
    <w:rsid w:val="001F5B18"/>
    <w:rsid w:val="001F7AFA"/>
    <w:rsid w:val="00200789"/>
    <w:rsid w:val="002008A9"/>
    <w:rsid w:val="00200C39"/>
    <w:rsid w:val="00200D09"/>
    <w:rsid w:val="002018AB"/>
    <w:rsid w:val="00201F4F"/>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203CE"/>
    <w:rsid w:val="00221240"/>
    <w:rsid w:val="00221600"/>
    <w:rsid w:val="00221BE4"/>
    <w:rsid w:val="00223541"/>
    <w:rsid w:val="00223B66"/>
    <w:rsid w:val="002240A4"/>
    <w:rsid w:val="0022478B"/>
    <w:rsid w:val="00224EE3"/>
    <w:rsid w:val="00225547"/>
    <w:rsid w:val="00226CCD"/>
    <w:rsid w:val="002303FF"/>
    <w:rsid w:val="00230B4C"/>
    <w:rsid w:val="00231C9E"/>
    <w:rsid w:val="0023235C"/>
    <w:rsid w:val="00232836"/>
    <w:rsid w:val="00232D80"/>
    <w:rsid w:val="0023339C"/>
    <w:rsid w:val="00234309"/>
    <w:rsid w:val="00235123"/>
    <w:rsid w:val="00235317"/>
    <w:rsid w:val="002416E2"/>
    <w:rsid w:val="002419D0"/>
    <w:rsid w:val="00242897"/>
    <w:rsid w:val="00242A62"/>
    <w:rsid w:val="002444EA"/>
    <w:rsid w:val="00244B2A"/>
    <w:rsid w:val="00245EF6"/>
    <w:rsid w:val="00250A62"/>
    <w:rsid w:val="0025131F"/>
    <w:rsid w:val="00253669"/>
    <w:rsid w:val="00255AC7"/>
    <w:rsid w:val="002569C5"/>
    <w:rsid w:val="00256A84"/>
    <w:rsid w:val="00257F4D"/>
    <w:rsid w:val="00260902"/>
    <w:rsid w:val="00260A71"/>
    <w:rsid w:val="0026198C"/>
    <w:rsid w:val="00261AC6"/>
    <w:rsid w:val="00262FCB"/>
    <w:rsid w:val="00263AB2"/>
    <w:rsid w:val="002643E5"/>
    <w:rsid w:val="00264503"/>
    <w:rsid w:val="00264EB2"/>
    <w:rsid w:val="00265009"/>
    <w:rsid w:val="0026705D"/>
    <w:rsid w:val="00267C83"/>
    <w:rsid w:val="00267F9F"/>
    <w:rsid w:val="00270AE8"/>
    <w:rsid w:val="00270DBF"/>
    <w:rsid w:val="00272498"/>
    <w:rsid w:val="002725B6"/>
    <w:rsid w:val="002726B5"/>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01F"/>
    <w:rsid w:val="00287BB6"/>
    <w:rsid w:val="00287E12"/>
    <w:rsid w:val="00290DAB"/>
    <w:rsid w:val="00291042"/>
    <w:rsid w:val="00291C24"/>
    <w:rsid w:val="002922D9"/>
    <w:rsid w:val="00292441"/>
    <w:rsid w:val="00292F73"/>
    <w:rsid w:val="00293A07"/>
    <w:rsid w:val="002950BC"/>
    <w:rsid w:val="002958E2"/>
    <w:rsid w:val="00295CE8"/>
    <w:rsid w:val="002962B1"/>
    <w:rsid w:val="002965AD"/>
    <w:rsid w:val="00297B75"/>
    <w:rsid w:val="002A0C4E"/>
    <w:rsid w:val="002A15D6"/>
    <w:rsid w:val="002A1672"/>
    <w:rsid w:val="002A22D6"/>
    <w:rsid w:val="002A3505"/>
    <w:rsid w:val="002A3741"/>
    <w:rsid w:val="002A4AAB"/>
    <w:rsid w:val="002A5CB2"/>
    <w:rsid w:val="002A5E44"/>
    <w:rsid w:val="002A65E2"/>
    <w:rsid w:val="002A7BBC"/>
    <w:rsid w:val="002B00AE"/>
    <w:rsid w:val="002B12E2"/>
    <w:rsid w:val="002B1662"/>
    <w:rsid w:val="002B3F03"/>
    <w:rsid w:val="002B4148"/>
    <w:rsid w:val="002B469A"/>
    <w:rsid w:val="002B51EA"/>
    <w:rsid w:val="002B5C26"/>
    <w:rsid w:val="002B7974"/>
    <w:rsid w:val="002C0DD0"/>
    <w:rsid w:val="002C11C5"/>
    <w:rsid w:val="002C1AB9"/>
    <w:rsid w:val="002C2D6E"/>
    <w:rsid w:val="002C3042"/>
    <w:rsid w:val="002C33EB"/>
    <w:rsid w:val="002C363B"/>
    <w:rsid w:val="002C465A"/>
    <w:rsid w:val="002C666B"/>
    <w:rsid w:val="002C6C07"/>
    <w:rsid w:val="002C6E3F"/>
    <w:rsid w:val="002C7157"/>
    <w:rsid w:val="002D13DD"/>
    <w:rsid w:val="002D1777"/>
    <w:rsid w:val="002D2F30"/>
    <w:rsid w:val="002D47DE"/>
    <w:rsid w:val="002D54FF"/>
    <w:rsid w:val="002D5C40"/>
    <w:rsid w:val="002D61AB"/>
    <w:rsid w:val="002D7BB2"/>
    <w:rsid w:val="002E1F2C"/>
    <w:rsid w:val="002E273F"/>
    <w:rsid w:val="002E28E9"/>
    <w:rsid w:val="002E348F"/>
    <w:rsid w:val="002E36ED"/>
    <w:rsid w:val="002E466F"/>
    <w:rsid w:val="002E6BFE"/>
    <w:rsid w:val="002F1878"/>
    <w:rsid w:val="002F4310"/>
    <w:rsid w:val="002F4865"/>
    <w:rsid w:val="002F499D"/>
    <w:rsid w:val="002F654F"/>
    <w:rsid w:val="002F7B60"/>
    <w:rsid w:val="0030203A"/>
    <w:rsid w:val="00306A74"/>
    <w:rsid w:val="00311CEC"/>
    <w:rsid w:val="00313325"/>
    <w:rsid w:val="00313A4D"/>
    <w:rsid w:val="00313F34"/>
    <w:rsid w:val="00314DB9"/>
    <w:rsid w:val="0031707F"/>
    <w:rsid w:val="00321E2F"/>
    <w:rsid w:val="003246F2"/>
    <w:rsid w:val="00324865"/>
    <w:rsid w:val="00324B01"/>
    <w:rsid w:val="00324E36"/>
    <w:rsid w:val="0032557C"/>
    <w:rsid w:val="00326478"/>
    <w:rsid w:val="003266B9"/>
    <w:rsid w:val="0032788A"/>
    <w:rsid w:val="00331031"/>
    <w:rsid w:val="00331281"/>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F10"/>
    <w:rsid w:val="00347DC8"/>
    <w:rsid w:val="00350642"/>
    <w:rsid w:val="0035087B"/>
    <w:rsid w:val="00352E5D"/>
    <w:rsid w:val="003538B4"/>
    <w:rsid w:val="00353D3F"/>
    <w:rsid w:val="003546A7"/>
    <w:rsid w:val="00354E41"/>
    <w:rsid w:val="00355F7D"/>
    <w:rsid w:val="00356C0C"/>
    <w:rsid w:val="00357A18"/>
    <w:rsid w:val="00357CAE"/>
    <w:rsid w:val="0036003D"/>
    <w:rsid w:val="003601EE"/>
    <w:rsid w:val="0036092F"/>
    <w:rsid w:val="0036212C"/>
    <w:rsid w:val="00364709"/>
    <w:rsid w:val="00365849"/>
    <w:rsid w:val="00365CEB"/>
    <w:rsid w:val="0036608F"/>
    <w:rsid w:val="00367761"/>
    <w:rsid w:val="00371061"/>
    <w:rsid w:val="003723EC"/>
    <w:rsid w:val="003725C2"/>
    <w:rsid w:val="00373228"/>
    <w:rsid w:val="0037398C"/>
    <w:rsid w:val="00373BCB"/>
    <w:rsid w:val="00373DDA"/>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A33"/>
    <w:rsid w:val="00384F53"/>
    <w:rsid w:val="0038718B"/>
    <w:rsid w:val="00390037"/>
    <w:rsid w:val="003908CB"/>
    <w:rsid w:val="00390F51"/>
    <w:rsid w:val="00391805"/>
    <w:rsid w:val="00392780"/>
    <w:rsid w:val="003965DB"/>
    <w:rsid w:val="003966A4"/>
    <w:rsid w:val="00397EA7"/>
    <w:rsid w:val="003A131A"/>
    <w:rsid w:val="003A1873"/>
    <w:rsid w:val="003A22A1"/>
    <w:rsid w:val="003A3153"/>
    <w:rsid w:val="003A389D"/>
    <w:rsid w:val="003A4099"/>
    <w:rsid w:val="003A4572"/>
    <w:rsid w:val="003A48A3"/>
    <w:rsid w:val="003A4DEB"/>
    <w:rsid w:val="003A56B4"/>
    <w:rsid w:val="003A63A3"/>
    <w:rsid w:val="003A7CE9"/>
    <w:rsid w:val="003A7D94"/>
    <w:rsid w:val="003B074C"/>
    <w:rsid w:val="003B304F"/>
    <w:rsid w:val="003B36FD"/>
    <w:rsid w:val="003B52E3"/>
    <w:rsid w:val="003B6EB4"/>
    <w:rsid w:val="003C0A14"/>
    <w:rsid w:val="003C1256"/>
    <w:rsid w:val="003C1404"/>
    <w:rsid w:val="003C229B"/>
    <w:rsid w:val="003C2F63"/>
    <w:rsid w:val="003C4815"/>
    <w:rsid w:val="003C5D94"/>
    <w:rsid w:val="003C7A73"/>
    <w:rsid w:val="003D061C"/>
    <w:rsid w:val="003D16A0"/>
    <w:rsid w:val="003D1765"/>
    <w:rsid w:val="003D188B"/>
    <w:rsid w:val="003D2993"/>
    <w:rsid w:val="003D3B9A"/>
    <w:rsid w:val="003D42BA"/>
    <w:rsid w:val="003D4669"/>
    <w:rsid w:val="003D5E2A"/>
    <w:rsid w:val="003D6B57"/>
    <w:rsid w:val="003D6F48"/>
    <w:rsid w:val="003E0880"/>
    <w:rsid w:val="003E0893"/>
    <w:rsid w:val="003E0C00"/>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7A91"/>
    <w:rsid w:val="00400ACB"/>
    <w:rsid w:val="004014AC"/>
    <w:rsid w:val="00401EA9"/>
    <w:rsid w:val="00402BA3"/>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2020F"/>
    <w:rsid w:val="004209AD"/>
    <w:rsid w:val="00420E26"/>
    <w:rsid w:val="00423265"/>
    <w:rsid w:val="00423AB0"/>
    <w:rsid w:val="004241CA"/>
    <w:rsid w:val="00424DB7"/>
    <w:rsid w:val="0042508B"/>
    <w:rsid w:val="004255AF"/>
    <w:rsid w:val="00425EF9"/>
    <w:rsid w:val="00426293"/>
    <w:rsid w:val="0043056E"/>
    <w:rsid w:val="004307C1"/>
    <w:rsid w:val="0043102C"/>
    <w:rsid w:val="00431770"/>
    <w:rsid w:val="00431D80"/>
    <w:rsid w:val="0043264C"/>
    <w:rsid w:val="00432EDE"/>
    <w:rsid w:val="00433361"/>
    <w:rsid w:val="00433970"/>
    <w:rsid w:val="004346A4"/>
    <w:rsid w:val="00434E74"/>
    <w:rsid w:val="00435970"/>
    <w:rsid w:val="004366AC"/>
    <w:rsid w:val="00436879"/>
    <w:rsid w:val="00437C0C"/>
    <w:rsid w:val="00437DC8"/>
    <w:rsid w:val="00440935"/>
    <w:rsid w:val="0044137D"/>
    <w:rsid w:val="00441DE0"/>
    <w:rsid w:val="004428F8"/>
    <w:rsid w:val="004438EC"/>
    <w:rsid w:val="00445686"/>
    <w:rsid w:val="00446471"/>
    <w:rsid w:val="004470BD"/>
    <w:rsid w:val="00447425"/>
    <w:rsid w:val="00447F68"/>
    <w:rsid w:val="004508EB"/>
    <w:rsid w:val="004515F1"/>
    <w:rsid w:val="00453947"/>
    <w:rsid w:val="00456A2C"/>
    <w:rsid w:val="00457B50"/>
    <w:rsid w:val="00460668"/>
    <w:rsid w:val="004611C1"/>
    <w:rsid w:val="00462B72"/>
    <w:rsid w:val="00465AF5"/>
    <w:rsid w:val="004661B0"/>
    <w:rsid w:val="00466FEA"/>
    <w:rsid w:val="004702BD"/>
    <w:rsid w:val="00470775"/>
    <w:rsid w:val="0047091D"/>
    <w:rsid w:val="00472D5C"/>
    <w:rsid w:val="00473A7F"/>
    <w:rsid w:val="0047596E"/>
    <w:rsid w:val="00476409"/>
    <w:rsid w:val="00477865"/>
    <w:rsid w:val="00477AB3"/>
    <w:rsid w:val="00480F9B"/>
    <w:rsid w:val="00482A44"/>
    <w:rsid w:val="004838AA"/>
    <w:rsid w:val="00484599"/>
    <w:rsid w:val="004851C5"/>
    <w:rsid w:val="00485335"/>
    <w:rsid w:val="00485F0D"/>
    <w:rsid w:val="00486155"/>
    <w:rsid w:val="00487EFD"/>
    <w:rsid w:val="004911DC"/>
    <w:rsid w:val="004920BD"/>
    <w:rsid w:val="004944B6"/>
    <w:rsid w:val="00494A80"/>
    <w:rsid w:val="004A3B8B"/>
    <w:rsid w:val="004A4630"/>
    <w:rsid w:val="004A4CC2"/>
    <w:rsid w:val="004A5AEC"/>
    <w:rsid w:val="004A7952"/>
    <w:rsid w:val="004A7AFF"/>
    <w:rsid w:val="004B1465"/>
    <w:rsid w:val="004B268D"/>
    <w:rsid w:val="004B5555"/>
    <w:rsid w:val="004B6A9B"/>
    <w:rsid w:val="004C0A57"/>
    <w:rsid w:val="004C159B"/>
    <w:rsid w:val="004C1CEC"/>
    <w:rsid w:val="004C4320"/>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8E8"/>
    <w:rsid w:val="004E2CF6"/>
    <w:rsid w:val="004E3BBF"/>
    <w:rsid w:val="004E4CC2"/>
    <w:rsid w:val="004E518C"/>
    <w:rsid w:val="004E6F94"/>
    <w:rsid w:val="004E7578"/>
    <w:rsid w:val="004F0107"/>
    <w:rsid w:val="004F1699"/>
    <w:rsid w:val="004F17FB"/>
    <w:rsid w:val="004F3090"/>
    <w:rsid w:val="004F4346"/>
    <w:rsid w:val="004F489A"/>
    <w:rsid w:val="004F4A39"/>
    <w:rsid w:val="004F4D75"/>
    <w:rsid w:val="004F5F21"/>
    <w:rsid w:val="004F66D0"/>
    <w:rsid w:val="004F6747"/>
    <w:rsid w:val="00500332"/>
    <w:rsid w:val="00500F88"/>
    <w:rsid w:val="00504154"/>
    <w:rsid w:val="00504223"/>
    <w:rsid w:val="0050477B"/>
    <w:rsid w:val="005057CC"/>
    <w:rsid w:val="00505858"/>
    <w:rsid w:val="00505A9A"/>
    <w:rsid w:val="00505F80"/>
    <w:rsid w:val="00506735"/>
    <w:rsid w:val="005069A5"/>
    <w:rsid w:val="00507E86"/>
    <w:rsid w:val="0051089D"/>
    <w:rsid w:val="005115F3"/>
    <w:rsid w:val="00512BF2"/>
    <w:rsid w:val="00513834"/>
    <w:rsid w:val="00514908"/>
    <w:rsid w:val="00514A6D"/>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61E0"/>
    <w:rsid w:val="005378EF"/>
    <w:rsid w:val="00540570"/>
    <w:rsid w:val="005437CF"/>
    <w:rsid w:val="0054482C"/>
    <w:rsid w:val="00547B5A"/>
    <w:rsid w:val="00550282"/>
    <w:rsid w:val="0055130D"/>
    <w:rsid w:val="005550DD"/>
    <w:rsid w:val="00555359"/>
    <w:rsid w:val="005575BA"/>
    <w:rsid w:val="00557DC5"/>
    <w:rsid w:val="00560C5B"/>
    <w:rsid w:val="00560F77"/>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12A8"/>
    <w:rsid w:val="00572418"/>
    <w:rsid w:val="00572A77"/>
    <w:rsid w:val="00573BE5"/>
    <w:rsid w:val="00574301"/>
    <w:rsid w:val="00574806"/>
    <w:rsid w:val="005752A3"/>
    <w:rsid w:val="00575CB7"/>
    <w:rsid w:val="00580F55"/>
    <w:rsid w:val="0058146F"/>
    <w:rsid w:val="00583F70"/>
    <w:rsid w:val="00584D05"/>
    <w:rsid w:val="0058523D"/>
    <w:rsid w:val="00586934"/>
    <w:rsid w:val="00587C00"/>
    <w:rsid w:val="00587E4F"/>
    <w:rsid w:val="0059033F"/>
    <w:rsid w:val="00591754"/>
    <w:rsid w:val="00591BBD"/>
    <w:rsid w:val="0059449D"/>
    <w:rsid w:val="00597E4B"/>
    <w:rsid w:val="005A1260"/>
    <w:rsid w:val="005A2328"/>
    <w:rsid w:val="005A2FA1"/>
    <w:rsid w:val="005A3014"/>
    <w:rsid w:val="005A35B6"/>
    <w:rsid w:val="005A4232"/>
    <w:rsid w:val="005A50A0"/>
    <w:rsid w:val="005A57A2"/>
    <w:rsid w:val="005A6740"/>
    <w:rsid w:val="005A6767"/>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9B3"/>
    <w:rsid w:val="005C0D7E"/>
    <w:rsid w:val="005C0DE7"/>
    <w:rsid w:val="005C0F07"/>
    <w:rsid w:val="005C177B"/>
    <w:rsid w:val="005C1CA1"/>
    <w:rsid w:val="005C2DE6"/>
    <w:rsid w:val="005C3E05"/>
    <w:rsid w:val="005C4EBF"/>
    <w:rsid w:val="005C5098"/>
    <w:rsid w:val="005C58EB"/>
    <w:rsid w:val="005C5977"/>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F00"/>
    <w:rsid w:val="005F2D4C"/>
    <w:rsid w:val="005F31D5"/>
    <w:rsid w:val="005F37D4"/>
    <w:rsid w:val="005F42D2"/>
    <w:rsid w:val="005F4DD9"/>
    <w:rsid w:val="005F51F9"/>
    <w:rsid w:val="005F554A"/>
    <w:rsid w:val="005F67E2"/>
    <w:rsid w:val="006020D9"/>
    <w:rsid w:val="0060267A"/>
    <w:rsid w:val="006030D6"/>
    <w:rsid w:val="00603705"/>
    <w:rsid w:val="006043A4"/>
    <w:rsid w:val="00605007"/>
    <w:rsid w:val="0060594A"/>
    <w:rsid w:val="006105B3"/>
    <w:rsid w:val="006119B8"/>
    <w:rsid w:val="00613E21"/>
    <w:rsid w:val="00614CD3"/>
    <w:rsid w:val="0061627F"/>
    <w:rsid w:val="00616BF1"/>
    <w:rsid w:val="0062043A"/>
    <w:rsid w:val="00620808"/>
    <w:rsid w:val="006209D6"/>
    <w:rsid w:val="006217E3"/>
    <w:rsid w:val="00621A67"/>
    <w:rsid w:val="00621EDB"/>
    <w:rsid w:val="00622F37"/>
    <w:rsid w:val="006232A3"/>
    <w:rsid w:val="006240A6"/>
    <w:rsid w:val="006242DF"/>
    <w:rsid w:val="0062497C"/>
    <w:rsid w:val="00624EB7"/>
    <w:rsid w:val="0062600E"/>
    <w:rsid w:val="00626EC9"/>
    <w:rsid w:val="006365C2"/>
    <w:rsid w:val="00636643"/>
    <w:rsid w:val="006374CD"/>
    <w:rsid w:val="00637F16"/>
    <w:rsid w:val="00640570"/>
    <w:rsid w:val="00640CB0"/>
    <w:rsid w:val="00641143"/>
    <w:rsid w:val="0064267E"/>
    <w:rsid w:val="006430FF"/>
    <w:rsid w:val="0064347A"/>
    <w:rsid w:val="00643967"/>
    <w:rsid w:val="0064721C"/>
    <w:rsid w:val="00647882"/>
    <w:rsid w:val="00647DA8"/>
    <w:rsid w:val="00647F9D"/>
    <w:rsid w:val="006502AB"/>
    <w:rsid w:val="00650F32"/>
    <w:rsid w:val="00651177"/>
    <w:rsid w:val="0065343A"/>
    <w:rsid w:val="00653A2A"/>
    <w:rsid w:val="00653B74"/>
    <w:rsid w:val="006569FD"/>
    <w:rsid w:val="0066096D"/>
    <w:rsid w:val="0066100B"/>
    <w:rsid w:val="0066219C"/>
    <w:rsid w:val="00663D25"/>
    <w:rsid w:val="0066654B"/>
    <w:rsid w:val="00666B1D"/>
    <w:rsid w:val="006672FF"/>
    <w:rsid w:val="00671816"/>
    <w:rsid w:val="006724CA"/>
    <w:rsid w:val="006727E9"/>
    <w:rsid w:val="006746CD"/>
    <w:rsid w:val="00674DB1"/>
    <w:rsid w:val="00677156"/>
    <w:rsid w:val="006779A1"/>
    <w:rsid w:val="006807B3"/>
    <w:rsid w:val="006813A4"/>
    <w:rsid w:val="00681F77"/>
    <w:rsid w:val="006823B3"/>
    <w:rsid w:val="00682BA0"/>
    <w:rsid w:val="00682E7A"/>
    <w:rsid w:val="0068368F"/>
    <w:rsid w:val="0068390A"/>
    <w:rsid w:val="00684D30"/>
    <w:rsid w:val="0068528A"/>
    <w:rsid w:val="006855D3"/>
    <w:rsid w:val="00685D06"/>
    <w:rsid w:val="00686202"/>
    <w:rsid w:val="00690243"/>
    <w:rsid w:val="00690709"/>
    <w:rsid w:val="0069139A"/>
    <w:rsid w:val="006917A7"/>
    <w:rsid w:val="00691862"/>
    <w:rsid w:val="0069219F"/>
    <w:rsid w:val="006944EB"/>
    <w:rsid w:val="00694C2D"/>
    <w:rsid w:val="006954C4"/>
    <w:rsid w:val="006A00B7"/>
    <w:rsid w:val="006A0563"/>
    <w:rsid w:val="006A134B"/>
    <w:rsid w:val="006A1B12"/>
    <w:rsid w:val="006A229F"/>
    <w:rsid w:val="006A34AC"/>
    <w:rsid w:val="006A46A7"/>
    <w:rsid w:val="006A4D18"/>
    <w:rsid w:val="006A4F09"/>
    <w:rsid w:val="006A50E4"/>
    <w:rsid w:val="006A5C66"/>
    <w:rsid w:val="006A7371"/>
    <w:rsid w:val="006B34C9"/>
    <w:rsid w:val="006B399A"/>
    <w:rsid w:val="006B4795"/>
    <w:rsid w:val="006B5791"/>
    <w:rsid w:val="006B60A2"/>
    <w:rsid w:val="006B6798"/>
    <w:rsid w:val="006B77BE"/>
    <w:rsid w:val="006B7B54"/>
    <w:rsid w:val="006C06AF"/>
    <w:rsid w:val="006C0F76"/>
    <w:rsid w:val="006C1340"/>
    <w:rsid w:val="006C23C2"/>
    <w:rsid w:val="006C33AC"/>
    <w:rsid w:val="006C4B1F"/>
    <w:rsid w:val="006C5C39"/>
    <w:rsid w:val="006C6FBB"/>
    <w:rsid w:val="006C723E"/>
    <w:rsid w:val="006C7B71"/>
    <w:rsid w:val="006D01E3"/>
    <w:rsid w:val="006D3A6D"/>
    <w:rsid w:val="006D46C6"/>
    <w:rsid w:val="006D4F91"/>
    <w:rsid w:val="006D5556"/>
    <w:rsid w:val="006D6DB3"/>
    <w:rsid w:val="006D7238"/>
    <w:rsid w:val="006E0419"/>
    <w:rsid w:val="006E0CF5"/>
    <w:rsid w:val="006E15B5"/>
    <w:rsid w:val="006E18EB"/>
    <w:rsid w:val="006E1C31"/>
    <w:rsid w:val="006E31A3"/>
    <w:rsid w:val="006E45CC"/>
    <w:rsid w:val="006E52E1"/>
    <w:rsid w:val="006E5C6C"/>
    <w:rsid w:val="006E63DE"/>
    <w:rsid w:val="006E6A42"/>
    <w:rsid w:val="006E70D1"/>
    <w:rsid w:val="006F04D9"/>
    <w:rsid w:val="006F07FA"/>
    <w:rsid w:val="006F0FBF"/>
    <w:rsid w:val="006F137B"/>
    <w:rsid w:val="006F1B2E"/>
    <w:rsid w:val="006F1DC1"/>
    <w:rsid w:val="006F2292"/>
    <w:rsid w:val="006F31D7"/>
    <w:rsid w:val="006F3670"/>
    <w:rsid w:val="006F3932"/>
    <w:rsid w:val="006F3B2C"/>
    <w:rsid w:val="006F48D3"/>
    <w:rsid w:val="006F4901"/>
    <w:rsid w:val="006F617A"/>
    <w:rsid w:val="006F6BD6"/>
    <w:rsid w:val="006F6D52"/>
    <w:rsid w:val="007001BB"/>
    <w:rsid w:val="0070184C"/>
    <w:rsid w:val="007028E7"/>
    <w:rsid w:val="007039B7"/>
    <w:rsid w:val="00703CAD"/>
    <w:rsid w:val="0070401B"/>
    <w:rsid w:val="00704082"/>
    <w:rsid w:val="00705371"/>
    <w:rsid w:val="007077DC"/>
    <w:rsid w:val="00707DAE"/>
    <w:rsid w:val="00710C2B"/>
    <w:rsid w:val="00712FDD"/>
    <w:rsid w:val="00713384"/>
    <w:rsid w:val="00713D73"/>
    <w:rsid w:val="007141E1"/>
    <w:rsid w:val="00714F31"/>
    <w:rsid w:val="0071593B"/>
    <w:rsid w:val="007219F6"/>
    <w:rsid w:val="00722046"/>
    <w:rsid w:val="00722CFC"/>
    <w:rsid w:val="0072440A"/>
    <w:rsid w:val="00724504"/>
    <w:rsid w:val="007247EB"/>
    <w:rsid w:val="007257D4"/>
    <w:rsid w:val="00725A64"/>
    <w:rsid w:val="00725BA5"/>
    <w:rsid w:val="00726485"/>
    <w:rsid w:val="00726F2B"/>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60BC"/>
    <w:rsid w:val="00746586"/>
    <w:rsid w:val="00747190"/>
    <w:rsid w:val="00747779"/>
    <w:rsid w:val="00747DDA"/>
    <w:rsid w:val="00747F03"/>
    <w:rsid w:val="00750446"/>
    <w:rsid w:val="00751132"/>
    <w:rsid w:val="00751F7C"/>
    <w:rsid w:val="00753FAF"/>
    <w:rsid w:val="00755F77"/>
    <w:rsid w:val="007567BC"/>
    <w:rsid w:val="007568EE"/>
    <w:rsid w:val="007601F3"/>
    <w:rsid w:val="007606C3"/>
    <w:rsid w:val="00760E64"/>
    <w:rsid w:val="007611A9"/>
    <w:rsid w:val="00761C5D"/>
    <w:rsid w:val="00761F02"/>
    <w:rsid w:val="0076488F"/>
    <w:rsid w:val="00765AED"/>
    <w:rsid w:val="0076675E"/>
    <w:rsid w:val="0076684A"/>
    <w:rsid w:val="00767220"/>
    <w:rsid w:val="00771449"/>
    <w:rsid w:val="00771DE6"/>
    <w:rsid w:val="007723AB"/>
    <w:rsid w:val="0077273F"/>
    <w:rsid w:val="0077276B"/>
    <w:rsid w:val="007741AD"/>
    <w:rsid w:val="00774632"/>
    <w:rsid w:val="00775065"/>
    <w:rsid w:val="00777B6C"/>
    <w:rsid w:val="00780CB0"/>
    <w:rsid w:val="007847B2"/>
    <w:rsid w:val="00785952"/>
    <w:rsid w:val="00786755"/>
    <w:rsid w:val="00787111"/>
    <w:rsid w:val="00787136"/>
    <w:rsid w:val="0078751B"/>
    <w:rsid w:val="00787713"/>
    <w:rsid w:val="00787B90"/>
    <w:rsid w:val="007928E2"/>
    <w:rsid w:val="007936B7"/>
    <w:rsid w:val="007938A2"/>
    <w:rsid w:val="00793C99"/>
    <w:rsid w:val="007946C7"/>
    <w:rsid w:val="007948EB"/>
    <w:rsid w:val="0079531F"/>
    <w:rsid w:val="00795D1A"/>
    <w:rsid w:val="007972B8"/>
    <w:rsid w:val="00797518"/>
    <w:rsid w:val="007975C6"/>
    <w:rsid w:val="007A32D4"/>
    <w:rsid w:val="007A33DB"/>
    <w:rsid w:val="007A3ABD"/>
    <w:rsid w:val="007A4B56"/>
    <w:rsid w:val="007A54CF"/>
    <w:rsid w:val="007A5DDD"/>
    <w:rsid w:val="007A69F1"/>
    <w:rsid w:val="007A6B90"/>
    <w:rsid w:val="007B00EC"/>
    <w:rsid w:val="007B0338"/>
    <w:rsid w:val="007B0520"/>
    <w:rsid w:val="007B2232"/>
    <w:rsid w:val="007B4A00"/>
    <w:rsid w:val="007B644C"/>
    <w:rsid w:val="007B65F8"/>
    <w:rsid w:val="007C0C56"/>
    <w:rsid w:val="007C2C9D"/>
    <w:rsid w:val="007C302F"/>
    <w:rsid w:val="007C5299"/>
    <w:rsid w:val="007C5C1F"/>
    <w:rsid w:val="007C5F6A"/>
    <w:rsid w:val="007C6ED7"/>
    <w:rsid w:val="007C76F3"/>
    <w:rsid w:val="007D0885"/>
    <w:rsid w:val="007D1565"/>
    <w:rsid w:val="007D23C8"/>
    <w:rsid w:val="007D348B"/>
    <w:rsid w:val="007D3A8A"/>
    <w:rsid w:val="007D405F"/>
    <w:rsid w:val="007D460B"/>
    <w:rsid w:val="007D4EAE"/>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F589A"/>
    <w:rsid w:val="007F5A41"/>
    <w:rsid w:val="007F5C7E"/>
    <w:rsid w:val="007F5C8A"/>
    <w:rsid w:val="007F6ECA"/>
    <w:rsid w:val="00801B24"/>
    <w:rsid w:val="008022FA"/>
    <w:rsid w:val="00802842"/>
    <w:rsid w:val="008029A3"/>
    <w:rsid w:val="00802D88"/>
    <w:rsid w:val="008041E9"/>
    <w:rsid w:val="00804342"/>
    <w:rsid w:val="0080530F"/>
    <w:rsid w:val="00805524"/>
    <w:rsid w:val="00805B8A"/>
    <w:rsid w:val="00805E68"/>
    <w:rsid w:val="00807280"/>
    <w:rsid w:val="00807527"/>
    <w:rsid w:val="008100B3"/>
    <w:rsid w:val="00811559"/>
    <w:rsid w:val="008137E0"/>
    <w:rsid w:val="00814617"/>
    <w:rsid w:val="00814F1A"/>
    <w:rsid w:val="008168BB"/>
    <w:rsid w:val="008171F2"/>
    <w:rsid w:val="008205E0"/>
    <w:rsid w:val="00820C24"/>
    <w:rsid w:val="00821980"/>
    <w:rsid w:val="0082253F"/>
    <w:rsid w:val="00823B5F"/>
    <w:rsid w:val="00824B7E"/>
    <w:rsid w:val="00826848"/>
    <w:rsid w:val="00826A07"/>
    <w:rsid w:val="00826FDC"/>
    <w:rsid w:val="008327F1"/>
    <w:rsid w:val="0083358D"/>
    <w:rsid w:val="00833685"/>
    <w:rsid w:val="008348A7"/>
    <w:rsid w:val="00834DF7"/>
    <w:rsid w:val="008368A0"/>
    <w:rsid w:val="00837704"/>
    <w:rsid w:val="008400EE"/>
    <w:rsid w:val="00840AB2"/>
    <w:rsid w:val="008417A5"/>
    <w:rsid w:val="00842D56"/>
    <w:rsid w:val="00844573"/>
    <w:rsid w:val="00844C56"/>
    <w:rsid w:val="00845C17"/>
    <w:rsid w:val="00846C2C"/>
    <w:rsid w:val="0085129C"/>
    <w:rsid w:val="00852675"/>
    <w:rsid w:val="00852853"/>
    <w:rsid w:val="00853251"/>
    <w:rsid w:val="00854301"/>
    <w:rsid w:val="008558C2"/>
    <w:rsid w:val="008570AA"/>
    <w:rsid w:val="00860E07"/>
    <w:rsid w:val="008613AD"/>
    <w:rsid w:val="0086223C"/>
    <w:rsid w:val="00862AC9"/>
    <w:rsid w:val="00862E2B"/>
    <w:rsid w:val="00863896"/>
    <w:rsid w:val="00863AFA"/>
    <w:rsid w:val="00865FC0"/>
    <w:rsid w:val="00865FEB"/>
    <w:rsid w:val="0086659F"/>
    <w:rsid w:val="00866B3B"/>
    <w:rsid w:val="008706F9"/>
    <w:rsid w:val="00871BBB"/>
    <w:rsid w:val="00873CDE"/>
    <w:rsid w:val="00874C18"/>
    <w:rsid w:val="00875458"/>
    <w:rsid w:val="00875A3A"/>
    <w:rsid w:val="00876925"/>
    <w:rsid w:val="00877941"/>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92D2C"/>
    <w:rsid w:val="00893531"/>
    <w:rsid w:val="008952DA"/>
    <w:rsid w:val="00895D20"/>
    <w:rsid w:val="008961A9"/>
    <w:rsid w:val="00897720"/>
    <w:rsid w:val="008978AE"/>
    <w:rsid w:val="008A0865"/>
    <w:rsid w:val="008A1CC1"/>
    <w:rsid w:val="008A1E03"/>
    <w:rsid w:val="008A400C"/>
    <w:rsid w:val="008A4564"/>
    <w:rsid w:val="008A64F6"/>
    <w:rsid w:val="008A664A"/>
    <w:rsid w:val="008A6C2A"/>
    <w:rsid w:val="008A75A2"/>
    <w:rsid w:val="008B064A"/>
    <w:rsid w:val="008B35FF"/>
    <w:rsid w:val="008B3914"/>
    <w:rsid w:val="008B3B34"/>
    <w:rsid w:val="008B4ECD"/>
    <w:rsid w:val="008B685F"/>
    <w:rsid w:val="008B7C50"/>
    <w:rsid w:val="008B7C74"/>
    <w:rsid w:val="008B7E9E"/>
    <w:rsid w:val="008C008E"/>
    <w:rsid w:val="008C2834"/>
    <w:rsid w:val="008C29DE"/>
    <w:rsid w:val="008C2DE1"/>
    <w:rsid w:val="008C3A07"/>
    <w:rsid w:val="008C41AF"/>
    <w:rsid w:val="008C47C2"/>
    <w:rsid w:val="008C59E1"/>
    <w:rsid w:val="008D0C02"/>
    <w:rsid w:val="008D201F"/>
    <w:rsid w:val="008D3FC4"/>
    <w:rsid w:val="008D499A"/>
    <w:rsid w:val="008D4A08"/>
    <w:rsid w:val="008D5A64"/>
    <w:rsid w:val="008D63C6"/>
    <w:rsid w:val="008D71E1"/>
    <w:rsid w:val="008E1B2E"/>
    <w:rsid w:val="008E2E02"/>
    <w:rsid w:val="008E3392"/>
    <w:rsid w:val="008E3C1A"/>
    <w:rsid w:val="008E4ED5"/>
    <w:rsid w:val="008E6DFB"/>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162"/>
    <w:rsid w:val="00904FDD"/>
    <w:rsid w:val="009055CB"/>
    <w:rsid w:val="009069C0"/>
    <w:rsid w:val="0090766C"/>
    <w:rsid w:val="009104BE"/>
    <w:rsid w:val="00910FB9"/>
    <w:rsid w:val="0091102F"/>
    <w:rsid w:val="009130C4"/>
    <w:rsid w:val="009138A1"/>
    <w:rsid w:val="00913D07"/>
    <w:rsid w:val="00914055"/>
    <w:rsid w:val="00915C2A"/>
    <w:rsid w:val="00916580"/>
    <w:rsid w:val="0091715D"/>
    <w:rsid w:val="009179EE"/>
    <w:rsid w:val="00917B30"/>
    <w:rsid w:val="00921556"/>
    <w:rsid w:val="0092181D"/>
    <w:rsid w:val="009220E1"/>
    <w:rsid w:val="009226FF"/>
    <w:rsid w:val="00922BF1"/>
    <w:rsid w:val="00922DDF"/>
    <w:rsid w:val="0092412A"/>
    <w:rsid w:val="0092516A"/>
    <w:rsid w:val="009253D4"/>
    <w:rsid w:val="009258D3"/>
    <w:rsid w:val="00926E98"/>
    <w:rsid w:val="0093049E"/>
    <w:rsid w:val="00932D24"/>
    <w:rsid w:val="0093449D"/>
    <w:rsid w:val="0093744F"/>
    <w:rsid w:val="009413A9"/>
    <w:rsid w:val="009438E2"/>
    <w:rsid w:val="00943F2F"/>
    <w:rsid w:val="009440E8"/>
    <w:rsid w:val="0094476B"/>
    <w:rsid w:val="00944F45"/>
    <w:rsid w:val="00945FCD"/>
    <w:rsid w:val="009471C8"/>
    <w:rsid w:val="00950768"/>
    <w:rsid w:val="00951E05"/>
    <w:rsid w:val="009523BC"/>
    <w:rsid w:val="0095283A"/>
    <w:rsid w:val="009530CA"/>
    <w:rsid w:val="00953295"/>
    <w:rsid w:val="009533D4"/>
    <w:rsid w:val="009536C0"/>
    <w:rsid w:val="00955A0A"/>
    <w:rsid w:val="00956792"/>
    <w:rsid w:val="009575AE"/>
    <w:rsid w:val="00957733"/>
    <w:rsid w:val="0096037C"/>
    <w:rsid w:val="009605C3"/>
    <w:rsid w:val="00960AEF"/>
    <w:rsid w:val="00964404"/>
    <w:rsid w:val="009663CE"/>
    <w:rsid w:val="00966666"/>
    <w:rsid w:val="00966A87"/>
    <w:rsid w:val="00967B29"/>
    <w:rsid w:val="00967EB5"/>
    <w:rsid w:val="0097053B"/>
    <w:rsid w:val="00970885"/>
    <w:rsid w:val="009716E8"/>
    <w:rsid w:val="00974D37"/>
    <w:rsid w:val="00974E44"/>
    <w:rsid w:val="009764A4"/>
    <w:rsid w:val="009771AA"/>
    <w:rsid w:val="0098151F"/>
    <w:rsid w:val="009822D7"/>
    <w:rsid w:val="009822F0"/>
    <w:rsid w:val="00983A67"/>
    <w:rsid w:val="00983E55"/>
    <w:rsid w:val="009864CF"/>
    <w:rsid w:val="009868D4"/>
    <w:rsid w:val="0099031D"/>
    <w:rsid w:val="00991EB4"/>
    <w:rsid w:val="009928A8"/>
    <w:rsid w:val="00992BAF"/>
    <w:rsid w:val="00992F43"/>
    <w:rsid w:val="00993871"/>
    <w:rsid w:val="00994C2B"/>
    <w:rsid w:val="00994DAF"/>
    <w:rsid w:val="00996896"/>
    <w:rsid w:val="00996B4D"/>
    <w:rsid w:val="00996D0D"/>
    <w:rsid w:val="009A0AA3"/>
    <w:rsid w:val="009A0EAF"/>
    <w:rsid w:val="009A2243"/>
    <w:rsid w:val="009A2CBF"/>
    <w:rsid w:val="009A30BF"/>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D71"/>
    <w:rsid w:val="009B56E8"/>
    <w:rsid w:val="009B5BE2"/>
    <w:rsid w:val="009C120F"/>
    <w:rsid w:val="009C29F4"/>
    <w:rsid w:val="009C2F1E"/>
    <w:rsid w:val="009C3487"/>
    <w:rsid w:val="009C39BD"/>
    <w:rsid w:val="009C4F0D"/>
    <w:rsid w:val="009C7F22"/>
    <w:rsid w:val="009D09B9"/>
    <w:rsid w:val="009D7095"/>
    <w:rsid w:val="009E04AF"/>
    <w:rsid w:val="009E4A6F"/>
    <w:rsid w:val="009E5BB5"/>
    <w:rsid w:val="009E6986"/>
    <w:rsid w:val="009E69CC"/>
    <w:rsid w:val="009F08F7"/>
    <w:rsid w:val="009F091E"/>
    <w:rsid w:val="009F09DD"/>
    <w:rsid w:val="009F3C62"/>
    <w:rsid w:val="009F51BF"/>
    <w:rsid w:val="009F6612"/>
    <w:rsid w:val="009F7FB0"/>
    <w:rsid w:val="00A00FE5"/>
    <w:rsid w:val="00A025C8"/>
    <w:rsid w:val="00A0440E"/>
    <w:rsid w:val="00A055A2"/>
    <w:rsid w:val="00A05BDC"/>
    <w:rsid w:val="00A068BD"/>
    <w:rsid w:val="00A079C5"/>
    <w:rsid w:val="00A10993"/>
    <w:rsid w:val="00A10DF5"/>
    <w:rsid w:val="00A118FA"/>
    <w:rsid w:val="00A1238E"/>
    <w:rsid w:val="00A147BA"/>
    <w:rsid w:val="00A14F25"/>
    <w:rsid w:val="00A150CD"/>
    <w:rsid w:val="00A20365"/>
    <w:rsid w:val="00A2099A"/>
    <w:rsid w:val="00A20DB6"/>
    <w:rsid w:val="00A21A8D"/>
    <w:rsid w:val="00A21F26"/>
    <w:rsid w:val="00A23123"/>
    <w:rsid w:val="00A251BE"/>
    <w:rsid w:val="00A27620"/>
    <w:rsid w:val="00A308A5"/>
    <w:rsid w:val="00A30C20"/>
    <w:rsid w:val="00A31C0C"/>
    <w:rsid w:val="00A32970"/>
    <w:rsid w:val="00A33BF9"/>
    <w:rsid w:val="00A33F77"/>
    <w:rsid w:val="00A340D8"/>
    <w:rsid w:val="00A35822"/>
    <w:rsid w:val="00A364E0"/>
    <w:rsid w:val="00A3740A"/>
    <w:rsid w:val="00A40786"/>
    <w:rsid w:val="00A410EA"/>
    <w:rsid w:val="00A4267E"/>
    <w:rsid w:val="00A42F8F"/>
    <w:rsid w:val="00A43F6D"/>
    <w:rsid w:val="00A44128"/>
    <w:rsid w:val="00A44AA1"/>
    <w:rsid w:val="00A45D07"/>
    <w:rsid w:val="00A47B85"/>
    <w:rsid w:val="00A513BE"/>
    <w:rsid w:val="00A51B00"/>
    <w:rsid w:val="00A53A4C"/>
    <w:rsid w:val="00A53AA9"/>
    <w:rsid w:val="00A543D4"/>
    <w:rsid w:val="00A54ADC"/>
    <w:rsid w:val="00A572BD"/>
    <w:rsid w:val="00A57B0B"/>
    <w:rsid w:val="00A60510"/>
    <w:rsid w:val="00A611BB"/>
    <w:rsid w:val="00A64028"/>
    <w:rsid w:val="00A64425"/>
    <w:rsid w:val="00A668FB"/>
    <w:rsid w:val="00A6702B"/>
    <w:rsid w:val="00A71189"/>
    <w:rsid w:val="00A71D10"/>
    <w:rsid w:val="00A71D21"/>
    <w:rsid w:val="00A7220C"/>
    <w:rsid w:val="00A73A8A"/>
    <w:rsid w:val="00A73F66"/>
    <w:rsid w:val="00A7408E"/>
    <w:rsid w:val="00A74F07"/>
    <w:rsid w:val="00A76084"/>
    <w:rsid w:val="00A806A9"/>
    <w:rsid w:val="00A807C8"/>
    <w:rsid w:val="00A80A87"/>
    <w:rsid w:val="00A812A3"/>
    <w:rsid w:val="00A81C21"/>
    <w:rsid w:val="00A83F45"/>
    <w:rsid w:val="00A8400E"/>
    <w:rsid w:val="00A86119"/>
    <w:rsid w:val="00A867DB"/>
    <w:rsid w:val="00A869D6"/>
    <w:rsid w:val="00A86ECE"/>
    <w:rsid w:val="00A90B18"/>
    <w:rsid w:val="00A90F3C"/>
    <w:rsid w:val="00A92883"/>
    <w:rsid w:val="00A92E92"/>
    <w:rsid w:val="00A93090"/>
    <w:rsid w:val="00A933B4"/>
    <w:rsid w:val="00A95AC6"/>
    <w:rsid w:val="00A95E01"/>
    <w:rsid w:val="00A96972"/>
    <w:rsid w:val="00A9710F"/>
    <w:rsid w:val="00A979CB"/>
    <w:rsid w:val="00AA4277"/>
    <w:rsid w:val="00AA4545"/>
    <w:rsid w:val="00AA6414"/>
    <w:rsid w:val="00AB03B3"/>
    <w:rsid w:val="00AB05A0"/>
    <w:rsid w:val="00AB0DD6"/>
    <w:rsid w:val="00AB126F"/>
    <w:rsid w:val="00AB1312"/>
    <w:rsid w:val="00AB179F"/>
    <w:rsid w:val="00AB210D"/>
    <w:rsid w:val="00AB4CFA"/>
    <w:rsid w:val="00AB5225"/>
    <w:rsid w:val="00AB621A"/>
    <w:rsid w:val="00AB65F6"/>
    <w:rsid w:val="00AB704D"/>
    <w:rsid w:val="00AB70A5"/>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A5C"/>
    <w:rsid w:val="00AE0EF8"/>
    <w:rsid w:val="00AE3218"/>
    <w:rsid w:val="00AE32D9"/>
    <w:rsid w:val="00AE3B1F"/>
    <w:rsid w:val="00AE43C4"/>
    <w:rsid w:val="00AE4454"/>
    <w:rsid w:val="00AE4958"/>
    <w:rsid w:val="00AE4D65"/>
    <w:rsid w:val="00AE52B3"/>
    <w:rsid w:val="00AE58AB"/>
    <w:rsid w:val="00AE7DF5"/>
    <w:rsid w:val="00AF0141"/>
    <w:rsid w:val="00AF18B3"/>
    <w:rsid w:val="00AF25D7"/>
    <w:rsid w:val="00AF3BA9"/>
    <w:rsid w:val="00AF4CCA"/>
    <w:rsid w:val="00AF7B5E"/>
    <w:rsid w:val="00B00935"/>
    <w:rsid w:val="00B00CF6"/>
    <w:rsid w:val="00B012BD"/>
    <w:rsid w:val="00B014E7"/>
    <w:rsid w:val="00B02A7E"/>
    <w:rsid w:val="00B02D50"/>
    <w:rsid w:val="00B036E5"/>
    <w:rsid w:val="00B06424"/>
    <w:rsid w:val="00B07C43"/>
    <w:rsid w:val="00B108D2"/>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614F"/>
    <w:rsid w:val="00B26607"/>
    <w:rsid w:val="00B277C0"/>
    <w:rsid w:val="00B30004"/>
    <w:rsid w:val="00B302AC"/>
    <w:rsid w:val="00B307F5"/>
    <w:rsid w:val="00B318AA"/>
    <w:rsid w:val="00B31CB9"/>
    <w:rsid w:val="00B33C46"/>
    <w:rsid w:val="00B37CD6"/>
    <w:rsid w:val="00B416F4"/>
    <w:rsid w:val="00B41991"/>
    <w:rsid w:val="00B420B0"/>
    <w:rsid w:val="00B42258"/>
    <w:rsid w:val="00B42450"/>
    <w:rsid w:val="00B4378F"/>
    <w:rsid w:val="00B44107"/>
    <w:rsid w:val="00B45413"/>
    <w:rsid w:val="00B45891"/>
    <w:rsid w:val="00B46449"/>
    <w:rsid w:val="00B47A89"/>
    <w:rsid w:val="00B47F99"/>
    <w:rsid w:val="00B50B02"/>
    <w:rsid w:val="00B51CB4"/>
    <w:rsid w:val="00B52945"/>
    <w:rsid w:val="00B52B57"/>
    <w:rsid w:val="00B53341"/>
    <w:rsid w:val="00B533D2"/>
    <w:rsid w:val="00B53710"/>
    <w:rsid w:val="00B539D0"/>
    <w:rsid w:val="00B53D89"/>
    <w:rsid w:val="00B56CDE"/>
    <w:rsid w:val="00B5734F"/>
    <w:rsid w:val="00B575F0"/>
    <w:rsid w:val="00B578B5"/>
    <w:rsid w:val="00B6048A"/>
    <w:rsid w:val="00B61262"/>
    <w:rsid w:val="00B612F1"/>
    <w:rsid w:val="00B618A0"/>
    <w:rsid w:val="00B629EE"/>
    <w:rsid w:val="00B62F29"/>
    <w:rsid w:val="00B6426D"/>
    <w:rsid w:val="00B650CF"/>
    <w:rsid w:val="00B661D4"/>
    <w:rsid w:val="00B667F6"/>
    <w:rsid w:val="00B7097C"/>
    <w:rsid w:val="00B70D74"/>
    <w:rsid w:val="00B71032"/>
    <w:rsid w:val="00B716F8"/>
    <w:rsid w:val="00B71E34"/>
    <w:rsid w:val="00B7326F"/>
    <w:rsid w:val="00B762A9"/>
    <w:rsid w:val="00B76AA9"/>
    <w:rsid w:val="00B77BB6"/>
    <w:rsid w:val="00B80917"/>
    <w:rsid w:val="00B81B3B"/>
    <w:rsid w:val="00B8333A"/>
    <w:rsid w:val="00B83403"/>
    <w:rsid w:val="00B8357F"/>
    <w:rsid w:val="00B8443F"/>
    <w:rsid w:val="00B87EE4"/>
    <w:rsid w:val="00B91352"/>
    <w:rsid w:val="00B917E2"/>
    <w:rsid w:val="00B924B7"/>
    <w:rsid w:val="00B924B9"/>
    <w:rsid w:val="00B92BEC"/>
    <w:rsid w:val="00B93D7E"/>
    <w:rsid w:val="00B948B3"/>
    <w:rsid w:val="00B95659"/>
    <w:rsid w:val="00B95BF4"/>
    <w:rsid w:val="00B962C7"/>
    <w:rsid w:val="00B96EA9"/>
    <w:rsid w:val="00B9759F"/>
    <w:rsid w:val="00BA1CF8"/>
    <w:rsid w:val="00BA27AD"/>
    <w:rsid w:val="00BA2A64"/>
    <w:rsid w:val="00BA2FAA"/>
    <w:rsid w:val="00BA3DEF"/>
    <w:rsid w:val="00BA499C"/>
    <w:rsid w:val="00BA5A6A"/>
    <w:rsid w:val="00BB014D"/>
    <w:rsid w:val="00BB1478"/>
    <w:rsid w:val="00BB1830"/>
    <w:rsid w:val="00BB220F"/>
    <w:rsid w:val="00BB4A09"/>
    <w:rsid w:val="00BB5B51"/>
    <w:rsid w:val="00BB7E13"/>
    <w:rsid w:val="00BC06E2"/>
    <w:rsid w:val="00BC0FDA"/>
    <w:rsid w:val="00BC1A1F"/>
    <w:rsid w:val="00BC23A2"/>
    <w:rsid w:val="00BC3538"/>
    <w:rsid w:val="00BC3C3D"/>
    <w:rsid w:val="00BC43EA"/>
    <w:rsid w:val="00BC4CC0"/>
    <w:rsid w:val="00BC509C"/>
    <w:rsid w:val="00BC51EA"/>
    <w:rsid w:val="00BC5F46"/>
    <w:rsid w:val="00BC60F6"/>
    <w:rsid w:val="00BC61E8"/>
    <w:rsid w:val="00BC62F1"/>
    <w:rsid w:val="00BC6F2C"/>
    <w:rsid w:val="00BD313F"/>
    <w:rsid w:val="00BD3615"/>
    <w:rsid w:val="00BD53DE"/>
    <w:rsid w:val="00BD5BEE"/>
    <w:rsid w:val="00BE0B80"/>
    <w:rsid w:val="00BE0C22"/>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11D0C"/>
    <w:rsid w:val="00C12F2F"/>
    <w:rsid w:val="00C13EF7"/>
    <w:rsid w:val="00C17281"/>
    <w:rsid w:val="00C208F9"/>
    <w:rsid w:val="00C20B7F"/>
    <w:rsid w:val="00C23CC1"/>
    <w:rsid w:val="00C23D8A"/>
    <w:rsid w:val="00C23E80"/>
    <w:rsid w:val="00C2463D"/>
    <w:rsid w:val="00C251FE"/>
    <w:rsid w:val="00C26970"/>
    <w:rsid w:val="00C26DAF"/>
    <w:rsid w:val="00C2755A"/>
    <w:rsid w:val="00C278BE"/>
    <w:rsid w:val="00C3055B"/>
    <w:rsid w:val="00C3149C"/>
    <w:rsid w:val="00C315B1"/>
    <w:rsid w:val="00C3210C"/>
    <w:rsid w:val="00C3302E"/>
    <w:rsid w:val="00C33EC6"/>
    <w:rsid w:val="00C35288"/>
    <w:rsid w:val="00C40DA5"/>
    <w:rsid w:val="00C40E1A"/>
    <w:rsid w:val="00C4109D"/>
    <w:rsid w:val="00C4500C"/>
    <w:rsid w:val="00C469CD"/>
    <w:rsid w:val="00C475AC"/>
    <w:rsid w:val="00C5245A"/>
    <w:rsid w:val="00C53170"/>
    <w:rsid w:val="00C536AF"/>
    <w:rsid w:val="00C54135"/>
    <w:rsid w:val="00C54290"/>
    <w:rsid w:val="00C54739"/>
    <w:rsid w:val="00C54C6E"/>
    <w:rsid w:val="00C55250"/>
    <w:rsid w:val="00C55584"/>
    <w:rsid w:val="00C578FA"/>
    <w:rsid w:val="00C6021F"/>
    <w:rsid w:val="00C613C2"/>
    <w:rsid w:val="00C61777"/>
    <w:rsid w:val="00C62CE9"/>
    <w:rsid w:val="00C62FE6"/>
    <w:rsid w:val="00C63C78"/>
    <w:rsid w:val="00C63CB0"/>
    <w:rsid w:val="00C65169"/>
    <w:rsid w:val="00C659FC"/>
    <w:rsid w:val="00C6650A"/>
    <w:rsid w:val="00C66D00"/>
    <w:rsid w:val="00C67517"/>
    <w:rsid w:val="00C67AF0"/>
    <w:rsid w:val="00C67B05"/>
    <w:rsid w:val="00C704F9"/>
    <w:rsid w:val="00C71E43"/>
    <w:rsid w:val="00C72881"/>
    <w:rsid w:val="00C73AB3"/>
    <w:rsid w:val="00C75910"/>
    <w:rsid w:val="00C7696B"/>
    <w:rsid w:val="00C76B08"/>
    <w:rsid w:val="00C7722E"/>
    <w:rsid w:val="00C77DF9"/>
    <w:rsid w:val="00C80904"/>
    <w:rsid w:val="00C814BA"/>
    <w:rsid w:val="00C81682"/>
    <w:rsid w:val="00C849DC"/>
    <w:rsid w:val="00C84BEE"/>
    <w:rsid w:val="00C85093"/>
    <w:rsid w:val="00C867C3"/>
    <w:rsid w:val="00C903D2"/>
    <w:rsid w:val="00C9058B"/>
    <w:rsid w:val="00C93B6F"/>
    <w:rsid w:val="00C94A69"/>
    <w:rsid w:val="00C9576D"/>
    <w:rsid w:val="00C957B6"/>
    <w:rsid w:val="00CA0823"/>
    <w:rsid w:val="00CA467A"/>
    <w:rsid w:val="00CA46D9"/>
    <w:rsid w:val="00CA473C"/>
    <w:rsid w:val="00CA5C85"/>
    <w:rsid w:val="00CA6433"/>
    <w:rsid w:val="00CA6F49"/>
    <w:rsid w:val="00CA752A"/>
    <w:rsid w:val="00CB003D"/>
    <w:rsid w:val="00CB066D"/>
    <w:rsid w:val="00CB0E79"/>
    <w:rsid w:val="00CB110F"/>
    <w:rsid w:val="00CB2335"/>
    <w:rsid w:val="00CB28D1"/>
    <w:rsid w:val="00CB2C90"/>
    <w:rsid w:val="00CB3788"/>
    <w:rsid w:val="00CB4902"/>
    <w:rsid w:val="00CB566F"/>
    <w:rsid w:val="00CB58B3"/>
    <w:rsid w:val="00CB65B0"/>
    <w:rsid w:val="00CB67F0"/>
    <w:rsid w:val="00CB68B5"/>
    <w:rsid w:val="00CB6C72"/>
    <w:rsid w:val="00CC24D5"/>
    <w:rsid w:val="00CC25F6"/>
    <w:rsid w:val="00CC26CB"/>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761E"/>
    <w:rsid w:val="00CD77FE"/>
    <w:rsid w:val="00CE5D57"/>
    <w:rsid w:val="00CE6BED"/>
    <w:rsid w:val="00CF0D0B"/>
    <w:rsid w:val="00CF2EFB"/>
    <w:rsid w:val="00CF42C0"/>
    <w:rsid w:val="00CF50E5"/>
    <w:rsid w:val="00CF5178"/>
    <w:rsid w:val="00CF565F"/>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70CB"/>
    <w:rsid w:val="00D2732B"/>
    <w:rsid w:val="00D27741"/>
    <w:rsid w:val="00D27D30"/>
    <w:rsid w:val="00D305EC"/>
    <w:rsid w:val="00D30D81"/>
    <w:rsid w:val="00D30FDA"/>
    <w:rsid w:val="00D32A90"/>
    <w:rsid w:val="00D334FE"/>
    <w:rsid w:val="00D3360B"/>
    <w:rsid w:val="00D3479D"/>
    <w:rsid w:val="00D34B16"/>
    <w:rsid w:val="00D358A0"/>
    <w:rsid w:val="00D35B85"/>
    <w:rsid w:val="00D408EA"/>
    <w:rsid w:val="00D421F0"/>
    <w:rsid w:val="00D439F9"/>
    <w:rsid w:val="00D45E85"/>
    <w:rsid w:val="00D4671F"/>
    <w:rsid w:val="00D468AC"/>
    <w:rsid w:val="00D506A7"/>
    <w:rsid w:val="00D5329B"/>
    <w:rsid w:val="00D539C8"/>
    <w:rsid w:val="00D53E60"/>
    <w:rsid w:val="00D56DE3"/>
    <w:rsid w:val="00D570BC"/>
    <w:rsid w:val="00D573EA"/>
    <w:rsid w:val="00D579A6"/>
    <w:rsid w:val="00D60D2B"/>
    <w:rsid w:val="00D61D9E"/>
    <w:rsid w:val="00D6300D"/>
    <w:rsid w:val="00D631D2"/>
    <w:rsid w:val="00D65906"/>
    <w:rsid w:val="00D66DC1"/>
    <w:rsid w:val="00D66EF0"/>
    <w:rsid w:val="00D66F25"/>
    <w:rsid w:val="00D66FC5"/>
    <w:rsid w:val="00D679C2"/>
    <w:rsid w:val="00D720BD"/>
    <w:rsid w:val="00D720F1"/>
    <w:rsid w:val="00D7252F"/>
    <w:rsid w:val="00D72B3F"/>
    <w:rsid w:val="00D74F3C"/>
    <w:rsid w:val="00D76F19"/>
    <w:rsid w:val="00D774C7"/>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4248"/>
    <w:rsid w:val="00D95300"/>
    <w:rsid w:val="00D95C9B"/>
    <w:rsid w:val="00D95D9F"/>
    <w:rsid w:val="00D962ED"/>
    <w:rsid w:val="00D96631"/>
    <w:rsid w:val="00D96B28"/>
    <w:rsid w:val="00D96D87"/>
    <w:rsid w:val="00DA00FE"/>
    <w:rsid w:val="00DA0D97"/>
    <w:rsid w:val="00DA10B6"/>
    <w:rsid w:val="00DA12F4"/>
    <w:rsid w:val="00DA2B04"/>
    <w:rsid w:val="00DA2F07"/>
    <w:rsid w:val="00DA5DB6"/>
    <w:rsid w:val="00DA5DC0"/>
    <w:rsid w:val="00DA62C1"/>
    <w:rsid w:val="00DA7691"/>
    <w:rsid w:val="00DB0054"/>
    <w:rsid w:val="00DB0C12"/>
    <w:rsid w:val="00DB1D0E"/>
    <w:rsid w:val="00DB2595"/>
    <w:rsid w:val="00DB2F2C"/>
    <w:rsid w:val="00DB65C0"/>
    <w:rsid w:val="00DB74B1"/>
    <w:rsid w:val="00DC144A"/>
    <w:rsid w:val="00DC181C"/>
    <w:rsid w:val="00DC2440"/>
    <w:rsid w:val="00DC2A42"/>
    <w:rsid w:val="00DC30F3"/>
    <w:rsid w:val="00DC40C3"/>
    <w:rsid w:val="00DC4278"/>
    <w:rsid w:val="00DC4A83"/>
    <w:rsid w:val="00DC513B"/>
    <w:rsid w:val="00DC5C92"/>
    <w:rsid w:val="00DC6C22"/>
    <w:rsid w:val="00DD1F39"/>
    <w:rsid w:val="00DD2D6E"/>
    <w:rsid w:val="00DD33A0"/>
    <w:rsid w:val="00DD3AC2"/>
    <w:rsid w:val="00DD3C69"/>
    <w:rsid w:val="00DD5C09"/>
    <w:rsid w:val="00DD7653"/>
    <w:rsid w:val="00DD790D"/>
    <w:rsid w:val="00DE0A40"/>
    <w:rsid w:val="00DE1653"/>
    <w:rsid w:val="00DE2D8D"/>
    <w:rsid w:val="00DE499B"/>
    <w:rsid w:val="00DE6364"/>
    <w:rsid w:val="00DE6929"/>
    <w:rsid w:val="00DE7D7D"/>
    <w:rsid w:val="00DF0D25"/>
    <w:rsid w:val="00DF0E04"/>
    <w:rsid w:val="00DF210C"/>
    <w:rsid w:val="00DF4387"/>
    <w:rsid w:val="00DF4EB5"/>
    <w:rsid w:val="00DF53AF"/>
    <w:rsid w:val="00DF5957"/>
    <w:rsid w:val="00DF655F"/>
    <w:rsid w:val="00DF759D"/>
    <w:rsid w:val="00DF7BAE"/>
    <w:rsid w:val="00E01802"/>
    <w:rsid w:val="00E04F3F"/>
    <w:rsid w:val="00E0546F"/>
    <w:rsid w:val="00E05BA4"/>
    <w:rsid w:val="00E05EE8"/>
    <w:rsid w:val="00E06DA8"/>
    <w:rsid w:val="00E079C3"/>
    <w:rsid w:val="00E07EB2"/>
    <w:rsid w:val="00E10BC8"/>
    <w:rsid w:val="00E12D3B"/>
    <w:rsid w:val="00E13BD4"/>
    <w:rsid w:val="00E13EE0"/>
    <w:rsid w:val="00E15A39"/>
    <w:rsid w:val="00E15DAA"/>
    <w:rsid w:val="00E17FC4"/>
    <w:rsid w:val="00E22C20"/>
    <w:rsid w:val="00E23E08"/>
    <w:rsid w:val="00E23EBF"/>
    <w:rsid w:val="00E24459"/>
    <w:rsid w:val="00E246D4"/>
    <w:rsid w:val="00E25F5E"/>
    <w:rsid w:val="00E2648E"/>
    <w:rsid w:val="00E26F87"/>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AE9"/>
    <w:rsid w:val="00E451F3"/>
    <w:rsid w:val="00E473F1"/>
    <w:rsid w:val="00E50005"/>
    <w:rsid w:val="00E5009F"/>
    <w:rsid w:val="00E50306"/>
    <w:rsid w:val="00E50972"/>
    <w:rsid w:val="00E52193"/>
    <w:rsid w:val="00E528E8"/>
    <w:rsid w:val="00E54D53"/>
    <w:rsid w:val="00E554E8"/>
    <w:rsid w:val="00E57523"/>
    <w:rsid w:val="00E61894"/>
    <w:rsid w:val="00E62214"/>
    <w:rsid w:val="00E6245C"/>
    <w:rsid w:val="00E62C34"/>
    <w:rsid w:val="00E62D90"/>
    <w:rsid w:val="00E63140"/>
    <w:rsid w:val="00E633DC"/>
    <w:rsid w:val="00E64BA0"/>
    <w:rsid w:val="00E655E2"/>
    <w:rsid w:val="00E65CD8"/>
    <w:rsid w:val="00E66603"/>
    <w:rsid w:val="00E711EA"/>
    <w:rsid w:val="00E715D0"/>
    <w:rsid w:val="00E735A9"/>
    <w:rsid w:val="00E735FE"/>
    <w:rsid w:val="00E73ACF"/>
    <w:rsid w:val="00E74ECC"/>
    <w:rsid w:val="00E7515A"/>
    <w:rsid w:val="00E776F0"/>
    <w:rsid w:val="00E80640"/>
    <w:rsid w:val="00E8157E"/>
    <w:rsid w:val="00E815FC"/>
    <w:rsid w:val="00E816FE"/>
    <w:rsid w:val="00E81736"/>
    <w:rsid w:val="00E81ED7"/>
    <w:rsid w:val="00E82586"/>
    <w:rsid w:val="00E826C4"/>
    <w:rsid w:val="00E82F1F"/>
    <w:rsid w:val="00E836D7"/>
    <w:rsid w:val="00E83A20"/>
    <w:rsid w:val="00E84C24"/>
    <w:rsid w:val="00E84D69"/>
    <w:rsid w:val="00E84FB3"/>
    <w:rsid w:val="00E850C3"/>
    <w:rsid w:val="00E85C7C"/>
    <w:rsid w:val="00E86488"/>
    <w:rsid w:val="00E90228"/>
    <w:rsid w:val="00E907F4"/>
    <w:rsid w:val="00E9145C"/>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653"/>
    <w:rsid w:val="00EB39F0"/>
    <w:rsid w:val="00EB578A"/>
    <w:rsid w:val="00EB6AFD"/>
    <w:rsid w:val="00EB6C7D"/>
    <w:rsid w:val="00EB70E5"/>
    <w:rsid w:val="00EB7C8E"/>
    <w:rsid w:val="00EC02BE"/>
    <w:rsid w:val="00EC146E"/>
    <w:rsid w:val="00EC1B1A"/>
    <w:rsid w:val="00EC35DE"/>
    <w:rsid w:val="00EC53E6"/>
    <w:rsid w:val="00EC543A"/>
    <w:rsid w:val="00EC5975"/>
    <w:rsid w:val="00EC6130"/>
    <w:rsid w:val="00EC6766"/>
    <w:rsid w:val="00EC6B27"/>
    <w:rsid w:val="00EC6BF6"/>
    <w:rsid w:val="00EC7AE3"/>
    <w:rsid w:val="00EC7E08"/>
    <w:rsid w:val="00ED0729"/>
    <w:rsid w:val="00ED0F4E"/>
    <w:rsid w:val="00ED2563"/>
    <w:rsid w:val="00ED2A4C"/>
    <w:rsid w:val="00ED6DFC"/>
    <w:rsid w:val="00ED6E2D"/>
    <w:rsid w:val="00ED762B"/>
    <w:rsid w:val="00EE067C"/>
    <w:rsid w:val="00EE1275"/>
    <w:rsid w:val="00EE1D7D"/>
    <w:rsid w:val="00EE2031"/>
    <w:rsid w:val="00EE2D3E"/>
    <w:rsid w:val="00EE35DE"/>
    <w:rsid w:val="00EE4924"/>
    <w:rsid w:val="00EE7A5E"/>
    <w:rsid w:val="00EF039F"/>
    <w:rsid w:val="00EF11CE"/>
    <w:rsid w:val="00EF13D7"/>
    <w:rsid w:val="00EF13FE"/>
    <w:rsid w:val="00EF2143"/>
    <w:rsid w:val="00EF3159"/>
    <w:rsid w:val="00EF384D"/>
    <w:rsid w:val="00EF4569"/>
    <w:rsid w:val="00EF4B37"/>
    <w:rsid w:val="00EF4F51"/>
    <w:rsid w:val="00EF6301"/>
    <w:rsid w:val="00EF6960"/>
    <w:rsid w:val="00EF74D6"/>
    <w:rsid w:val="00EF7D4C"/>
    <w:rsid w:val="00F03706"/>
    <w:rsid w:val="00F062AC"/>
    <w:rsid w:val="00F068A0"/>
    <w:rsid w:val="00F0745D"/>
    <w:rsid w:val="00F10C63"/>
    <w:rsid w:val="00F115CA"/>
    <w:rsid w:val="00F121CB"/>
    <w:rsid w:val="00F12787"/>
    <w:rsid w:val="00F152AB"/>
    <w:rsid w:val="00F15BE9"/>
    <w:rsid w:val="00F17101"/>
    <w:rsid w:val="00F175F6"/>
    <w:rsid w:val="00F177DC"/>
    <w:rsid w:val="00F17AC1"/>
    <w:rsid w:val="00F20A25"/>
    <w:rsid w:val="00F20D6E"/>
    <w:rsid w:val="00F21433"/>
    <w:rsid w:val="00F22810"/>
    <w:rsid w:val="00F23521"/>
    <w:rsid w:val="00F2359F"/>
    <w:rsid w:val="00F25573"/>
    <w:rsid w:val="00F25733"/>
    <w:rsid w:val="00F25E05"/>
    <w:rsid w:val="00F26F08"/>
    <w:rsid w:val="00F2710C"/>
    <w:rsid w:val="00F274F9"/>
    <w:rsid w:val="00F314CA"/>
    <w:rsid w:val="00F31F31"/>
    <w:rsid w:val="00F34F34"/>
    <w:rsid w:val="00F35350"/>
    <w:rsid w:val="00F35805"/>
    <w:rsid w:val="00F35D14"/>
    <w:rsid w:val="00F35E37"/>
    <w:rsid w:val="00F36CF6"/>
    <w:rsid w:val="00F37737"/>
    <w:rsid w:val="00F4022D"/>
    <w:rsid w:val="00F40BDA"/>
    <w:rsid w:val="00F419C8"/>
    <w:rsid w:val="00F41C30"/>
    <w:rsid w:val="00F4352C"/>
    <w:rsid w:val="00F435DD"/>
    <w:rsid w:val="00F43806"/>
    <w:rsid w:val="00F44A54"/>
    <w:rsid w:val="00F46DC9"/>
    <w:rsid w:val="00F47051"/>
    <w:rsid w:val="00F47DFA"/>
    <w:rsid w:val="00F5078F"/>
    <w:rsid w:val="00F529FD"/>
    <w:rsid w:val="00F56757"/>
    <w:rsid w:val="00F61830"/>
    <w:rsid w:val="00F61F2B"/>
    <w:rsid w:val="00F632F0"/>
    <w:rsid w:val="00F650C6"/>
    <w:rsid w:val="00F6654F"/>
    <w:rsid w:val="00F670C5"/>
    <w:rsid w:val="00F672F3"/>
    <w:rsid w:val="00F67E52"/>
    <w:rsid w:val="00F717A9"/>
    <w:rsid w:val="00F72893"/>
    <w:rsid w:val="00F72F75"/>
    <w:rsid w:val="00F744CB"/>
    <w:rsid w:val="00F74885"/>
    <w:rsid w:val="00F75D7F"/>
    <w:rsid w:val="00F808C8"/>
    <w:rsid w:val="00F82F71"/>
    <w:rsid w:val="00F8319D"/>
    <w:rsid w:val="00F852AC"/>
    <w:rsid w:val="00F87873"/>
    <w:rsid w:val="00F8797F"/>
    <w:rsid w:val="00F90801"/>
    <w:rsid w:val="00F90CEE"/>
    <w:rsid w:val="00F90FD1"/>
    <w:rsid w:val="00F928A7"/>
    <w:rsid w:val="00F940F7"/>
    <w:rsid w:val="00F94832"/>
    <w:rsid w:val="00F951A8"/>
    <w:rsid w:val="00F973B8"/>
    <w:rsid w:val="00FA074C"/>
    <w:rsid w:val="00FA1715"/>
    <w:rsid w:val="00FA189F"/>
    <w:rsid w:val="00FA33EA"/>
    <w:rsid w:val="00FA3B31"/>
    <w:rsid w:val="00FA4E6A"/>
    <w:rsid w:val="00FA6021"/>
    <w:rsid w:val="00FA6E71"/>
    <w:rsid w:val="00FA7041"/>
    <w:rsid w:val="00FB1AF5"/>
    <w:rsid w:val="00FB1F32"/>
    <w:rsid w:val="00FB38C1"/>
    <w:rsid w:val="00FB496B"/>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0C1"/>
    <w:rsid w:val="00FC7C5E"/>
    <w:rsid w:val="00FD0107"/>
    <w:rsid w:val="00FD0552"/>
    <w:rsid w:val="00FD1F7B"/>
    <w:rsid w:val="00FD2A36"/>
    <w:rsid w:val="00FD45B6"/>
    <w:rsid w:val="00FD5B9A"/>
    <w:rsid w:val="00FD5BAB"/>
    <w:rsid w:val="00FD6621"/>
    <w:rsid w:val="00FE058D"/>
    <w:rsid w:val="00FE2FFD"/>
    <w:rsid w:val="00FE369C"/>
    <w:rsid w:val="00FE477F"/>
    <w:rsid w:val="00FE4CEE"/>
    <w:rsid w:val="00FE53AC"/>
    <w:rsid w:val="00FE6F80"/>
    <w:rsid w:val="00FE78F3"/>
    <w:rsid w:val="00FF0141"/>
    <w:rsid w:val="00FF1535"/>
    <w:rsid w:val="00FF309C"/>
    <w:rsid w:val="00FF5CDC"/>
    <w:rsid w:val="00FF6FAA"/>
    <w:rsid w:val="00FF771D"/>
    <w:rsid w:val="00FF77B0"/>
    <w:rsid w:val="0109048C"/>
    <w:rsid w:val="011A60E3"/>
    <w:rsid w:val="019A4CB2"/>
    <w:rsid w:val="01A02082"/>
    <w:rsid w:val="01F36FCC"/>
    <w:rsid w:val="01FA47FF"/>
    <w:rsid w:val="02133E97"/>
    <w:rsid w:val="0269220F"/>
    <w:rsid w:val="029A5460"/>
    <w:rsid w:val="029F00AC"/>
    <w:rsid w:val="02C8787C"/>
    <w:rsid w:val="02D122BE"/>
    <w:rsid w:val="02D46649"/>
    <w:rsid w:val="02F44BE5"/>
    <w:rsid w:val="0316408E"/>
    <w:rsid w:val="03262FED"/>
    <w:rsid w:val="032B2921"/>
    <w:rsid w:val="03AA4003"/>
    <w:rsid w:val="03FA71CA"/>
    <w:rsid w:val="0444365B"/>
    <w:rsid w:val="04652ED4"/>
    <w:rsid w:val="04A337A1"/>
    <w:rsid w:val="04A476A3"/>
    <w:rsid w:val="04FD2458"/>
    <w:rsid w:val="052258BD"/>
    <w:rsid w:val="05355B4E"/>
    <w:rsid w:val="05A96504"/>
    <w:rsid w:val="05CB200E"/>
    <w:rsid w:val="06041A16"/>
    <w:rsid w:val="0611707E"/>
    <w:rsid w:val="064C318B"/>
    <w:rsid w:val="064C4D14"/>
    <w:rsid w:val="064F366C"/>
    <w:rsid w:val="067E42E7"/>
    <w:rsid w:val="06BB6F66"/>
    <w:rsid w:val="06BD404D"/>
    <w:rsid w:val="06BF1B73"/>
    <w:rsid w:val="06C33BD9"/>
    <w:rsid w:val="06DF0D4B"/>
    <w:rsid w:val="06F270BC"/>
    <w:rsid w:val="06F76735"/>
    <w:rsid w:val="076B1CFB"/>
    <w:rsid w:val="07A6693B"/>
    <w:rsid w:val="07BF0A2B"/>
    <w:rsid w:val="07C5758F"/>
    <w:rsid w:val="07C7C0A9"/>
    <w:rsid w:val="07E126B5"/>
    <w:rsid w:val="07ED360E"/>
    <w:rsid w:val="07F06147"/>
    <w:rsid w:val="07FC5D50"/>
    <w:rsid w:val="084F055C"/>
    <w:rsid w:val="085C5C30"/>
    <w:rsid w:val="088C3198"/>
    <w:rsid w:val="089A6F1D"/>
    <w:rsid w:val="08E409A9"/>
    <w:rsid w:val="08FA1242"/>
    <w:rsid w:val="092403B3"/>
    <w:rsid w:val="09554725"/>
    <w:rsid w:val="097D0541"/>
    <w:rsid w:val="097F2E74"/>
    <w:rsid w:val="09C515A8"/>
    <w:rsid w:val="09C6146A"/>
    <w:rsid w:val="09FF1272"/>
    <w:rsid w:val="0A2D5C54"/>
    <w:rsid w:val="0A396ECC"/>
    <w:rsid w:val="0A934F20"/>
    <w:rsid w:val="0A9C5F85"/>
    <w:rsid w:val="0AF352D7"/>
    <w:rsid w:val="0B7A075E"/>
    <w:rsid w:val="0B87348D"/>
    <w:rsid w:val="0BA23DCF"/>
    <w:rsid w:val="0BBE0C82"/>
    <w:rsid w:val="0BF027CF"/>
    <w:rsid w:val="0C0662C7"/>
    <w:rsid w:val="0C5C7E64"/>
    <w:rsid w:val="0C6100D1"/>
    <w:rsid w:val="0C635644"/>
    <w:rsid w:val="0CB544E8"/>
    <w:rsid w:val="0CE560AB"/>
    <w:rsid w:val="0D1036CD"/>
    <w:rsid w:val="0D4A0310"/>
    <w:rsid w:val="0D4E6EF8"/>
    <w:rsid w:val="0D7B40A5"/>
    <w:rsid w:val="0DA11FD2"/>
    <w:rsid w:val="0DD4721B"/>
    <w:rsid w:val="0E331A39"/>
    <w:rsid w:val="0E3E1F17"/>
    <w:rsid w:val="0E764BA6"/>
    <w:rsid w:val="0E7B2823"/>
    <w:rsid w:val="0EA50050"/>
    <w:rsid w:val="0EA855E3"/>
    <w:rsid w:val="0ED85EC8"/>
    <w:rsid w:val="0ED91C40"/>
    <w:rsid w:val="0EDB4048"/>
    <w:rsid w:val="0F1711A8"/>
    <w:rsid w:val="0F1A4CE0"/>
    <w:rsid w:val="0F3324C6"/>
    <w:rsid w:val="0F390621"/>
    <w:rsid w:val="0F54340F"/>
    <w:rsid w:val="0F825E34"/>
    <w:rsid w:val="0FC621C4"/>
    <w:rsid w:val="0FF54E43"/>
    <w:rsid w:val="10AA5642"/>
    <w:rsid w:val="10C43E75"/>
    <w:rsid w:val="10D70444"/>
    <w:rsid w:val="111F39FD"/>
    <w:rsid w:val="112B73BF"/>
    <w:rsid w:val="112D51D2"/>
    <w:rsid w:val="118A5A9B"/>
    <w:rsid w:val="11916893"/>
    <w:rsid w:val="11A0109C"/>
    <w:rsid w:val="11BE5D26"/>
    <w:rsid w:val="12071BEC"/>
    <w:rsid w:val="12112CD7"/>
    <w:rsid w:val="12211AC0"/>
    <w:rsid w:val="12751C80"/>
    <w:rsid w:val="12AD31C8"/>
    <w:rsid w:val="12D34171"/>
    <w:rsid w:val="12E27304"/>
    <w:rsid w:val="13274F64"/>
    <w:rsid w:val="13AB6423"/>
    <w:rsid w:val="13B14F39"/>
    <w:rsid w:val="146707AD"/>
    <w:rsid w:val="147635A2"/>
    <w:rsid w:val="148F59E2"/>
    <w:rsid w:val="14D030F0"/>
    <w:rsid w:val="14DB226E"/>
    <w:rsid w:val="14FB1A84"/>
    <w:rsid w:val="153C5E15"/>
    <w:rsid w:val="15DB6C2D"/>
    <w:rsid w:val="16173C12"/>
    <w:rsid w:val="1659407E"/>
    <w:rsid w:val="166921C0"/>
    <w:rsid w:val="16B04812"/>
    <w:rsid w:val="16C641EB"/>
    <w:rsid w:val="16C805D0"/>
    <w:rsid w:val="17006BCB"/>
    <w:rsid w:val="17094942"/>
    <w:rsid w:val="170E769A"/>
    <w:rsid w:val="175F5A95"/>
    <w:rsid w:val="17714EEE"/>
    <w:rsid w:val="17BB743F"/>
    <w:rsid w:val="17FB2C27"/>
    <w:rsid w:val="182A6BA6"/>
    <w:rsid w:val="1846243E"/>
    <w:rsid w:val="18896025"/>
    <w:rsid w:val="18AC23B2"/>
    <w:rsid w:val="18FA6A3B"/>
    <w:rsid w:val="191F64A1"/>
    <w:rsid w:val="19431BBA"/>
    <w:rsid w:val="19526877"/>
    <w:rsid w:val="1989530E"/>
    <w:rsid w:val="19D723F6"/>
    <w:rsid w:val="19EC6E71"/>
    <w:rsid w:val="1A085187"/>
    <w:rsid w:val="1A0E09F0"/>
    <w:rsid w:val="1A32674B"/>
    <w:rsid w:val="1A50725A"/>
    <w:rsid w:val="1A750A6F"/>
    <w:rsid w:val="1AD20E13"/>
    <w:rsid w:val="1AFC6A9A"/>
    <w:rsid w:val="1B0E2C71"/>
    <w:rsid w:val="1B1027AD"/>
    <w:rsid w:val="1B3C158C"/>
    <w:rsid w:val="1B3C7A94"/>
    <w:rsid w:val="1B5763C6"/>
    <w:rsid w:val="1B5C578B"/>
    <w:rsid w:val="1B617245"/>
    <w:rsid w:val="1BAA1B27"/>
    <w:rsid w:val="1BCF2CF3"/>
    <w:rsid w:val="1BE92FAB"/>
    <w:rsid w:val="1BEC0607"/>
    <w:rsid w:val="1C737230"/>
    <w:rsid w:val="1C763304"/>
    <w:rsid w:val="1C9B5934"/>
    <w:rsid w:val="1CC074A0"/>
    <w:rsid w:val="1D2A012C"/>
    <w:rsid w:val="1D2A3BF5"/>
    <w:rsid w:val="1D2F2A6A"/>
    <w:rsid w:val="1D31356D"/>
    <w:rsid w:val="1D466ABF"/>
    <w:rsid w:val="1D7B600C"/>
    <w:rsid w:val="1DA6419D"/>
    <w:rsid w:val="1DD3548B"/>
    <w:rsid w:val="1DD928D3"/>
    <w:rsid w:val="1DED21D8"/>
    <w:rsid w:val="1DEF5EF6"/>
    <w:rsid w:val="1E2F53D8"/>
    <w:rsid w:val="1E3E2967"/>
    <w:rsid w:val="1E8B1165"/>
    <w:rsid w:val="1EB8403C"/>
    <w:rsid w:val="1EB910EB"/>
    <w:rsid w:val="1EFB6D55"/>
    <w:rsid w:val="1F0E3DA5"/>
    <w:rsid w:val="1F444EB4"/>
    <w:rsid w:val="1F6C48CB"/>
    <w:rsid w:val="1F8030CC"/>
    <w:rsid w:val="1F8347F9"/>
    <w:rsid w:val="1FCA3218"/>
    <w:rsid w:val="1FFD352F"/>
    <w:rsid w:val="201B37F4"/>
    <w:rsid w:val="20545157"/>
    <w:rsid w:val="206E1612"/>
    <w:rsid w:val="20CE49AC"/>
    <w:rsid w:val="20EE455A"/>
    <w:rsid w:val="20F868EE"/>
    <w:rsid w:val="20FF44F4"/>
    <w:rsid w:val="210940D4"/>
    <w:rsid w:val="212B4545"/>
    <w:rsid w:val="217C26E3"/>
    <w:rsid w:val="21E36C06"/>
    <w:rsid w:val="220C6E8F"/>
    <w:rsid w:val="223244A5"/>
    <w:rsid w:val="224522F9"/>
    <w:rsid w:val="22BF15CD"/>
    <w:rsid w:val="22CD38BE"/>
    <w:rsid w:val="22F75C0D"/>
    <w:rsid w:val="23C72D33"/>
    <w:rsid w:val="23D527C8"/>
    <w:rsid w:val="23E371FA"/>
    <w:rsid w:val="24290E67"/>
    <w:rsid w:val="244F0DF3"/>
    <w:rsid w:val="24601386"/>
    <w:rsid w:val="246B14B0"/>
    <w:rsid w:val="248C65BB"/>
    <w:rsid w:val="24A65CC9"/>
    <w:rsid w:val="24E555B9"/>
    <w:rsid w:val="250344EA"/>
    <w:rsid w:val="25114177"/>
    <w:rsid w:val="25164869"/>
    <w:rsid w:val="25223085"/>
    <w:rsid w:val="2584425C"/>
    <w:rsid w:val="25AD3E95"/>
    <w:rsid w:val="25FD8212"/>
    <w:rsid w:val="260D2473"/>
    <w:rsid w:val="2613738E"/>
    <w:rsid w:val="2621364C"/>
    <w:rsid w:val="263B808C"/>
    <w:rsid w:val="26803368"/>
    <w:rsid w:val="268364F5"/>
    <w:rsid w:val="26940EE3"/>
    <w:rsid w:val="269E55B1"/>
    <w:rsid w:val="26D935D7"/>
    <w:rsid w:val="26FD15BD"/>
    <w:rsid w:val="273A4566"/>
    <w:rsid w:val="27605028"/>
    <w:rsid w:val="27847714"/>
    <w:rsid w:val="278B6531"/>
    <w:rsid w:val="27A9561C"/>
    <w:rsid w:val="27F63A89"/>
    <w:rsid w:val="282A4A69"/>
    <w:rsid w:val="286914E7"/>
    <w:rsid w:val="28BC3216"/>
    <w:rsid w:val="28CA34AC"/>
    <w:rsid w:val="28DA4193"/>
    <w:rsid w:val="28F14111"/>
    <w:rsid w:val="290F7096"/>
    <w:rsid w:val="2916341D"/>
    <w:rsid w:val="29A35065"/>
    <w:rsid w:val="29B00012"/>
    <w:rsid w:val="29D137E8"/>
    <w:rsid w:val="29EB25A5"/>
    <w:rsid w:val="2A52069B"/>
    <w:rsid w:val="2A7066C5"/>
    <w:rsid w:val="2AB225E4"/>
    <w:rsid w:val="2AF6570F"/>
    <w:rsid w:val="2B0025D7"/>
    <w:rsid w:val="2B400742"/>
    <w:rsid w:val="2BA64A5F"/>
    <w:rsid w:val="2BD64EDB"/>
    <w:rsid w:val="2BD9277E"/>
    <w:rsid w:val="2BE10DB4"/>
    <w:rsid w:val="2BF1793D"/>
    <w:rsid w:val="2BFB7DF5"/>
    <w:rsid w:val="2C1A76C8"/>
    <w:rsid w:val="2C764749"/>
    <w:rsid w:val="2C8A5A53"/>
    <w:rsid w:val="2CAA1B33"/>
    <w:rsid w:val="2CEE4697"/>
    <w:rsid w:val="2CFF996B"/>
    <w:rsid w:val="2D0669E7"/>
    <w:rsid w:val="2D1A4245"/>
    <w:rsid w:val="2D3B4CBC"/>
    <w:rsid w:val="2D541211"/>
    <w:rsid w:val="2D5E21DC"/>
    <w:rsid w:val="2D88252C"/>
    <w:rsid w:val="2D8E56A9"/>
    <w:rsid w:val="2DD815E9"/>
    <w:rsid w:val="2E1B14D5"/>
    <w:rsid w:val="2E1D349F"/>
    <w:rsid w:val="2E4269D3"/>
    <w:rsid w:val="2E4B103E"/>
    <w:rsid w:val="2E717705"/>
    <w:rsid w:val="2E8C3807"/>
    <w:rsid w:val="2EFA148A"/>
    <w:rsid w:val="2F6F3887"/>
    <w:rsid w:val="2F8A4A30"/>
    <w:rsid w:val="2FBF0026"/>
    <w:rsid w:val="2FCA7124"/>
    <w:rsid w:val="2FCB7CD8"/>
    <w:rsid w:val="2FD652C1"/>
    <w:rsid w:val="30474804"/>
    <w:rsid w:val="30505D04"/>
    <w:rsid w:val="309C75DC"/>
    <w:rsid w:val="309E0581"/>
    <w:rsid w:val="30A643E6"/>
    <w:rsid w:val="30AA08EF"/>
    <w:rsid w:val="30C35C19"/>
    <w:rsid w:val="30DB0403"/>
    <w:rsid w:val="310821E5"/>
    <w:rsid w:val="311341A5"/>
    <w:rsid w:val="3149717D"/>
    <w:rsid w:val="318B0720"/>
    <w:rsid w:val="31AF21F2"/>
    <w:rsid w:val="32284EDE"/>
    <w:rsid w:val="32290665"/>
    <w:rsid w:val="32572E2E"/>
    <w:rsid w:val="32797781"/>
    <w:rsid w:val="32C5141D"/>
    <w:rsid w:val="32EC3440"/>
    <w:rsid w:val="330709B5"/>
    <w:rsid w:val="33513ACD"/>
    <w:rsid w:val="336D0D54"/>
    <w:rsid w:val="33792F26"/>
    <w:rsid w:val="337C6100"/>
    <w:rsid w:val="33896230"/>
    <w:rsid w:val="338F2D48"/>
    <w:rsid w:val="33F1640E"/>
    <w:rsid w:val="3412121F"/>
    <w:rsid w:val="34202E26"/>
    <w:rsid w:val="34310D94"/>
    <w:rsid w:val="34583E67"/>
    <w:rsid w:val="34645984"/>
    <w:rsid w:val="3483314F"/>
    <w:rsid w:val="34CA6060"/>
    <w:rsid w:val="34D01CA3"/>
    <w:rsid w:val="34E8144B"/>
    <w:rsid w:val="351444F6"/>
    <w:rsid w:val="352A7815"/>
    <w:rsid w:val="355B57E5"/>
    <w:rsid w:val="356F5F72"/>
    <w:rsid w:val="358409E6"/>
    <w:rsid w:val="35C6312A"/>
    <w:rsid w:val="35C91DF7"/>
    <w:rsid w:val="35EF5204"/>
    <w:rsid w:val="366033A8"/>
    <w:rsid w:val="36EF2742"/>
    <w:rsid w:val="3700570C"/>
    <w:rsid w:val="370340E9"/>
    <w:rsid w:val="375F3F94"/>
    <w:rsid w:val="37DE7938"/>
    <w:rsid w:val="37E22162"/>
    <w:rsid w:val="37E8067A"/>
    <w:rsid w:val="37F7B233"/>
    <w:rsid w:val="384258A9"/>
    <w:rsid w:val="38433B03"/>
    <w:rsid w:val="384A30E3"/>
    <w:rsid w:val="386136E4"/>
    <w:rsid w:val="38763ED8"/>
    <w:rsid w:val="387E0A26"/>
    <w:rsid w:val="3884123C"/>
    <w:rsid w:val="38A0633D"/>
    <w:rsid w:val="38BA79CC"/>
    <w:rsid w:val="38BD001A"/>
    <w:rsid w:val="38C26B8B"/>
    <w:rsid w:val="39726D2C"/>
    <w:rsid w:val="39DE2328"/>
    <w:rsid w:val="39F0441D"/>
    <w:rsid w:val="3A0374A0"/>
    <w:rsid w:val="3A2F57D1"/>
    <w:rsid w:val="3A742699"/>
    <w:rsid w:val="3A80210E"/>
    <w:rsid w:val="3A830E0F"/>
    <w:rsid w:val="3A991136"/>
    <w:rsid w:val="3AAE222A"/>
    <w:rsid w:val="3AC23F4B"/>
    <w:rsid w:val="3AD32391"/>
    <w:rsid w:val="3B8D0AAE"/>
    <w:rsid w:val="3BAF1F0F"/>
    <w:rsid w:val="3BB76F9F"/>
    <w:rsid w:val="3BF71721"/>
    <w:rsid w:val="3C5E3E3A"/>
    <w:rsid w:val="3C6B5232"/>
    <w:rsid w:val="3CFD6976"/>
    <w:rsid w:val="3D174D89"/>
    <w:rsid w:val="3D1F191A"/>
    <w:rsid w:val="3D2C64C0"/>
    <w:rsid w:val="3D5002B7"/>
    <w:rsid w:val="3D6E7EA5"/>
    <w:rsid w:val="3D854E75"/>
    <w:rsid w:val="3DB03FCF"/>
    <w:rsid w:val="3DD96462"/>
    <w:rsid w:val="3DF5ED1C"/>
    <w:rsid w:val="3DF915F2"/>
    <w:rsid w:val="3E5C0B3F"/>
    <w:rsid w:val="3E6645E3"/>
    <w:rsid w:val="3E815041"/>
    <w:rsid w:val="3E9F31C3"/>
    <w:rsid w:val="3EBB73F9"/>
    <w:rsid w:val="3ECB2D10"/>
    <w:rsid w:val="3ED0771B"/>
    <w:rsid w:val="3EE91828"/>
    <w:rsid w:val="3EFFC682"/>
    <w:rsid w:val="3F2B8FC9"/>
    <w:rsid w:val="3F4B392D"/>
    <w:rsid w:val="3F566811"/>
    <w:rsid w:val="3F676329"/>
    <w:rsid w:val="3F75FB2F"/>
    <w:rsid w:val="3FF3FC00"/>
    <w:rsid w:val="400973E0"/>
    <w:rsid w:val="40AF2E62"/>
    <w:rsid w:val="40E960FF"/>
    <w:rsid w:val="40F83BE6"/>
    <w:rsid w:val="419C2606"/>
    <w:rsid w:val="41A57B46"/>
    <w:rsid w:val="420B2DA8"/>
    <w:rsid w:val="424A5620"/>
    <w:rsid w:val="427317CE"/>
    <w:rsid w:val="42DC72F3"/>
    <w:rsid w:val="42F51E9D"/>
    <w:rsid w:val="42F95FEB"/>
    <w:rsid w:val="42FE7FA4"/>
    <w:rsid w:val="432E56D1"/>
    <w:rsid w:val="433A5A02"/>
    <w:rsid w:val="43454ABD"/>
    <w:rsid w:val="4371359D"/>
    <w:rsid w:val="43A51B15"/>
    <w:rsid w:val="43A85972"/>
    <w:rsid w:val="43C261D8"/>
    <w:rsid w:val="43D30430"/>
    <w:rsid w:val="43E87C60"/>
    <w:rsid w:val="440303BD"/>
    <w:rsid w:val="440B6995"/>
    <w:rsid w:val="44305883"/>
    <w:rsid w:val="443676BD"/>
    <w:rsid w:val="44437E74"/>
    <w:rsid w:val="44635B55"/>
    <w:rsid w:val="44820C0F"/>
    <w:rsid w:val="451E40D1"/>
    <w:rsid w:val="457136DD"/>
    <w:rsid w:val="45D670DB"/>
    <w:rsid w:val="45F00D87"/>
    <w:rsid w:val="462128E4"/>
    <w:rsid w:val="462C1A65"/>
    <w:rsid w:val="46313695"/>
    <w:rsid w:val="4643003A"/>
    <w:rsid w:val="464672D0"/>
    <w:rsid w:val="46476EB4"/>
    <w:rsid w:val="46512DBE"/>
    <w:rsid w:val="465F043C"/>
    <w:rsid w:val="466B0DF4"/>
    <w:rsid w:val="46866EA2"/>
    <w:rsid w:val="46AF0723"/>
    <w:rsid w:val="46D53CAD"/>
    <w:rsid w:val="46FF3658"/>
    <w:rsid w:val="47091340"/>
    <w:rsid w:val="47191DFA"/>
    <w:rsid w:val="472471F5"/>
    <w:rsid w:val="474402DF"/>
    <w:rsid w:val="479C4FDD"/>
    <w:rsid w:val="47C83248"/>
    <w:rsid w:val="47E3C92F"/>
    <w:rsid w:val="480A038D"/>
    <w:rsid w:val="48350B09"/>
    <w:rsid w:val="488B752C"/>
    <w:rsid w:val="491E2D0B"/>
    <w:rsid w:val="498A6E4C"/>
    <w:rsid w:val="49F2356E"/>
    <w:rsid w:val="4A1110EB"/>
    <w:rsid w:val="4A325039"/>
    <w:rsid w:val="4A4112FC"/>
    <w:rsid w:val="4A4556DF"/>
    <w:rsid w:val="4A8E17AE"/>
    <w:rsid w:val="4AD35E1A"/>
    <w:rsid w:val="4AE4141D"/>
    <w:rsid w:val="4AF13892"/>
    <w:rsid w:val="4AF70C82"/>
    <w:rsid w:val="4AFE0922"/>
    <w:rsid w:val="4B2B323F"/>
    <w:rsid w:val="4B3D2633"/>
    <w:rsid w:val="4B3F5609"/>
    <w:rsid w:val="4B590134"/>
    <w:rsid w:val="4B705373"/>
    <w:rsid w:val="4B781B3A"/>
    <w:rsid w:val="4B9F4DC6"/>
    <w:rsid w:val="4BC55963"/>
    <w:rsid w:val="4BD70F05"/>
    <w:rsid w:val="4BE66665"/>
    <w:rsid w:val="4BE763FE"/>
    <w:rsid w:val="4C463C47"/>
    <w:rsid w:val="4CA315FF"/>
    <w:rsid w:val="4CC4755B"/>
    <w:rsid w:val="4CC51824"/>
    <w:rsid w:val="4CD92CE3"/>
    <w:rsid w:val="4CE30C2F"/>
    <w:rsid w:val="4CEE5768"/>
    <w:rsid w:val="4CFE5E63"/>
    <w:rsid w:val="4D2E777B"/>
    <w:rsid w:val="4D565C2E"/>
    <w:rsid w:val="4D5C1F9C"/>
    <w:rsid w:val="4D7E415B"/>
    <w:rsid w:val="4D8958AC"/>
    <w:rsid w:val="4DB655BC"/>
    <w:rsid w:val="4DBA260C"/>
    <w:rsid w:val="4E1315AB"/>
    <w:rsid w:val="4E1A69AF"/>
    <w:rsid w:val="4E3C6BD2"/>
    <w:rsid w:val="4E6963F4"/>
    <w:rsid w:val="4EA67471"/>
    <w:rsid w:val="4EF43951"/>
    <w:rsid w:val="4EFC71F8"/>
    <w:rsid w:val="4FC60F3A"/>
    <w:rsid w:val="4FDC2367"/>
    <w:rsid w:val="4FE21534"/>
    <w:rsid w:val="4FE7ECF6"/>
    <w:rsid w:val="503B275E"/>
    <w:rsid w:val="50A05B3E"/>
    <w:rsid w:val="5133145B"/>
    <w:rsid w:val="518965D2"/>
    <w:rsid w:val="518A6447"/>
    <w:rsid w:val="51A11B6E"/>
    <w:rsid w:val="51A8187D"/>
    <w:rsid w:val="51B86F76"/>
    <w:rsid w:val="51C3520F"/>
    <w:rsid w:val="51CC3BAF"/>
    <w:rsid w:val="523A566C"/>
    <w:rsid w:val="5281374D"/>
    <w:rsid w:val="52816A24"/>
    <w:rsid w:val="52C5363A"/>
    <w:rsid w:val="53157358"/>
    <w:rsid w:val="531E79A2"/>
    <w:rsid w:val="535A3899"/>
    <w:rsid w:val="53640895"/>
    <w:rsid w:val="5369290D"/>
    <w:rsid w:val="536F3B1E"/>
    <w:rsid w:val="53734AFF"/>
    <w:rsid w:val="53DF59D4"/>
    <w:rsid w:val="54293073"/>
    <w:rsid w:val="544720D9"/>
    <w:rsid w:val="54554E92"/>
    <w:rsid w:val="54602C2D"/>
    <w:rsid w:val="54626400"/>
    <w:rsid w:val="547E6801"/>
    <w:rsid w:val="549119BD"/>
    <w:rsid w:val="54E62005"/>
    <w:rsid w:val="551027E8"/>
    <w:rsid w:val="55120D38"/>
    <w:rsid w:val="552E22DE"/>
    <w:rsid w:val="553678C5"/>
    <w:rsid w:val="5556750C"/>
    <w:rsid w:val="55BF108B"/>
    <w:rsid w:val="55D2623F"/>
    <w:rsid w:val="55E04670"/>
    <w:rsid w:val="55FE5F58"/>
    <w:rsid w:val="56332FB1"/>
    <w:rsid w:val="56602607"/>
    <w:rsid w:val="56A05A47"/>
    <w:rsid w:val="56AC47C9"/>
    <w:rsid w:val="56B4410E"/>
    <w:rsid w:val="56B91708"/>
    <w:rsid w:val="56BC4D54"/>
    <w:rsid w:val="56E944F1"/>
    <w:rsid w:val="570851BD"/>
    <w:rsid w:val="575A52BA"/>
    <w:rsid w:val="57604F6B"/>
    <w:rsid w:val="576D10A9"/>
    <w:rsid w:val="57A5692F"/>
    <w:rsid w:val="57B63E99"/>
    <w:rsid w:val="57E00F16"/>
    <w:rsid w:val="58216262"/>
    <w:rsid w:val="58290EED"/>
    <w:rsid w:val="583F08F6"/>
    <w:rsid w:val="58847AF3"/>
    <w:rsid w:val="588F74BA"/>
    <w:rsid w:val="58AF7F75"/>
    <w:rsid w:val="58D7079C"/>
    <w:rsid w:val="58EC0971"/>
    <w:rsid w:val="59710078"/>
    <w:rsid w:val="5975314E"/>
    <w:rsid w:val="597B5EB9"/>
    <w:rsid w:val="59E20F76"/>
    <w:rsid w:val="5A1B6384"/>
    <w:rsid w:val="5A5E9667"/>
    <w:rsid w:val="5A9976A4"/>
    <w:rsid w:val="5AD44F78"/>
    <w:rsid w:val="5B123195"/>
    <w:rsid w:val="5B1E422F"/>
    <w:rsid w:val="5B273CB3"/>
    <w:rsid w:val="5B3E4F5C"/>
    <w:rsid w:val="5B766B2C"/>
    <w:rsid w:val="5BEB11CF"/>
    <w:rsid w:val="5C1949F7"/>
    <w:rsid w:val="5C6F5B60"/>
    <w:rsid w:val="5C790656"/>
    <w:rsid w:val="5CAC0271"/>
    <w:rsid w:val="5CB00DF0"/>
    <w:rsid w:val="5CD51FB1"/>
    <w:rsid w:val="5CD86660"/>
    <w:rsid w:val="5D131779"/>
    <w:rsid w:val="5D6F463D"/>
    <w:rsid w:val="5D7B5DEB"/>
    <w:rsid w:val="5DCE4506"/>
    <w:rsid w:val="5DFCD4BE"/>
    <w:rsid w:val="5E0652EB"/>
    <w:rsid w:val="5E35666F"/>
    <w:rsid w:val="5E552FD5"/>
    <w:rsid w:val="5E5C3004"/>
    <w:rsid w:val="5E7D6119"/>
    <w:rsid w:val="5E7F9519"/>
    <w:rsid w:val="5ECA1FD8"/>
    <w:rsid w:val="5ED209B4"/>
    <w:rsid w:val="5EDA5A11"/>
    <w:rsid w:val="5EDD2BC2"/>
    <w:rsid w:val="5EDDC580"/>
    <w:rsid w:val="5EDE3A83"/>
    <w:rsid w:val="5EE4309A"/>
    <w:rsid w:val="5F1141BF"/>
    <w:rsid w:val="5F1B51A6"/>
    <w:rsid w:val="5FFF8DCE"/>
    <w:rsid w:val="600775FC"/>
    <w:rsid w:val="60B46A9C"/>
    <w:rsid w:val="60FB77B8"/>
    <w:rsid w:val="6123706E"/>
    <w:rsid w:val="613D1E9E"/>
    <w:rsid w:val="614B2BFE"/>
    <w:rsid w:val="614D4740"/>
    <w:rsid w:val="61780977"/>
    <w:rsid w:val="61930DA7"/>
    <w:rsid w:val="61B37BCA"/>
    <w:rsid w:val="61D42C79"/>
    <w:rsid w:val="61F950AE"/>
    <w:rsid w:val="6209240B"/>
    <w:rsid w:val="62097BE6"/>
    <w:rsid w:val="620D2C42"/>
    <w:rsid w:val="6235591B"/>
    <w:rsid w:val="62886432"/>
    <w:rsid w:val="62A2257D"/>
    <w:rsid w:val="63001B0F"/>
    <w:rsid w:val="63173E53"/>
    <w:rsid w:val="6341070D"/>
    <w:rsid w:val="63EC266D"/>
    <w:rsid w:val="63F0010D"/>
    <w:rsid w:val="641036D2"/>
    <w:rsid w:val="641F50FB"/>
    <w:rsid w:val="646D7DF6"/>
    <w:rsid w:val="648038B0"/>
    <w:rsid w:val="649021A4"/>
    <w:rsid w:val="64DA11AB"/>
    <w:rsid w:val="650F1BEE"/>
    <w:rsid w:val="65177F59"/>
    <w:rsid w:val="65567AD8"/>
    <w:rsid w:val="655DEF7B"/>
    <w:rsid w:val="6562503C"/>
    <w:rsid w:val="656E02D3"/>
    <w:rsid w:val="65A13A93"/>
    <w:rsid w:val="65C6799D"/>
    <w:rsid w:val="65F95BFB"/>
    <w:rsid w:val="6623046B"/>
    <w:rsid w:val="66320136"/>
    <w:rsid w:val="664F023F"/>
    <w:rsid w:val="665A551B"/>
    <w:rsid w:val="669C24AC"/>
    <w:rsid w:val="66AB4160"/>
    <w:rsid w:val="66C63977"/>
    <w:rsid w:val="66CA1CB1"/>
    <w:rsid w:val="66FFF493"/>
    <w:rsid w:val="67281F92"/>
    <w:rsid w:val="67CDDBD4"/>
    <w:rsid w:val="68051D5E"/>
    <w:rsid w:val="68A76AB7"/>
    <w:rsid w:val="68EF720B"/>
    <w:rsid w:val="690D78C2"/>
    <w:rsid w:val="692F47F3"/>
    <w:rsid w:val="69313380"/>
    <w:rsid w:val="694A7F23"/>
    <w:rsid w:val="69635503"/>
    <w:rsid w:val="699E695C"/>
    <w:rsid w:val="69DC5183"/>
    <w:rsid w:val="69E40F29"/>
    <w:rsid w:val="6A4E7F61"/>
    <w:rsid w:val="6A627569"/>
    <w:rsid w:val="6A647C82"/>
    <w:rsid w:val="6A7154B9"/>
    <w:rsid w:val="6AB27C07"/>
    <w:rsid w:val="6ABA1153"/>
    <w:rsid w:val="6ABF6F65"/>
    <w:rsid w:val="6AC87FE6"/>
    <w:rsid w:val="6AC9375F"/>
    <w:rsid w:val="6B04316B"/>
    <w:rsid w:val="6B4A0F65"/>
    <w:rsid w:val="6B58657E"/>
    <w:rsid w:val="6B791415"/>
    <w:rsid w:val="6BB46A94"/>
    <w:rsid w:val="6BBA3B00"/>
    <w:rsid w:val="6BE96E14"/>
    <w:rsid w:val="6BF9CDAC"/>
    <w:rsid w:val="6BFC0360"/>
    <w:rsid w:val="6BFE2447"/>
    <w:rsid w:val="6C040369"/>
    <w:rsid w:val="6C5E2EE5"/>
    <w:rsid w:val="6CA44F9E"/>
    <w:rsid w:val="6CAD0B65"/>
    <w:rsid w:val="6CCC0FA1"/>
    <w:rsid w:val="6D1A6367"/>
    <w:rsid w:val="6D4A1693"/>
    <w:rsid w:val="6D51581F"/>
    <w:rsid w:val="6D55102F"/>
    <w:rsid w:val="6D6628E6"/>
    <w:rsid w:val="6D7B606D"/>
    <w:rsid w:val="6D9A2A48"/>
    <w:rsid w:val="6DC9002B"/>
    <w:rsid w:val="6DCE447E"/>
    <w:rsid w:val="6DCF6AFE"/>
    <w:rsid w:val="6DD71A54"/>
    <w:rsid w:val="6DF57CAC"/>
    <w:rsid w:val="6E225C58"/>
    <w:rsid w:val="6E3269D7"/>
    <w:rsid w:val="6E5E2D1F"/>
    <w:rsid w:val="6E944536"/>
    <w:rsid w:val="6EB61E3D"/>
    <w:rsid w:val="6EB760D5"/>
    <w:rsid w:val="6EBA0E66"/>
    <w:rsid w:val="6EDC6697"/>
    <w:rsid w:val="6EFF7AFF"/>
    <w:rsid w:val="6F264A9E"/>
    <w:rsid w:val="6F273616"/>
    <w:rsid w:val="6F44468A"/>
    <w:rsid w:val="6F590296"/>
    <w:rsid w:val="6F5FC89A"/>
    <w:rsid w:val="6FAF733F"/>
    <w:rsid w:val="6FC509BB"/>
    <w:rsid w:val="6FCA008A"/>
    <w:rsid w:val="6FDE4678"/>
    <w:rsid w:val="70076BE8"/>
    <w:rsid w:val="70107F06"/>
    <w:rsid w:val="706C51D4"/>
    <w:rsid w:val="707E792B"/>
    <w:rsid w:val="708345D2"/>
    <w:rsid w:val="710226C8"/>
    <w:rsid w:val="71306870"/>
    <w:rsid w:val="713F7EA0"/>
    <w:rsid w:val="71B15BA7"/>
    <w:rsid w:val="72312642"/>
    <w:rsid w:val="7299178E"/>
    <w:rsid w:val="72AB4F79"/>
    <w:rsid w:val="72B72559"/>
    <w:rsid w:val="72DF0423"/>
    <w:rsid w:val="72E65600"/>
    <w:rsid w:val="73597617"/>
    <w:rsid w:val="73730DA8"/>
    <w:rsid w:val="73760A49"/>
    <w:rsid w:val="739D67C6"/>
    <w:rsid w:val="73A908A3"/>
    <w:rsid w:val="73B60772"/>
    <w:rsid w:val="73D30B8C"/>
    <w:rsid w:val="73E04711"/>
    <w:rsid w:val="7450542B"/>
    <w:rsid w:val="745555ED"/>
    <w:rsid w:val="748449C5"/>
    <w:rsid w:val="748E75A3"/>
    <w:rsid w:val="74C7585F"/>
    <w:rsid w:val="74E03F88"/>
    <w:rsid w:val="75287D22"/>
    <w:rsid w:val="759B7FBA"/>
    <w:rsid w:val="75A02A57"/>
    <w:rsid w:val="75CB7E3D"/>
    <w:rsid w:val="75DF3D2D"/>
    <w:rsid w:val="76197A00"/>
    <w:rsid w:val="763B1ECB"/>
    <w:rsid w:val="764BD3AA"/>
    <w:rsid w:val="76712F0C"/>
    <w:rsid w:val="768A331D"/>
    <w:rsid w:val="76AE6010"/>
    <w:rsid w:val="76BD1D08"/>
    <w:rsid w:val="76E3368E"/>
    <w:rsid w:val="773662B0"/>
    <w:rsid w:val="774E8361"/>
    <w:rsid w:val="775546DD"/>
    <w:rsid w:val="776B2153"/>
    <w:rsid w:val="77996CC0"/>
    <w:rsid w:val="779E602D"/>
    <w:rsid w:val="77AB47FF"/>
    <w:rsid w:val="77BF458C"/>
    <w:rsid w:val="77CC6DB9"/>
    <w:rsid w:val="77DFEF4F"/>
    <w:rsid w:val="77FDF4D8"/>
    <w:rsid w:val="78490812"/>
    <w:rsid w:val="785250C1"/>
    <w:rsid w:val="788259A6"/>
    <w:rsid w:val="789B3CC7"/>
    <w:rsid w:val="78CB2770"/>
    <w:rsid w:val="79080D5A"/>
    <w:rsid w:val="792C76C0"/>
    <w:rsid w:val="7995E114"/>
    <w:rsid w:val="799A251B"/>
    <w:rsid w:val="799F572C"/>
    <w:rsid w:val="7A0F6CC1"/>
    <w:rsid w:val="7A3C7DD6"/>
    <w:rsid w:val="7A4F1F4A"/>
    <w:rsid w:val="7A62553D"/>
    <w:rsid w:val="7A6B4B71"/>
    <w:rsid w:val="7AB034C4"/>
    <w:rsid w:val="7AFE32DE"/>
    <w:rsid w:val="7B372587"/>
    <w:rsid w:val="7B6B04D4"/>
    <w:rsid w:val="7B7FFE40"/>
    <w:rsid w:val="7B9C4BFD"/>
    <w:rsid w:val="7BDA78A7"/>
    <w:rsid w:val="7BF061B4"/>
    <w:rsid w:val="7BF567D9"/>
    <w:rsid w:val="7BF9961A"/>
    <w:rsid w:val="7C0B180E"/>
    <w:rsid w:val="7C317624"/>
    <w:rsid w:val="7C4C1671"/>
    <w:rsid w:val="7C4E77CA"/>
    <w:rsid w:val="7C5424EB"/>
    <w:rsid w:val="7C6D6A69"/>
    <w:rsid w:val="7C710451"/>
    <w:rsid w:val="7C831B79"/>
    <w:rsid w:val="7CA63A69"/>
    <w:rsid w:val="7CCE4721"/>
    <w:rsid w:val="7CF914B9"/>
    <w:rsid w:val="7CFB5D27"/>
    <w:rsid w:val="7D2A690E"/>
    <w:rsid w:val="7D717D97"/>
    <w:rsid w:val="7D974FAD"/>
    <w:rsid w:val="7D9D6A3C"/>
    <w:rsid w:val="7DA13BE6"/>
    <w:rsid w:val="7DA93D80"/>
    <w:rsid w:val="7DBE2E7E"/>
    <w:rsid w:val="7DD304B5"/>
    <w:rsid w:val="7DD6735D"/>
    <w:rsid w:val="7E77A4ED"/>
    <w:rsid w:val="7E8B72AB"/>
    <w:rsid w:val="7E9F291D"/>
    <w:rsid w:val="7EB1275E"/>
    <w:rsid w:val="7EC46054"/>
    <w:rsid w:val="7F1C3DA0"/>
    <w:rsid w:val="7F27210B"/>
    <w:rsid w:val="7F6B7807"/>
    <w:rsid w:val="7F6E1582"/>
    <w:rsid w:val="7F6FDE14"/>
    <w:rsid w:val="7F80403E"/>
    <w:rsid w:val="7FD83530"/>
    <w:rsid w:val="7FDF7A67"/>
    <w:rsid w:val="7FEB427E"/>
    <w:rsid w:val="7FF8654D"/>
    <w:rsid w:val="7FFE723E"/>
    <w:rsid w:val="7FFF0711"/>
    <w:rsid w:val="7FFF5B2E"/>
    <w:rsid w:val="89F82342"/>
    <w:rsid w:val="96AF2240"/>
    <w:rsid w:val="9FFB30E4"/>
    <w:rsid w:val="A6F584CD"/>
    <w:rsid w:val="AEFDEAD8"/>
    <w:rsid w:val="AF7D592F"/>
    <w:rsid w:val="B7EF79E9"/>
    <w:rsid w:val="B97FB4D7"/>
    <w:rsid w:val="B9FC8339"/>
    <w:rsid w:val="BAFF0217"/>
    <w:rsid w:val="BBF0FAA8"/>
    <w:rsid w:val="BC560498"/>
    <w:rsid w:val="BCDF3F13"/>
    <w:rsid w:val="BDEF0A9B"/>
    <w:rsid w:val="BE9DF86C"/>
    <w:rsid w:val="BEDF9F48"/>
    <w:rsid w:val="BFFF7128"/>
    <w:rsid w:val="CFE54498"/>
    <w:rsid w:val="D3F553FC"/>
    <w:rsid w:val="D7BF48D2"/>
    <w:rsid w:val="D7FB74B3"/>
    <w:rsid w:val="DBFF0517"/>
    <w:rsid w:val="DC7ECED4"/>
    <w:rsid w:val="DE57FC0E"/>
    <w:rsid w:val="DEFFB89E"/>
    <w:rsid w:val="E1F7534D"/>
    <w:rsid w:val="E58FBAA3"/>
    <w:rsid w:val="E67FD8C5"/>
    <w:rsid w:val="ECF7274D"/>
    <w:rsid w:val="EEB4E2FB"/>
    <w:rsid w:val="EF7BC9C0"/>
    <w:rsid w:val="EF9772C4"/>
    <w:rsid w:val="EF9F37C9"/>
    <w:rsid w:val="EFB3259D"/>
    <w:rsid w:val="EFDB2BF9"/>
    <w:rsid w:val="F4BFD753"/>
    <w:rsid w:val="F55F7B96"/>
    <w:rsid w:val="F72B0B8E"/>
    <w:rsid w:val="F77E20D2"/>
    <w:rsid w:val="F7BA0106"/>
    <w:rsid w:val="F7DD11C0"/>
    <w:rsid w:val="F7FFC458"/>
    <w:rsid w:val="FA6E1ABF"/>
    <w:rsid w:val="FACECAEE"/>
    <w:rsid w:val="FAFE440E"/>
    <w:rsid w:val="FCDA4059"/>
    <w:rsid w:val="FDBFBF64"/>
    <w:rsid w:val="FDEF1C54"/>
    <w:rsid w:val="FDFE247C"/>
    <w:rsid w:val="FDFEE026"/>
    <w:rsid w:val="FDFF15F9"/>
    <w:rsid w:val="FEE78379"/>
    <w:rsid w:val="FF2D9BEF"/>
    <w:rsid w:val="FF8FA3DE"/>
    <w:rsid w:val="FF990565"/>
    <w:rsid w:val="FF99FAA3"/>
    <w:rsid w:val="FFBF786B"/>
    <w:rsid w:val="FFDFE6B1"/>
    <w:rsid w:val="FFEB29C7"/>
    <w:rsid w:val="FFFF626F"/>
    <w:rsid w:val="FFFFF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jc w:val="center"/>
      <w:outlineLvl w:val="0"/>
    </w:pPr>
    <w:rPr>
      <w:b/>
      <w:bCs/>
      <w:sz w:val="24"/>
      <w:szCs w:val="20"/>
    </w:rPr>
  </w:style>
  <w:style w:type="paragraph" w:styleId="3">
    <w:name w:val="heading 2"/>
    <w:basedOn w:val="1"/>
    <w:next w:val="1"/>
    <w:link w:val="53"/>
    <w:qFormat/>
    <w:uiPriority w:val="0"/>
    <w:pPr>
      <w:keepNext/>
      <w:keepLines/>
      <w:spacing w:line="360" w:lineRule="auto"/>
      <w:outlineLvl w:val="1"/>
    </w:pPr>
    <w:rPr>
      <w:rFonts w:ascii="Arial" w:hAnsi="Arial"/>
      <w:b/>
      <w:bCs/>
      <w:sz w:val="24"/>
      <w:szCs w:val="32"/>
    </w:rPr>
  </w:style>
  <w:style w:type="paragraph" w:styleId="4">
    <w:name w:val="heading 3"/>
    <w:basedOn w:val="1"/>
    <w:next w:val="1"/>
    <w:link w:val="55"/>
    <w:qFormat/>
    <w:uiPriority w:val="0"/>
    <w:pPr>
      <w:keepNext/>
      <w:keepLines/>
      <w:spacing w:before="260" w:after="260" w:line="416" w:lineRule="auto"/>
      <w:outlineLvl w:val="2"/>
    </w:pPr>
    <w:rPr>
      <w:b/>
      <w:bCs/>
      <w:sz w:val="32"/>
      <w:szCs w:val="32"/>
    </w:rPr>
  </w:style>
  <w:style w:type="paragraph" w:styleId="5">
    <w:name w:val="heading 4"/>
    <w:basedOn w:val="1"/>
    <w:next w:val="1"/>
    <w:link w:val="5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4"/>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5"/>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66"/>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67"/>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68"/>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link w:val="92"/>
    <w:semiHidden/>
    <w:qFormat/>
    <w:uiPriority w:val="0"/>
    <w:pPr>
      <w:shd w:val="clear" w:color="auto" w:fill="000080"/>
    </w:pPr>
  </w:style>
  <w:style w:type="paragraph" w:styleId="15">
    <w:name w:val="annotation text"/>
    <w:basedOn w:val="1"/>
    <w:link w:val="76"/>
    <w:semiHidden/>
    <w:qFormat/>
    <w:uiPriority w:val="0"/>
    <w:pPr>
      <w:jc w:val="left"/>
    </w:pPr>
  </w:style>
  <w:style w:type="paragraph" w:styleId="16">
    <w:name w:val="Salutation"/>
    <w:basedOn w:val="1"/>
    <w:next w:val="1"/>
    <w:link w:val="81"/>
    <w:qFormat/>
    <w:uiPriority w:val="0"/>
    <w:rPr>
      <w:rFonts w:ascii="仿宋_GB2312" w:eastAsia="仿宋_GB2312"/>
      <w:sz w:val="24"/>
    </w:rPr>
  </w:style>
  <w:style w:type="paragraph" w:styleId="17">
    <w:name w:val="Body Text"/>
    <w:basedOn w:val="1"/>
    <w:next w:val="1"/>
    <w:link w:val="70"/>
    <w:qFormat/>
    <w:uiPriority w:val="0"/>
    <w:pPr>
      <w:spacing w:after="120"/>
    </w:pPr>
  </w:style>
  <w:style w:type="paragraph" w:styleId="18">
    <w:name w:val="Body Text Indent"/>
    <w:basedOn w:val="1"/>
    <w:next w:val="19"/>
    <w:link w:val="73"/>
    <w:qFormat/>
    <w:uiPriority w:val="0"/>
    <w:pPr>
      <w:spacing w:after="120"/>
      <w:ind w:left="420" w:leftChars="200"/>
    </w:pPr>
  </w:style>
  <w:style w:type="paragraph" w:styleId="19">
    <w:name w:val="Body Text Indent 2"/>
    <w:basedOn w:val="1"/>
    <w:link w:val="83"/>
    <w:qFormat/>
    <w:uiPriority w:val="0"/>
    <w:pPr>
      <w:spacing w:after="120" w:line="480" w:lineRule="auto"/>
      <w:ind w:left="420" w:leftChars="200"/>
    </w:p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2">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23">
    <w:name w:val="Plain Text"/>
    <w:basedOn w:val="1"/>
    <w:link w:val="75"/>
    <w:qFormat/>
    <w:uiPriority w:val="0"/>
    <w:rPr>
      <w:rFonts w:ascii="宋体" w:hAnsi="Courier New" w:cs="Courier New"/>
      <w:szCs w:val="21"/>
    </w:rPr>
  </w:style>
  <w:style w:type="paragraph" w:styleId="24">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5">
    <w:name w:val="Date"/>
    <w:basedOn w:val="1"/>
    <w:next w:val="1"/>
    <w:link w:val="86"/>
    <w:qFormat/>
    <w:uiPriority w:val="0"/>
    <w:rPr>
      <w:sz w:val="24"/>
      <w:szCs w:val="20"/>
    </w:rPr>
  </w:style>
  <w:style w:type="paragraph" w:styleId="26">
    <w:name w:val="Balloon Text"/>
    <w:basedOn w:val="1"/>
    <w:link w:val="100"/>
    <w:qFormat/>
    <w:uiPriority w:val="0"/>
    <w:rPr>
      <w:sz w:val="18"/>
      <w:szCs w:val="18"/>
    </w:rPr>
  </w:style>
  <w:style w:type="paragraph" w:styleId="27">
    <w:name w:val="footer"/>
    <w:basedOn w:val="1"/>
    <w:link w:val="71"/>
    <w:qFormat/>
    <w:uiPriority w:val="99"/>
    <w:pPr>
      <w:tabs>
        <w:tab w:val="center" w:pos="4153"/>
        <w:tab w:val="right" w:pos="8306"/>
      </w:tabs>
      <w:snapToGrid w:val="0"/>
      <w:jc w:val="left"/>
    </w:pPr>
    <w:rPr>
      <w:sz w:val="18"/>
      <w:szCs w:val="18"/>
    </w:rPr>
  </w:style>
  <w:style w:type="paragraph" w:styleId="28">
    <w:name w:val="header"/>
    <w:basedOn w:val="1"/>
    <w:link w:val="72"/>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line="360" w:lineRule="auto"/>
    </w:pPr>
    <w:rPr>
      <w:rFonts w:asciiTheme="minorEastAsia" w:hAnsiTheme="minorEastAsia" w:eastAsiaTheme="minorEastAsia"/>
      <w:b/>
      <w:sz w:val="24"/>
      <w:szCs w:val="21"/>
    </w:rPr>
  </w:style>
  <w:style w:type="paragraph" w:styleId="30">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1">
    <w:name w:val="toc 6"/>
    <w:basedOn w:val="1"/>
    <w:next w:val="1"/>
    <w:qFormat/>
    <w:uiPriority w:val="39"/>
    <w:pPr>
      <w:ind w:left="2100"/>
    </w:pPr>
    <w:rPr>
      <w:szCs w:val="20"/>
    </w:rPr>
  </w:style>
  <w:style w:type="paragraph" w:styleId="32">
    <w:name w:val="Body Text Indent 3"/>
    <w:basedOn w:val="1"/>
    <w:link w:val="85"/>
    <w:qFormat/>
    <w:uiPriority w:val="0"/>
    <w:pPr>
      <w:spacing w:after="120"/>
      <w:ind w:left="420" w:leftChars="200"/>
    </w:pPr>
    <w:rPr>
      <w:sz w:val="16"/>
      <w:szCs w:val="16"/>
    </w:rPr>
  </w:style>
  <w:style w:type="paragraph" w:styleId="33">
    <w:name w:val="table of figures"/>
    <w:basedOn w:val="1"/>
    <w:next w:val="1"/>
    <w:semiHidden/>
    <w:qFormat/>
    <w:uiPriority w:val="0"/>
    <w:pPr>
      <w:adjustRightInd w:val="0"/>
      <w:snapToGrid w:val="0"/>
      <w:ind w:left="840" w:leftChars="200" w:hanging="420" w:hangingChars="200"/>
    </w:pPr>
    <w:rPr>
      <w:rFonts w:ascii="宋体" w:hAnsi="Times New Roman"/>
      <w:szCs w:val="20"/>
    </w:rPr>
  </w:style>
  <w:style w:type="paragraph" w:styleId="34">
    <w:name w:val="toc 2"/>
    <w:basedOn w:val="1"/>
    <w:next w:val="1"/>
    <w:unhideWhenUsed/>
    <w:qFormat/>
    <w:uiPriority w:val="39"/>
    <w:pPr>
      <w:spacing w:line="360" w:lineRule="auto"/>
      <w:ind w:left="200" w:leftChars="200"/>
    </w:pPr>
    <w:rPr>
      <w:rFonts w:eastAsiaTheme="majorEastAsia"/>
      <w:b/>
    </w:rPr>
  </w:style>
  <w:style w:type="paragraph" w:styleId="35">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6">
    <w:name w:val="Body Text 2"/>
    <w:basedOn w:val="1"/>
    <w:link w:val="82"/>
    <w:qFormat/>
    <w:uiPriority w:val="0"/>
    <w:pPr>
      <w:spacing w:after="120" w:line="480" w:lineRule="auto"/>
    </w:pPr>
  </w:style>
  <w:style w:type="paragraph" w:styleId="37">
    <w:name w:val="HTML Preformatted"/>
    <w:basedOn w:val="1"/>
    <w:link w:val="8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link w:val="117"/>
    <w:qFormat/>
    <w:uiPriority w:val="0"/>
    <w:pPr>
      <w:jc w:val="center"/>
      <w:outlineLvl w:val="0"/>
    </w:pPr>
    <w:rPr>
      <w:rFonts w:asciiTheme="minorHAnsi" w:hAnsiTheme="minorHAnsi" w:eastAsiaTheme="minorEastAsia" w:cstheme="minorBidi"/>
      <w:b/>
      <w:sz w:val="32"/>
      <w:szCs w:val="22"/>
    </w:rPr>
  </w:style>
  <w:style w:type="paragraph" w:styleId="41">
    <w:name w:val="annotation subject"/>
    <w:basedOn w:val="15"/>
    <w:next w:val="15"/>
    <w:link w:val="99"/>
    <w:qFormat/>
    <w:uiPriority w:val="0"/>
    <w:rPr>
      <w:b/>
      <w:bCs/>
    </w:rPr>
  </w:style>
  <w:style w:type="paragraph" w:styleId="42">
    <w:name w:val="Body Text First Indent"/>
    <w:basedOn w:val="17"/>
    <w:qFormat/>
    <w:uiPriority w:val="0"/>
    <w:pPr>
      <w:spacing w:after="120" w:line="360" w:lineRule="exact"/>
      <w:ind w:left="400" w:leftChars="400" w:firstLine="420" w:firstLineChars="100"/>
    </w:pPr>
    <w:rPr>
      <w:rFonts w:eastAsia="楷体_GB2312"/>
      <w:sz w:val="24"/>
    </w:rPr>
  </w:style>
  <w:style w:type="paragraph" w:styleId="43">
    <w:name w:val="Body Text First Indent 2"/>
    <w:basedOn w:val="18"/>
    <w:next w:val="42"/>
    <w:qFormat/>
    <w:uiPriority w:val="0"/>
    <w:pPr>
      <w:spacing w:after="120" w:afterLines="0"/>
      <w:ind w:left="420" w:leftChars="200" w:firstLine="482" w:firstLineChars="200"/>
    </w:pPr>
    <w:rPr>
      <w:rFonts w:ascii="Calibri" w:hAnsi="Calibri"/>
      <w:b/>
      <w:sz w:val="24"/>
      <w:szCs w:val="24"/>
    </w:rPr>
  </w:style>
  <w:style w:type="table" w:styleId="45">
    <w:name w:val="Table Grid"/>
    <w:basedOn w:val="44"/>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basedOn w:val="46"/>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basedOn w:val="46"/>
    <w:qFormat/>
    <w:uiPriority w:val="20"/>
  </w:style>
  <w:style w:type="character" w:styleId="51">
    <w:name w:val="Hyperlink"/>
    <w:qFormat/>
    <w:uiPriority w:val="99"/>
    <w:rPr>
      <w:color w:val="136EC2"/>
      <w:u w:val="single"/>
    </w:rPr>
  </w:style>
  <w:style w:type="character" w:styleId="52">
    <w:name w:val="annotation reference"/>
    <w:qFormat/>
    <w:uiPriority w:val="0"/>
    <w:rPr>
      <w:sz w:val="21"/>
      <w:szCs w:val="21"/>
    </w:rPr>
  </w:style>
  <w:style w:type="character" w:customStyle="1" w:styleId="53">
    <w:name w:val="标题 2 Char"/>
    <w:basedOn w:val="46"/>
    <w:link w:val="3"/>
    <w:qFormat/>
    <w:uiPriority w:val="0"/>
    <w:rPr>
      <w:rFonts w:ascii="Arial" w:hAnsi="Arial" w:eastAsia="宋体" w:cs="Times New Roman"/>
      <w:b/>
      <w:bCs/>
      <w:sz w:val="24"/>
      <w:szCs w:val="32"/>
    </w:rPr>
  </w:style>
  <w:style w:type="paragraph" w:customStyle="1" w:styleId="54">
    <w:name w:val="font5"/>
    <w:basedOn w:val="1"/>
    <w:qFormat/>
    <w:uiPriority w:val="0"/>
    <w:pPr>
      <w:widowControl/>
      <w:spacing w:before="100" w:beforeAutospacing="1" w:after="100" w:afterAutospacing="1"/>
      <w:jc w:val="left"/>
    </w:pPr>
    <w:rPr>
      <w:rFonts w:ascii="宋体"/>
      <w:kern w:val="0"/>
      <w:sz w:val="18"/>
      <w:szCs w:val="18"/>
    </w:rPr>
  </w:style>
  <w:style w:type="character" w:customStyle="1" w:styleId="55">
    <w:name w:val="标题 3 Char"/>
    <w:basedOn w:val="46"/>
    <w:link w:val="4"/>
    <w:qFormat/>
    <w:uiPriority w:val="0"/>
    <w:rPr>
      <w:rFonts w:ascii="Times New Roman" w:hAnsi="Times New Roman" w:eastAsia="宋体" w:cs="Times New Roman"/>
      <w:b/>
      <w:bCs/>
      <w:sz w:val="32"/>
      <w:szCs w:val="32"/>
    </w:rPr>
  </w:style>
  <w:style w:type="character" w:customStyle="1" w:styleId="56">
    <w:name w:val="标题 1 Char"/>
    <w:basedOn w:val="46"/>
    <w:link w:val="2"/>
    <w:qFormat/>
    <w:uiPriority w:val="0"/>
    <w:rPr>
      <w:rFonts w:ascii="Times New Roman" w:hAnsi="Times New Roman" w:eastAsia="宋体" w:cs="Times New Roman"/>
      <w:b/>
      <w:bCs/>
      <w:sz w:val="24"/>
      <w:szCs w:val="20"/>
    </w:rPr>
  </w:style>
  <w:style w:type="character" w:customStyle="1" w:styleId="57">
    <w:name w:val="标题 4 Char"/>
    <w:basedOn w:val="46"/>
    <w:link w:val="5"/>
    <w:qFormat/>
    <w:uiPriority w:val="0"/>
    <w:rPr>
      <w:rFonts w:ascii="Arial" w:hAnsi="Arial" w:eastAsia="黑体" w:cs="Times New Roman"/>
      <w:b/>
      <w:bCs/>
      <w:sz w:val="28"/>
      <w:szCs w:val="28"/>
    </w:rPr>
  </w:style>
  <w:style w:type="paragraph" w:customStyle="1" w:styleId="58">
    <w:name w:val="列出段落1"/>
    <w:basedOn w:val="59"/>
    <w:next w:val="60"/>
    <w:qFormat/>
    <w:uiPriority w:val="0"/>
    <w:pPr>
      <w:ind w:firstLine="420" w:firstLineChars="200"/>
    </w:pPr>
    <w:rPr>
      <w:szCs w:val="21"/>
    </w:rPr>
  </w:style>
  <w:style w:type="paragraph" w:customStyle="1" w:styleId="59">
    <w:name w:val="正文_0"/>
    <w:next w:val="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Style26"/>
    <w:basedOn w:val="1"/>
    <w:next w:val="18"/>
    <w:unhideWhenUsed/>
    <w:qFormat/>
    <w:uiPriority w:val="0"/>
  </w:style>
  <w:style w:type="paragraph" w:customStyle="1" w:styleId="61">
    <w:name w:val="Body Text Indent1"/>
    <w:basedOn w:val="1"/>
    <w:next w:val="62"/>
    <w:qFormat/>
    <w:uiPriority w:val="0"/>
    <w:pPr>
      <w:spacing w:after="120" w:afterLines="0"/>
      <w:ind w:left="420" w:leftChars="200"/>
    </w:pPr>
    <w:rPr>
      <w:rFonts w:ascii="宋体" w:hAnsi="宋体"/>
    </w:rPr>
  </w:style>
  <w:style w:type="paragraph" w:customStyle="1" w:styleId="62">
    <w:name w:val="Body Text Indent 31"/>
    <w:basedOn w:val="1"/>
    <w:next w:val="63"/>
    <w:qFormat/>
    <w:uiPriority w:val="0"/>
    <w:pPr>
      <w:spacing w:after="120" w:afterLines="0"/>
      <w:ind w:left="420" w:leftChars="200"/>
    </w:pPr>
    <w:rPr>
      <w:kern w:val="0"/>
      <w:sz w:val="16"/>
      <w:szCs w:val="16"/>
    </w:rPr>
  </w:style>
  <w:style w:type="paragraph" w:customStyle="1" w:styleId="63">
    <w:name w:val="Style23"/>
    <w:basedOn w:val="1"/>
    <w:next w:val="1"/>
    <w:unhideWhenUsed/>
    <w:qFormat/>
    <w:uiPriority w:val="0"/>
  </w:style>
  <w:style w:type="character" w:customStyle="1" w:styleId="64">
    <w:name w:val="标题 5 Char"/>
    <w:basedOn w:val="46"/>
    <w:link w:val="6"/>
    <w:qFormat/>
    <w:uiPriority w:val="0"/>
    <w:rPr>
      <w:rFonts w:ascii="Times New Roman" w:hAnsi="Times New Roman" w:eastAsia="宋体" w:cs="Times New Roman"/>
      <w:b/>
      <w:bCs/>
      <w:kern w:val="0"/>
      <w:sz w:val="28"/>
      <w:szCs w:val="28"/>
    </w:rPr>
  </w:style>
  <w:style w:type="character" w:customStyle="1" w:styleId="65">
    <w:name w:val="标题 6 Char"/>
    <w:basedOn w:val="46"/>
    <w:link w:val="7"/>
    <w:qFormat/>
    <w:uiPriority w:val="0"/>
    <w:rPr>
      <w:rFonts w:ascii="Arial" w:hAnsi="Arial" w:eastAsia="黑体" w:cs="Times New Roman"/>
      <w:b/>
      <w:bCs/>
      <w:kern w:val="0"/>
      <w:sz w:val="24"/>
      <w:szCs w:val="24"/>
    </w:rPr>
  </w:style>
  <w:style w:type="character" w:customStyle="1" w:styleId="66">
    <w:name w:val="标题 7 Char"/>
    <w:basedOn w:val="46"/>
    <w:link w:val="8"/>
    <w:qFormat/>
    <w:uiPriority w:val="0"/>
    <w:rPr>
      <w:rFonts w:ascii="Times New Roman" w:hAnsi="Times New Roman" w:eastAsia="宋体" w:cs="Times New Roman"/>
      <w:b/>
      <w:bCs/>
      <w:kern w:val="0"/>
      <w:sz w:val="24"/>
      <w:szCs w:val="24"/>
    </w:rPr>
  </w:style>
  <w:style w:type="character" w:customStyle="1" w:styleId="67">
    <w:name w:val="标题 8 Char"/>
    <w:basedOn w:val="46"/>
    <w:link w:val="9"/>
    <w:qFormat/>
    <w:uiPriority w:val="0"/>
    <w:rPr>
      <w:rFonts w:ascii="Arial" w:hAnsi="Arial" w:eastAsia="黑体" w:cs="Times New Roman"/>
      <w:kern w:val="0"/>
      <w:sz w:val="24"/>
      <w:szCs w:val="24"/>
    </w:rPr>
  </w:style>
  <w:style w:type="character" w:customStyle="1" w:styleId="68">
    <w:name w:val="标题 9 Char"/>
    <w:basedOn w:val="46"/>
    <w:link w:val="10"/>
    <w:qFormat/>
    <w:uiPriority w:val="0"/>
    <w:rPr>
      <w:rFonts w:ascii="Arial" w:hAnsi="Arial" w:eastAsia="黑体" w:cs="Times New Roman"/>
      <w:kern w:val="0"/>
      <w:szCs w:val="21"/>
    </w:rPr>
  </w:style>
  <w:style w:type="paragraph" w:customStyle="1" w:styleId="69">
    <w:name w:val="表格内容"/>
    <w:basedOn w:val="17"/>
    <w:qFormat/>
    <w:uiPriority w:val="0"/>
    <w:pPr>
      <w:suppressLineNumbers/>
      <w:suppressAutoHyphens/>
      <w:jc w:val="left"/>
    </w:pPr>
    <w:rPr>
      <w:rFonts w:cs="Tahoma"/>
      <w:kern w:val="0"/>
      <w:sz w:val="24"/>
    </w:rPr>
  </w:style>
  <w:style w:type="character" w:customStyle="1" w:styleId="70">
    <w:name w:val="正文文本 Char"/>
    <w:basedOn w:val="46"/>
    <w:link w:val="17"/>
    <w:qFormat/>
    <w:uiPriority w:val="0"/>
    <w:rPr>
      <w:rFonts w:ascii="Times New Roman" w:hAnsi="Times New Roman" w:eastAsia="宋体" w:cs="Times New Roman"/>
      <w:szCs w:val="24"/>
    </w:rPr>
  </w:style>
  <w:style w:type="character" w:customStyle="1" w:styleId="71">
    <w:name w:val="页脚 Char"/>
    <w:basedOn w:val="46"/>
    <w:link w:val="27"/>
    <w:qFormat/>
    <w:uiPriority w:val="99"/>
    <w:rPr>
      <w:rFonts w:ascii="Times New Roman" w:hAnsi="Times New Roman" w:eastAsia="宋体" w:cs="Times New Roman"/>
      <w:sz w:val="18"/>
      <w:szCs w:val="18"/>
    </w:rPr>
  </w:style>
  <w:style w:type="character" w:customStyle="1" w:styleId="72">
    <w:name w:val="页眉 Char"/>
    <w:basedOn w:val="46"/>
    <w:link w:val="28"/>
    <w:qFormat/>
    <w:uiPriority w:val="99"/>
    <w:rPr>
      <w:rFonts w:ascii="Times New Roman" w:hAnsi="Times New Roman" w:eastAsia="宋体" w:cs="Times New Roman"/>
      <w:sz w:val="18"/>
      <w:szCs w:val="18"/>
    </w:rPr>
  </w:style>
  <w:style w:type="character" w:customStyle="1" w:styleId="73">
    <w:name w:val="正文文本缩进 Char"/>
    <w:basedOn w:val="46"/>
    <w:link w:val="18"/>
    <w:qFormat/>
    <w:uiPriority w:val="0"/>
    <w:rPr>
      <w:rFonts w:ascii="Times New Roman" w:hAnsi="Times New Roman" w:eastAsia="宋体" w:cs="Times New Roman"/>
      <w:szCs w:val="24"/>
    </w:rPr>
  </w:style>
  <w:style w:type="paragraph" w:customStyle="1" w:styleId="74">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75">
    <w:name w:val="纯文本 Char"/>
    <w:basedOn w:val="46"/>
    <w:link w:val="23"/>
    <w:qFormat/>
    <w:uiPriority w:val="0"/>
    <w:rPr>
      <w:rFonts w:ascii="宋体" w:hAnsi="Courier New" w:eastAsia="宋体" w:cs="Courier New"/>
      <w:szCs w:val="21"/>
    </w:rPr>
  </w:style>
  <w:style w:type="character" w:customStyle="1" w:styleId="76">
    <w:name w:val="批注文字 Char"/>
    <w:basedOn w:val="46"/>
    <w:link w:val="15"/>
    <w:semiHidden/>
    <w:qFormat/>
    <w:uiPriority w:val="0"/>
    <w:rPr>
      <w:rFonts w:ascii="Times New Roman" w:hAnsi="Times New Roman" w:eastAsia="宋体" w:cs="Times New Roman"/>
      <w:szCs w:val="24"/>
    </w:rPr>
  </w:style>
  <w:style w:type="paragraph" w:customStyle="1" w:styleId="77">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78">
    <w:name w:val="Char Char Char"/>
    <w:basedOn w:val="1"/>
    <w:qFormat/>
    <w:uiPriority w:val="0"/>
    <w:rPr>
      <w:rFonts w:ascii="宋体" w:hAnsi="宋体"/>
      <w:b/>
      <w:sz w:val="28"/>
      <w:szCs w:val="28"/>
    </w:rPr>
  </w:style>
  <w:style w:type="paragraph" w:customStyle="1" w:styleId="7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80">
    <w:name w:val="HTML 预设格式 Char"/>
    <w:basedOn w:val="46"/>
    <w:link w:val="37"/>
    <w:qFormat/>
    <w:uiPriority w:val="0"/>
    <w:rPr>
      <w:rFonts w:ascii="Arial" w:hAnsi="Arial" w:eastAsia="宋体" w:cs="Arial"/>
      <w:kern w:val="0"/>
      <w:sz w:val="24"/>
      <w:szCs w:val="24"/>
    </w:rPr>
  </w:style>
  <w:style w:type="character" w:customStyle="1" w:styleId="81">
    <w:name w:val="称呼 Char"/>
    <w:basedOn w:val="46"/>
    <w:link w:val="16"/>
    <w:qFormat/>
    <w:uiPriority w:val="0"/>
    <w:rPr>
      <w:rFonts w:ascii="仿宋_GB2312" w:hAnsi="Times New Roman" w:eastAsia="仿宋_GB2312" w:cs="Times New Roman"/>
      <w:sz w:val="24"/>
      <w:szCs w:val="24"/>
    </w:rPr>
  </w:style>
  <w:style w:type="character" w:customStyle="1" w:styleId="82">
    <w:name w:val="正文文本 2 Char"/>
    <w:basedOn w:val="46"/>
    <w:link w:val="36"/>
    <w:qFormat/>
    <w:uiPriority w:val="0"/>
    <w:rPr>
      <w:rFonts w:ascii="Times New Roman" w:hAnsi="Times New Roman" w:eastAsia="宋体" w:cs="Times New Roman"/>
      <w:szCs w:val="24"/>
    </w:rPr>
  </w:style>
  <w:style w:type="character" w:customStyle="1" w:styleId="83">
    <w:name w:val="正文文本缩进 2 Char"/>
    <w:basedOn w:val="46"/>
    <w:link w:val="19"/>
    <w:qFormat/>
    <w:uiPriority w:val="0"/>
    <w:rPr>
      <w:rFonts w:ascii="Times New Roman" w:hAnsi="Times New Roman" w:eastAsia="宋体" w:cs="Times New Roman"/>
      <w:szCs w:val="24"/>
    </w:rPr>
  </w:style>
  <w:style w:type="paragraph" w:customStyle="1" w:styleId="84">
    <w:name w:val="Char"/>
    <w:basedOn w:val="1"/>
    <w:qFormat/>
    <w:uiPriority w:val="0"/>
    <w:pPr>
      <w:tabs>
        <w:tab w:val="left" w:pos="360"/>
      </w:tabs>
      <w:ind w:left="360" w:hanging="360" w:hangingChars="200"/>
    </w:pPr>
    <w:rPr>
      <w:sz w:val="24"/>
    </w:rPr>
  </w:style>
  <w:style w:type="character" w:customStyle="1" w:styleId="85">
    <w:name w:val="正文文本缩进 3 Char"/>
    <w:basedOn w:val="46"/>
    <w:link w:val="32"/>
    <w:qFormat/>
    <w:uiPriority w:val="0"/>
    <w:rPr>
      <w:rFonts w:ascii="Times New Roman" w:hAnsi="Times New Roman" w:eastAsia="宋体" w:cs="Times New Roman"/>
      <w:sz w:val="16"/>
      <w:szCs w:val="16"/>
    </w:rPr>
  </w:style>
  <w:style w:type="character" w:customStyle="1" w:styleId="86">
    <w:name w:val="日期 Char"/>
    <w:basedOn w:val="46"/>
    <w:link w:val="25"/>
    <w:qFormat/>
    <w:uiPriority w:val="0"/>
    <w:rPr>
      <w:rFonts w:ascii="Times New Roman" w:hAnsi="Times New Roman" w:eastAsia="宋体" w:cs="Times New Roman"/>
      <w:sz w:val="24"/>
      <w:szCs w:val="20"/>
    </w:rPr>
  </w:style>
  <w:style w:type="paragraph" w:customStyle="1" w:styleId="87">
    <w:name w:val="样式1"/>
    <w:basedOn w:val="1"/>
    <w:link w:val="119"/>
    <w:qFormat/>
    <w:uiPriority w:val="0"/>
    <w:pPr>
      <w:tabs>
        <w:tab w:val="left" w:pos="360"/>
      </w:tabs>
      <w:adjustRightInd w:val="0"/>
      <w:ind w:left="360" w:hanging="360"/>
      <w:textAlignment w:val="baseline"/>
    </w:pPr>
    <w:rPr>
      <w:rFonts w:ascii="宋体" w:hAnsi="宋体"/>
      <w:kern w:val="0"/>
      <w:szCs w:val="21"/>
    </w:rPr>
  </w:style>
  <w:style w:type="character" w:customStyle="1" w:styleId="88">
    <w:name w:val="p0 Char"/>
    <w:link w:val="89"/>
    <w:qFormat/>
    <w:uiPriority w:val="0"/>
    <w:rPr>
      <w:rFonts w:eastAsia="宋体"/>
      <w:szCs w:val="21"/>
    </w:rPr>
  </w:style>
  <w:style w:type="paragraph" w:customStyle="1" w:styleId="89">
    <w:name w:val="p0"/>
    <w:basedOn w:val="1"/>
    <w:link w:val="88"/>
    <w:qFormat/>
    <w:uiPriority w:val="0"/>
    <w:pPr>
      <w:widowControl/>
    </w:pPr>
    <w:rPr>
      <w:rFonts w:asciiTheme="minorHAnsi" w:hAnsiTheme="minorHAnsi" w:cstheme="minorBidi"/>
      <w:szCs w:val="21"/>
    </w:rPr>
  </w:style>
  <w:style w:type="paragraph" w:customStyle="1" w:styleId="90">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91">
    <w:name w:val="Char Char1 Char Char Char Char Char1 Char Char Char Char"/>
    <w:basedOn w:val="14"/>
    <w:qFormat/>
    <w:uiPriority w:val="0"/>
    <w:rPr>
      <w:rFonts w:ascii="Tahoma" w:hAnsi="Tahoma"/>
    </w:rPr>
  </w:style>
  <w:style w:type="character" w:customStyle="1" w:styleId="92">
    <w:name w:val="文档结构图 Char"/>
    <w:basedOn w:val="46"/>
    <w:link w:val="14"/>
    <w:semiHidden/>
    <w:qFormat/>
    <w:uiPriority w:val="0"/>
    <w:rPr>
      <w:rFonts w:ascii="Times New Roman" w:hAnsi="Times New Roman" w:eastAsia="宋体" w:cs="Times New Roman"/>
      <w:szCs w:val="24"/>
      <w:shd w:val="clear" w:color="auto" w:fill="000080"/>
    </w:rPr>
  </w:style>
  <w:style w:type="paragraph" w:customStyle="1" w:styleId="93">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94">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95">
    <w:name w:val="目录 81"/>
    <w:basedOn w:val="1"/>
    <w:next w:val="1"/>
    <w:qFormat/>
    <w:uiPriority w:val="99"/>
    <w:pPr>
      <w:ind w:left="2940"/>
    </w:pPr>
    <w:rPr>
      <w:rFonts w:ascii="Calibri" w:hAnsi="宋体" w:cs="宋体"/>
      <w:kern w:val="0"/>
      <w:szCs w:val="20"/>
    </w:rPr>
  </w:style>
  <w:style w:type="paragraph" w:customStyle="1" w:styleId="96">
    <w:name w:val="1"/>
    <w:basedOn w:val="1"/>
    <w:qFormat/>
    <w:uiPriority w:val="0"/>
    <w:pPr>
      <w:spacing w:afterLines="50" w:line="360" w:lineRule="auto"/>
    </w:pPr>
    <w:rPr>
      <w:rFonts w:ascii="宋体" w:hAnsi="宋体"/>
      <w:b/>
      <w:sz w:val="30"/>
      <w:szCs w:val="21"/>
    </w:rPr>
  </w:style>
  <w:style w:type="paragraph" w:customStyle="1" w:styleId="97">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98">
    <w:name w:val="标题 1 +"/>
    <w:basedOn w:val="2"/>
    <w:next w:val="1"/>
    <w:qFormat/>
    <w:uiPriority w:val="0"/>
    <w:pPr>
      <w:keepLines/>
      <w:spacing w:line="600" w:lineRule="auto"/>
    </w:pPr>
    <w:rPr>
      <w:rFonts w:eastAsia="黑体"/>
      <w:kern w:val="0"/>
      <w:sz w:val="32"/>
      <w:szCs w:val="32"/>
    </w:rPr>
  </w:style>
  <w:style w:type="character" w:customStyle="1" w:styleId="99">
    <w:name w:val="批注主题 Char"/>
    <w:basedOn w:val="76"/>
    <w:link w:val="41"/>
    <w:qFormat/>
    <w:uiPriority w:val="0"/>
    <w:rPr>
      <w:rFonts w:ascii="Times New Roman" w:hAnsi="Times New Roman" w:eastAsia="宋体" w:cs="Times New Roman"/>
      <w:b/>
      <w:bCs/>
      <w:szCs w:val="24"/>
    </w:rPr>
  </w:style>
  <w:style w:type="character" w:customStyle="1" w:styleId="100">
    <w:name w:val="批注框文本 Char"/>
    <w:basedOn w:val="46"/>
    <w:link w:val="26"/>
    <w:qFormat/>
    <w:uiPriority w:val="0"/>
    <w:rPr>
      <w:rFonts w:ascii="Times New Roman" w:hAnsi="Times New Roman" w:eastAsia="宋体" w:cs="Times New Roman"/>
      <w:sz w:val="18"/>
      <w:szCs w:val="18"/>
    </w:rPr>
  </w:style>
  <w:style w:type="paragraph" w:customStyle="1" w:styleId="101">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02">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03">
    <w:name w:val="Char1 Char Char Char 字元 Char Char 字元 Char 字元 Char1 Char Char Char"/>
    <w:basedOn w:val="1"/>
    <w:qFormat/>
    <w:uiPriority w:val="0"/>
    <w:rPr>
      <w:szCs w:val="20"/>
    </w:rPr>
  </w:style>
  <w:style w:type="paragraph" w:customStyle="1" w:styleId="104">
    <w:name w:val="p16"/>
    <w:basedOn w:val="1"/>
    <w:qFormat/>
    <w:uiPriority w:val="0"/>
    <w:pPr>
      <w:widowControl/>
      <w:jc w:val="left"/>
    </w:pPr>
    <w:rPr>
      <w:kern w:val="0"/>
      <w:szCs w:val="21"/>
    </w:rPr>
  </w:style>
  <w:style w:type="paragraph" w:customStyle="1" w:styleId="105">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7">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09">
    <w:name w:val="Char Char Char1 Char"/>
    <w:basedOn w:val="1"/>
    <w:qFormat/>
    <w:uiPriority w:val="0"/>
    <w:pPr>
      <w:tabs>
        <w:tab w:val="left" w:pos="360"/>
      </w:tabs>
      <w:snapToGrid w:val="0"/>
      <w:spacing w:line="360" w:lineRule="auto"/>
    </w:pPr>
    <w:rPr>
      <w:rFonts w:eastAsia="仿宋_GB2312" w:cs="宋体"/>
      <w:sz w:val="24"/>
    </w:rPr>
  </w:style>
  <w:style w:type="paragraph" w:styleId="110">
    <w:name w:val="List Paragraph"/>
    <w:basedOn w:val="1"/>
    <w:link w:val="116"/>
    <w:qFormat/>
    <w:uiPriority w:val="0"/>
    <w:pPr>
      <w:ind w:firstLine="420" w:firstLineChars="200"/>
    </w:pPr>
  </w:style>
  <w:style w:type="character" w:customStyle="1" w:styleId="111">
    <w:name w:val="fontstyle01"/>
    <w:basedOn w:val="46"/>
    <w:qFormat/>
    <w:uiPriority w:val="0"/>
    <w:rPr>
      <w:rFonts w:hint="eastAsia" w:ascii="宋体" w:hAnsi="宋体" w:eastAsia="宋体"/>
      <w:color w:val="000000"/>
      <w:sz w:val="24"/>
      <w:szCs w:val="24"/>
    </w:rPr>
  </w:style>
  <w:style w:type="character" w:customStyle="1" w:styleId="112">
    <w:name w:val="fontstyle11"/>
    <w:basedOn w:val="46"/>
    <w:qFormat/>
    <w:uiPriority w:val="0"/>
    <w:rPr>
      <w:rFonts w:hint="default" w:ascii="TimesNewRomanPSMT" w:hAnsi="TimesNewRomanPSMT"/>
      <w:color w:val="000000"/>
      <w:sz w:val="24"/>
      <w:szCs w:val="24"/>
    </w:rPr>
  </w:style>
  <w:style w:type="paragraph" w:customStyle="1" w:styleId="113">
    <w:name w:val="TOC 标题1"/>
    <w:basedOn w:val="2"/>
    <w:next w:val="1"/>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4">
    <w:name w:val="fontstyle21"/>
    <w:basedOn w:val="46"/>
    <w:qFormat/>
    <w:uiPriority w:val="0"/>
    <w:rPr>
      <w:rFonts w:hint="eastAsia" w:ascii="宋体" w:hAnsi="宋体" w:eastAsia="宋体"/>
      <w:color w:val="993300"/>
      <w:sz w:val="24"/>
      <w:szCs w:val="24"/>
    </w:rPr>
  </w:style>
  <w:style w:type="character" w:customStyle="1" w:styleId="115">
    <w:name w:val="fontstyle31"/>
    <w:basedOn w:val="46"/>
    <w:qFormat/>
    <w:uiPriority w:val="0"/>
    <w:rPr>
      <w:rFonts w:hint="default" w:ascii="Arial" w:hAnsi="Arial" w:cs="Arial"/>
      <w:color w:val="993300"/>
      <w:sz w:val="24"/>
      <w:szCs w:val="24"/>
    </w:rPr>
  </w:style>
  <w:style w:type="character" w:customStyle="1" w:styleId="116">
    <w:name w:val="列出段落 Char"/>
    <w:link w:val="110"/>
    <w:qFormat/>
    <w:uiPriority w:val="0"/>
    <w:rPr>
      <w:rFonts w:ascii="Times New Roman" w:hAnsi="Times New Roman" w:eastAsia="宋体" w:cs="Times New Roman"/>
      <w:szCs w:val="24"/>
    </w:rPr>
  </w:style>
  <w:style w:type="character" w:customStyle="1" w:styleId="117">
    <w:name w:val="标题 Char"/>
    <w:link w:val="40"/>
    <w:qFormat/>
    <w:uiPriority w:val="0"/>
    <w:rPr>
      <w:b/>
      <w:sz w:val="32"/>
    </w:rPr>
  </w:style>
  <w:style w:type="character" w:customStyle="1" w:styleId="118">
    <w:name w:val="标题 Char1"/>
    <w:basedOn w:val="46"/>
    <w:qFormat/>
    <w:uiPriority w:val="10"/>
    <w:rPr>
      <w:rFonts w:eastAsia="宋体" w:asciiTheme="majorHAnsi" w:hAnsiTheme="majorHAnsi" w:cstheme="majorBidi"/>
      <w:b/>
      <w:bCs/>
      <w:sz w:val="32"/>
      <w:szCs w:val="32"/>
    </w:rPr>
  </w:style>
  <w:style w:type="character" w:customStyle="1" w:styleId="119">
    <w:name w:val="样式1 Char Char"/>
    <w:link w:val="87"/>
    <w:qFormat/>
    <w:uiPriority w:val="0"/>
    <w:rPr>
      <w:rFonts w:ascii="宋体" w:hAnsi="宋体" w:eastAsia="宋体" w:cs="Times New Roman"/>
      <w:kern w:val="0"/>
      <w:szCs w:val="21"/>
    </w:rPr>
  </w:style>
  <w:style w:type="character" w:customStyle="1" w:styleId="120">
    <w:name w:val="纯文本 Char1"/>
    <w:semiHidden/>
    <w:qFormat/>
    <w:locked/>
    <w:uiPriority w:val="0"/>
    <w:rPr>
      <w:rFonts w:ascii="宋体" w:hAnsi="Courier New" w:eastAsia="宋体" w:cs="Courier New"/>
      <w:kern w:val="2"/>
      <w:sz w:val="21"/>
      <w:szCs w:val="21"/>
      <w:lang w:val="en-US" w:eastAsia="zh-CN" w:bidi="ar-SA"/>
    </w:rPr>
  </w:style>
  <w:style w:type="paragraph" w:customStyle="1" w:styleId="121">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
    <w:name w:val="Normal_10"/>
    <w:qFormat/>
    <w:uiPriority w:val="0"/>
    <w:rPr>
      <w:rFonts w:ascii="Times New Roman" w:hAnsi="Times New Roman" w:eastAsia="Times New Roman" w:cs="Times New Roman"/>
      <w:sz w:val="24"/>
      <w:szCs w:val="24"/>
      <w:lang w:val="en-US" w:eastAsia="zh-CN" w:bidi="ar-SA"/>
    </w:rPr>
  </w:style>
  <w:style w:type="character" w:customStyle="1" w:styleId="123">
    <w:name w:val="hover32"/>
    <w:basedOn w:val="46"/>
    <w:qFormat/>
    <w:uiPriority w:val="0"/>
  </w:style>
  <w:style w:type="paragraph" w:customStyle="1" w:styleId="124">
    <w:name w:val="正文11"/>
    <w:next w:val="125"/>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25">
    <w:name w:val="标题 41"/>
    <w:basedOn w:val="124"/>
    <w:next w:val="124"/>
    <w:qFormat/>
    <w:uiPriority w:val="99"/>
    <w:pPr>
      <w:keepNext/>
      <w:keepLines/>
      <w:spacing w:before="280" w:after="290" w:line="374" w:lineRule="auto"/>
      <w:outlineLvl w:val="3"/>
    </w:pPr>
    <w:rPr>
      <w:rFonts w:ascii="Arial" w:hAnsi="Arial" w:eastAsia="黑体"/>
      <w:b/>
      <w:bCs/>
      <w:sz w:val="28"/>
      <w:szCs w:val="28"/>
    </w:rPr>
  </w:style>
  <w:style w:type="paragraph" w:customStyle="1" w:styleId="126">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99</Pages>
  <Words>9147</Words>
  <Characters>10030</Characters>
  <Lines>398</Lines>
  <Paragraphs>112</Paragraphs>
  <TotalTime>3</TotalTime>
  <ScaleCrop>false</ScaleCrop>
  <LinksUpToDate>false</LinksUpToDate>
  <CharactersWithSpaces>10219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2020-01-20T02:43:00Z</dcterms:created>
  <dc:creator>admin</dc:creator>
  <cp:lastModifiedBy>Administrator</cp:lastModifiedBy>
  <cp:lastPrinted>2026-07-28T20:49:00Z</cp:lastPrinted>
  <dcterms:modified xsi:type="dcterms:W3CDTF">2026-07-31T07:54:23Z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D05F1758BF4545DE94593781CF81644F_13</vt:lpwstr>
  </property>
  <property fmtid="{D5CDD505-2E9C-101B-9397-08002B2CF9AE}" pid="4" name="KSOTemplateDocerSaveRecord">
    <vt:lpwstr>eyJoZGlkIjoiOTIwYmU3ZjdjNmFiOTJmNDYzMTA2ZGJhMTEzMGUyZTAiLCJ1c2VySWQiOiIzNDIwMTYzODUifQ==</vt:lpwstr>
  </property>
</Properties>
</file>