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52BCC">
      <w:pPr>
        <w:snapToGrid w:val="0"/>
        <w:jc w:val="center"/>
        <w:outlineLvl w:val="0"/>
        <w:rPr>
          <w:rFonts w:ascii="楷体" w:hAnsi="楷体" w:eastAsia="楷体" w:cs="楷体"/>
          <w:b/>
          <w:color w:val="auto"/>
          <w:sz w:val="32"/>
          <w:szCs w:val="32"/>
          <w:highlight w:val="none"/>
        </w:rPr>
      </w:pPr>
      <w:bookmarkStart w:id="3" w:name="_GoBack"/>
      <w:bookmarkEnd w:id="3"/>
      <w:r>
        <w:rPr>
          <w:rFonts w:hint="eastAsia" w:ascii="楷体" w:hAnsi="楷体" w:eastAsia="楷体" w:cs="楷体"/>
          <w:b/>
          <w:color w:val="auto"/>
          <w:sz w:val="32"/>
          <w:szCs w:val="32"/>
          <w:highlight w:val="none"/>
        </w:rPr>
        <w:t>采购需求</w:t>
      </w:r>
    </w:p>
    <w:p w14:paraId="05AEDAC7">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Lines="30" w:after="0" w:afterLines="30"/>
        <w:jc w:val="center"/>
        <w:textAlignment w:val="auto"/>
        <w:outlineLvl w:val="9"/>
        <w:rPr>
          <w:rFonts w:hint="eastAsia" w:ascii="楷体" w:hAnsi="楷体" w:eastAsia="楷体" w:cs="楷体"/>
          <w:b/>
          <w:bCs w:val="0"/>
          <w:color w:val="auto"/>
          <w:kern w:val="2"/>
          <w:sz w:val="32"/>
          <w:szCs w:val="32"/>
          <w:highlight w:val="none"/>
          <w:lang w:val="en-US" w:eastAsia="zh-CN" w:bidi="ar-SA"/>
        </w:rPr>
      </w:pPr>
      <w:bookmarkStart w:id="0" w:name="_Toc13301"/>
      <w:r>
        <w:rPr>
          <w:rFonts w:hint="eastAsia" w:ascii="楷体" w:hAnsi="楷体" w:eastAsia="楷体" w:cs="楷体"/>
          <w:b/>
          <w:bCs w:val="0"/>
          <w:color w:val="auto"/>
          <w:kern w:val="2"/>
          <w:sz w:val="32"/>
          <w:szCs w:val="32"/>
          <w:highlight w:val="none"/>
          <w:lang w:val="en-US" w:eastAsia="zh-CN" w:bidi="ar-SA"/>
        </w:rPr>
        <w:t>第一节 采购清单一览表</w:t>
      </w:r>
    </w:p>
    <w:p w14:paraId="19304BAC">
      <w:pPr>
        <w:widowControl w:val="0"/>
        <w:numPr>
          <w:ilvl w:val="0"/>
          <w:numId w:val="0"/>
        </w:numPr>
        <w:ind w:firstLine="482" w:firstLineChars="200"/>
        <w:jc w:val="both"/>
        <w:outlineLvl w:val="9"/>
        <w:rPr>
          <w:rFonts w:hint="eastAsia" w:ascii="楷体" w:hAnsi="楷体" w:eastAsia="楷体" w:cs="楷体"/>
          <w:b/>
          <w:color w:val="auto"/>
          <w:kern w:val="2"/>
          <w:sz w:val="24"/>
          <w:szCs w:val="24"/>
          <w:highlight w:val="none"/>
          <w:lang w:val="en-US" w:eastAsia="zh-CN" w:bidi="ar-SA"/>
        </w:rPr>
      </w:pPr>
      <w:r>
        <w:rPr>
          <w:rFonts w:hint="eastAsia" w:ascii="楷体" w:hAnsi="楷体" w:eastAsia="楷体" w:cs="楷体"/>
          <w:b/>
          <w:color w:val="auto"/>
          <w:kern w:val="2"/>
          <w:sz w:val="24"/>
          <w:szCs w:val="24"/>
          <w:highlight w:val="none"/>
          <w:lang w:val="en-US" w:eastAsia="zh-CN" w:bidi="ar-SA"/>
        </w:rPr>
        <w:t>一、</w:t>
      </w:r>
      <w:r>
        <w:rPr>
          <w:rFonts w:hint="eastAsia" w:ascii="楷体" w:hAnsi="楷体" w:eastAsia="楷体" w:cs="楷体"/>
          <w:b/>
          <w:bCs w:val="0"/>
          <w:color w:val="auto"/>
          <w:kern w:val="2"/>
          <w:sz w:val="24"/>
          <w:szCs w:val="24"/>
          <w:highlight w:val="none"/>
          <w:lang w:val="en-US" w:eastAsia="zh-CN" w:bidi="ar-SA"/>
        </w:rPr>
        <w:t>采购清单一览表</w:t>
      </w:r>
    </w:p>
    <w:tbl>
      <w:tblPr>
        <w:tblStyle w:val="3"/>
        <w:tblW w:w="10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666"/>
        <w:gridCol w:w="2297"/>
        <w:gridCol w:w="571"/>
        <w:gridCol w:w="871"/>
        <w:gridCol w:w="1585"/>
        <w:gridCol w:w="839"/>
        <w:gridCol w:w="821"/>
        <w:gridCol w:w="745"/>
        <w:gridCol w:w="629"/>
        <w:gridCol w:w="594"/>
      </w:tblGrid>
      <w:tr w14:paraId="210D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058" w:type="dxa"/>
            <w:noWrap w:val="0"/>
            <w:vAlign w:val="center"/>
          </w:tcPr>
          <w:p w14:paraId="3884CFF6">
            <w:pPr>
              <w:jc w:val="center"/>
              <w:rPr>
                <w:rFonts w:hint="eastAsia" w:ascii="楷体" w:hAnsi="楷体" w:eastAsia="楷体" w:cs="楷体"/>
                <w:b/>
                <w:color w:val="auto"/>
                <w:sz w:val="21"/>
                <w:szCs w:val="21"/>
                <w:highlight w:val="none"/>
                <w:lang w:val="en-US" w:eastAsia="zh-CN"/>
              </w:rPr>
            </w:pPr>
            <w:r>
              <w:rPr>
                <w:rFonts w:hint="eastAsia" w:ascii="楷体" w:hAnsi="楷体" w:eastAsia="楷体" w:cs="楷体"/>
                <w:b/>
                <w:color w:val="auto"/>
                <w:sz w:val="21"/>
                <w:szCs w:val="21"/>
                <w:highlight w:val="none"/>
                <w:lang w:val="en-US" w:eastAsia="zh-CN"/>
              </w:rPr>
              <w:t>项目名称</w:t>
            </w:r>
          </w:p>
        </w:tc>
        <w:tc>
          <w:tcPr>
            <w:tcW w:w="666" w:type="dxa"/>
            <w:noWrap w:val="0"/>
            <w:vAlign w:val="center"/>
          </w:tcPr>
          <w:p w14:paraId="0B159F83">
            <w:pPr>
              <w:jc w:val="center"/>
              <w:rPr>
                <w:rFonts w:hint="eastAsia" w:ascii="楷体" w:hAnsi="楷体" w:eastAsia="楷体" w:cs="楷体"/>
                <w:b/>
                <w:color w:val="auto"/>
                <w:kern w:val="2"/>
                <w:sz w:val="21"/>
                <w:szCs w:val="21"/>
                <w:highlight w:val="none"/>
                <w:lang w:val="en-US" w:eastAsia="zh-CN" w:bidi="ar-SA"/>
              </w:rPr>
            </w:pPr>
            <w:r>
              <w:rPr>
                <w:rFonts w:hint="eastAsia" w:ascii="楷体" w:hAnsi="楷体" w:eastAsia="楷体" w:cs="楷体"/>
                <w:b/>
                <w:color w:val="auto"/>
                <w:sz w:val="21"/>
                <w:szCs w:val="21"/>
                <w:highlight w:val="none"/>
              </w:rPr>
              <w:t>序号</w:t>
            </w:r>
          </w:p>
        </w:tc>
        <w:tc>
          <w:tcPr>
            <w:tcW w:w="2297" w:type="dxa"/>
            <w:noWrap w:val="0"/>
            <w:vAlign w:val="center"/>
          </w:tcPr>
          <w:p w14:paraId="51E5CAE8">
            <w:pPr>
              <w:jc w:val="center"/>
              <w:rPr>
                <w:rFonts w:hint="eastAsia" w:ascii="楷体" w:hAnsi="楷体" w:eastAsia="楷体" w:cs="楷体"/>
                <w:b/>
                <w:color w:val="auto"/>
                <w:sz w:val="21"/>
                <w:szCs w:val="21"/>
                <w:highlight w:val="none"/>
              </w:rPr>
            </w:pPr>
            <w:r>
              <w:rPr>
                <w:rFonts w:hint="eastAsia" w:ascii="楷体" w:hAnsi="楷体" w:eastAsia="楷体" w:cs="楷体"/>
                <w:b/>
                <w:bCs/>
                <w:color w:val="auto"/>
                <w:sz w:val="21"/>
                <w:szCs w:val="21"/>
                <w:highlight w:val="none"/>
                <w:lang w:val="en-US" w:eastAsia="zh-CN"/>
              </w:rPr>
              <w:t>标的名称</w:t>
            </w:r>
          </w:p>
        </w:tc>
        <w:tc>
          <w:tcPr>
            <w:tcW w:w="571" w:type="dxa"/>
            <w:noWrap w:val="0"/>
            <w:vAlign w:val="center"/>
          </w:tcPr>
          <w:p w14:paraId="44D9C45E">
            <w:pPr>
              <w:jc w:val="center"/>
              <w:rPr>
                <w:rFonts w:hint="eastAsia" w:ascii="楷体" w:hAnsi="楷体" w:eastAsia="楷体" w:cs="楷体"/>
                <w:b/>
                <w:bCs w:val="0"/>
                <w:color w:val="auto"/>
                <w:sz w:val="21"/>
                <w:szCs w:val="21"/>
                <w:highlight w:val="none"/>
              </w:rPr>
            </w:pPr>
            <w:r>
              <w:rPr>
                <w:rFonts w:hint="eastAsia" w:ascii="楷体" w:hAnsi="楷体" w:eastAsia="楷体" w:cs="楷体"/>
                <w:b/>
                <w:bCs w:val="0"/>
                <w:color w:val="auto"/>
                <w:sz w:val="21"/>
                <w:szCs w:val="21"/>
                <w:highlight w:val="none"/>
              </w:rPr>
              <w:t>单位</w:t>
            </w:r>
          </w:p>
        </w:tc>
        <w:tc>
          <w:tcPr>
            <w:tcW w:w="871" w:type="dxa"/>
            <w:noWrap w:val="0"/>
            <w:vAlign w:val="center"/>
          </w:tcPr>
          <w:p w14:paraId="15913111">
            <w:pPr>
              <w:jc w:val="center"/>
              <w:rPr>
                <w:rFonts w:hint="eastAsia" w:ascii="楷体" w:hAnsi="楷体" w:eastAsia="楷体" w:cs="楷体"/>
                <w:b/>
                <w:bCs w:val="0"/>
                <w:color w:val="auto"/>
                <w:sz w:val="21"/>
                <w:szCs w:val="21"/>
                <w:highlight w:val="none"/>
              </w:rPr>
            </w:pPr>
            <w:r>
              <w:rPr>
                <w:rFonts w:hint="eastAsia" w:ascii="楷体" w:hAnsi="楷体" w:eastAsia="楷体" w:cs="楷体"/>
                <w:b/>
                <w:bCs w:val="0"/>
                <w:color w:val="auto"/>
                <w:sz w:val="21"/>
                <w:szCs w:val="21"/>
                <w:highlight w:val="none"/>
              </w:rPr>
              <w:t>数量</w:t>
            </w:r>
          </w:p>
        </w:tc>
        <w:tc>
          <w:tcPr>
            <w:tcW w:w="1585" w:type="dxa"/>
            <w:noWrap w:val="0"/>
            <w:vAlign w:val="center"/>
          </w:tcPr>
          <w:p w14:paraId="20A5D69B">
            <w:pPr>
              <w:jc w:val="center"/>
              <w:rPr>
                <w:rFonts w:hint="eastAsia" w:ascii="楷体" w:hAnsi="楷体" w:eastAsia="楷体" w:cs="楷体"/>
                <w:b/>
                <w:bCs w:val="0"/>
                <w:color w:val="auto"/>
                <w:sz w:val="21"/>
                <w:szCs w:val="21"/>
                <w:highlight w:val="none"/>
              </w:rPr>
            </w:pPr>
            <w:r>
              <w:rPr>
                <w:rFonts w:hint="eastAsia" w:ascii="楷体" w:hAnsi="楷体" w:eastAsia="楷体" w:cs="楷体"/>
                <w:b/>
                <w:bCs w:val="0"/>
                <w:color w:val="auto"/>
                <w:sz w:val="21"/>
                <w:szCs w:val="21"/>
                <w:highlight w:val="none"/>
                <w:lang w:val="en-US" w:eastAsia="zh-CN"/>
              </w:rPr>
              <w:t>最高限制单价</w:t>
            </w:r>
            <w:r>
              <w:rPr>
                <w:rFonts w:hint="eastAsia" w:ascii="楷体" w:hAnsi="楷体" w:eastAsia="楷体" w:cs="楷体"/>
                <w:b/>
                <w:bCs w:val="0"/>
                <w:color w:val="auto"/>
                <w:sz w:val="21"/>
                <w:szCs w:val="21"/>
                <w:highlight w:val="none"/>
              </w:rPr>
              <w:t>（</w:t>
            </w:r>
            <w:r>
              <w:rPr>
                <w:rFonts w:hint="eastAsia" w:ascii="楷体" w:hAnsi="楷体" w:eastAsia="楷体" w:cs="楷体"/>
                <w:b/>
                <w:bCs w:val="0"/>
                <w:color w:val="auto"/>
                <w:sz w:val="21"/>
                <w:szCs w:val="21"/>
                <w:highlight w:val="none"/>
                <w:lang w:val="en-US" w:eastAsia="zh-CN"/>
              </w:rPr>
              <w:t>万</w:t>
            </w:r>
            <w:r>
              <w:rPr>
                <w:rFonts w:hint="eastAsia" w:ascii="楷体" w:hAnsi="楷体" w:eastAsia="楷体" w:cs="楷体"/>
                <w:b/>
                <w:bCs w:val="0"/>
                <w:color w:val="auto"/>
                <w:sz w:val="21"/>
                <w:szCs w:val="21"/>
                <w:highlight w:val="none"/>
              </w:rPr>
              <w:t>元）</w:t>
            </w:r>
          </w:p>
        </w:tc>
        <w:tc>
          <w:tcPr>
            <w:tcW w:w="839" w:type="dxa"/>
            <w:noWrap w:val="0"/>
            <w:vAlign w:val="center"/>
          </w:tcPr>
          <w:p w14:paraId="25F8E066">
            <w:pPr>
              <w:jc w:val="center"/>
              <w:rPr>
                <w:rFonts w:hint="eastAsia" w:ascii="楷体" w:hAnsi="楷体" w:eastAsia="楷体" w:cs="楷体"/>
                <w:b/>
                <w:bCs w:val="0"/>
                <w:color w:val="auto"/>
                <w:sz w:val="21"/>
                <w:szCs w:val="21"/>
                <w:highlight w:val="none"/>
                <w:lang w:val="en-US" w:eastAsia="zh-CN"/>
              </w:rPr>
            </w:pPr>
            <w:r>
              <w:rPr>
                <w:rFonts w:hint="eastAsia" w:ascii="楷体" w:hAnsi="楷体" w:eastAsia="楷体" w:cs="楷体"/>
                <w:b/>
                <w:bCs w:val="0"/>
                <w:color w:val="auto"/>
                <w:sz w:val="21"/>
                <w:szCs w:val="21"/>
                <w:highlight w:val="none"/>
                <w:lang w:val="en-US" w:eastAsia="zh-CN"/>
              </w:rPr>
              <w:t>是否本国产品</w:t>
            </w:r>
          </w:p>
        </w:tc>
        <w:tc>
          <w:tcPr>
            <w:tcW w:w="821" w:type="dxa"/>
            <w:noWrap w:val="0"/>
            <w:vAlign w:val="center"/>
          </w:tcPr>
          <w:p w14:paraId="25B1875E">
            <w:pPr>
              <w:jc w:val="center"/>
              <w:rPr>
                <w:rFonts w:hint="eastAsia" w:ascii="楷体" w:hAnsi="楷体" w:eastAsia="楷体" w:cs="楷体"/>
                <w:b/>
                <w:bCs w:val="0"/>
                <w:color w:val="auto"/>
                <w:sz w:val="21"/>
                <w:szCs w:val="21"/>
                <w:highlight w:val="none"/>
                <w:lang w:val="en-US" w:eastAsia="zh-CN"/>
              </w:rPr>
            </w:pPr>
            <w:r>
              <w:rPr>
                <w:rFonts w:hint="eastAsia" w:ascii="楷体" w:hAnsi="楷体" w:eastAsia="楷体" w:cs="楷体"/>
                <w:b/>
                <w:bCs w:val="0"/>
                <w:color w:val="auto"/>
                <w:sz w:val="21"/>
                <w:szCs w:val="21"/>
                <w:highlight w:val="none"/>
                <w:lang w:val="en-US" w:eastAsia="zh-CN"/>
              </w:rPr>
              <w:t>是否核心产品</w:t>
            </w:r>
          </w:p>
        </w:tc>
        <w:tc>
          <w:tcPr>
            <w:tcW w:w="745" w:type="dxa"/>
            <w:noWrap w:val="0"/>
            <w:vAlign w:val="center"/>
          </w:tcPr>
          <w:p w14:paraId="10C4349A">
            <w:pPr>
              <w:jc w:val="center"/>
              <w:rPr>
                <w:rFonts w:hint="eastAsia" w:ascii="楷体" w:hAnsi="楷体" w:eastAsia="楷体" w:cs="楷体"/>
                <w:b/>
                <w:bCs w:val="0"/>
                <w:color w:val="auto"/>
                <w:sz w:val="21"/>
                <w:szCs w:val="21"/>
                <w:highlight w:val="none"/>
                <w:lang w:val="en-US" w:eastAsia="zh-CN"/>
              </w:rPr>
            </w:pPr>
            <w:r>
              <w:rPr>
                <w:rFonts w:hint="eastAsia" w:ascii="楷体" w:hAnsi="楷体" w:eastAsia="楷体" w:cs="楷体"/>
                <w:b/>
                <w:bCs w:val="0"/>
                <w:color w:val="auto"/>
                <w:sz w:val="21"/>
                <w:szCs w:val="21"/>
                <w:highlight w:val="none"/>
                <w:lang w:val="en-US" w:eastAsia="zh-CN"/>
              </w:rPr>
              <w:t>节能产品</w:t>
            </w:r>
          </w:p>
        </w:tc>
        <w:tc>
          <w:tcPr>
            <w:tcW w:w="629" w:type="dxa"/>
            <w:noWrap w:val="0"/>
            <w:vAlign w:val="center"/>
          </w:tcPr>
          <w:p w14:paraId="2D21DE8E">
            <w:pPr>
              <w:jc w:val="center"/>
              <w:rPr>
                <w:rFonts w:hint="eastAsia" w:ascii="楷体" w:hAnsi="楷体" w:eastAsia="楷体" w:cs="楷体"/>
                <w:b/>
                <w:bCs w:val="0"/>
                <w:color w:val="auto"/>
                <w:sz w:val="21"/>
                <w:szCs w:val="21"/>
                <w:highlight w:val="none"/>
                <w:lang w:val="en-US" w:eastAsia="zh-CN"/>
              </w:rPr>
            </w:pPr>
            <w:r>
              <w:rPr>
                <w:rFonts w:hint="eastAsia" w:ascii="楷体" w:hAnsi="楷体" w:eastAsia="楷体" w:cs="楷体"/>
                <w:b/>
                <w:bCs w:val="0"/>
                <w:color w:val="auto"/>
                <w:sz w:val="21"/>
                <w:szCs w:val="21"/>
                <w:highlight w:val="none"/>
                <w:lang w:val="en-US" w:eastAsia="zh-CN"/>
              </w:rPr>
              <w:t>进口产品</w:t>
            </w:r>
          </w:p>
        </w:tc>
        <w:tc>
          <w:tcPr>
            <w:tcW w:w="594" w:type="dxa"/>
            <w:noWrap w:val="0"/>
            <w:vAlign w:val="center"/>
          </w:tcPr>
          <w:p w14:paraId="1F5CA68D">
            <w:pPr>
              <w:jc w:val="center"/>
              <w:rPr>
                <w:rFonts w:hint="eastAsia" w:ascii="楷体" w:hAnsi="楷体" w:eastAsia="楷体" w:cs="楷体"/>
                <w:b/>
                <w:bCs w:val="0"/>
                <w:color w:val="auto"/>
                <w:sz w:val="21"/>
                <w:szCs w:val="21"/>
                <w:highlight w:val="none"/>
                <w:lang w:val="en-US" w:eastAsia="zh-CN"/>
              </w:rPr>
            </w:pPr>
            <w:r>
              <w:rPr>
                <w:rFonts w:hint="eastAsia" w:ascii="楷体" w:hAnsi="楷体" w:eastAsia="楷体" w:cs="楷体"/>
                <w:b/>
                <w:bCs w:val="0"/>
                <w:color w:val="auto"/>
                <w:sz w:val="21"/>
                <w:szCs w:val="21"/>
                <w:highlight w:val="none"/>
                <w:lang w:val="en-US" w:eastAsia="zh-CN"/>
              </w:rPr>
              <w:t>所属行业</w:t>
            </w:r>
          </w:p>
        </w:tc>
      </w:tr>
      <w:tr w14:paraId="1705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58" w:type="dxa"/>
            <w:vMerge w:val="restart"/>
            <w:noWrap w:val="0"/>
            <w:vAlign w:val="center"/>
          </w:tcPr>
          <w:p w14:paraId="0AAC02EC">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color w:val="auto"/>
                <w:sz w:val="24"/>
                <w:highlight w:val="none"/>
                <w:lang w:eastAsia="zh-CN"/>
              </w:rPr>
              <w:t>保靖县疾病预防控制中心城乡水质监测能力提升检验检测设备采购项目</w:t>
            </w:r>
          </w:p>
        </w:tc>
        <w:tc>
          <w:tcPr>
            <w:tcW w:w="666" w:type="dxa"/>
            <w:noWrap w:val="0"/>
            <w:vAlign w:val="center"/>
          </w:tcPr>
          <w:p w14:paraId="35D895D5">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1</w:t>
            </w:r>
          </w:p>
        </w:tc>
        <w:tc>
          <w:tcPr>
            <w:tcW w:w="2297" w:type="dxa"/>
            <w:noWrap w:val="0"/>
            <w:vAlign w:val="center"/>
          </w:tcPr>
          <w:p w14:paraId="24ABBA62">
            <w:pPr>
              <w:jc w:val="center"/>
              <w:rPr>
                <w:rFonts w:hint="eastAsia" w:ascii="楷体" w:hAnsi="楷体" w:eastAsia="楷体" w:cs="楷体"/>
                <w:color w:val="auto"/>
                <w:kern w:val="2"/>
                <w:sz w:val="21"/>
                <w:szCs w:val="21"/>
                <w:highlight w:val="none"/>
                <w:lang w:val="en-US" w:eastAsia="zh-CN"/>
              </w:rPr>
            </w:pPr>
            <w:r>
              <w:rPr>
                <w:rFonts w:hint="eastAsia" w:ascii="楷体" w:hAnsi="楷体" w:eastAsia="楷体" w:cs="楷体"/>
                <w:color w:val="auto"/>
                <w:kern w:val="2"/>
                <w:sz w:val="21"/>
                <w:szCs w:val="21"/>
                <w:highlight w:val="none"/>
                <w:lang w:val="en-US" w:eastAsia="zh-CN"/>
              </w:rPr>
              <w:t>离子色谱仪</w:t>
            </w:r>
          </w:p>
        </w:tc>
        <w:tc>
          <w:tcPr>
            <w:tcW w:w="571" w:type="dxa"/>
            <w:noWrap w:val="0"/>
            <w:vAlign w:val="center"/>
          </w:tcPr>
          <w:p w14:paraId="16E7E018">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套</w:t>
            </w:r>
          </w:p>
        </w:tc>
        <w:tc>
          <w:tcPr>
            <w:tcW w:w="871" w:type="dxa"/>
            <w:noWrap w:val="0"/>
            <w:vAlign w:val="center"/>
          </w:tcPr>
          <w:p w14:paraId="434B186D">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1</w:t>
            </w:r>
          </w:p>
        </w:tc>
        <w:tc>
          <w:tcPr>
            <w:tcW w:w="1585" w:type="dxa"/>
            <w:noWrap w:val="0"/>
            <w:vAlign w:val="center"/>
          </w:tcPr>
          <w:p w14:paraId="22FC4CA9">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 w:val="21"/>
                <w:szCs w:val="21"/>
                <w:highlight w:val="none"/>
                <w:lang w:val="en-US" w:eastAsia="zh-CN"/>
              </w:rPr>
              <w:t>46.80</w:t>
            </w:r>
          </w:p>
        </w:tc>
        <w:tc>
          <w:tcPr>
            <w:tcW w:w="839" w:type="dxa"/>
            <w:noWrap w:val="0"/>
            <w:vAlign w:val="center"/>
          </w:tcPr>
          <w:p w14:paraId="53B05480">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是</w:t>
            </w:r>
          </w:p>
        </w:tc>
        <w:tc>
          <w:tcPr>
            <w:tcW w:w="821" w:type="dxa"/>
            <w:noWrap w:val="0"/>
            <w:vAlign w:val="center"/>
          </w:tcPr>
          <w:p w14:paraId="5F53626D">
            <w:pPr>
              <w:jc w:val="center"/>
              <w:rPr>
                <w:rFonts w:hint="eastAsia" w:ascii="楷体" w:hAnsi="楷体" w:eastAsia="楷体" w:cs="楷体"/>
                <w:bCs/>
                <w:color w:val="auto"/>
                <w:sz w:val="21"/>
                <w:szCs w:val="21"/>
                <w:highlight w:val="none"/>
                <w:lang w:val="en-US"/>
              </w:rPr>
            </w:pPr>
            <w:r>
              <w:rPr>
                <w:rFonts w:hint="eastAsia" w:ascii="楷体" w:hAnsi="楷体" w:eastAsia="楷体" w:cs="楷体"/>
                <w:color w:val="auto"/>
                <w:kern w:val="2"/>
                <w:sz w:val="21"/>
                <w:szCs w:val="21"/>
                <w:highlight w:val="none"/>
                <w:lang w:val="en-US" w:eastAsia="zh-CN"/>
              </w:rPr>
              <w:t>是</w:t>
            </w:r>
          </w:p>
        </w:tc>
        <w:tc>
          <w:tcPr>
            <w:tcW w:w="745" w:type="dxa"/>
            <w:noWrap w:val="0"/>
            <w:vAlign w:val="center"/>
          </w:tcPr>
          <w:p w14:paraId="2F49672E">
            <w:pPr>
              <w:jc w:val="center"/>
              <w:rPr>
                <w:rFonts w:hint="eastAsia" w:ascii="楷体" w:hAnsi="楷体" w:eastAsia="楷体" w:cs="楷体"/>
                <w:bCs/>
                <w:color w:val="auto"/>
                <w:sz w:val="21"/>
                <w:szCs w:val="21"/>
                <w:highlight w:val="none"/>
                <w:lang w:val="en-US"/>
              </w:rPr>
            </w:pPr>
            <w:r>
              <w:rPr>
                <w:rFonts w:hint="eastAsia" w:ascii="楷体" w:hAnsi="楷体" w:eastAsia="楷体" w:cs="楷体"/>
                <w:color w:val="auto"/>
                <w:kern w:val="2"/>
                <w:sz w:val="21"/>
                <w:szCs w:val="21"/>
                <w:highlight w:val="none"/>
                <w:lang w:val="en-US" w:eastAsia="zh-CN"/>
              </w:rPr>
              <w:t>否</w:t>
            </w:r>
          </w:p>
        </w:tc>
        <w:tc>
          <w:tcPr>
            <w:tcW w:w="629" w:type="dxa"/>
            <w:vMerge w:val="restart"/>
            <w:noWrap w:val="0"/>
            <w:vAlign w:val="center"/>
          </w:tcPr>
          <w:p w14:paraId="6003D5E8">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否</w:t>
            </w:r>
          </w:p>
        </w:tc>
        <w:tc>
          <w:tcPr>
            <w:tcW w:w="594" w:type="dxa"/>
            <w:vMerge w:val="restart"/>
            <w:noWrap w:val="0"/>
            <w:vAlign w:val="center"/>
          </w:tcPr>
          <w:p w14:paraId="41A0EC0F">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工业</w:t>
            </w:r>
          </w:p>
        </w:tc>
      </w:tr>
      <w:tr w14:paraId="57D5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58" w:type="dxa"/>
            <w:vMerge w:val="continue"/>
            <w:noWrap w:val="0"/>
            <w:vAlign w:val="center"/>
          </w:tcPr>
          <w:p w14:paraId="0B86D314">
            <w:pPr>
              <w:jc w:val="center"/>
              <w:rPr>
                <w:rFonts w:hint="eastAsia" w:ascii="楷体" w:hAnsi="楷体" w:eastAsia="楷体" w:cs="楷体"/>
                <w:bCs/>
                <w:color w:val="auto"/>
                <w:sz w:val="21"/>
                <w:szCs w:val="21"/>
                <w:highlight w:val="none"/>
                <w:lang w:val="en-US" w:eastAsia="zh-CN"/>
              </w:rPr>
            </w:pPr>
          </w:p>
        </w:tc>
        <w:tc>
          <w:tcPr>
            <w:tcW w:w="666" w:type="dxa"/>
            <w:noWrap w:val="0"/>
            <w:vAlign w:val="center"/>
          </w:tcPr>
          <w:p w14:paraId="550B8DF7">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2</w:t>
            </w:r>
          </w:p>
        </w:tc>
        <w:tc>
          <w:tcPr>
            <w:tcW w:w="2297" w:type="dxa"/>
            <w:noWrap w:val="0"/>
            <w:vAlign w:val="center"/>
          </w:tcPr>
          <w:p w14:paraId="621A968E">
            <w:pPr>
              <w:jc w:val="center"/>
              <w:rPr>
                <w:rFonts w:hint="eastAsia" w:ascii="楷体" w:hAnsi="楷体" w:eastAsia="楷体" w:cs="楷体"/>
                <w:color w:val="auto"/>
                <w:kern w:val="2"/>
                <w:sz w:val="21"/>
                <w:szCs w:val="21"/>
                <w:highlight w:val="none"/>
                <w:lang w:val="en-US" w:eastAsia="zh-CN"/>
              </w:rPr>
            </w:pPr>
            <w:r>
              <w:rPr>
                <w:rFonts w:hint="eastAsia" w:ascii="楷体" w:hAnsi="楷体" w:eastAsia="楷体" w:cs="楷体"/>
                <w:color w:val="auto"/>
                <w:kern w:val="2"/>
                <w:sz w:val="21"/>
                <w:szCs w:val="21"/>
                <w:highlight w:val="none"/>
                <w:lang w:val="en-US" w:eastAsia="zh-CN"/>
              </w:rPr>
              <w:t>流动注射分析仪</w:t>
            </w:r>
          </w:p>
        </w:tc>
        <w:tc>
          <w:tcPr>
            <w:tcW w:w="571" w:type="dxa"/>
            <w:noWrap w:val="0"/>
            <w:vAlign w:val="center"/>
          </w:tcPr>
          <w:p w14:paraId="573E1F50">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套</w:t>
            </w:r>
          </w:p>
        </w:tc>
        <w:tc>
          <w:tcPr>
            <w:tcW w:w="871" w:type="dxa"/>
            <w:noWrap w:val="0"/>
            <w:vAlign w:val="center"/>
          </w:tcPr>
          <w:p w14:paraId="18E06EC0">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1</w:t>
            </w:r>
          </w:p>
        </w:tc>
        <w:tc>
          <w:tcPr>
            <w:tcW w:w="1585" w:type="dxa"/>
            <w:noWrap w:val="0"/>
            <w:vAlign w:val="center"/>
          </w:tcPr>
          <w:p w14:paraId="35DF672D">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 w:val="21"/>
                <w:szCs w:val="21"/>
                <w:highlight w:val="none"/>
                <w:lang w:val="en-US" w:eastAsia="zh-CN"/>
              </w:rPr>
              <w:t>45.50</w:t>
            </w:r>
          </w:p>
        </w:tc>
        <w:tc>
          <w:tcPr>
            <w:tcW w:w="839" w:type="dxa"/>
            <w:noWrap w:val="0"/>
            <w:vAlign w:val="center"/>
          </w:tcPr>
          <w:p w14:paraId="1F5D4ECE">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是</w:t>
            </w:r>
          </w:p>
        </w:tc>
        <w:tc>
          <w:tcPr>
            <w:tcW w:w="821" w:type="dxa"/>
            <w:noWrap w:val="0"/>
            <w:vAlign w:val="center"/>
          </w:tcPr>
          <w:p w14:paraId="01D0C397">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是</w:t>
            </w:r>
          </w:p>
        </w:tc>
        <w:tc>
          <w:tcPr>
            <w:tcW w:w="745" w:type="dxa"/>
            <w:noWrap w:val="0"/>
            <w:vAlign w:val="center"/>
          </w:tcPr>
          <w:p w14:paraId="3C441CB8">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否</w:t>
            </w:r>
          </w:p>
        </w:tc>
        <w:tc>
          <w:tcPr>
            <w:tcW w:w="629" w:type="dxa"/>
            <w:vMerge w:val="continue"/>
            <w:noWrap w:val="0"/>
            <w:vAlign w:val="center"/>
          </w:tcPr>
          <w:p w14:paraId="6CDD103F">
            <w:pPr>
              <w:jc w:val="both"/>
              <w:rPr>
                <w:rFonts w:hint="eastAsia" w:ascii="楷体" w:hAnsi="楷体" w:eastAsia="楷体" w:cs="楷体"/>
                <w:bCs/>
                <w:color w:val="auto"/>
                <w:kern w:val="2"/>
                <w:sz w:val="21"/>
                <w:szCs w:val="21"/>
                <w:highlight w:val="none"/>
                <w:lang w:val="en-US" w:eastAsia="zh-CN" w:bidi="ar-SA"/>
              </w:rPr>
            </w:pPr>
          </w:p>
        </w:tc>
        <w:tc>
          <w:tcPr>
            <w:tcW w:w="594" w:type="dxa"/>
            <w:vMerge w:val="continue"/>
            <w:noWrap w:val="0"/>
            <w:vAlign w:val="center"/>
          </w:tcPr>
          <w:p w14:paraId="551B0DB0">
            <w:pPr>
              <w:jc w:val="both"/>
              <w:rPr>
                <w:rFonts w:hint="eastAsia" w:ascii="楷体" w:hAnsi="楷体" w:eastAsia="楷体" w:cs="楷体"/>
                <w:bCs/>
                <w:color w:val="auto"/>
                <w:kern w:val="2"/>
                <w:sz w:val="21"/>
                <w:szCs w:val="21"/>
                <w:highlight w:val="none"/>
                <w:lang w:val="en-US" w:eastAsia="zh-CN" w:bidi="ar-SA"/>
              </w:rPr>
            </w:pPr>
          </w:p>
        </w:tc>
      </w:tr>
      <w:tr w14:paraId="3BDF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058" w:type="dxa"/>
            <w:vMerge w:val="continue"/>
            <w:noWrap w:val="0"/>
            <w:vAlign w:val="center"/>
          </w:tcPr>
          <w:p w14:paraId="7653F603">
            <w:pPr>
              <w:jc w:val="center"/>
              <w:rPr>
                <w:rFonts w:hint="eastAsia" w:ascii="楷体" w:hAnsi="楷体" w:eastAsia="楷体" w:cs="楷体"/>
                <w:bCs/>
                <w:color w:val="auto"/>
                <w:sz w:val="21"/>
                <w:szCs w:val="21"/>
                <w:highlight w:val="none"/>
                <w:lang w:val="en-US" w:eastAsia="zh-CN"/>
              </w:rPr>
            </w:pPr>
          </w:p>
        </w:tc>
        <w:tc>
          <w:tcPr>
            <w:tcW w:w="666" w:type="dxa"/>
            <w:noWrap w:val="0"/>
            <w:vAlign w:val="center"/>
          </w:tcPr>
          <w:p w14:paraId="137C1DE7">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3</w:t>
            </w:r>
          </w:p>
        </w:tc>
        <w:tc>
          <w:tcPr>
            <w:tcW w:w="2297" w:type="dxa"/>
            <w:noWrap w:val="0"/>
            <w:vAlign w:val="center"/>
          </w:tcPr>
          <w:p w14:paraId="028D8711">
            <w:pPr>
              <w:jc w:val="center"/>
              <w:rPr>
                <w:rFonts w:hint="eastAsia" w:ascii="楷体" w:hAnsi="楷体" w:eastAsia="楷体" w:cs="楷体"/>
                <w:color w:val="auto"/>
                <w:kern w:val="2"/>
                <w:sz w:val="21"/>
                <w:szCs w:val="21"/>
                <w:highlight w:val="none"/>
                <w:lang w:val="en-US" w:eastAsia="zh-CN"/>
              </w:rPr>
            </w:pPr>
            <w:r>
              <w:rPr>
                <w:rFonts w:hint="eastAsia" w:ascii="楷体" w:hAnsi="楷体" w:eastAsia="楷体" w:cs="楷体"/>
                <w:color w:val="auto"/>
                <w:kern w:val="2"/>
                <w:sz w:val="21"/>
                <w:szCs w:val="21"/>
                <w:highlight w:val="none"/>
                <w:lang w:val="en-US" w:eastAsia="zh-CN"/>
              </w:rPr>
              <w:t>万分之一天平</w:t>
            </w:r>
          </w:p>
        </w:tc>
        <w:tc>
          <w:tcPr>
            <w:tcW w:w="571" w:type="dxa"/>
            <w:noWrap w:val="0"/>
            <w:vAlign w:val="center"/>
          </w:tcPr>
          <w:p w14:paraId="42187EDF">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套</w:t>
            </w:r>
          </w:p>
        </w:tc>
        <w:tc>
          <w:tcPr>
            <w:tcW w:w="871" w:type="dxa"/>
            <w:noWrap w:val="0"/>
            <w:vAlign w:val="center"/>
          </w:tcPr>
          <w:p w14:paraId="1D9F91D1">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2</w:t>
            </w:r>
          </w:p>
        </w:tc>
        <w:tc>
          <w:tcPr>
            <w:tcW w:w="1585" w:type="dxa"/>
            <w:noWrap w:val="0"/>
            <w:vAlign w:val="center"/>
          </w:tcPr>
          <w:p w14:paraId="33013E9B">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 w:val="21"/>
                <w:szCs w:val="21"/>
                <w:highlight w:val="none"/>
                <w:lang w:val="en-US" w:eastAsia="zh-CN"/>
              </w:rPr>
              <w:t>3.00</w:t>
            </w:r>
          </w:p>
        </w:tc>
        <w:tc>
          <w:tcPr>
            <w:tcW w:w="839" w:type="dxa"/>
            <w:noWrap w:val="0"/>
            <w:vAlign w:val="center"/>
          </w:tcPr>
          <w:p w14:paraId="177021A3">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是</w:t>
            </w:r>
          </w:p>
        </w:tc>
        <w:tc>
          <w:tcPr>
            <w:tcW w:w="821" w:type="dxa"/>
            <w:noWrap w:val="0"/>
            <w:vAlign w:val="center"/>
          </w:tcPr>
          <w:p w14:paraId="413A9506">
            <w:pPr>
              <w:jc w:val="center"/>
              <w:rPr>
                <w:rFonts w:hint="eastAsia" w:ascii="楷体" w:hAnsi="楷体" w:eastAsia="楷体" w:cs="楷体"/>
                <w:bCs/>
                <w:color w:val="auto"/>
                <w:sz w:val="21"/>
                <w:szCs w:val="21"/>
                <w:highlight w:val="none"/>
              </w:rPr>
            </w:pPr>
            <w:r>
              <w:rPr>
                <w:rStyle w:val="5"/>
                <w:rFonts w:hint="eastAsia" w:ascii="楷体" w:hAnsi="楷体" w:eastAsia="楷体" w:cs="楷体"/>
                <w:color w:val="auto"/>
                <w:sz w:val="21"/>
                <w:szCs w:val="21"/>
                <w:highlight w:val="none"/>
                <w:lang w:val="en-US" w:eastAsia="zh-CN"/>
              </w:rPr>
              <w:t>否</w:t>
            </w:r>
          </w:p>
        </w:tc>
        <w:tc>
          <w:tcPr>
            <w:tcW w:w="745" w:type="dxa"/>
            <w:noWrap w:val="0"/>
            <w:vAlign w:val="center"/>
          </w:tcPr>
          <w:p w14:paraId="61F9D0F9">
            <w:pPr>
              <w:jc w:val="center"/>
              <w:rPr>
                <w:rFonts w:hint="eastAsia" w:ascii="楷体" w:hAnsi="楷体" w:eastAsia="楷体" w:cs="楷体"/>
                <w:bCs/>
                <w:color w:val="auto"/>
                <w:sz w:val="21"/>
                <w:szCs w:val="21"/>
                <w:highlight w:val="none"/>
              </w:rPr>
            </w:pPr>
            <w:r>
              <w:rPr>
                <w:rFonts w:hint="eastAsia" w:ascii="楷体" w:hAnsi="楷体" w:eastAsia="楷体" w:cs="楷体"/>
                <w:color w:val="auto"/>
                <w:kern w:val="2"/>
                <w:sz w:val="21"/>
                <w:szCs w:val="21"/>
                <w:highlight w:val="none"/>
                <w:lang w:val="en-US" w:eastAsia="zh-CN"/>
              </w:rPr>
              <w:t>否</w:t>
            </w:r>
          </w:p>
        </w:tc>
        <w:tc>
          <w:tcPr>
            <w:tcW w:w="629" w:type="dxa"/>
            <w:vMerge w:val="continue"/>
            <w:noWrap w:val="0"/>
            <w:vAlign w:val="center"/>
          </w:tcPr>
          <w:p w14:paraId="4A7936D1">
            <w:pPr>
              <w:jc w:val="center"/>
              <w:rPr>
                <w:rFonts w:hint="eastAsia" w:ascii="楷体" w:hAnsi="楷体" w:eastAsia="楷体" w:cs="楷体"/>
                <w:bCs/>
                <w:color w:val="auto"/>
                <w:sz w:val="21"/>
                <w:szCs w:val="21"/>
                <w:highlight w:val="none"/>
              </w:rPr>
            </w:pPr>
          </w:p>
        </w:tc>
        <w:tc>
          <w:tcPr>
            <w:tcW w:w="594" w:type="dxa"/>
            <w:vMerge w:val="continue"/>
            <w:noWrap w:val="0"/>
            <w:vAlign w:val="center"/>
          </w:tcPr>
          <w:p w14:paraId="787423F6">
            <w:pPr>
              <w:jc w:val="center"/>
              <w:rPr>
                <w:rFonts w:hint="eastAsia" w:ascii="楷体" w:hAnsi="楷体" w:eastAsia="楷体" w:cs="楷体"/>
                <w:bCs/>
                <w:color w:val="auto"/>
                <w:sz w:val="21"/>
                <w:szCs w:val="21"/>
                <w:highlight w:val="none"/>
              </w:rPr>
            </w:pPr>
          </w:p>
        </w:tc>
      </w:tr>
      <w:tr w14:paraId="300A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58" w:type="dxa"/>
            <w:vMerge w:val="continue"/>
            <w:noWrap w:val="0"/>
            <w:vAlign w:val="center"/>
          </w:tcPr>
          <w:p w14:paraId="18264FB8">
            <w:pPr>
              <w:jc w:val="center"/>
              <w:rPr>
                <w:rFonts w:hint="eastAsia" w:ascii="楷体" w:hAnsi="楷体" w:eastAsia="楷体" w:cs="楷体"/>
                <w:bCs/>
                <w:color w:val="auto"/>
                <w:sz w:val="21"/>
                <w:szCs w:val="21"/>
                <w:highlight w:val="none"/>
                <w:lang w:val="en-US" w:eastAsia="zh-CN"/>
              </w:rPr>
            </w:pPr>
          </w:p>
        </w:tc>
        <w:tc>
          <w:tcPr>
            <w:tcW w:w="666" w:type="dxa"/>
            <w:noWrap w:val="0"/>
            <w:vAlign w:val="center"/>
          </w:tcPr>
          <w:p w14:paraId="1CAAA6E5">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4</w:t>
            </w:r>
          </w:p>
        </w:tc>
        <w:tc>
          <w:tcPr>
            <w:tcW w:w="2297" w:type="dxa"/>
            <w:noWrap w:val="0"/>
            <w:vAlign w:val="center"/>
          </w:tcPr>
          <w:p w14:paraId="23D69D98">
            <w:pPr>
              <w:jc w:val="center"/>
              <w:rPr>
                <w:rFonts w:hint="eastAsia" w:ascii="楷体" w:hAnsi="楷体" w:eastAsia="楷体" w:cs="楷体"/>
                <w:color w:val="auto"/>
                <w:kern w:val="2"/>
                <w:sz w:val="21"/>
                <w:szCs w:val="21"/>
                <w:highlight w:val="none"/>
                <w:lang w:val="en-US" w:eastAsia="zh-CN"/>
              </w:rPr>
            </w:pPr>
            <w:r>
              <w:rPr>
                <w:rFonts w:hint="eastAsia" w:ascii="楷体" w:hAnsi="楷体" w:eastAsia="楷体" w:cs="楷体"/>
                <w:color w:val="auto"/>
                <w:kern w:val="2"/>
                <w:sz w:val="21"/>
                <w:szCs w:val="21"/>
                <w:highlight w:val="none"/>
                <w:lang w:val="en-US" w:eastAsia="zh-CN"/>
              </w:rPr>
              <w:t>多参数水质分析仪</w:t>
            </w:r>
          </w:p>
        </w:tc>
        <w:tc>
          <w:tcPr>
            <w:tcW w:w="571" w:type="dxa"/>
            <w:noWrap w:val="0"/>
            <w:vAlign w:val="center"/>
          </w:tcPr>
          <w:p w14:paraId="7AE24751">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套</w:t>
            </w:r>
          </w:p>
        </w:tc>
        <w:tc>
          <w:tcPr>
            <w:tcW w:w="871" w:type="dxa"/>
            <w:noWrap w:val="0"/>
            <w:vAlign w:val="center"/>
          </w:tcPr>
          <w:p w14:paraId="66DB93E8">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1</w:t>
            </w:r>
          </w:p>
        </w:tc>
        <w:tc>
          <w:tcPr>
            <w:tcW w:w="1585" w:type="dxa"/>
            <w:noWrap w:val="0"/>
            <w:vAlign w:val="center"/>
          </w:tcPr>
          <w:p w14:paraId="4EF653BF">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 w:val="21"/>
                <w:szCs w:val="21"/>
                <w:highlight w:val="none"/>
                <w:lang w:val="en-US" w:eastAsia="zh-CN"/>
              </w:rPr>
              <w:t>3.00</w:t>
            </w:r>
          </w:p>
        </w:tc>
        <w:tc>
          <w:tcPr>
            <w:tcW w:w="839" w:type="dxa"/>
            <w:noWrap w:val="0"/>
            <w:vAlign w:val="center"/>
          </w:tcPr>
          <w:p w14:paraId="40D015DC">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是</w:t>
            </w:r>
          </w:p>
        </w:tc>
        <w:tc>
          <w:tcPr>
            <w:tcW w:w="821" w:type="dxa"/>
            <w:noWrap w:val="0"/>
            <w:vAlign w:val="center"/>
          </w:tcPr>
          <w:p w14:paraId="475130FC">
            <w:pPr>
              <w:jc w:val="center"/>
              <w:rPr>
                <w:rFonts w:hint="eastAsia" w:ascii="楷体" w:hAnsi="楷体" w:eastAsia="楷体" w:cs="楷体"/>
                <w:bCs/>
                <w:color w:val="auto"/>
                <w:sz w:val="21"/>
                <w:szCs w:val="21"/>
                <w:highlight w:val="none"/>
              </w:rPr>
            </w:pPr>
            <w:r>
              <w:rPr>
                <w:rStyle w:val="5"/>
                <w:rFonts w:hint="eastAsia" w:ascii="楷体" w:hAnsi="楷体" w:eastAsia="楷体" w:cs="楷体"/>
                <w:color w:val="auto"/>
                <w:sz w:val="21"/>
                <w:szCs w:val="21"/>
                <w:highlight w:val="none"/>
                <w:lang w:val="en-US" w:eastAsia="zh-CN"/>
              </w:rPr>
              <w:t>否</w:t>
            </w:r>
          </w:p>
        </w:tc>
        <w:tc>
          <w:tcPr>
            <w:tcW w:w="745" w:type="dxa"/>
            <w:noWrap w:val="0"/>
            <w:vAlign w:val="center"/>
          </w:tcPr>
          <w:p w14:paraId="6F0A7E23">
            <w:pPr>
              <w:jc w:val="center"/>
              <w:rPr>
                <w:rFonts w:hint="eastAsia" w:ascii="楷体" w:hAnsi="楷体" w:eastAsia="楷体" w:cs="楷体"/>
                <w:bCs/>
                <w:color w:val="auto"/>
                <w:sz w:val="21"/>
                <w:szCs w:val="21"/>
                <w:highlight w:val="none"/>
              </w:rPr>
            </w:pPr>
            <w:r>
              <w:rPr>
                <w:rFonts w:hint="eastAsia" w:ascii="楷体" w:hAnsi="楷体" w:eastAsia="楷体" w:cs="楷体"/>
                <w:color w:val="auto"/>
                <w:kern w:val="2"/>
                <w:sz w:val="21"/>
                <w:szCs w:val="21"/>
                <w:highlight w:val="none"/>
                <w:lang w:val="en-US" w:eastAsia="zh-CN"/>
              </w:rPr>
              <w:t>否</w:t>
            </w:r>
          </w:p>
        </w:tc>
        <w:tc>
          <w:tcPr>
            <w:tcW w:w="629" w:type="dxa"/>
            <w:vMerge w:val="continue"/>
            <w:noWrap w:val="0"/>
            <w:vAlign w:val="center"/>
          </w:tcPr>
          <w:p w14:paraId="068FA10B">
            <w:pPr>
              <w:jc w:val="center"/>
              <w:rPr>
                <w:rFonts w:hint="eastAsia" w:ascii="楷体" w:hAnsi="楷体" w:eastAsia="楷体" w:cs="楷体"/>
                <w:bCs/>
                <w:color w:val="auto"/>
                <w:sz w:val="21"/>
                <w:szCs w:val="21"/>
                <w:highlight w:val="none"/>
              </w:rPr>
            </w:pPr>
          </w:p>
        </w:tc>
        <w:tc>
          <w:tcPr>
            <w:tcW w:w="594" w:type="dxa"/>
            <w:vMerge w:val="continue"/>
            <w:noWrap w:val="0"/>
            <w:vAlign w:val="center"/>
          </w:tcPr>
          <w:p w14:paraId="734FB0E2">
            <w:pPr>
              <w:jc w:val="center"/>
              <w:rPr>
                <w:rFonts w:hint="eastAsia" w:ascii="楷体" w:hAnsi="楷体" w:eastAsia="楷体" w:cs="楷体"/>
                <w:bCs/>
                <w:color w:val="auto"/>
                <w:sz w:val="21"/>
                <w:szCs w:val="21"/>
                <w:highlight w:val="none"/>
              </w:rPr>
            </w:pPr>
          </w:p>
        </w:tc>
      </w:tr>
      <w:tr w14:paraId="125D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58" w:type="dxa"/>
            <w:vMerge w:val="continue"/>
            <w:noWrap w:val="0"/>
            <w:vAlign w:val="center"/>
          </w:tcPr>
          <w:p w14:paraId="26D8243B">
            <w:pPr>
              <w:jc w:val="center"/>
              <w:rPr>
                <w:rFonts w:hint="eastAsia" w:ascii="楷体" w:hAnsi="楷体" w:eastAsia="楷体" w:cs="楷体"/>
                <w:bCs/>
                <w:color w:val="auto"/>
                <w:sz w:val="21"/>
                <w:szCs w:val="21"/>
                <w:highlight w:val="none"/>
                <w:lang w:val="en-US" w:eastAsia="zh-CN"/>
              </w:rPr>
            </w:pPr>
          </w:p>
        </w:tc>
        <w:tc>
          <w:tcPr>
            <w:tcW w:w="666" w:type="dxa"/>
            <w:noWrap w:val="0"/>
            <w:vAlign w:val="center"/>
          </w:tcPr>
          <w:p w14:paraId="06A8DFB5">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5</w:t>
            </w:r>
          </w:p>
        </w:tc>
        <w:tc>
          <w:tcPr>
            <w:tcW w:w="2297" w:type="dxa"/>
            <w:noWrap w:val="0"/>
            <w:vAlign w:val="center"/>
          </w:tcPr>
          <w:p w14:paraId="187B03C6">
            <w:pPr>
              <w:jc w:val="center"/>
              <w:rPr>
                <w:rFonts w:hint="eastAsia" w:ascii="楷体" w:hAnsi="楷体" w:eastAsia="楷体" w:cs="楷体"/>
                <w:color w:val="auto"/>
                <w:kern w:val="2"/>
                <w:sz w:val="21"/>
                <w:szCs w:val="21"/>
                <w:highlight w:val="none"/>
                <w:lang w:val="en-US" w:eastAsia="zh-CN"/>
              </w:rPr>
            </w:pPr>
            <w:r>
              <w:rPr>
                <w:rFonts w:hint="eastAsia" w:ascii="楷体" w:hAnsi="楷体" w:eastAsia="楷体" w:cs="楷体"/>
                <w:color w:val="auto"/>
                <w:kern w:val="2"/>
                <w:sz w:val="21"/>
                <w:szCs w:val="21"/>
                <w:highlight w:val="none"/>
                <w:lang w:val="en-US" w:eastAsia="zh-CN"/>
              </w:rPr>
              <w:t>可见分光光度计</w:t>
            </w:r>
          </w:p>
        </w:tc>
        <w:tc>
          <w:tcPr>
            <w:tcW w:w="571" w:type="dxa"/>
            <w:noWrap w:val="0"/>
            <w:vAlign w:val="center"/>
          </w:tcPr>
          <w:p w14:paraId="373893F3">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套</w:t>
            </w:r>
          </w:p>
        </w:tc>
        <w:tc>
          <w:tcPr>
            <w:tcW w:w="871" w:type="dxa"/>
            <w:noWrap w:val="0"/>
            <w:vAlign w:val="center"/>
          </w:tcPr>
          <w:p w14:paraId="0F24FDAB">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1</w:t>
            </w:r>
          </w:p>
        </w:tc>
        <w:tc>
          <w:tcPr>
            <w:tcW w:w="1585" w:type="dxa"/>
            <w:noWrap w:val="0"/>
            <w:vAlign w:val="center"/>
          </w:tcPr>
          <w:p w14:paraId="4233BC50">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 w:val="21"/>
                <w:szCs w:val="21"/>
                <w:highlight w:val="none"/>
                <w:lang w:val="en-US" w:eastAsia="zh-CN"/>
              </w:rPr>
              <w:t>4.00</w:t>
            </w:r>
          </w:p>
        </w:tc>
        <w:tc>
          <w:tcPr>
            <w:tcW w:w="839" w:type="dxa"/>
            <w:noWrap w:val="0"/>
            <w:vAlign w:val="center"/>
          </w:tcPr>
          <w:p w14:paraId="4E52FD01">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是</w:t>
            </w:r>
          </w:p>
        </w:tc>
        <w:tc>
          <w:tcPr>
            <w:tcW w:w="821" w:type="dxa"/>
            <w:noWrap w:val="0"/>
            <w:vAlign w:val="center"/>
          </w:tcPr>
          <w:p w14:paraId="16304305">
            <w:pPr>
              <w:jc w:val="center"/>
              <w:rPr>
                <w:rFonts w:hint="eastAsia" w:ascii="楷体" w:hAnsi="楷体" w:eastAsia="楷体" w:cs="楷体"/>
                <w:bCs/>
                <w:color w:val="auto"/>
                <w:sz w:val="21"/>
                <w:szCs w:val="21"/>
                <w:highlight w:val="none"/>
                <w:lang w:val="en-US"/>
              </w:rPr>
            </w:pPr>
            <w:r>
              <w:rPr>
                <w:rStyle w:val="5"/>
                <w:rFonts w:hint="eastAsia" w:ascii="楷体" w:hAnsi="楷体" w:eastAsia="楷体" w:cs="楷体"/>
                <w:color w:val="auto"/>
                <w:sz w:val="21"/>
                <w:szCs w:val="21"/>
                <w:highlight w:val="none"/>
                <w:lang w:val="en-US" w:eastAsia="zh-CN"/>
              </w:rPr>
              <w:t>否</w:t>
            </w:r>
          </w:p>
        </w:tc>
        <w:tc>
          <w:tcPr>
            <w:tcW w:w="745" w:type="dxa"/>
            <w:noWrap w:val="0"/>
            <w:vAlign w:val="center"/>
          </w:tcPr>
          <w:p w14:paraId="3CC1FB3F">
            <w:pPr>
              <w:jc w:val="center"/>
              <w:rPr>
                <w:rFonts w:hint="eastAsia" w:ascii="楷体" w:hAnsi="楷体" w:eastAsia="楷体" w:cs="楷体"/>
                <w:bCs/>
                <w:color w:val="auto"/>
                <w:sz w:val="21"/>
                <w:szCs w:val="21"/>
                <w:highlight w:val="none"/>
                <w:lang w:val="en-US"/>
              </w:rPr>
            </w:pPr>
            <w:r>
              <w:rPr>
                <w:rFonts w:hint="eastAsia" w:ascii="楷体" w:hAnsi="楷体" w:eastAsia="楷体" w:cs="楷体"/>
                <w:color w:val="auto"/>
                <w:kern w:val="2"/>
                <w:sz w:val="21"/>
                <w:szCs w:val="21"/>
                <w:highlight w:val="none"/>
                <w:lang w:val="en-US" w:eastAsia="zh-CN"/>
              </w:rPr>
              <w:t>否</w:t>
            </w:r>
          </w:p>
        </w:tc>
        <w:tc>
          <w:tcPr>
            <w:tcW w:w="629" w:type="dxa"/>
            <w:vMerge w:val="continue"/>
            <w:noWrap w:val="0"/>
            <w:vAlign w:val="center"/>
          </w:tcPr>
          <w:p w14:paraId="34871604">
            <w:pPr>
              <w:jc w:val="both"/>
              <w:rPr>
                <w:rFonts w:hint="eastAsia" w:ascii="楷体" w:hAnsi="楷体" w:eastAsia="楷体" w:cs="楷体"/>
                <w:bCs/>
                <w:color w:val="auto"/>
                <w:sz w:val="21"/>
                <w:szCs w:val="21"/>
                <w:highlight w:val="none"/>
                <w:lang w:val="en-US"/>
              </w:rPr>
            </w:pPr>
          </w:p>
        </w:tc>
        <w:tc>
          <w:tcPr>
            <w:tcW w:w="594" w:type="dxa"/>
            <w:vMerge w:val="continue"/>
            <w:noWrap w:val="0"/>
            <w:vAlign w:val="center"/>
          </w:tcPr>
          <w:p w14:paraId="6505CFD1">
            <w:pPr>
              <w:jc w:val="both"/>
              <w:rPr>
                <w:rFonts w:hint="eastAsia" w:ascii="楷体" w:hAnsi="楷体" w:eastAsia="楷体" w:cs="楷体"/>
                <w:bCs/>
                <w:color w:val="auto"/>
                <w:sz w:val="21"/>
                <w:szCs w:val="21"/>
                <w:highlight w:val="none"/>
                <w:lang w:val="en-US"/>
              </w:rPr>
            </w:pPr>
          </w:p>
        </w:tc>
      </w:tr>
      <w:tr w14:paraId="6577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58" w:type="dxa"/>
            <w:vMerge w:val="continue"/>
            <w:noWrap w:val="0"/>
            <w:vAlign w:val="center"/>
          </w:tcPr>
          <w:p w14:paraId="4660A898">
            <w:pPr>
              <w:jc w:val="center"/>
              <w:rPr>
                <w:rFonts w:hint="eastAsia" w:ascii="楷体" w:hAnsi="楷体" w:eastAsia="楷体" w:cs="楷体"/>
                <w:bCs/>
                <w:color w:val="auto"/>
                <w:sz w:val="21"/>
                <w:szCs w:val="21"/>
                <w:highlight w:val="none"/>
                <w:lang w:val="en-US" w:eastAsia="zh-CN"/>
              </w:rPr>
            </w:pPr>
          </w:p>
        </w:tc>
        <w:tc>
          <w:tcPr>
            <w:tcW w:w="666" w:type="dxa"/>
            <w:noWrap w:val="0"/>
            <w:vAlign w:val="center"/>
          </w:tcPr>
          <w:p w14:paraId="0690557E">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6</w:t>
            </w:r>
          </w:p>
        </w:tc>
        <w:tc>
          <w:tcPr>
            <w:tcW w:w="2297" w:type="dxa"/>
            <w:noWrap w:val="0"/>
            <w:vAlign w:val="center"/>
          </w:tcPr>
          <w:p w14:paraId="3F007F6F">
            <w:pPr>
              <w:jc w:val="center"/>
              <w:rPr>
                <w:rFonts w:hint="eastAsia" w:ascii="楷体" w:hAnsi="楷体" w:eastAsia="楷体" w:cs="楷体"/>
                <w:color w:val="auto"/>
                <w:kern w:val="2"/>
                <w:sz w:val="21"/>
                <w:szCs w:val="21"/>
                <w:highlight w:val="none"/>
                <w:lang w:val="en-US" w:eastAsia="zh-CN"/>
              </w:rPr>
            </w:pPr>
            <w:r>
              <w:rPr>
                <w:rFonts w:hint="eastAsia" w:ascii="楷体" w:hAnsi="楷体" w:eastAsia="楷体" w:cs="楷体"/>
                <w:color w:val="auto"/>
                <w:kern w:val="2"/>
                <w:sz w:val="21"/>
                <w:szCs w:val="21"/>
                <w:highlight w:val="none"/>
                <w:lang w:val="en-US" w:eastAsia="zh-CN"/>
              </w:rPr>
              <w:t>元素灯(原子吸收)铁、铜、锰、锌、铅、镉灯</w:t>
            </w:r>
          </w:p>
        </w:tc>
        <w:tc>
          <w:tcPr>
            <w:tcW w:w="571" w:type="dxa"/>
            <w:noWrap w:val="0"/>
            <w:vAlign w:val="center"/>
          </w:tcPr>
          <w:p w14:paraId="1D36A49C">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套</w:t>
            </w:r>
          </w:p>
        </w:tc>
        <w:tc>
          <w:tcPr>
            <w:tcW w:w="871" w:type="dxa"/>
            <w:noWrap w:val="0"/>
            <w:vAlign w:val="center"/>
          </w:tcPr>
          <w:p w14:paraId="4F7EECFF">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6</w:t>
            </w:r>
          </w:p>
        </w:tc>
        <w:tc>
          <w:tcPr>
            <w:tcW w:w="1585" w:type="dxa"/>
            <w:noWrap w:val="0"/>
            <w:vAlign w:val="center"/>
          </w:tcPr>
          <w:p w14:paraId="79739DEF">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 w:val="21"/>
                <w:szCs w:val="21"/>
                <w:highlight w:val="none"/>
                <w:lang w:val="en-US" w:eastAsia="zh-CN"/>
              </w:rPr>
              <w:t>0.1</w:t>
            </w:r>
          </w:p>
        </w:tc>
        <w:tc>
          <w:tcPr>
            <w:tcW w:w="839" w:type="dxa"/>
            <w:noWrap w:val="0"/>
            <w:vAlign w:val="center"/>
          </w:tcPr>
          <w:p w14:paraId="2CC6E7F8">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是</w:t>
            </w:r>
          </w:p>
        </w:tc>
        <w:tc>
          <w:tcPr>
            <w:tcW w:w="821" w:type="dxa"/>
            <w:noWrap w:val="0"/>
            <w:vAlign w:val="center"/>
          </w:tcPr>
          <w:p w14:paraId="2C283652">
            <w:pPr>
              <w:jc w:val="center"/>
              <w:rPr>
                <w:rFonts w:hint="eastAsia" w:ascii="楷体" w:hAnsi="楷体" w:eastAsia="楷体" w:cs="楷体"/>
                <w:bCs/>
                <w:color w:val="auto"/>
                <w:sz w:val="21"/>
                <w:szCs w:val="21"/>
                <w:highlight w:val="none"/>
              </w:rPr>
            </w:pPr>
            <w:r>
              <w:rPr>
                <w:rStyle w:val="5"/>
                <w:rFonts w:hint="eastAsia" w:ascii="楷体" w:hAnsi="楷体" w:eastAsia="楷体" w:cs="楷体"/>
                <w:color w:val="auto"/>
                <w:sz w:val="21"/>
                <w:szCs w:val="21"/>
                <w:highlight w:val="none"/>
                <w:lang w:val="en-US" w:eastAsia="zh-CN"/>
              </w:rPr>
              <w:t>否</w:t>
            </w:r>
          </w:p>
        </w:tc>
        <w:tc>
          <w:tcPr>
            <w:tcW w:w="745" w:type="dxa"/>
            <w:noWrap w:val="0"/>
            <w:vAlign w:val="center"/>
          </w:tcPr>
          <w:p w14:paraId="12BAFE01">
            <w:pPr>
              <w:jc w:val="center"/>
              <w:rPr>
                <w:rFonts w:hint="eastAsia" w:ascii="楷体" w:hAnsi="楷体" w:eastAsia="楷体" w:cs="楷体"/>
                <w:bCs/>
                <w:color w:val="auto"/>
                <w:sz w:val="21"/>
                <w:szCs w:val="21"/>
                <w:highlight w:val="none"/>
              </w:rPr>
            </w:pPr>
            <w:r>
              <w:rPr>
                <w:rFonts w:hint="eastAsia" w:ascii="楷体" w:hAnsi="楷体" w:eastAsia="楷体" w:cs="楷体"/>
                <w:color w:val="auto"/>
                <w:kern w:val="2"/>
                <w:sz w:val="21"/>
                <w:szCs w:val="21"/>
                <w:highlight w:val="none"/>
                <w:lang w:val="en-US" w:eastAsia="zh-CN"/>
              </w:rPr>
              <w:t>否</w:t>
            </w:r>
          </w:p>
        </w:tc>
        <w:tc>
          <w:tcPr>
            <w:tcW w:w="629" w:type="dxa"/>
            <w:vMerge w:val="continue"/>
            <w:noWrap w:val="0"/>
            <w:vAlign w:val="center"/>
          </w:tcPr>
          <w:p w14:paraId="56E40ABF">
            <w:pPr>
              <w:jc w:val="both"/>
              <w:rPr>
                <w:rFonts w:hint="eastAsia" w:ascii="楷体" w:hAnsi="楷体" w:eastAsia="楷体" w:cs="楷体"/>
                <w:bCs/>
                <w:color w:val="auto"/>
                <w:sz w:val="21"/>
                <w:szCs w:val="21"/>
                <w:highlight w:val="none"/>
              </w:rPr>
            </w:pPr>
          </w:p>
        </w:tc>
        <w:tc>
          <w:tcPr>
            <w:tcW w:w="594" w:type="dxa"/>
            <w:vMerge w:val="continue"/>
            <w:noWrap w:val="0"/>
            <w:vAlign w:val="center"/>
          </w:tcPr>
          <w:p w14:paraId="364FEBA0">
            <w:pPr>
              <w:jc w:val="both"/>
              <w:rPr>
                <w:rFonts w:hint="eastAsia" w:ascii="楷体" w:hAnsi="楷体" w:eastAsia="楷体" w:cs="楷体"/>
                <w:bCs/>
                <w:color w:val="auto"/>
                <w:sz w:val="21"/>
                <w:szCs w:val="21"/>
                <w:highlight w:val="none"/>
              </w:rPr>
            </w:pPr>
          </w:p>
        </w:tc>
      </w:tr>
      <w:tr w14:paraId="0BAB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058" w:type="dxa"/>
            <w:vMerge w:val="continue"/>
            <w:noWrap w:val="0"/>
            <w:vAlign w:val="center"/>
          </w:tcPr>
          <w:p w14:paraId="037658CD">
            <w:pPr>
              <w:jc w:val="center"/>
              <w:rPr>
                <w:rFonts w:hint="eastAsia" w:ascii="楷体" w:hAnsi="楷体" w:eastAsia="楷体" w:cs="楷体"/>
                <w:bCs/>
                <w:color w:val="auto"/>
                <w:sz w:val="21"/>
                <w:szCs w:val="21"/>
                <w:highlight w:val="none"/>
                <w:lang w:val="en-US" w:eastAsia="zh-CN"/>
              </w:rPr>
            </w:pPr>
          </w:p>
        </w:tc>
        <w:tc>
          <w:tcPr>
            <w:tcW w:w="666" w:type="dxa"/>
            <w:noWrap w:val="0"/>
            <w:vAlign w:val="center"/>
          </w:tcPr>
          <w:p w14:paraId="4D36C309">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7</w:t>
            </w:r>
          </w:p>
        </w:tc>
        <w:tc>
          <w:tcPr>
            <w:tcW w:w="2297" w:type="dxa"/>
            <w:noWrap w:val="0"/>
            <w:vAlign w:val="center"/>
          </w:tcPr>
          <w:p w14:paraId="4604FD4E">
            <w:pPr>
              <w:jc w:val="center"/>
              <w:rPr>
                <w:rFonts w:hint="eastAsia" w:ascii="楷体" w:hAnsi="楷体" w:eastAsia="楷体" w:cs="楷体"/>
                <w:color w:val="auto"/>
                <w:kern w:val="2"/>
                <w:sz w:val="21"/>
                <w:szCs w:val="21"/>
                <w:highlight w:val="none"/>
                <w:lang w:val="en-US" w:eastAsia="zh-CN"/>
              </w:rPr>
            </w:pPr>
            <w:r>
              <w:rPr>
                <w:rFonts w:hint="eastAsia" w:ascii="楷体" w:hAnsi="楷体" w:eastAsia="楷体" w:cs="楷体"/>
                <w:color w:val="auto"/>
                <w:kern w:val="2"/>
                <w:sz w:val="21"/>
                <w:szCs w:val="21"/>
                <w:highlight w:val="none"/>
                <w:lang w:val="en-US" w:eastAsia="zh-CN"/>
              </w:rPr>
              <w:t>元素灯(原子荧光)砷、汞、硒灯</w:t>
            </w:r>
          </w:p>
        </w:tc>
        <w:tc>
          <w:tcPr>
            <w:tcW w:w="571" w:type="dxa"/>
            <w:noWrap w:val="0"/>
            <w:vAlign w:val="center"/>
          </w:tcPr>
          <w:p w14:paraId="0F24FDE0">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套</w:t>
            </w:r>
          </w:p>
        </w:tc>
        <w:tc>
          <w:tcPr>
            <w:tcW w:w="871" w:type="dxa"/>
            <w:noWrap w:val="0"/>
            <w:vAlign w:val="center"/>
          </w:tcPr>
          <w:p w14:paraId="4BBA793B">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3</w:t>
            </w:r>
          </w:p>
        </w:tc>
        <w:tc>
          <w:tcPr>
            <w:tcW w:w="1585" w:type="dxa"/>
            <w:noWrap w:val="0"/>
            <w:vAlign w:val="center"/>
          </w:tcPr>
          <w:p w14:paraId="50BDE253">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sz w:val="21"/>
                <w:szCs w:val="21"/>
                <w:highlight w:val="none"/>
                <w:lang w:val="en-US" w:eastAsia="zh-CN"/>
              </w:rPr>
              <w:t>0.1</w:t>
            </w:r>
          </w:p>
        </w:tc>
        <w:tc>
          <w:tcPr>
            <w:tcW w:w="839" w:type="dxa"/>
            <w:noWrap w:val="0"/>
            <w:vAlign w:val="center"/>
          </w:tcPr>
          <w:p w14:paraId="2D507D83">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是</w:t>
            </w:r>
          </w:p>
        </w:tc>
        <w:tc>
          <w:tcPr>
            <w:tcW w:w="821" w:type="dxa"/>
            <w:noWrap w:val="0"/>
            <w:vAlign w:val="center"/>
          </w:tcPr>
          <w:p w14:paraId="11826324">
            <w:pPr>
              <w:jc w:val="center"/>
              <w:rPr>
                <w:rFonts w:hint="eastAsia" w:ascii="楷体" w:hAnsi="楷体" w:eastAsia="楷体" w:cs="楷体"/>
                <w:bCs/>
                <w:color w:val="auto"/>
                <w:sz w:val="21"/>
                <w:szCs w:val="21"/>
                <w:highlight w:val="none"/>
                <w:lang w:val="en-US"/>
              </w:rPr>
            </w:pPr>
            <w:r>
              <w:rPr>
                <w:rStyle w:val="5"/>
                <w:rFonts w:hint="eastAsia" w:ascii="楷体" w:hAnsi="楷体" w:eastAsia="楷体" w:cs="楷体"/>
                <w:color w:val="auto"/>
                <w:sz w:val="21"/>
                <w:szCs w:val="21"/>
                <w:highlight w:val="none"/>
                <w:lang w:val="en-US" w:eastAsia="zh-CN"/>
              </w:rPr>
              <w:t>否</w:t>
            </w:r>
          </w:p>
        </w:tc>
        <w:tc>
          <w:tcPr>
            <w:tcW w:w="745" w:type="dxa"/>
            <w:noWrap w:val="0"/>
            <w:vAlign w:val="center"/>
          </w:tcPr>
          <w:p w14:paraId="53435F17">
            <w:pPr>
              <w:jc w:val="center"/>
              <w:rPr>
                <w:rFonts w:hint="eastAsia" w:ascii="楷体" w:hAnsi="楷体" w:eastAsia="楷体" w:cs="楷体"/>
                <w:bCs/>
                <w:color w:val="auto"/>
                <w:sz w:val="21"/>
                <w:szCs w:val="21"/>
                <w:highlight w:val="none"/>
                <w:lang w:val="en-US"/>
              </w:rPr>
            </w:pPr>
            <w:r>
              <w:rPr>
                <w:rFonts w:hint="eastAsia" w:ascii="楷体" w:hAnsi="楷体" w:eastAsia="楷体" w:cs="楷体"/>
                <w:color w:val="auto"/>
                <w:kern w:val="2"/>
                <w:sz w:val="21"/>
                <w:szCs w:val="21"/>
                <w:highlight w:val="none"/>
                <w:lang w:val="en-US" w:eastAsia="zh-CN"/>
              </w:rPr>
              <w:t>否</w:t>
            </w:r>
          </w:p>
        </w:tc>
        <w:tc>
          <w:tcPr>
            <w:tcW w:w="629" w:type="dxa"/>
            <w:vMerge w:val="continue"/>
            <w:noWrap w:val="0"/>
            <w:vAlign w:val="center"/>
          </w:tcPr>
          <w:p w14:paraId="556E9B74">
            <w:pPr>
              <w:jc w:val="both"/>
              <w:rPr>
                <w:rFonts w:hint="eastAsia" w:ascii="楷体" w:hAnsi="楷体" w:eastAsia="楷体" w:cs="楷体"/>
                <w:bCs/>
                <w:color w:val="auto"/>
                <w:sz w:val="21"/>
                <w:szCs w:val="21"/>
                <w:highlight w:val="none"/>
                <w:lang w:val="en-US"/>
              </w:rPr>
            </w:pPr>
          </w:p>
        </w:tc>
        <w:tc>
          <w:tcPr>
            <w:tcW w:w="594" w:type="dxa"/>
            <w:vMerge w:val="continue"/>
            <w:noWrap w:val="0"/>
            <w:vAlign w:val="center"/>
          </w:tcPr>
          <w:p w14:paraId="2DAD35E5">
            <w:pPr>
              <w:jc w:val="both"/>
              <w:rPr>
                <w:rFonts w:hint="eastAsia" w:ascii="楷体" w:hAnsi="楷体" w:eastAsia="楷体" w:cs="楷体"/>
                <w:bCs/>
                <w:color w:val="auto"/>
                <w:sz w:val="21"/>
                <w:szCs w:val="21"/>
                <w:highlight w:val="none"/>
                <w:lang w:val="en-US"/>
              </w:rPr>
            </w:pPr>
          </w:p>
        </w:tc>
      </w:tr>
      <w:tr w14:paraId="77FD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5463" w:type="dxa"/>
            <w:gridSpan w:val="5"/>
            <w:noWrap w:val="0"/>
            <w:vAlign w:val="center"/>
          </w:tcPr>
          <w:p w14:paraId="48F4ADB6">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合计</w:t>
            </w:r>
          </w:p>
        </w:tc>
        <w:tc>
          <w:tcPr>
            <w:tcW w:w="1585" w:type="dxa"/>
            <w:noWrap w:val="0"/>
            <w:vAlign w:val="center"/>
          </w:tcPr>
          <w:p w14:paraId="552B9573">
            <w:pPr>
              <w:jc w:val="center"/>
              <w:rPr>
                <w:rFonts w:hint="eastAsia" w:ascii="楷体" w:hAnsi="楷体" w:eastAsia="楷体" w:cs="楷体"/>
                <w:bCs/>
                <w:color w:val="auto"/>
                <w:sz w:val="21"/>
                <w:szCs w:val="21"/>
                <w:highlight w:val="none"/>
                <w:lang w:val="en-US" w:eastAsia="zh-CN"/>
              </w:rPr>
            </w:pPr>
            <w:r>
              <w:rPr>
                <w:rFonts w:hint="eastAsia" w:ascii="楷体" w:hAnsi="楷体" w:eastAsia="楷体" w:cs="楷体"/>
                <w:bCs/>
                <w:color w:val="auto"/>
                <w:sz w:val="21"/>
                <w:szCs w:val="21"/>
                <w:highlight w:val="none"/>
                <w:lang w:val="en-US" w:eastAsia="zh-CN"/>
              </w:rPr>
              <w:t>106.20</w:t>
            </w:r>
          </w:p>
        </w:tc>
        <w:tc>
          <w:tcPr>
            <w:tcW w:w="839" w:type="dxa"/>
            <w:noWrap w:val="0"/>
            <w:vAlign w:val="center"/>
          </w:tcPr>
          <w:p w14:paraId="3664CBC5">
            <w:pPr>
              <w:jc w:val="center"/>
              <w:rPr>
                <w:rFonts w:hint="eastAsia" w:ascii="楷体" w:hAnsi="楷体" w:eastAsia="楷体" w:cs="楷体"/>
                <w:color w:val="auto"/>
                <w:kern w:val="2"/>
                <w:sz w:val="21"/>
                <w:szCs w:val="21"/>
                <w:highlight w:val="none"/>
                <w:lang w:val="en-US" w:eastAsia="zh-CN"/>
              </w:rPr>
            </w:pPr>
          </w:p>
        </w:tc>
        <w:tc>
          <w:tcPr>
            <w:tcW w:w="821" w:type="dxa"/>
            <w:noWrap w:val="0"/>
            <w:vAlign w:val="center"/>
          </w:tcPr>
          <w:p w14:paraId="6D1FDD7D">
            <w:pPr>
              <w:jc w:val="center"/>
              <w:rPr>
                <w:rStyle w:val="5"/>
                <w:rFonts w:hint="eastAsia" w:ascii="楷体" w:hAnsi="楷体" w:eastAsia="楷体" w:cs="楷体"/>
                <w:color w:val="auto"/>
                <w:sz w:val="21"/>
                <w:szCs w:val="21"/>
                <w:highlight w:val="none"/>
                <w:lang w:val="en-US" w:eastAsia="zh-CN"/>
              </w:rPr>
            </w:pPr>
          </w:p>
        </w:tc>
        <w:tc>
          <w:tcPr>
            <w:tcW w:w="745" w:type="dxa"/>
            <w:noWrap w:val="0"/>
            <w:vAlign w:val="center"/>
          </w:tcPr>
          <w:p w14:paraId="750F4C48">
            <w:pPr>
              <w:jc w:val="center"/>
              <w:rPr>
                <w:rFonts w:hint="eastAsia" w:ascii="楷体" w:hAnsi="楷体" w:eastAsia="楷体" w:cs="楷体"/>
                <w:color w:val="auto"/>
                <w:kern w:val="2"/>
                <w:sz w:val="21"/>
                <w:szCs w:val="21"/>
                <w:highlight w:val="none"/>
                <w:lang w:val="en-US" w:eastAsia="zh-CN"/>
              </w:rPr>
            </w:pPr>
          </w:p>
        </w:tc>
        <w:tc>
          <w:tcPr>
            <w:tcW w:w="629" w:type="dxa"/>
            <w:noWrap w:val="0"/>
            <w:vAlign w:val="center"/>
          </w:tcPr>
          <w:p w14:paraId="3BA252B2">
            <w:pPr>
              <w:jc w:val="both"/>
              <w:rPr>
                <w:rFonts w:hint="eastAsia" w:ascii="楷体" w:hAnsi="楷体" w:eastAsia="楷体" w:cs="楷体"/>
                <w:bCs/>
                <w:color w:val="auto"/>
                <w:sz w:val="21"/>
                <w:szCs w:val="21"/>
                <w:highlight w:val="none"/>
                <w:lang w:val="en-US"/>
              </w:rPr>
            </w:pPr>
          </w:p>
        </w:tc>
        <w:tc>
          <w:tcPr>
            <w:tcW w:w="594" w:type="dxa"/>
            <w:noWrap w:val="0"/>
            <w:vAlign w:val="center"/>
          </w:tcPr>
          <w:p w14:paraId="60F9707A">
            <w:pPr>
              <w:jc w:val="both"/>
              <w:rPr>
                <w:rFonts w:hint="eastAsia" w:ascii="楷体" w:hAnsi="楷体" w:eastAsia="楷体" w:cs="楷体"/>
                <w:bCs/>
                <w:color w:val="auto"/>
                <w:sz w:val="21"/>
                <w:szCs w:val="21"/>
                <w:highlight w:val="none"/>
                <w:lang w:val="en-US"/>
              </w:rPr>
            </w:pPr>
          </w:p>
        </w:tc>
      </w:tr>
    </w:tbl>
    <w:p w14:paraId="3359F719">
      <w:pPr>
        <w:shd w:val="clear" w:color="auto" w:fill="auto"/>
        <w:ind w:firstLine="480" w:firstLineChars="200"/>
        <w:rPr>
          <w:rFonts w:hint="eastAsia" w:ascii="楷体" w:hAnsi="楷体" w:eastAsia="楷体" w:cs="楷体"/>
          <w:color w:val="auto"/>
          <w:highlight w:val="none"/>
          <w:lang w:val="en-US" w:eastAsia="zh-CN"/>
        </w:rPr>
      </w:pPr>
      <w:r>
        <w:rPr>
          <w:rFonts w:hint="eastAsia" w:ascii="楷体" w:hAnsi="楷体" w:eastAsia="楷体" w:cs="楷体"/>
          <w:color w:val="auto"/>
          <w:kern w:val="2"/>
          <w:sz w:val="24"/>
          <w:szCs w:val="24"/>
          <w:highlight w:val="none"/>
          <w:lang w:val="en-US" w:eastAsia="zh-CN" w:bidi="ar-SA"/>
        </w:rPr>
        <w:t>备注：投标人必须对本项目所有采购内容进行投标报价响应，不得只对部分内容投标报价响应，否则，投标将被拒绝。</w:t>
      </w:r>
    </w:p>
    <w:p w14:paraId="13F59BAD">
      <w:pPr>
        <w:keepNext w:val="0"/>
        <w:keepLines w:val="0"/>
        <w:pageBreakBefore w:val="0"/>
        <w:widowControl w:val="0"/>
        <w:numPr>
          <w:ilvl w:val="0"/>
          <w:numId w:val="0"/>
        </w:numPr>
        <w:suppressLineNumbers w:val="0"/>
        <w:shd w:val="clear" w:color="auto" w:fill="auto"/>
        <w:kinsoku/>
        <w:wordWrap/>
        <w:overflowPunct/>
        <w:topLinePunct w:val="0"/>
        <w:autoSpaceDE w:val="0"/>
        <w:autoSpaceDN/>
        <w:bidi w:val="0"/>
        <w:adjustRightInd w:val="0"/>
        <w:snapToGrid w:val="0"/>
        <w:spacing w:before="0" w:beforeAutospacing="0" w:after="0" w:afterAutospacing="0" w:line="240" w:lineRule="auto"/>
        <w:ind w:right="0" w:rightChars="0"/>
        <w:jc w:val="both"/>
        <w:textAlignment w:val="auto"/>
        <w:outlineLvl w:val="9"/>
        <w:rPr>
          <w:rFonts w:hint="eastAsia" w:ascii="楷体" w:hAnsi="楷体" w:eastAsia="楷体" w:cs="楷体"/>
          <w:b/>
          <w:color w:val="auto"/>
          <w:kern w:val="2"/>
          <w:sz w:val="24"/>
          <w:szCs w:val="24"/>
          <w:highlight w:val="none"/>
        </w:rPr>
      </w:pPr>
      <w:r>
        <w:rPr>
          <w:rFonts w:hint="eastAsia" w:ascii="楷体" w:hAnsi="楷体" w:eastAsia="楷体" w:cs="楷体"/>
          <w:b/>
          <w:color w:val="auto"/>
          <w:kern w:val="2"/>
          <w:sz w:val="24"/>
          <w:szCs w:val="24"/>
          <w:highlight w:val="none"/>
          <w:lang w:val="en-US" w:eastAsia="zh-CN"/>
        </w:rPr>
        <w:t>二、报价要求</w:t>
      </w:r>
    </w:p>
    <w:p w14:paraId="2D1A05B0">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outlineLvl w:val="9"/>
        <w:rPr>
          <w:rFonts w:hint="eastAsia" w:ascii="楷体" w:hAnsi="楷体" w:eastAsia="楷体" w:cs="楷体"/>
          <w:b/>
          <w:bCs/>
          <w:color w:val="auto"/>
          <w:sz w:val="24"/>
          <w:highlight w:val="none"/>
          <w:u w:val="thick"/>
          <w:lang w:val="en-US" w:eastAsia="zh-CN"/>
        </w:rPr>
      </w:pPr>
      <w:r>
        <w:rPr>
          <w:rFonts w:hint="eastAsia" w:ascii="楷体" w:hAnsi="楷体" w:eastAsia="楷体" w:cs="楷体"/>
          <w:color w:val="auto"/>
          <w:kern w:val="2"/>
          <w:sz w:val="24"/>
          <w:szCs w:val="24"/>
          <w:highlight w:val="none"/>
          <w:lang w:val="en-US" w:eastAsia="zh-CN"/>
        </w:rPr>
        <w:t>1.</w:t>
      </w:r>
      <w:r>
        <w:rPr>
          <w:rFonts w:hint="eastAsia" w:ascii="楷体" w:hAnsi="楷体" w:eastAsia="楷体" w:cs="楷体"/>
          <w:b w:val="0"/>
          <w:bCs w:val="0"/>
          <w:color w:val="auto"/>
          <w:kern w:val="0"/>
          <w:sz w:val="24"/>
          <w:szCs w:val="24"/>
          <w:highlight w:val="none"/>
          <w:lang w:val="en-US" w:eastAsia="zh-CN" w:bidi="ar-SA"/>
        </w:rPr>
        <w:t>投标人对本项目的投标报价不得超过采购预算</w:t>
      </w:r>
      <w:r>
        <w:rPr>
          <w:rFonts w:hint="eastAsia" w:ascii="楷体" w:hAnsi="楷体" w:eastAsia="楷体" w:cs="楷体"/>
          <w:b/>
          <w:bCs/>
          <w:color w:val="auto"/>
          <w:kern w:val="0"/>
          <w:sz w:val="24"/>
          <w:szCs w:val="24"/>
          <w:highlight w:val="none"/>
          <w:lang w:val="en-US" w:eastAsia="zh-CN" w:bidi="ar-SA"/>
        </w:rPr>
        <w:t>金额</w:t>
      </w:r>
      <w:r>
        <w:rPr>
          <w:rFonts w:hint="eastAsia" w:ascii="楷体" w:hAnsi="楷体" w:eastAsia="楷体" w:cs="楷体"/>
          <w:color w:val="auto"/>
          <w:spacing w:val="-11"/>
          <w:sz w:val="24"/>
          <w:highlight w:val="none"/>
          <w:u w:val="single"/>
          <w:lang w:val="en-US" w:eastAsia="zh-CN"/>
        </w:rPr>
        <w:t>1062000.00元，也不得超过最高限制单价金额；</w:t>
      </w:r>
      <w:r>
        <w:rPr>
          <w:rFonts w:hint="eastAsia" w:ascii="楷体" w:hAnsi="楷体" w:eastAsia="楷体" w:cs="楷体"/>
          <w:b w:val="0"/>
          <w:bCs w:val="0"/>
          <w:color w:val="auto"/>
          <w:kern w:val="0"/>
          <w:sz w:val="24"/>
          <w:szCs w:val="24"/>
          <w:highlight w:val="none"/>
          <w:lang w:val="en-US" w:eastAsia="zh-CN" w:bidi="ar-SA"/>
        </w:rPr>
        <w:t>否则其报价将被视为无效报价而被拒绝。</w:t>
      </w:r>
    </w:p>
    <w:p w14:paraId="0133EB7C">
      <w:pPr>
        <w:shd w:val="clear" w:color="auto" w:fill="auto"/>
        <w:spacing w:line="300" w:lineRule="exact"/>
        <w:ind w:firstLine="482" w:firstLineChars="200"/>
        <w:outlineLvl w:val="9"/>
        <w:rPr>
          <w:rFonts w:hint="eastAsia" w:ascii="楷体" w:hAnsi="楷体" w:eastAsia="楷体" w:cs="楷体"/>
          <w:b/>
          <w:color w:val="auto"/>
          <w:sz w:val="24"/>
          <w:szCs w:val="24"/>
          <w:highlight w:val="none"/>
          <w:u w:val="single"/>
        </w:rPr>
      </w:pPr>
      <w:r>
        <w:rPr>
          <w:rFonts w:hint="eastAsia" w:ascii="楷体" w:hAnsi="楷体" w:eastAsia="楷体" w:cs="楷体"/>
          <w:b/>
          <w:bCs/>
          <w:color w:val="auto"/>
          <w:kern w:val="2"/>
          <w:sz w:val="24"/>
          <w:szCs w:val="24"/>
          <w:highlight w:val="none"/>
          <w:u w:val="single"/>
          <w:lang w:val="en-US" w:eastAsia="zh-CN"/>
        </w:rPr>
        <w:t>2.投标报价包括所需货物购置费、安装费、人工费、</w:t>
      </w:r>
      <w:r>
        <w:rPr>
          <w:rFonts w:hint="eastAsia" w:ascii="楷体" w:hAnsi="楷体" w:eastAsia="楷体" w:cs="楷体"/>
          <w:b/>
          <w:bCs/>
          <w:color w:val="auto"/>
          <w:sz w:val="24"/>
          <w:highlight w:val="none"/>
          <w:u w:val="single"/>
        </w:rPr>
        <w:t>送货上门、保管、运输、培训</w:t>
      </w:r>
      <w:r>
        <w:rPr>
          <w:rFonts w:hint="eastAsia" w:ascii="楷体" w:hAnsi="楷体" w:eastAsia="楷体" w:cs="楷体"/>
          <w:b/>
          <w:bCs/>
          <w:color w:val="auto"/>
          <w:sz w:val="24"/>
          <w:highlight w:val="none"/>
          <w:u w:val="single"/>
          <w:lang w:eastAsia="zh-CN"/>
        </w:rPr>
        <w:t>、验收、</w:t>
      </w:r>
      <w:r>
        <w:rPr>
          <w:rFonts w:hint="eastAsia" w:ascii="楷体" w:hAnsi="楷体" w:eastAsia="楷体" w:cs="楷体"/>
          <w:b/>
          <w:bCs/>
          <w:color w:val="auto"/>
          <w:sz w:val="24"/>
          <w:highlight w:val="none"/>
          <w:u w:val="single"/>
        </w:rPr>
        <w:t>试运行等一切费用、货物所必须的备品备件费、装卸费、保险费、付款方式导致的资金占用利息费、产品质量验收检测所需的一切费用、</w:t>
      </w:r>
      <w:r>
        <w:rPr>
          <w:rFonts w:hint="eastAsia" w:ascii="楷体" w:hAnsi="楷体" w:eastAsia="楷体" w:cs="楷体"/>
          <w:b/>
          <w:bCs/>
          <w:color w:val="auto"/>
          <w:sz w:val="24"/>
          <w:highlight w:val="none"/>
          <w:u w:val="single"/>
          <w:lang w:eastAsia="zh-CN"/>
        </w:rPr>
        <w:t>质保期免费保修维护等所有人工、管理、财务等所有费用</w:t>
      </w:r>
      <w:r>
        <w:rPr>
          <w:rFonts w:hint="eastAsia" w:ascii="楷体" w:hAnsi="楷体" w:eastAsia="楷体" w:cs="楷体"/>
          <w:b/>
          <w:bCs/>
          <w:color w:val="auto"/>
          <w:sz w:val="24"/>
          <w:highlight w:val="none"/>
          <w:u w:val="single"/>
          <w:lang w:val="en-US" w:eastAsia="zh-CN"/>
        </w:rPr>
        <w:t>以及</w:t>
      </w:r>
      <w:r>
        <w:rPr>
          <w:rFonts w:hint="eastAsia" w:ascii="楷体" w:hAnsi="楷体" w:eastAsia="楷体" w:cs="楷体"/>
          <w:b/>
          <w:bCs/>
          <w:color w:val="auto"/>
          <w:sz w:val="24"/>
          <w:highlight w:val="none"/>
          <w:u w:val="single"/>
        </w:rPr>
        <w:t>其它相关服务及售后服务费等，如一旦中标，在项目实施中出现任何遗漏，均由中标人提供，采购人不再支付任何费用</w:t>
      </w:r>
      <w:r>
        <w:rPr>
          <w:rFonts w:hint="eastAsia" w:ascii="楷体" w:hAnsi="楷体" w:eastAsia="楷体" w:cs="楷体"/>
          <w:b/>
          <w:color w:val="auto"/>
          <w:sz w:val="24"/>
          <w:highlight w:val="none"/>
          <w:u w:val="none"/>
        </w:rPr>
        <w:t>。</w:t>
      </w:r>
    </w:p>
    <w:p w14:paraId="25F85595">
      <w:pPr>
        <w:pStyle w:val="6"/>
        <w:rPr>
          <w:rFonts w:hint="eastAsia"/>
          <w:color w:val="auto"/>
          <w:highlight w:val="none"/>
          <w:lang w:val="en-US" w:eastAsia="zh-CN"/>
        </w:rPr>
      </w:pPr>
    </w:p>
    <w:p w14:paraId="64FFE176">
      <w:pPr>
        <w:keepNext w:val="0"/>
        <w:keepLines w:val="0"/>
        <w:pageBreakBefore w:val="0"/>
        <w:widowControl w:val="0"/>
        <w:kinsoku/>
        <w:wordWrap/>
        <w:overflowPunct/>
        <w:topLinePunct w:val="0"/>
        <w:autoSpaceDE/>
        <w:autoSpaceDN/>
        <w:bidi w:val="0"/>
        <w:adjustRightInd/>
        <w:snapToGrid/>
        <w:spacing w:line="260" w:lineRule="exact"/>
        <w:ind w:firstLine="480" w:firstLineChars="200"/>
        <w:textAlignment w:val="auto"/>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 xml:space="preserve"> </w:t>
      </w:r>
    </w:p>
    <w:bookmarkEnd w:id="0"/>
    <w:p w14:paraId="7FC5F38A">
      <w:pPr>
        <w:pStyle w:val="2"/>
        <w:widowControl/>
        <w:adjustRightInd w:val="0"/>
        <w:snapToGrid w:val="0"/>
        <w:jc w:val="center"/>
        <w:outlineLvl w:val="0"/>
        <w:rPr>
          <w:rFonts w:ascii="楷体" w:hAnsi="楷体" w:eastAsia="楷体" w:cs="楷体"/>
          <w:b/>
          <w:color w:val="auto"/>
          <w:sz w:val="32"/>
          <w:szCs w:val="32"/>
          <w:highlight w:val="none"/>
        </w:rPr>
      </w:pPr>
    </w:p>
    <w:p w14:paraId="165C2151">
      <w:pPr>
        <w:pStyle w:val="2"/>
        <w:widowControl/>
        <w:adjustRightInd w:val="0"/>
        <w:snapToGrid w:val="0"/>
        <w:jc w:val="center"/>
        <w:outlineLvl w:val="0"/>
        <w:rPr>
          <w:rFonts w:ascii="楷体" w:hAnsi="楷体" w:eastAsia="楷体" w:cs="楷体"/>
          <w:b/>
          <w:color w:val="auto"/>
          <w:sz w:val="32"/>
          <w:szCs w:val="32"/>
          <w:highlight w:val="none"/>
        </w:rPr>
      </w:pPr>
    </w:p>
    <w:p w14:paraId="2A78D547">
      <w:pPr>
        <w:pStyle w:val="2"/>
        <w:widowControl/>
        <w:adjustRightInd w:val="0"/>
        <w:snapToGrid w:val="0"/>
        <w:jc w:val="center"/>
        <w:outlineLvl w:val="0"/>
        <w:rPr>
          <w:rFonts w:ascii="楷体" w:hAnsi="楷体" w:eastAsia="楷体" w:cs="楷体"/>
          <w:b/>
          <w:color w:val="auto"/>
          <w:sz w:val="32"/>
          <w:szCs w:val="32"/>
          <w:highlight w:val="none"/>
        </w:rPr>
      </w:pPr>
    </w:p>
    <w:p w14:paraId="25C765AC">
      <w:pPr>
        <w:pStyle w:val="2"/>
        <w:widowControl/>
        <w:adjustRightInd w:val="0"/>
        <w:snapToGrid w:val="0"/>
        <w:jc w:val="center"/>
        <w:outlineLvl w:val="0"/>
        <w:rPr>
          <w:rFonts w:ascii="楷体" w:hAnsi="楷体" w:eastAsia="楷体" w:cs="楷体"/>
          <w:b/>
          <w:color w:val="auto"/>
          <w:sz w:val="32"/>
          <w:szCs w:val="32"/>
          <w:highlight w:val="none"/>
        </w:rPr>
      </w:pPr>
    </w:p>
    <w:p w14:paraId="4696DFF2">
      <w:pPr>
        <w:pStyle w:val="2"/>
        <w:widowControl/>
        <w:adjustRightInd w:val="0"/>
        <w:snapToGrid w:val="0"/>
        <w:jc w:val="center"/>
        <w:outlineLvl w:val="0"/>
        <w:rPr>
          <w:rFonts w:ascii="楷体" w:hAnsi="楷体" w:eastAsia="楷体" w:cs="楷体"/>
          <w:b/>
          <w:color w:val="auto"/>
          <w:sz w:val="32"/>
          <w:szCs w:val="32"/>
          <w:highlight w:val="none"/>
        </w:rPr>
      </w:pPr>
    </w:p>
    <w:p w14:paraId="6E1F836F">
      <w:pPr>
        <w:pStyle w:val="2"/>
        <w:widowControl/>
        <w:adjustRightInd w:val="0"/>
        <w:snapToGrid w:val="0"/>
        <w:jc w:val="center"/>
        <w:outlineLvl w:val="0"/>
        <w:rPr>
          <w:rFonts w:ascii="楷体" w:hAnsi="楷体" w:eastAsia="楷体" w:cs="楷体"/>
          <w:b/>
          <w:color w:val="auto"/>
          <w:sz w:val="32"/>
          <w:szCs w:val="32"/>
          <w:highlight w:val="none"/>
        </w:rPr>
      </w:pPr>
    </w:p>
    <w:p w14:paraId="25C3174C">
      <w:pPr>
        <w:pStyle w:val="2"/>
        <w:widowControl/>
        <w:adjustRightInd w:val="0"/>
        <w:snapToGrid w:val="0"/>
        <w:jc w:val="center"/>
        <w:outlineLvl w:val="0"/>
        <w:rPr>
          <w:rFonts w:ascii="楷体" w:hAnsi="楷体" w:eastAsia="楷体" w:cs="楷体"/>
          <w:b/>
          <w:color w:val="auto"/>
          <w:sz w:val="32"/>
          <w:szCs w:val="32"/>
          <w:highlight w:val="none"/>
        </w:rPr>
      </w:pPr>
    </w:p>
    <w:p w14:paraId="5AA72E2D">
      <w:pPr>
        <w:pStyle w:val="2"/>
        <w:widowControl/>
        <w:adjustRightInd w:val="0"/>
        <w:snapToGrid w:val="0"/>
        <w:jc w:val="center"/>
        <w:outlineLvl w:val="0"/>
        <w:rPr>
          <w:rFonts w:ascii="楷体" w:hAnsi="楷体" w:eastAsia="楷体" w:cs="楷体"/>
          <w:b/>
          <w:color w:val="auto"/>
          <w:sz w:val="32"/>
          <w:szCs w:val="32"/>
          <w:highlight w:val="none"/>
        </w:rPr>
      </w:pPr>
    </w:p>
    <w:p w14:paraId="564E141C">
      <w:pPr>
        <w:pStyle w:val="2"/>
        <w:widowControl/>
        <w:adjustRightInd w:val="0"/>
        <w:snapToGrid w:val="0"/>
        <w:jc w:val="center"/>
        <w:outlineLvl w:val="0"/>
        <w:rPr>
          <w:rFonts w:ascii="楷体" w:hAnsi="楷体" w:eastAsia="楷体" w:cs="楷体"/>
          <w:b/>
          <w:color w:val="auto"/>
          <w:sz w:val="32"/>
          <w:szCs w:val="32"/>
          <w:highlight w:val="none"/>
        </w:rPr>
      </w:pPr>
    </w:p>
    <w:p w14:paraId="61D50091">
      <w:pPr>
        <w:pStyle w:val="2"/>
        <w:widowControl/>
        <w:adjustRightInd w:val="0"/>
        <w:snapToGrid w:val="0"/>
        <w:jc w:val="center"/>
        <w:outlineLvl w:val="0"/>
        <w:rPr>
          <w:rFonts w:ascii="楷体" w:hAnsi="楷体" w:eastAsia="楷体" w:cs="楷体"/>
          <w:b/>
          <w:color w:val="auto"/>
          <w:sz w:val="32"/>
          <w:szCs w:val="32"/>
          <w:highlight w:val="none"/>
        </w:rPr>
      </w:pPr>
    </w:p>
    <w:p w14:paraId="289B58DA">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r>
        <w:rPr>
          <w:rFonts w:hint="eastAsia" w:ascii="楷体" w:hAnsi="楷体" w:eastAsia="楷体" w:cs="楷体"/>
          <w:b/>
          <w:color w:val="auto"/>
          <w:sz w:val="32"/>
          <w:szCs w:val="32"/>
          <w:highlight w:val="none"/>
          <w:lang w:val="en-US" w:eastAsia="zh-CN"/>
        </w:rPr>
        <w:t>第二节 技术要求</w:t>
      </w:r>
    </w:p>
    <w:tbl>
      <w:tblPr>
        <w:tblStyle w:val="3"/>
        <w:tblW w:w="10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613"/>
        <w:gridCol w:w="7095"/>
        <w:gridCol w:w="962"/>
      </w:tblGrid>
      <w:tr w14:paraId="6D61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969" w:type="dxa"/>
            <w:noWrap w:val="0"/>
            <w:vAlign w:val="center"/>
          </w:tcPr>
          <w:p w14:paraId="4AB1B33C">
            <w:pPr>
              <w:ind w:firstLine="0" w:firstLineChars="0"/>
              <w:jc w:val="center"/>
              <w:rPr>
                <w:rFonts w:hint="eastAsia" w:ascii="楷体" w:hAnsi="楷体" w:eastAsia="楷体" w:cs="楷体"/>
                <w:b/>
                <w:bCs/>
                <w:color w:val="auto"/>
                <w:kern w:val="2"/>
                <w:sz w:val="21"/>
                <w:szCs w:val="21"/>
                <w:highlight w:val="none"/>
                <w:lang w:val="en-US" w:eastAsia="zh-CN" w:bidi="ar-SA"/>
              </w:rPr>
            </w:pPr>
            <w:r>
              <w:rPr>
                <w:rFonts w:hint="eastAsia" w:ascii="楷体" w:hAnsi="楷体" w:eastAsia="楷体" w:cs="楷体"/>
                <w:b/>
                <w:bCs/>
                <w:color w:val="auto"/>
                <w:kern w:val="2"/>
                <w:sz w:val="21"/>
                <w:szCs w:val="21"/>
                <w:highlight w:val="none"/>
                <w:lang w:val="en-US" w:eastAsia="zh-CN" w:bidi="ar-SA"/>
              </w:rPr>
              <w:t>序号</w:t>
            </w:r>
          </w:p>
        </w:tc>
        <w:tc>
          <w:tcPr>
            <w:tcW w:w="1613" w:type="dxa"/>
            <w:noWrap w:val="0"/>
            <w:vAlign w:val="center"/>
          </w:tcPr>
          <w:p w14:paraId="2781A8D0">
            <w:pPr>
              <w:jc w:val="center"/>
              <w:rPr>
                <w:rFonts w:hint="eastAsia" w:ascii="楷体" w:hAnsi="楷体" w:eastAsia="楷体" w:cs="楷体"/>
                <w:b/>
                <w:bCs/>
                <w:color w:val="auto"/>
                <w:kern w:val="2"/>
                <w:sz w:val="21"/>
                <w:szCs w:val="21"/>
                <w:highlight w:val="none"/>
                <w:lang w:val="en-US" w:eastAsia="zh-CN" w:bidi="ar-SA"/>
              </w:rPr>
            </w:pPr>
            <w:r>
              <w:rPr>
                <w:rFonts w:hint="eastAsia" w:ascii="楷体" w:hAnsi="楷体" w:eastAsia="楷体" w:cs="楷体"/>
                <w:b/>
                <w:bCs/>
                <w:color w:val="auto"/>
                <w:kern w:val="2"/>
                <w:sz w:val="21"/>
                <w:szCs w:val="21"/>
                <w:highlight w:val="none"/>
                <w:lang w:val="en-US" w:eastAsia="zh-CN" w:bidi="ar-SA"/>
              </w:rPr>
              <w:t>标的名称</w:t>
            </w:r>
          </w:p>
        </w:tc>
        <w:tc>
          <w:tcPr>
            <w:tcW w:w="7095" w:type="dxa"/>
            <w:noWrap w:val="0"/>
            <w:vAlign w:val="center"/>
          </w:tcPr>
          <w:p w14:paraId="402D599F">
            <w:pPr>
              <w:jc w:val="center"/>
              <w:rPr>
                <w:rFonts w:hint="eastAsia" w:ascii="楷体" w:hAnsi="楷体" w:eastAsia="楷体" w:cs="楷体"/>
                <w:b/>
                <w:bCs/>
                <w:color w:val="auto"/>
                <w:kern w:val="2"/>
                <w:sz w:val="21"/>
                <w:szCs w:val="21"/>
                <w:highlight w:val="none"/>
                <w:lang w:val="en-US" w:eastAsia="zh-CN" w:bidi="ar-SA"/>
              </w:rPr>
            </w:pPr>
            <w:r>
              <w:rPr>
                <w:rFonts w:hint="eastAsia" w:ascii="楷体" w:hAnsi="楷体" w:eastAsia="楷体" w:cs="楷体"/>
                <w:b/>
                <w:bCs/>
                <w:color w:val="auto"/>
                <w:kern w:val="2"/>
                <w:sz w:val="21"/>
                <w:szCs w:val="21"/>
                <w:highlight w:val="none"/>
                <w:lang w:val="en-US" w:eastAsia="zh-CN" w:bidi="ar-SA"/>
              </w:rPr>
              <w:t>技术要求</w:t>
            </w:r>
          </w:p>
        </w:tc>
        <w:tc>
          <w:tcPr>
            <w:tcW w:w="962" w:type="dxa"/>
            <w:noWrap w:val="0"/>
            <w:vAlign w:val="center"/>
          </w:tcPr>
          <w:p w14:paraId="2A6EC4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b/>
                <w:bCs/>
                <w:color w:val="auto"/>
                <w:sz w:val="21"/>
                <w:szCs w:val="21"/>
                <w:highlight w:val="none"/>
                <w:vertAlign w:val="baseline"/>
                <w:lang w:val="en-US" w:eastAsia="zh-CN"/>
              </w:rPr>
              <w:t>备注</w:t>
            </w:r>
          </w:p>
        </w:tc>
      </w:tr>
      <w:tr w14:paraId="1CC4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969" w:type="dxa"/>
            <w:noWrap w:val="0"/>
            <w:vAlign w:val="center"/>
          </w:tcPr>
          <w:p w14:paraId="5E90E34E">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1</w:t>
            </w:r>
          </w:p>
        </w:tc>
        <w:tc>
          <w:tcPr>
            <w:tcW w:w="1613" w:type="dxa"/>
            <w:noWrap w:val="0"/>
            <w:vAlign w:val="center"/>
          </w:tcPr>
          <w:p w14:paraId="471E94C0">
            <w:pPr>
              <w:jc w:val="center"/>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离子色谱仪</w:t>
            </w:r>
          </w:p>
        </w:tc>
        <w:tc>
          <w:tcPr>
            <w:tcW w:w="7095" w:type="dxa"/>
            <w:noWrap w:val="0"/>
            <w:vAlign w:val="center"/>
          </w:tcPr>
          <w:p w14:paraId="17001A67">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rPr>
            </w:pPr>
            <w:r>
              <w:rPr>
                <w:rFonts w:hint="eastAsia" w:ascii="楷体" w:hAnsi="楷体" w:eastAsia="楷体" w:cs="楷体"/>
                <w:b/>
                <w:bCs/>
                <w:color w:val="auto"/>
                <w:kern w:val="2"/>
                <w:sz w:val="21"/>
                <w:szCs w:val="21"/>
                <w:highlight w:val="none"/>
                <w:lang w:val="en-US" w:eastAsia="zh-CN"/>
              </w:rPr>
              <w:t>1.</w:t>
            </w:r>
            <w:r>
              <w:rPr>
                <w:rFonts w:hint="eastAsia" w:ascii="楷体" w:hAnsi="楷体" w:eastAsia="楷体" w:cs="楷体"/>
                <w:b/>
                <w:bCs/>
                <w:color w:val="auto"/>
                <w:kern w:val="2"/>
                <w:sz w:val="21"/>
                <w:szCs w:val="21"/>
                <w:highlight w:val="none"/>
              </w:rPr>
              <w:t>技术要求</w:t>
            </w:r>
          </w:p>
          <w:p w14:paraId="77D92CCB">
            <w:pPr>
              <w:keepNext w:val="0"/>
              <w:keepLines w:val="0"/>
              <w:pageBreakBefore w:val="0"/>
              <w:kinsoku/>
              <w:wordWrap/>
              <w:overflowPunct/>
              <w:topLinePunct w:val="0"/>
              <w:autoSpaceDE/>
              <w:autoSpaceDN/>
              <w:bidi w:val="0"/>
              <w:adjustRightInd/>
              <w:snapToGrid/>
              <w:spacing w:after="0" w:afterLines="0" w:line="360" w:lineRule="exact"/>
              <w:ind w:left="0" w:leftChars="0" w:firstLine="0" w:firstLineChars="0"/>
              <w:jc w:val="both"/>
              <w:textAlignment w:val="auto"/>
              <w:rPr>
                <w:rFonts w:hint="eastAsia" w:ascii="楷体" w:hAnsi="楷体" w:eastAsia="楷体" w:cs="楷体"/>
                <w:b w:val="0"/>
                <w:bCs w:val="0"/>
                <w:color w:val="auto"/>
                <w:kern w:val="2"/>
                <w:sz w:val="21"/>
                <w:szCs w:val="21"/>
                <w:highlight w:val="none"/>
                <w:lang w:val="en-US" w:eastAsia="zh-CN"/>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.1</w:t>
            </w:r>
            <w:r>
              <w:rPr>
                <w:rFonts w:hint="eastAsia" w:ascii="楷体" w:hAnsi="楷体" w:eastAsia="楷体" w:cs="楷体"/>
                <w:b w:val="0"/>
                <w:bCs w:val="0"/>
                <w:color w:val="auto"/>
                <w:kern w:val="2"/>
                <w:sz w:val="21"/>
                <w:szCs w:val="21"/>
                <w:highlight w:val="none"/>
                <w:lang w:val="en-US" w:eastAsia="zh-CN"/>
              </w:rPr>
              <w:t>所有的离子色谱流路均标配采用原厂提供的PEEK及PTFE材质，包括分析泵本身及分析泵后至六通阀、色谱柱、抑制器、检测器之间的所有管路。</w:t>
            </w:r>
          </w:p>
          <w:p w14:paraId="2D629FDD">
            <w:pPr>
              <w:keepNext w:val="0"/>
              <w:keepLines w:val="0"/>
              <w:pageBreakBefore w:val="0"/>
              <w:kinsoku/>
              <w:wordWrap/>
              <w:overflowPunct/>
              <w:topLinePunct w:val="0"/>
              <w:autoSpaceDE/>
              <w:autoSpaceDN/>
              <w:bidi w:val="0"/>
              <w:adjustRightInd/>
              <w:snapToGrid/>
              <w:spacing w:after="0" w:afterLines="0" w:line="360" w:lineRule="exact"/>
              <w:ind w:left="0" w:leftChars="0" w:firstLine="0" w:firstLineChars="0"/>
              <w:jc w:val="both"/>
              <w:textAlignment w:val="auto"/>
              <w:rPr>
                <w:rFonts w:hint="eastAsia" w:ascii="楷体" w:hAnsi="楷体" w:eastAsia="楷体" w:cs="楷体"/>
                <w:b/>
                <w:bCs/>
                <w:color w:val="auto"/>
                <w:kern w:val="2"/>
                <w:sz w:val="21"/>
                <w:szCs w:val="21"/>
                <w:highlight w:val="none"/>
              </w:rPr>
            </w:pPr>
            <w:r>
              <w:rPr>
                <w:rFonts w:hint="eastAsia" w:ascii="楷体" w:hAnsi="楷体" w:eastAsia="楷体" w:cs="楷体"/>
                <w:b w:val="0"/>
                <w:bCs w:val="0"/>
                <w:color w:val="auto"/>
                <w:kern w:val="24"/>
                <w:sz w:val="21"/>
                <w:szCs w:val="21"/>
                <w:highlight w:val="none"/>
              </w:rPr>
              <w:t>▲</w:t>
            </w:r>
            <w:r>
              <w:rPr>
                <w:rFonts w:hint="eastAsia" w:ascii="楷体" w:hAnsi="楷体" w:eastAsia="楷体" w:cs="楷体"/>
                <w:b w:val="0"/>
                <w:bCs w:val="0"/>
                <w:color w:val="auto"/>
                <w:kern w:val="2"/>
                <w:sz w:val="21"/>
                <w:szCs w:val="21"/>
                <w:highlight w:val="none"/>
                <w:lang w:val="en-US" w:eastAsia="zh-CN"/>
              </w:rPr>
              <w:t>1.1.1</w:t>
            </w:r>
            <w:r>
              <w:rPr>
                <w:rFonts w:hint="eastAsia" w:ascii="楷体" w:hAnsi="楷体" w:eastAsia="楷体" w:cs="楷体"/>
                <w:b w:val="0"/>
                <w:bCs w:val="0"/>
                <w:color w:val="auto"/>
                <w:kern w:val="2"/>
                <w:sz w:val="21"/>
                <w:szCs w:val="21"/>
                <w:highlight w:val="none"/>
              </w:rPr>
              <w:t>主机含有内置式10.0寸</w:t>
            </w:r>
            <w:r>
              <w:rPr>
                <w:rFonts w:hint="eastAsia" w:ascii="楷体" w:hAnsi="楷体" w:eastAsia="楷体" w:cs="楷体"/>
                <w:b w:val="0"/>
                <w:bCs w:val="0"/>
                <w:color w:val="auto"/>
                <w:kern w:val="2"/>
                <w:sz w:val="21"/>
                <w:szCs w:val="21"/>
                <w:highlight w:val="none"/>
                <w:lang w:val="en-US" w:eastAsia="zh-CN"/>
              </w:rPr>
              <w:t>以上</w:t>
            </w:r>
            <w:r>
              <w:rPr>
                <w:rFonts w:hint="eastAsia" w:ascii="楷体" w:hAnsi="楷体" w:eastAsia="楷体" w:cs="楷体"/>
                <w:b w:val="0"/>
                <w:bCs w:val="0"/>
                <w:color w:val="auto"/>
                <w:kern w:val="2"/>
                <w:sz w:val="21"/>
                <w:szCs w:val="21"/>
                <w:highlight w:val="none"/>
              </w:rPr>
              <w:t>高亮LCD触摸GUI控制器，与色谱工作站同步，可直接在</w:t>
            </w:r>
            <w:r>
              <w:rPr>
                <w:rFonts w:hint="eastAsia" w:ascii="楷体" w:hAnsi="楷体" w:eastAsia="楷体" w:cs="楷体"/>
                <w:b w:val="0"/>
                <w:bCs w:val="0"/>
                <w:color w:val="auto"/>
                <w:kern w:val="2"/>
                <w:sz w:val="21"/>
                <w:szCs w:val="21"/>
                <w:highlight w:val="none"/>
                <w:lang w:val="en-US" w:eastAsia="zh-CN"/>
              </w:rPr>
              <w:t>屏幕</w:t>
            </w:r>
            <w:r>
              <w:rPr>
                <w:rFonts w:hint="eastAsia" w:ascii="楷体" w:hAnsi="楷体" w:eastAsia="楷体" w:cs="楷体"/>
                <w:b w:val="0"/>
                <w:bCs w:val="0"/>
                <w:color w:val="auto"/>
                <w:kern w:val="2"/>
                <w:sz w:val="21"/>
                <w:szCs w:val="21"/>
                <w:highlight w:val="none"/>
              </w:rPr>
              <w:t>上同步实现仪器的全面操作及谱图显示等功能。</w:t>
            </w:r>
            <w:r>
              <w:rPr>
                <w:rFonts w:hint="eastAsia" w:ascii="楷体" w:hAnsi="楷体" w:eastAsia="楷体" w:cs="楷体"/>
                <w:b/>
                <w:bCs/>
                <w:color w:val="auto"/>
                <w:kern w:val="2"/>
                <w:sz w:val="21"/>
                <w:szCs w:val="21"/>
                <w:highlight w:val="none"/>
              </w:rPr>
              <w:t>（</w:t>
            </w:r>
            <w:r>
              <w:rPr>
                <w:rFonts w:hint="eastAsia" w:ascii="楷体" w:hAnsi="楷体" w:eastAsia="楷体" w:cs="楷体"/>
                <w:b/>
                <w:bCs/>
                <w:color w:val="auto"/>
                <w:kern w:val="2"/>
                <w:sz w:val="21"/>
                <w:szCs w:val="21"/>
                <w:highlight w:val="none"/>
                <w:lang w:val="en-US" w:eastAsia="zh-CN"/>
              </w:rPr>
              <w:t>需</w:t>
            </w:r>
            <w:r>
              <w:rPr>
                <w:rFonts w:hint="eastAsia" w:ascii="楷体" w:hAnsi="楷体" w:eastAsia="楷体" w:cs="楷体"/>
                <w:b/>
                <w:bCs/>
                <w:color w:val="auto"/>
                <w:kern w:val="2"/>
                <w:sz w:val="21"/>
                <w:szCs w:val="21"/>
                <w:highlight w:val="none"/>
              </w:rPr>
              <w:t>镶嵌在仪器外壳上，无需其他外接设施）</w:t>
            </w:r>
          </w:p>
          <w:p w14:paraId="653CA8FE">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.2 泵系统</w:t>
            </w:r>
          </w:p>
          <w:p w14:paraId="626860F6">
            <w:pPr>
              <w:keepNext w:val="0"/>
              <w:keepLines w:val="0"/>
              <w:pageBreakBefore w:val="0"/>
              <w:kinsoku/>
              <w:wordWrap/>
              <w:overflowPunct/>
              <w:topLinePunct w:val="0"/>
              <w:autoSpaceDE/>
              <w:autoSpaceDN/>
              <w:bidi w:val="0"/>
              <w:adjustRightInd/>
              <w:snapToGrid/>
              <w:spacing w:after="0" w:afterLines="0" w:line="360" w:lineRule="exact"/>
              <w:ind w:left="0" w:leftChars="0" w:firstLine="0" w:firstLineChars="0"/>
              <w:jc w:val="both"/>
              <w:textAlignment w:val="auto"/>
              <w:rPr>
                <w:rFonts w:hint="eastAsia" w:ascii="楷体" w:hAnsi="楷体" w:eastAsia="楷体" w:cs="楷体"/>
                <w:b/>
                <w:bCs/>
                <w:color w:val="auto"/>
                <w:kern w:val="2"/>
                <w:sz w:val="21"/>
                <w:szCs w:val="21"/>
                <w:highlight w:val="none"/>
                <w:lang w:eastAsia="zh-CN"/>
              </w:rPr>
            </w:pPr>
            <w:r>
              <w:rPr>
                <w:rFonts w:hint="eastAsia" w:ascii="楷体" w:hAnsi="楷体" w:eastAsia="楷体" w:cs="楷体"/>
                <w:b w:val="0"/>
                <w:bCs w:val="0"/>
                <w:color w:val="auto"/>
                <w:kern w:val="24"/>
                <w:sz w:val="21"/>
                <w:szCs w:val="21"/>
                <w:highlight w:val="none"/>
              </w:rPr>
              <w:t>▲</w:t>
            </w: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.2.1</w:t>
            </w:r>
            <w:r>
              <w:rPr>
                <w:rFonts w:hint="eastAsia" w:ascii="楷体" w:hAnsi="楷体" w:eastAsia="楷体" w:cs="楷体"/>
                <w:b w:val="0"/>
                <w:bCs w:val="0"/>
                <w:color w:val="auto"/>
                <w:kern w:val="2"/>
                <w:sz w:val="21"/>
                <w:szCs w:val="21"/>
                <w:highlight w:val="none"/>
                <w:lang w:val="en-US" w:eastAsia="zh-CN"/>
              </w:rPr>
              <w:t>全PEEK</w:t>
            </w:r>
            <w:r>
              <w:rPr>
                <w:rFonts w:hint="eastAsia" w:ascii="楷体" w:hAnsi="楷体" w:eastAsia="楷体" w:cs="楷体"/>
                <w:b w:val="0"/>
                <w:bCs w:val="0"/>
                <w:color w:val="auto"/>
                <w:kern w:val="2"/>
                <w:sz w:val="21"/>
                <w:szCs w:val="21"/>
                <w:highlight w:val="none"/>
              </w:rPr>
              <w:t>串联式双活塞往复泵，连续双活塞串联泵</w:t>
            </w:r>
            <w:r>
              <w:rPr>
                <w:rFonts w:hint="eastAsia" w:ascii="楷体" w:hAnsi="楷体" w:eastAsia="楷体" w:cs="楷体"/>
                <w:b w:val="0"/>
                <w:bCs w:val="0"/>
                <w:color w:val="auto"/>
                <w:kern w:val="2"/>
                <w:sz w:val="21"/>
                <w:szCs w:val="21"/>
                <w:highlight w:val="none"/>
                <w:lang w:eastAsia="zh-CN"/>
              </w:rPr>
              <w:t>，</w:t>
            </w:r>
            <w:r>
              <w:rPr>
                <w:rFonts w:hint="eastAsia" w:ascii="楷体" w:hAnsi="楷体" w:eastAsia="楷体" w:cs="楷体"/>
                <w:b w:val="0"/>
                <w:bCs w:val="0"/>
                <w:color w:val="auto"/>
                <w:kern w:val="2"/>
                <w:sz w:val="21"/>
                <w:szCs w:val="21"/>
                <w:highlight w:val="none"/>
              </w:rPr>
              <w:t>采用</w:t>
            </w:r>
            <w:r>
              <w:rPr>
                <w:rFonts w:hint="eastAsia" w:ascii="楷体" w:hAnsi="楷体" w:eastAsia="楷体" w:cs="楷体"/>
                <w:b w:val="0"/>
                <w:bCs w:val="0"/>
                <w:color w:val="auto"/>
                <w:kern w:val="2"/>
                <w:sz w:val="21"/>
                <w:szCs w:val="21"/>
                <w:highlight w:val="none"/>
                <w:lang w:val="en-US" w:eastAsia="zh-CN"/>
              </w:rPr>
              <w:t>全PEEK泵头，不得采用金属内衬PEEK泵头</w:t>
            </w:r>
            <w:r>
              <w:rPr>
                <w:rFonts w:hint="eastAsia" w:ascii="楷体" w:hAnsi="楷体" w:eastAsia="楷体" w:cs="楷体"/>
                <w:b w:val="0"/>
                <w:bCs w:val="0"/>
                <w:color w:val="auto"/>
                <w:kern w:val="2"/>
                <w:sz w:val="21"/>
                <w:szCs w:val="21"/>
                <w:highlight w:val="none"/>
              </w:rPr>
              <w:t>，PEEK管路。适合于pH为0～14的淋洗液及反相有机溶剂。</w:t>
            </w:r>
            <w:r>
              <w:rPr>
                <w:rFonts w:hint="eastAsia" w:ascii="楷体" w:hAnsi="楷体" w:eastAsia="楷体" w:cs="楷体"/>
                <w:b/>
                <w:bCs/>
                <w:color w:val="auto"/>
                <w:kern w:val="2"/>
                <w:sz w:val="21"/>
                <w:szCs w:val="21"/>
                <w:highlight w:val="none"/>
                <w:lang w:eastAsia="zh-CN"/>
              </w:rPr>
              <w:t>（</w:t>
            </w:r>
            <w:r>
              <w:rPr>
                <w:rFonts w:hint="eastAsia" w:ascii="楷体" w:hAnsi="楷体" w:eastAsia="楷体" w:cs="楷体"/>
                <w:b/>
                <w:bCs/>
                <w:color w:val="auto"/>
                <w:kern w:val="2"/>
                <w:sz w:val="21"/>
                <w:szCs w:val="21"/>
                <w:highlight w:val="none"/>
                <w:lang w:val="en-US" w:eastAsia="zh-CN"/>
              </w:rPr>
              <w:t>需提供泵的现场实物图</w:t>
            </w:r>
            <w:r>
              <w:rPr>
                <w:rFonts w:hint="eastAsia" w:ascii="楷体" w:hAnsi="楷体" w:eastAsia="楷体" w:cs="楷体"/>
                <w:b/>
                <w:bCs/>
                <w:color w:val="auto"/>
                <w:kern w:val="2"/>
                <w:sz w:val="21"/>
                <w:szCs w:val="21"/>
                <w:highlight w:val="none"/>
                <w:lang w:eastAsia="zh-CN"/>
              </w:rPr>
              <w:t>）</w:t>
            </w:r>
          </w:p>
          <w:p w14:paraId="32782489">
            <w:pPr>
              <w:keepNext w:val="0"/>
              <w:keepLines w:val="0"/>
              <w:pageBreakBefore w:val="0"/>
              <w:numPr>
                <w:ilvl w:val="0"/>
                <w:numId w:val="0"/>
              </w:numPr>
              <w:kinsoku/>
              <w:wordWrap/>
              <w:overflowPunct/>
              <w:topLinePunct w:val="0"/>
              <w:autoSpaceDE w:val="0"/>
              <w:autoSpaceDN w:val="0"/>
              <w:bidi w:val="0"/>
              <w:adjustRightInd/>
              <w:snapToGrid w:val="0"/>
              <w:spacing w:after="25" w:afterLines="0" w:line="360" w:lineRule="exact"/>
              <w:jc w:val="left"/>
              <w:textAlignment w:val="center"/>
              <w:rPr>
                <w:rFonts w:hint="eastAsia" w:ascii="楷体" w:hAnsi="楷体" w:eastAsia="楷体" w:cs="楷体"/>
                <w:b w:val="0"/>
                <w:bCs w:val="0"/>
                <w:color w:val="auto"/>
                <w:kern w:val="2"/>
                <w:sz w:val="21"/>
                <w:szCs w:val="21"/>
                <w:highlight w:val="none"/>
                <w:lang w:val="en-US" w:eastAsia="zh-CN"/>
              </w:rPr>
            </w:pPr>
            <w:r>
              <w:rPr>
                <w:rFonts w:hint="eastAsia" w:ascii="楷体" w:hAnsi="楷体" w:eastAsia="楷体" w:cs="楷体"/>
                <w:b w:val="0"/>
                <w:bCs w:val="0"/>
                <w:color w:val="auto"/>
                <w:kern w:val="2"/>
                <w:sz w:val="21"/>
                <w:szCs w:val="21"/>
                <w:highlight w:val="none"/>
                <w:lang w:val="en-US" w:eastAsia="zh-CN"/>
              </w:rPr>
              <w:t>1.2.2</w:t>
            </w:r>
            <w:bookmarkStart w:id="1" w:name="_Hlk190760626"/>
            <w:r>
              <w:rPr>
                <w:rFonts w:hint="eastAsia" w:ascii="楷体" w:hAnsi="楷体" w:eastAsia="楷体" w:cs="楷体"/>
                <w:b w:val="0"/>
                <w:bCs w:val="0"/>
                <w:color w:val="auto"/>
                <w:kern w:val="2"/>
                <w:sz w:val="21"/>
                <w:szCs w:val="21"/>
                <w:highlight w:val="none"/>
                <w:lang w:val="en-US" w:eastAsia="zh-CN"/>
              </w:rPr>
              <w:t xml:space="preserve"> </w:t>
            </w:r>
            <w:r>
              <w:rPr>
                <w:rFonts w:hint="eastAsia" w:ascii="楷体" w:hAnsi="楷体" w:eastAsia="楷体" w:cs="楷体"/>
                <w:b w:val="0"/>
                <w:bCs w:val="0"/>
                <w:color w:val="auto"/>
                <w:kern w:val="2"/>
                <w:sz w:val="21"/>
                <w:szCs w:val="21"/>
                <w:highlight w:val="none"/>
              </w:rPr>
              <w:t>蠕动泵泵后清洗功能，用于色谱泵柱塞杆的清洗，减少缓冲盐的析出，避免磨损柱塞垫及宝石杆</w:t>
            </w:r>
            <w:bookmarkEnd w:id="1"/>
            <w:r>
              <w:rPr>
                <w:rFonts w:hint="eastAsia" w:ascii="楷体" w:hAnsi="楷体" w:eastAsia="楷体" w:cs="楷体"/>
                <w:b w:val="0"/>
                <w:bCs w:val="0"/>
                <w:color w:val="auto"/>
                <w:kern w:val="2"/>
                <w:sz w:val="21"/>
                <w:szCs w:val="21"/>
                <w:highlight w:val="none"/>
                <w:lang w:eastAsia="zh-CN"/>
              </w:rPr>
              <w:t>。</w:t>
            </w:r>
          </w:p>
          <w:p w14:paraId="0918B8EF">
            <w:pPr>
              <w:keepNext w:val="0"/>
              <w:keepLines w:val="0"/>
              <w:pageBreakBefore w:val="0"/>
              <w:widowControl/>
              <w:kinsoku/>
              <w:wordWrap/>
              <w:overflowPunct/>
              <w:topLinePunct w:val="0"/>
              <w:autoSpaceDE/>
              <w:autoSpaceDN/>
              <w:bidi w:val="0"/>
              <w:adjustRightInd/>
              <w:snapToGrid/>
              <w:spacing w:after="25" w:afterLines="0" w:line="360" w:lineRule="exact"/>
              <w:ind w:left="0" w:leftChars="0"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.2.</w:t>
            </w:r>
            <w:r>
              <w:rPr>
                <w:rFonts w:hint="eastAsia" w:ascii="楷体" w:hAnsi="楷体" w:eastAsia="楷体" w:cs="楷体"/>
                <w:b w:val="0"/>
                <w:bCs w:val="0"/>
                <w:color w:val="auto"/>
                <w:kern w:val="2"/>
                <w:sz w:val="21"/>
                <w:szCs w:val="21"/>
                <w:highlight w:val="none"/>
                <w:lang w:val="en-US" w:eastAsia="zh-CN"/>
              </w:rPr>
              <w:t>3</w:t>
            </w:r>
            <w:r>
              <w:rPr>
                <w:rFonts w:hint="eastAsia" w:ascii="楷体" w:hAnsi="楷体" w:eastAsia="楷体" w:cs="楷体"/>
                <w:b w:val="0"/>
                <w:bCs w:val="0"/>
                <w:color w:val="auto"/>
                <w:kern w:val="2"/>
                <w:sz w:val="21"/>
                <w:szCs w:val="21"/>
                <w:highlight w:val="none"/>
              </w:rPr>
              <w:t>流速范围：0.001-</w:t>
            </w:r>
            <w:r>
              <w:rPr>
                <w:rFonts w:hint="eastAsia" w:ascii="楷体" w:hAnsi="楷体" w:eastAsia="楷体" w:cs="楷体"/>
                <w:b w:val="0"/>
                <w:bCs w:val="0"/>
                <w:color w:val="auto"/>
                <w:kern w:val="2"/>
                <w:sz w:val="21"/>
                <w:szCs w:val="21"/>
                <w:highlight w:val="none"/>
                <w:lang w:val="en-US" w:eastAsia="zh-CN"/>
              </w:rPr>
              <w:t xml:space="preserve">20.000 </w:t>
            </w:r>
            <w:r>
              <w:rPr>
                <w:rFonts w:hint="eastAsia" w:ascii="楷体" w:hAnsi="楷体" w:eastAsia="楷体" w:cs="楷体"/>
                <w:b w:val="0"/>
                <w:bCs w:val="0"/>
                <w:color w:val="auto"/>
                <w:kern w:val="2"/>
                <w:sz w:val="21"/>
                <w:szCs w:val="21"/>
                <w:highlight w:val="none"/>
              </w:rPr>
              <w:t>ml/min</w:t>
            </w:r>
          </w:p>
          <w:p w14:paraId="555565F8">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.2.</w:t>
            </w:r>
            <w:r>
              <w:rPr>
                <w:rFonts w:hint="eastAsia" w:ascii="楷体" w:hAnsi="楷体" w:eastAsia="楷体" w:cs="楷体"/>
                <w:b w:val="0"/>
                <w:bCs w:val="0"/>
                <w:color w:val="auto"/>
                <w:kern w:val="2"/>
                <w:sz w:val="21"/>
                <w:szCs w:val="21"/>
                <w:highlight w:val="none"/>
                <w:lang w:val="en-US" w:eastAsia="zh-CN"/>
              </w:rPr>
              <w:t>4</w:t>
            </w:r>
            <w:r>
              <w:rPr>
                <w:rFonts w:hint="eastAsia" w:ascii="楷体" w:hAnsi="楷体" w:eastAsia="楷体" w:cs="楷体"/>
                <w:b w:val="0"/>
                <w:bCs w:val="0"/>
                <w:color w:val="auto"/>
                <w:kern w:val="2"/>
                <w:sz w:val="21"/>
                <w:szCs w:val="21"/>
                <w:highlight w:val="none"/>
              </w:rPr>
              <w:t>最大压力：</w:t>
            </w:r>
            <w:r>
              <w:rPr>
                <w:rFonts w:hint="eastAsia" w:ascii="楷体" w:hAnsi="楷体" w:eastAsia="楷体" w:cs="楷体"/>
                <w:b w:val="0"/>
                <w:bCs w:val="0"/>
                <w:color w:val="auto"/>
                <w:kern w:val="2"/>
                <w:sz w:val="21"/>
                <w:szCs w:val="21"/>
                <w:highlight w:val="none"/>
                <w:lang w:val="en-US" w:eastAsia="zh-CN"/>
              </w:rPr>
              <w:t>≥42</w:t>
            </w:r>
            <w:r>
              <w:rPr>
                <w:rFonts w:hint="eastAsia" w:ascii="楷体" w:hAnsi="楷体" w:eastAsia="楷体" w:cs="楷体"/>
                <w:b w:val="0"/>
                <w:bCs w:val="0"/>
                <w:color w:val="auto"/>
                <w:kern w:val="2"/>
                <w:sz w:val="21"/>
                <w:szCs w:val="21"/>
                <w:highlight w:val="none"/>
              </w:rPr>
              <w:t xml:space="preserve">Mpa(5000 psi) </w:t>
            </w:r>
          </w:p>
          <w:p w14:paraId="71FBB3D7">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.3</w:t>
            </w:r>
            <w:r>
              <w:rPr>
                <w:rFonts w:hint="eastAsia" w:ascii="楷体" w:hAnsi="楷体" w:eastAsia="楷体" w:cs="楷体"/>
                <w:b w:val="0"/>
                <w:bCs w:val="0"/>
                <w:color w:val="auto"/>
                <w:kern w:val="2"/>
                <w:sz w:val="21"/>
                <w:szCs w:val="21"/>
                <w:highlight w:val="none"/>
              </w:rPr>
              <w:tab/>
            </w:r>
            <w:r>
              <w:rPr>
                <w:rFonts w:hint="eastAsia" w:ascii="楷体" w:hAnsi="楷体" w:eastAsia="楷体" w:cs="楷体"/>
                <w:b w:val="0"/>
                <w:bCs w:val="0"/>
                <w:color w:val="auto"/>
                <w:kern w:val="2"/>
                <w:sz w:val="21"/>
                <w:szCs w:val="21"/>
                <w:highlight w:val="none"/>
              </w:rPr>
              <w:t>电导检测器</w:t>
            </w:r>
          </w:p>
          <w:p w14:paraId="4F42E674">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.3.1</w:t>
            </w:r>
            <w:r>
              <w:rPr>
                <w:rFonts w:hint="eastAsia" w:ascii="楷体" w:hAnsi="楷体" w:eastAsia="楷体" w:cs="楷体"/>
                <w:b w:val="0"/>
                <w:bCs w:val="0"/>
                <w:color w:val="auto"/>
                <w:kern w:val="2"/>
                <w:sz w:val="21"/>
                <w:szCs w:val="21"/>
                <w:highlight w:val="none"/>
                <w:lang w:val="en-US" w:eastAsia="zh-CN"/>
              </w:rPr>
              <w:t>需</w:t>
            </w:r>
            <w:r>
              <w:rPr>
                <w:rFonts w:hint="eastAsia" w:ascii="楷体" w:hAnsi="楷体" w:eastAsia="楷体" w:cs="楷体"/>
                <w:b w:val="0"/>
                <w:bCs w:val="0"/>
                <w:color w:val="auto"/>
                <w:kern w:val="2"/>
                <w:sz w:val="21"/>
                <w:szCs w:val="21"/>
                <w:highlight w:val="none"/>
              </w:rPr>
              <w:t>与自动电解连续再生微膜抑制器联用，降低系统背景，提高信噪比。</w:t>
            </w:r>
          </w:p>
          <w:p w14:paraId="5DC50807">
            <w:pPr>
              <w:keepNext w:val="0"/>
              <w:keepLines w:val="0"/>
              <w:pageBreakBefore w:val="0"/>
              <w:kinsoku/>
              <w:wordWrap/>
              <w:overflowPunct/>
              <w:topLinePunct w:val="0"/>
              <w:autoSpaceDE/>
              <w:autoSpaceDN/>
              <w:bidi w:val="0"/>
              <w:adjustRightInd/>
              <w:snapToGrid/>
              <w:spacing w:after="0" w:afterLines="0" w:line="360" w:lineRule="exact"/>
              <w:ind w:left="0" w:leftChars="0"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.3.2温度补偿功能：</w:t>
            </w:r>
            <w:r>
              <w:rPr>
                <w:rFonts w:hint="eastAsia" w:ascii="楷体" w:hAnsi="楷体" w:eastAsia="楷体" w:cs="楷体"/>
                <w:b w:val="0"/>
                <w:bCs w:val="0"/>
                <w:color w:val="auto"/>
                <w:kern w:val="2"/>
                <w:sz w:val="21"/>
                <w:szCs w:val="21"/>
                <w:highlight w:val="none"/>
                <w:lang w:val="en-US" w:eastAsia="zh-CN"/>
              </w:rPr>
              <w:t>须</w:t>
            </w:r>
            <w:r>
              <w:rPr>
                <w:rFonts w:hint="eastAsia" w:ascii="楷体" w:hAnsi="楷体" w:eastAsia="楷体" w:cs="楷体"/>
                <w:b w:val="0"/>
                <w:bCs w:val="0"/>
                <w:color w:val="auto"/>
                <w:kern w:val="2"/>
                <w:sz w:val="21"/>
                <w:szCs w:val="21"/>
                <w:highlight w:val="none"/>
              </w:rPr>
              <w:t>具有温度补偿功能，以适应因环境变化而产生的灵敏度差异，带溶液温度预处理功能。</w:t>
            </w:r>
          </w:p>
          <w:p w14:paraId="12712FC2">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.3.</w:t>
            </w:r>
            <w:r>
              <w:rPr>
                <w:rFonts w:hint="eastAsia" w:ascii="楷体" w:hAnsi="楷体" w:eastAsia="楷体" w:cs="楷体"/>
                <w:b w:val="0"/>
                <w:bCs w:val="0"/>
                <w:color w:val="auto"/>
                <w:kern w:val="2"/>
                <w:sz w:val="21"/>
                <w:szCs w:val="21"/>
                <w:highlight w:val="none"/>
                <w:lang w:val="en-US" w:eastAsia="zh-CN"/>
              </w:rPr>
              <w:t>3</w:t>
            </w:r>
            <w:r>
              <w:rPr>
                <w:rFonts w:hint="eastAsia" w:ascii="楷体" w:hAnsi="楷体" w:eastAsia="楷体" w:cs="楷体"/>
                <w:b w:val="0"/>
                <w:bCs w:val="0"/>
                <w:color w:val="auto"/>
                <w:kern w:val="2"/>
                <w:sz w:val="21"/>
                <w:szCs w:val="21"/>
                <w:highlight w:val="none"/>
              </w:rPr>
              <w:t xml:space="preserve"> 电导池体积：≤</w:t>
            </w:r>
            <w:r>
              <w:rPr>
                <w:rFonts w:hint="eastAsia" w:ascii="楷体" w:hAnsi="楷体" w:eastAsia="楷体" w:cs="楷体"/>
                <w:b w:val="0"/>
                <w:bCs w:val="0"/>
                <w:color w:val="auto"/>
                <w:kern w:val="2"/>
                <w:sz w:val="21"/>
                <w:szCs w:val="21"/>
                <w:highlight w:val="none"/>
                <w:lang w:val="en-US" w:eastAsia="zh-CN"/>
              </w:rPr>
              <w:t>0.6</w:t>
            </w:r>
            <w:r>
              <w:rPr>
                <w:rFonts w:hint="eastAsia" w:ascii="楷体" w:hAnsi="楷体" w:eastAsia="楷体" w:cs="楷体"/>
                <w:b w:val="0"/>
                <w:bCs w:val="0"/>
                <w:color w:val="auto"/>
                <w:kern w:val="2"/>
                <w:sz w:val="21"/>
                <w:szCs w:val="21"/>
                <w:highlight w:val="none"/>
              </w:rPr>
              <w:t xml:space="preserve"> μL</w:t>
            </w:r>
          </w:p>
          <w:p w14:paraId="5E246B69">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.3.</w:t>
            </w:r>
            <w:r>
              <w:rPr>
                <w:rFonts w:hint="eastAsia" w:ascii="楷体" w:hAnsi="楷体" w:eastAsia="楷体" w:cs="楷体"/>
                <w:b w:val="0"/>
                <w:bCs w:val="0"/>
                <w:color w:val="auto"/>
                <w:kern w:val="2"/>
                <w:sz w:val="21"/>
                <w:szCs w:val="21"/>
                <w:highlight w:val="none"/>
                <w:lang w:val="en-US" w:eastAsia="zh-CN"/>
              </w:rPr>
              <w:t>4基线噪声</w:t>
            </w:r>
            <w:r>
              <w:rPr>
                <w:rFonts w:hint="eastAsia" w:ascii="楷体" w:hAnsi="楷体" w:eastAsia="楷体" w:cs="楷体"/>
                <w:b w:val="0"/>
                <w:bCs w:val="0"/>
                <w:color w:val="auto"/>
                <w:kern w:val="2"/>
                <w:sz w:val="21"/>
                <w:szCs w:val="21"/>
                <w:highlight w:val="none"/>
              </w:rPr>
              <w:t>≤0.00</w:t>
            </w:r>
            <w:r>
              <w:rPr>
                <w:rFonts w:hint="eastAsia" w:ascii="楷体" w:hAnsi="楷体" w:eastAsia="楷体" w:cs="楷体"/>
                <w:b w:val="0"/>
                <w:bCs w:val="0"/>
                <w:color w:val="auto"/>
                <w:kern w:val="2"/>
                <w:sz w:val="21"/>
                <w:szCs w:val="21"/>
                <w:highlight w:val="none"/>
                <w:lang w:val="en-US" w:eastAsia="zh-CN"/>
              </w:rPr>
              <w:t xml:space="preserve">02 </w:t>
            </w:r>
            <w:r>
              <w:rPr>
                <w:rFonts w:hint="eastAsia" w:ascii="楷体" w:hAnsi="楷体" w:eastAsia="楷体" w:cs="楷体"/>
                <w:b w:val="0"/>
                <w:bCs w:val="0"/>
                <w:color w:val="auto"/>
                <w:kern w:val="2"/>
                <w:sz w:val="21"/>
                <w:szCs w:val="21"/>
                <w:highlight w:val="none"/>
              </w:rPr>
              <w:t>μS</w:t>
            </w:r>
          </w:p>
          <w:p w14:paraId="2E17AAB7">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lang w:val="en-US"/>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.3.</w:t>
            </w:r>
            <w:r>
              <w:rPr>
                <w:rFonts w:hint="eastAsia" w:ascii="楷体" w:hAnsi="楷体" w:eastAsia="楷体" w:cs="楷体"/>
                <w:b w:val="0"/>
                <w:bCs w:val="0"/>
                <w:color w:val="auto"/>
                <w:kern w:val="2"/>
                <w:sz w:val="21"/>
                <w:szCs w:val="21"/>
                <w:highlight w:val="none"/>
                <w:lang w:val="en-US" w:eastAsia="zh-CN"/>
              </w:rPr>
              <w:t>5</w:t>
            </w:r>
            <w:r>
              <w:rPr>
                <w:rFonts w:hint="eastAsia" w:ascii="楷体" w:hAnsi="楷体" w:eastAsia="楷体" w:cs="楷体"/>
                <w:b w:val="0"/>
                <w:bCs w:val="0"/>
                <w:color w:val="auto"/>
                <w:kern w:val="2"/>
                <w:sz w:val="21"/>
                <w:szCs w:val="21"/>
                <w:highlight w:val="none"/>
              </w:rPr>
              <w:t>基线漂移：≤0.</w:t>
            </w:r>
            <w:r>
              <w:rPr>
                <w:rFonts w:hint="eastAsia" w:ascii="楷体" w:hAnsi="楷体" w:eastAsia="楷体" w:cs="楷体"/>
                <w:b w:val="0"/>
                <w:bCs w:val="0"/>
                <w:color w:val="auto"/>
                <w:kern w:val="2"/>
                <w:sz w:val="21"/>
                <w:szCs w:val="21"/>
                <w:highlight w:val="none"/>
                <w:lang w:val="en-US" w:eastAsia="zh-CN"/>
              </w:rPr>
              <w:t xml:space="preserve">0004 </w:t>
            </w:r>
            <w:r>
              <w:rPr>
                <w:rFonts w:hint="eastAsia" w:ascii="楷体" w:hAnsi="楷体" w:eastAsia="楷体" w:cs="楷体"/>
                <w:b w:val="0"/>
                <w:bCs w:val="0"/>
                <w:color w:val="auto"/>
                <w:kern w:val="2"/>
                <w:sz w:val="21"/>
                <w:szCs w:val="21"/>
                <w:highlight w:val="none"/>
              </w:rPr>
              <w:t>μS/</w:t>
            </w:r>
            <w:r>
              <w:rPr>
                <w:rFonts w:hint="eastAsia" w:ascii="楷体" w:hAnsi="楷体" w:eastAsia="楷体" w:cs="楷体"/>
                <w:b w:val="0"/>
                <w:bCs w:val="0"/>
                <w:color w:val="auto"/>
                <w:kern w:val="2"/>
                <w:sz w:val="21"/>
                <w:szCs w:val="21"/>
                <w:highlight w:val="none"/>
                <w:lang w:val="en-US" w:eastAsia="zh-CN"/>
              </w:rPr>
              <w:t>30min</w:t>
            </w:r>
          </w:p>
          <w:p w14:paraId="2E6F94B5">
            <w:pPr>
              <w:keepNext w:val="0"/>
              <w:keepLines w:val="0"/>
              <w:pageBreakBefore w:val="0"/>
              <w:widowControl/>
              <w:kinsoku/>
              <w:wordWrap/>
              <w:overflowPunct/>
              <w:topLinePunct w:val="0"/>
              <w:autoSpaceDE/>
              <w:autoSpaceDN/>
              <w:bidi w:val="0"/>
              <w:adjustRightInd/>
              <w:snapToGrid/>
              <w:spacing w:after="25" w:afterLines="0" w:line="360" w:lineRule="exact"/>
              <w:ind w:left="0" w:leftChars="0" w:firstLine="0" w:firstLineChars="0"/>
              <w:jc w:val="both"/>
              <w:textAlignment w:val="auto"/>
              <w:rPr>
                <w:rFonts w:hint="eastAsia" w:ascii="楷体" w:hAnsi="楷体" w:eastAsia="楷体" w:cs="楷体"/>
                <w:b/>
                <w:bCs/>
                <w:color w:val="auto"/>
                <w:kern w:val="2"/>
                <w:sz w:val="21"/>
                <w:szCs w:val="21"/>
                <w:highlight w:val="none"/>
                <w:lang w:eastAsia="zh-CN"/>
              </w:rPr>
            </w:pPr>
            <w:r>
              <w:rPr>
                <w:rFonts w:hint="eastAsia" w:ascii="楷体" w:hAnsi="楷体" w:eastAsia="楷体" w:cs="楷体"/>
                <w:b w:val="0"/>
                <w:bCs w:val="0"/>
                <w:color w:val="auto"/>
                <w:kern w:val="24"/>
                <w:sz w:val="21"/>
                <w:szCs w:val="21"/>
                <w:highlight w:val="none"/>
              </w:rPr>
              <w:t>▲</w:t>
            </w: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.3.</w:t>
            </w:r>
            <w:r>
              <w:rPr>
                <w:rFonts w:hint="eastAsia" w:ascii="楷体" w:hAnsi="楷体" w:eastAsia="楷体" w:cs="楷体"/>
                <w:b w:val="0"/>
                <w:bCs w:val="0"/>
                <w:color w:val="auto"/>
                <w:kern w:val="2"/>
                <w:sz w:val="21"/>
                <w:szCs w:val="21"/>
                <w:highlight w:val="none"/>
                <w:lang w:val="en-US" w:eastAsia="zh-CN"/>
              </w:rPr>
              <w:t>6</w:t>
            </w:r>
            <w:r>
              <w:rPr>
                <w:rFonts w:hint="eastAsia" w:ascii="楷体" w:hAnsi="楷体" w:eastAsia="楷体" w:cs="楷体"/>
                <w:b w:val="0"/>
                <w:bCs w:val="0"/>
                <w:color w:val="auto"/>
                <w:kern w:val="2"/>
                <w:sz w:val="21"/>
                <w:szCs w:val="21"/>
                <w:highlight w:val="none"/>
              </w:rPr>
              <w:t xml:space="preserve"> 最小检出限：Cl-≤0.000</w:t>
            </w:r>
            <w:r>
              <w:rPr>
                <w:rFonts w:hint="eastAsia" w:ascii="楷体" w:hAnsi="楷体" w:eastAsia="楷体" w:cs="楷体"/>
                <w:b w:val="0"/>
                <w:bCs w:val="0"/>
                <w:color w:val="auto"/>
                <w:kern w:val="2"/>
                <w:sz w:val="21"/>
                <w:szCs w:val="21"/>
                <w:highlight w:val="none"/>
                <w:lang w:val="en-US" w:eastAsia="zh-CN"/>
              </w:rPr>
              <w:t>04</w:t>
            </w:r>
            <w:r>
              <w:rPr>
                <w:rFonts w:hint="eastAsia" w:ascii="楷体" w:hAnsi="楷体" w:eastAsia="楷体" w:cs="楷体"/>
                <w:b w:val="0"/>
                <w:bCs w:val="0"/>
                <w:color w:val="auto"/>
                <w:kern w:val="2"/>
                <w:sz w:val="21"/>
                <w:szCs w:val="21"/>
                <w:highlight w:val="none"/>
              </w:rPr>
              <w:t>μg/mL</w:t>
            </w:r>
            <w:r>
              <w:rPr>
                <w:rFonts w:hint="eastAsia" w:ascii="楷体" w:hAnsi="楷体" w:eastAsia="楷体" w:cs="楷体"/>
                <w:b w:val="0"/>
                <w:bCs w:val="0"/>
                <w:color w:val="auto"/>
                <w:kern w:val="2"/>
                <w:sz w:val="21"/>
                <w:szCs w:val="21"/>
                <w:highlight w:val="none"/>
                <w:lang w:val="en-US" w:eastAsia="zh-CN"/>
              </w:rPr>
              <w:t xml:space="preserve"> </w:t>
            </w:r>
            <w:r>
              <w:rPr>
                <w:rFonts w:hint="eastAsia" w:ascii="楷体" w:hAnsi="楷体" w:eastAsia="楷体" w:cs="楷体"/>
                <w:b w:val="0"/>
                <w:bCs w:val="0"/>
                <w:color w:val="auto"/>
                <w:kern w:val="2"/>
                <w:sz w:val="21"/>
                <w:szCs w:val="21"/>
                <w:highlight w:val="none"/>
              </w:rPr>
              <w:t xml:space="preserve"> </w:t>
            </w:r>
            <w:r>
              <w:rPr>
                <w:rFonts w:hint="eastAsia" w:ascii="楷体" w:hAnsi="楷体" w:eastAsia="楷体" w:cs="楷体"/>
                <w:color w:val="auto"/>
                <w:kern w:val="24"/>
                <w:sz w:val="21"/>
                <w:szCs w:val="21"/>
                <w:highlight w:val="none"/>
              </w:rPr>
              <w:t>Li</w:t>
            </w:r>
            <w:r>
              <w:rPr>
                <w:rFonts w:hint="eastAsia" w:ascii="楷体" w:hAnsi="楷体" w:eastAsia="楷体" w:cs="楷体"/>
                <w:color w:val="auto"/>
                <w:kern w:val="24"/>
                <w:sz w:val="21"/>
                <w:szCs w:val="21"/>
                <w:highlight w:val="none"/>
                <w:lang w:val="en-US" w:eastAsia="zh-CN"/>
              </w:rPr>
              <w:t>+</w:t>
            </w:r>
            <w:r>
              <w:rPr>
                <w:rFonts w:hint="eastAsia" w:ascii="楷体" w:hAnsi="楷体" w:eastAsia="楷体" w:cs="楷体"/>
                <w:b w:val="0"/>
                <w:bCs w:val="0"/>
                <w:color w:val="auto"/>
                <w:kern w:val="2"/>
                <w:sz w:val="21"/>
                <w:szCs w:val="21"/>
                <w:highlight w:val="none"/>
              </w:rPr>
              <w:t>≤0.000</w:t>
            </w:r>
            <w:r>
              <w:rPr>
                <w:rFonts w:hint="eastAsia" w:ascii="楷体" w:hAnsi="楷体" w:eastAsia="楷体" w:cs="楷体"/>
                <w:b w:val="0"/>
                <w:bCs w:val="0"/>
                <w:color w:val="auto"/>
                <w:kern w:val="2"/>
                <w:sz w:val="21"/>
                <w:szCs w:val="21"/>
                <w:highlight w:val="none"/>
                <w:lang w:val="en-US" w:eastAsia="zh-CN"/>
              </w:rPr>
              <w:t>05</w:t>
            </w:r>
            <w:r>
              <w:rPr>
                <w:rFonts w:hint="eastAsia" w:ascii="楷体" w:hAnsi="楷体" w:eastAsia="楷体" w:cs="楷体"/>
                <w:b w:val="0"/>
                <w:bCs w:val="0"/>
                <w:color w:val="auto"/>
                <w:kern w:val="2"/>
                <w:sz w:val="21"/>
                <w:szCs w:val="21"/>
                <w:highlight w:val="none"/>
              </w:rPr>
              <w:t xml:space="preserve">μg/mL  </w:t>
            </w:r>
            <w:r>
              <w:rPr>
                <w:rFonts w:hint="eastAsia" w:ascii="楷体" w:hAnsi="楷体" w:eastAsia="楷体" w:cs="楷体"/>
                <w:b/>
                <w:bCs/>
                <w:color w:val="auto"/>
                <w:kern w:val="2"/>
                <w:sz w:val="21"/>
                <w:szCs w:val="21"/>
                <w:highlight w:val="none"/>
                <w:lang w:val="en-US" w:eastAsia="zh-CN"/>
              </w:rPr>
              <w:t>（需提供</w:t>
            </w:r>
            <w:r>
              <w:rPr>
                <w:rFonts w:hint="eastAsia" w:ascii="楷体" w:hAnsi="楷体" w:eastAsia="楷体" w:cs="楷体"/>
                <w:b/>
                <w:bCs/>
                <w:color w:val="auto"/>
                <w:kern w:val="2"/>
                <w:sz w:val="21"/>
                <w:szCs w:val="21"/>
                <w:highlight w:val="none"/>
              </w:rPr>
              <w:t>以对应仪器的中华人民共和国计量器具型式批准证书或省、市级计量院提供的</w:t>
            </w:r>
            <w:r>
              <w:rPr>
                <w:rFonts w:hint="eastAsia" w:ascii="楷体" w:hAnsi="楷体" w:eastAsia="楷体" w:cs="楷体"/>
                <w:b/>
                <w:bCs/>
                <w:color w:val="auto"/>
                <w:kern w:val="2"/>
                <w:sz w:val="21"/>
                <w:szCs w:val="21"/>
                <w:highlight w:val="none"/>
                <w:lang w:val="en-US" w:eastAsia="zh-CN"/>
              </w:rPr>
              <w:t>检定</w:t>
            </w:r>
            <w:r>
              <w:rPr>
                <w:rFonts w:hint="eastAsia" w:ascii="楷体" w:hAnsi="楷体" w:eastAsia="楷体" w:cs="楷体"/>
                <w:b/>
                <w:bCs/>
                <w:color w:val="auto"/>
                <w:kern w:val="2"/>
                <w:sz w:val="21"/>
                <w:szCs w:val="21"/>
                <w:highlight w:val="none"/>
              </w:rPr>
              <w:t>证书证明</w:t>
            </w:r>
            <w:r>
              <w:rPr>
                <w:rFonts w:hint="eastAsia" w:ascii="楷体" w:hAnsi="楷体" w:eastAsia="楷体" w:cs="楷体"/>
                <w:b/>
                <w:bCs/>
                <w:color w:val="auto"/>
                <w:kern w:val="2"/>
                <w:sz w:val="21"/>
                <w:szCs w:val="21"/>
                <w:highlight w:val="none"/>
                <w:lang w:val="en-US" w:eastAsia="zh-CN"/>
              </w:rPr>
              <w:t>）</w:t>
            </w:r>
          </w:p>
          <w:p w14:paraId="65AFDDC9">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1.4</w:t>
            </w:r>
            <w:r>
              <w:rPr>
                <w:rFonts w:hint="eastAsia" w:ascii="楷体" w:hAnsi="楷体" w:eastAsia="楷体" w:cs="楷体"/>
                <w:b w:val="0"/>
                <w:bCs w:val="0"/>
                <w:color w:val="auto"/>
                <w:kern w:val="2"/>
                <w:sz w:val="21"/>
                <w:szCs w:val="21"/>
                <w:highlight w:val="none"/>
              </w:rPr>
              <w:t>抑制器</w:t>
            </w:r>
          </w:p>
          <w:p w14:paraId="778BAB22">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lang w:val="en-US" w:eastAsia="zh-CN"/>
              </w:rPr>
            </w:pPr>
            <w:r>
              <w:rPr>
                <w:rFonts w:hint="eastAsia" w:ascii="楷体" w:hAnsi="楷体" w:eastAsia="楷体" w:cs="楷体"/>
                <w:b w:val="0"/>
                <w:bCs w:val="0"/>
                <w:color w:val="auto"/>
                <w:kern w:val="2"/>
                <w:sz w:val="21"/>
                <w:szCs w:val="21"/>
                <w:highlight w:val="none"/>
                <w:lang w:val="en-US" w:eastAsia="zh-CN"/>
              </w:rPr>
              <w:t>1.4.1</w:t>
            </w:r>
            <w:r>
              <w:rPr>
                <w:rFonts w:hint="eastAsia" w:ascii="楷体" w:hAnsi="楷体" w:eastAsia="楷体" w:cs="楷体"/>
                <w:b w:val="0"/>
                <w:bCs w:val="0"/>
                <w:color w:val="auto"/>
                <w:kern w:val="2"/>
                <w:sz w:val="21"/>
                <w:szCs w:val="21"/>
                <w:highlight w:val="none"/>
              </w:rPr>
              <w:t>抑制器类型：原厂生产的电解自动再生膜抑制器，无需外加硫酸进行轮流再生。具有高容量，免维护，低背景电导，低背景噪声和稳定的基线，无需蠕动泵等其他辅助设备</w:t>
            </w:r>
            <w:r>
              <w:rPr>
                <w:rFonts w:hint="eastAsia" w:ascii="楷体" w:hAnsi="楷体" w:eastAsia="楷体" w:cs="楷体"/>
                <w:b w:val="0"/>
                <w:bCs w:val="0"/>
                <w:color w:val="auto"/>
                <w:kern w:val="2"/>
                <w:sz w:val="21"/>
                <w:szCs w:val="21"/>
                <w:highlight w:val="none"/>
                <w:lang w:val="en-US" w:eastAsia="zh-CN"/>
              </w:rPr>
              <w:t>,</w:t>
            </w:r>
            <w:r>
              <w:rPr>
                <w:rFonts w:hint="eastAsia" w:ascii="楷体" w:hAnsi="楷体" w:eastAsia="楷体" w:cs="楷体"/>
                <w:b w:val="0"/>
                <w:bCs w:val="0"/>
                <w:color w:val="auto"/>
                <w:kern w:val="2"/>
                <w:sz w:val="21"/>
                <w:szCs w:val="21"/>
                <w:highlight w:val="none"/>
              </w:rPr>
              <w:t>五年内以旧换新</w:t>
            </w:r>
            <w:r>
              <w:rPr>
                <w:rFonts w:hint="eastAsia" w:ascii="楷体" w:hAnsi="楷体" w:eastAsia="楷体" w:cs="楷体"/>
                <w:b w:val="0"/>
                <w:bCs w:val="0"/>
                <w:color w:val="auto"/>
                <w:kern w:val="2"/>
                <w:sz w:val="21"/>
                <w:szCs w:val="21"/>
                <w:highlight w:val="none"/>
                <w:lang w:eastAsia="zh-CN"/>
              </w:rPr>
              <w:t>。</w:t>
            </w:r>
          </w:p>
          <w:p w14:paraId="6979B265">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rPr>
            </w:pPr>
            <w:r>
              <w:rPr>
                <w:rFonts w:hint="eastAsia" w:ascii="楷体" w:hAnsi="楷体" w:eastAsia="楷体" w:cs="楷体"/>
                <w:b w:val="0"/>
                <w:bCs w:val="0"/>
                <w:color w:val="auto"/>
                <w:kern w:val="2"/>
                <w:sz w:val="21"/>
                <w:szCs w:val="21"/>
                <w:highlight w:val="none"/>
                <w:lang w:val="en-US" w:eastAsia="zh-CN"/>
              </w:rPr>
              <w:t>1</w:t>
            </w:r>
            <w:r>
              <w:rPr>
                <w:rFonts w:hint="eastAsia" w:ascii="楷体" w:hAnsi="楷体" w:eastAsia="楷体" w:cs="楷体"/>
                <w:b w:val="0"/>
                <w:bCs w:val="0"/>
                <w:color w:val="auto"/>
                <w:kern w:val="2"/>
                <w:sz w:val="21"/>
                <w:szCs w:val="21"/>
                <w:highlight w:val="none"/>
              </w:rPr>
              <w:t>.5</w:t>
            </w:r>
            <w:r>
              <w:rPr>
                <w:rFonts w:hint="eastAsia" w:ascii="楷体" w:hAnsi="楷体" w:eastAsia="楷体" w:cs="楷体"/>
                <w:b w:val="0"/>
                <w:bCs w:val="0"/>
                <w:color w:val="auto"/>
                <w:kern w:val="2"/>
                <w:sz w:val="21"/>
                <w:szCs w:val="21"/>
                <w:highlight w:val="none"/>
              </w:rPr>
              <w:tab/>
            </w:r>
            <w:r>
              <w:rPr>
                <w:rFonts w:hint="eastAsia" w:ascii="楷体" w:hAnsi="楷体" w:eastAsia="楷体" w:cs="楷体"/>
                <w:b w:val="0"/>
                <w:bCs w:val="0"/>
                <w:color w:val="auto"/>
                <w:kern w:val="2"/>
                <w:sz w:val="21"/>
                <w:szCs w:val="21"/>
                <w:highlight w:val="none"/>
              </w:rPr>
              <w:t>高精度柱温箱</w:t>
            </w:r>
          </w:p>
          <w:p w14:paraId="33E13EE6">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lang w:eastAsia="zh-CN"/>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.5.1种类：具有淋洗液预加热功能，可使淋洗液的温度在进入色谱柱前已和色谱柱的柱温保持一致，保证了待测离子的分离效果，同时可获得更平稳的基线，有效</w:t>
            </w:r>
            <w:r>
              <w:rPr>
                <w:rFonts w:hint="eastAsia" w:ascii="楷体" w:hAnsi="楷体" w:eastAsia="楷体" w:cs="楷体"/>
                <w:b w:val="0"/>
                <w:bCs w:val="0"/>
                <w:color w:val="auto"/>
                <w:kern w:val="2"/>
                <w:sz w:val="21"/>
                <w:szCs w:val="21"/>
                <w:highlight w:val="none"/>
                <w:u w:val="none"/>
                <w:lang w:val="en-US" w:eastAsia="zh-CN"/>
              </w:rPr>
              <w:t>地</w:t>
            </w:r>
            <w:r>
              <w:rPr>
                <w:rFonts w:hint="eastAsia" w:ascii="楷体" w:hAnsi="楷体" w:eastAsia="楷体" w:cs="楷体"/>
                <w:b w:val="0"/>
                <w:bCs w:val="0"/>
                <w:color w:val="auto"/>
                <w:kern w:val="2"/>
                <w:sz w:val="21"/>
                <w:szCs w:val="21"/>
                <w:highlight w:val="none"/>
                <w:u w:val="none"/>
              </w:rPr>
              <w:t>缩短了开机平衡的时间，提高重复性和分析效率</w:t>
            </w:r>
            <w:r>
              <w:rPr>
                <w:rFonts w:hint="eastAsia" w:ascii="楷体" w:hAnsi="楷体" w:eastAsia="楷体" w:cs="楷体"/>
                <w:b w:val="0"/>
                <w:bCs w:val="0"/>
                <w:color w:val="auto"/>
                <w:kern w:val="2"/>
                <w:sz w:val="21"/>
                <w:szCs w:val="21"/>
                <w:highlight w:val="none"/>
                <w:u w:val="none"/>
                <w:lang w:eastAsia="zh-CN"/>
              </w:rPr>
              <w:t>。</w:t>
            </w:r>
          </w:p>
          <w:p w14:paraId="788099B1">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.5.2温控范围：室温+5℃-</w:t>
            </w:r>
            <w:r>
              <w:rPr>
                <w:rFonts w:hint="eastAsia" w:ascii="楷体" w:hAnsi="楷体" w:eastAsia="楷体" w:cs="楷体"/>
                <w:b w:val="0"/>
                <w:bCs w:val="0"/>
                <w:color w:val="auto"/>
                <w:kern w:val="2"/>
                <w:sz w:val="21"/>
                <w:szCs w:val="21"/>
                <w:highlight w:val="none"/>
                <w:u w:val="none"/>
                <w:lang w:val="en-US" w:eastAsia="zh-CN"/>
              </w:rPr>
              <w:t>6</w:t>
            </w:r>
            <w:r>
              <w:rPr>
                <w:rFonts w:hint="eastAsia" w:ascii="楷体" w:hAnsi="楷体" w:eastAsia="楷体" w:cs="楷体"/>
                <w:b w:val="0"/>
                <w:bCs w:val="0"/>
                <w:color w:val="auto"/>
                <w:kern w:val="2"/>
                <w:sz w:val="21"/>
                <w:szCs w:val="21"/>
                <w:highlight w:val="none"/>
                <w:u w:val="none"/>
              </w:rPr>
              <w:t>5℃</w:t>
            </w:r>
          </w:p>
          <w:p w14:paraId="41ECD96F">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6</w:t>
            </w:r>
            <w:r>
              <w:rPr>
                <w:rFonts w:hint="eastAsia" w:ascii="楷体" w:hAnsi="楷体" w:eastAsia="楷体" w:cs="楷体"/>
                <w:b w:val="0"/>
                <w:bCs w:val="0"/>
                <w:color w:val="auto"/>
                <w:kern w:val="2"/>
                <w:sz w:val="21"/>
                <w:szCs w:val="21"/>
                <w:highlight w:val="none"/>
                <w:u w:val="none"/>
              </w:rPr>
              <w:t>自动进样系统</w:t>
            </w:r>
          </w:p>
          <w:p w14:paraId="0E3812A6">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lang w:val="en-US" w:eastAsia="zh-CN"/>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6</w:t>
            </w:r>
            <w:r>
              <w:rPr>
                <w:rFonts w:hint="eastAsia" w:ascii="楷体" w:hAnsi="楷体" w:eastAsia="楷体" w:cs="楷体"/>
                <w:b w:val="0"/>
                <w:bCs w:val="0"/>
                <w:color w:val="auto"/>
                <w:kern w:val="2"/>
                <w:sz w:val="21"/>
                <w:szCs w:val="21"/>
                <w:highlight w:val="none"/>
                <w:u w:val="none"/>
              </w:rPr>
              <w:t>.1具备部分进样，满环进样及微升进样功能</w:t>
            </w:r>
            <w:r>
              <w:rPr>
                <w:rFonts w:hint="eastAsia" w:ascii="楷体" w:hAnsi="楷体" w:eastAsia="楷体" w:cs="楷体"/>
                <w:b w:val="0"/>
                <w:bCs w:val="0"/>
                <w:color w:val="auto"/>
                <w:kern w:val="2"/>
                <w:sz w:val="21"/>
                <w:szCs w:val="21"/>
                <w:highlight w:val="none"/>
                <w:u w:val="none"/>
                <w:lang w:eastAsia="zh-CN"/>
              </w:rPr>
              <w:t>，</w:t>
            </w:r>
            <w:r>
              <w:rPr>
                <w:rFonts w:hint="eastAsia" w:ascii="楷体" w:hAnsi="楷体" w:eastAsia="楷体" w:cs="楷体"/>
                <w:b w:val="0"/>
                <w:bCs w:val="0"/>
                <w:color w:val="auto"/>
                <w:kern w:val="2"/>
                <w:sz w:val="21"/>
                <w:szCs w:val="21"/>
                <w:highlight w:val="none"/>
                <w:u w:val="none"/>
                <w:lang w:val="en-US" w:eastAsia="zh-CN"/>
              </w:rPr>
              <w:t>具有自动做标准曲线和自动稀释功能。</w:t>
            </w:r>
          </w:p>
          <w:p w14:paraId="731BCC2B">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lang w:eastAsia="zh-CN"/>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6</w:t>
            </w:r>
            <w:r>
              <w:rPr>
                <w:rFonts w:hint="eastAsia" w:ascii="楷体" w:hAnsi="楷体" w:eastAsia="楷体" w:cs="楷体"/>
                <w:b w:val="0"/>
                <w:bCs w:val="0"/>
                <w:color w:val="auto"/>
                <w:kern w:val="2"/>
                <w:sz w:val="21"/>
                <w:szCs w:val="21"/>
                <w:highlight w:val="none"/>
                <w:u w:val="none"/>
              </w:rPr>
              <w:t>.2标准样品物理位数：</w:t>
            </w:r>
            <w:r>
              <w:rPr>
                <w:rFonts w:hint="eastAsia" w:ascii="楷体" w:hAnsi="楷体" w:eastAsia="楷体" w:cs="楷体"/>
                <w:b w:val="0"/>
                <w:bCs w:val="0"/>
                <w:color w:val="auto"/>
                <w:kern w:val="2"/>
                <w:sz w:val="21"/>
                <w:szCs w:val="21"/>
                <w:highlight w:val="none"/>
                <w:u w:val="none"/>
                <w:lang w:val="en-US" w:eastAsia="zh-CN"/>
              </w:rPr>
              <w:t>≥110</w:t>
            </w:r>
            <w:r>
              <w:rPr>
                <w:rFonts w:hint="eastAsia" w:ascii="楷体" w:hAnsi="楷体" w:eastAsia="楷体" w:cs="楷体"/>
                <w:b w:val="0"/>
                <w:bCs w:val="0"/>
                <w:color w:val="auto"/>
                <w:kern w:val="2"/>
                <w:sz w:val="21"/>
                <w:szCs w:val="21"/>
                <w:highlight w:val="none"/>
                <w:u w:val="none"/>
              </w:rPr>
              <w:t>位；具有可以精确读出样品的工位装置系统；</w:t>
            </w:r>
          </w:p>
          <w:p w14:paraId="4B107090">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6</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3</w:t>
            </w:r>
            <w:r>
              <w:rPr>
                <w:rFonts w:hint="eastAsia" w:ascii="楷体" w:hAnsi="楷体" w:eastAsia="楷体" w:cs="楷体"/>
                <w:b w:val="0"/>
                <w:bCs w:val="0"/>
                <w:color w:val="auto"/>
                <w:kern w:val="2"/>
                <w:sz w:val="21"/>
                <w:szCs w:val="21"/>
                <w:highlight w:val="none"/>
                <w:u w:val="none"/>
              </w:rPr>
              <w:t xml:space="preserve"> 进样定量管体积:10uL-500ul；</w:t>
            </w:r>
          </w:p>
          <w:p w14:paraId="099D2024">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6</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 xml:space="preserve">4 </w:t>
            </w:r>
            <w:r>
              <w:rPr>
                <w:rFonts w:hint="eastAsia" w:ascii="楷体" w:hAnsi="楷体" w:eastAsia="楷体" w:cs="楷体"/>
                <w:b w:val="0"/>
                <w:bCs w:val="0"/>
                <w:color w:val="auto"/>
                <w:kern w:val="2"/>
                <w:sz w:val="21"/>
                <w:szCs w:val="21"/>
                <w:highlight w:val="none"/>
                <w:u w:val="none"/>
              </w:rPr>
              <w:t>重现性：</w:t>
            </w:r>
            <w:r>
              <w:rPr>
                <w:rFonts w:hint="eastAsia" w:ascii="楷体" w:hAnsi="楷体" w:eastAsia="楷体" w:cs="楷体"/>
                <w:b w:val="0"/>
                <w:bCs w:val="0"/>
                <w:color w:val="auto"/>
                <w:kern w:val="2"/>
                <w:sz w:val="21"/>
                <w:szCs w:val="21"/>
                <w:highlight w:val="none"/>
                <w:u w:val="none"/>
                <w:lang w:val="en-US" w:eastAsia="zh-CN"/>
              </w:rPr>
              <w:t>满环进样RSD&lt;0.3%，部分进样RSD&lt;0.5% ，无损进样RSD&lt;1 % （进样体积&gt;5uL）</w:t>
            </w:r>
            <w:r>
              <w:rPr>
                <w:rFonts w:hint="eastAsia" w:ascii="楷体" w:hAnsi="楷体" w:eastAsia="楷体" w:cs="楷体"/>
                <w:b w:val="0"/>
                <w:bCs w:val="0"/>
                <w:color w:val="auto"/>
                <w:kern w:val="2"/>
                <w:sz w:val="21"/>
                <w:szCs w:val="21"/>
                <w:highlight w:val="none"/>
                <w:u w:val="none"/>
              </w:rPr>
              <w:t xml:space="preserve"> </w:t>
            </w:r>
          </w:p>
          <w:p w14:paraId="7DECBEF4">
            <w:pPr>
              <w:keepNext w:val="0"/>
              <w:keepLines w:val="0"/>
              <w:pageBreakBefore w:val="0"/>
              <w:kinsoku/>
              <w:wordWrap/>
              <w:overflowPunct/>
              <w:topLinePunct w:val="0"/>
              <w:autoSpaceDE/>
              <w:autoSpaceDN/>
              <w:bidi w:val="0"/>
              <w:adjustRightInd/>
              <w:snapToGrid/>
              <w:spacing w:after="0" w:afterLines="0" w:line="360" w:lineRule="exact"/>
              <w:ind w:left="0" w:leftChars="0"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4"/>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6</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5</w:t>
            </w:r>
            <w:r>
              <w:rPr>
                <w:rFonts w:hint="eastAsia" w:ascii="楷体" w:hAnsi="楷体" w:eastAsia="楷体" w:cs="楷体"/>
                <w:b w:val="0"/>
                <w:bCs w:val="0"/>
                <w:color w:val="auto"/>
                <w:kern w:val="2"/>
                <w:sz w:val="21"/>
                <w:szCs w:val="21"/>
                <w:highlight w:val="none"/>
                <w:u w:val="none"/>
              </w:rPr>
              <w:t>进样器具有进样针干燥装置</w:t>
            </w:r>
            <w:r>
              <w:rPr>
                <w:rFonts w:hint="eastAsia" w:ascii="楷体" w:hAnsi="楷体" w:eastAsia="楷体" w:cs="楷体"/>
                <w:b/>
                <w:bCs/>
                <w:color w:val="auto"/>
                <w:kern w:val="2"/>
                <w:sz w:val="21"/>
                <w:szCs w:val="21"/>
                <w:highlight w:val="none"/>
                <w:u w:val="none"/>
                <w:lang w:eastAsia="zh-CN"/>
              </w:rPr>
              <w:t>（</w:t>
            </w:r>
            <w:r>
              <w:rPr>
                <w:rFonts w:hint="eastAsia" w:ascii="楷体" w:hAnsi="楷体" w:eastAsia="楷体" w:cs="楷体"/>
                <w:b/>
                <w:bCs/>
                <w:color w:val="auto"/>
                <w:kern w:val="2"/>
                <w:sz w:val="21"/>
                <w:szCs w:val="21"/>
                <w:highlight w:val="none"/>
                <w:u w:val="none"/>
                <w:lang w:val="en-US" w:eastAsia="zh-CN"/>
              </w:rPr>
              <w:t>需提供进样针的现场实物图</w:t>
            </w:r>
            <w:r>
              <w:rPr>
                <w:rFonts w:hint="eastAsia" w:ascii="楷体" w:hAnsi="楷体" w:eastAsia="楷体" w:cs="楷体"/>
                <w:b/>
                <w:bCs/>
                <w:color w:val="auto"/>
                <w:kern w:val="2"/>
                <w:sz w:val="21"/>
                <w:szCs w:val="21"/>
                <w:highlight w:val="none"/>
                <w:u w:val="none"/>
                <w:lang w:eastAsia="zh-CN"/>
              </w:rPr>
              <w:t>）</w:t>
            </w:r>
            <w:r>
              <w:rPr>
                <w:rFonts w:hint="eastAsia" w:ascii="楷体" w:hAnsi="楷体" w:eastAsia="楷体" w:cs="楷体"/>
                <w:b w:val="0"/>
                <w:bCs w:val="0"/>
                <w:color w:val="auto"/>
                <w:kern w:val="2"/>
                <w:sz w:val="21"/>
                <w:szCs w:val="21"/>
                <w:highlight w:val="none"/>
                <w:u w:val="none"/>
              </w:rPr>
              <w:t>，不会二次进样交叉污染；</w:t>
            </w:r>
          </w:p>
          <w:p w14:paraId="6D5F0F54">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
                <w:sz w:val="21"/>
                <w:szCs w:val="21"/>
                <w:highlight w:val="none"/>
                <w:u w:val="none"/>
                <w:lang w:val="en-US" w:eastAsia="zh-CN"/>
              </w:rPr>
              <w:t>1.7</w:t>
            </w:r>
            <w:r>
              <w:rPr>
                <w:rFonts w:hint="eastAsia" w:ascii="楷体" w:hAnsi="楷体" w:eastAsia="楷体" w:cs="楷体"/>
                <w:b w:val="0"/>
                <w:bCs w:val="0"/>
                <w:color w:val="auto"/>
                <w:kern w:val="2"/>
                <w:sz w:val="21"/>
                <w:szCs w:val="21"/>
                <w:highlight w:val="none"/>
                <w:u w:val="none"/>
              </w:rPr>
              <w:t xml:space="preserve"> 离子色谱柱</w:t>
            </w:r>
          </w:p>
          <w:p w14:paraId="0F7FB22C">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lang w:val="en-US" w:eastAsia="zh-CN"/>
              </w:rPr>
            </w:pPr>
            <w:r>
              <w:rPr>
                <w:rFonts w:hint="eastAsia" w:ascii="楷体" w:hAnsi="楷体" w:eastAsia="楷体" w:cs="楷体"/>
                <w:b w:val="0"/>
                <w:bCs w:val="0"/>
                <w:color w:val="auto"/>
                <w:kern w:val="2"/>
                <w:sz w:val="21"/>
                <w:szCs w:val="21"/>
                <w:highlight w:val="none"/>
                <w:u w:val="none"/>
                <w:lang w:val="en-US" w:eastAsia="zh-CN"/>
              </w:rPr>
              <w:t>1.7.1</w:t>
            </w:r>
            <w:r>
              <w:rPr>
                <w:rFonts w:hint="eastAsia" w:ascii="楷体" w:hAnsi="楷体" w:eastAsia="楷体" w:cs="楷体"/>
                <w:b w:val="0"/>
                <w:bCs w:val="0"/>
                <w:color w:val="auto"/>
                <w:kern w:val="2"/>
                <w:sz w:val="21"/>
                <w:szCs w:val="21"/>
                <w:highlight w:val="none"/>
                <w:u w:val="none"/>
              </w:rPr>
              <w:t>原装</w:t>
            </w:r>
            <w:r>
              <w:rPr>
                <w:rFonts w:hint="eastAsia" w:ascii="楷体" w:hAnsi="楷体" w:eastAsia="楷体" w:cs="楷体"/>
                <w:b w:val="0"/>
                <w:bCs w:val="0"/>
                <w:color w:val="auto"/>
                <w:kern w:val="2"/>
                <w:sz w:val="21"/>
                <w:szCs w:val="21"/>
                <w:highlight w:val="none"/>
                <w:u w:val="none"/>
                <w:lang w:val="en-US" w:eastAsia="zh-CN"/>
              </w:rPr>
              <w:t>PEEK</w:t>
            </w:r>
            <w:r>
              <w:rPr>
                <w:rFonts w:hint="eastAsia" w:ascii="楷体" w:hAnsi="楷体" w:eastAsia="楷体" w:cs="楷体"/>
                <w:b w:val="0"/>
                <w:bCs w:val="0"/>
                <w:color w:val="auto"/>
                <w:kern w:val="2"/>
                <w:sz w:val="21"/>
                <w:szCs w:val="21"/>
                <w:highlight w:val="none"/>
                <w:u w:val="none"/>
              </w:rPr>
              <w:t>阴离子色谱柱，色谱填料为聚合物材料，</w:t>
            </w:r>
            <w:r>
              <w:rPr>
                <w:rFonts w:hint="eastAsia" w:ascii="楷体" w:hAnsi="楷体" w:eastAsia="楷体" w:cs="楷体"/>
                <w:b w:val="0"/>
                <w:bCs w:val="0"/>
                <w:color w:val="auto"/>
                <w:kern w:val="2"/>
                <w:sz w:val="21"/>
                <w:szCs w:val="21"/>
                <w:highlight w:val="none"/>
                <w:u w:val="none"/>
                <w:lang w:val="en-US" w:eastAsia="zh-CN"/>
              </w:rPr>
              <w:t>可满足F-、Cl-、Br-、NO2-、NO3-、SO4²⁻及次氯酸根、氯酸根、溴酸根、二氯乙酸、三氯乙酸等</w:t>
            </w:r>
            <w:r>
              <w:rPr>
                <w:rFonts w:hint="eastAsia" w:ascii="楷体" w:hAnsi="楷体" w:eastAsia="楷体" w:cs="楷体"/>
                <w:b w:val="0"/>
                <w:bCs w:val="0"/>
                <w:color w:val="auto"/>
                <w:kern w:val="2"/>
                <w:sz w:val="21"/>
                <w:szCs w:val="21"/>
                <w:highlight w:val="none"/>
                <w:u w:val="none"/>
              </w:rPr>
              <w:t>消毒副产物阴离子</w:t>
            </w:r>
            <w:r>
              <w:rPr>
                <w:rFonts w:hint="eastAsia" w:ascii="楷体" w:hAnsi="楷体" w:eastAsia="楷体" w:cs="楷体"/>
                <w:b w:val="0"/>
                <w:bCs w:val="0"/>
                <w:color w:val="auto"/>
                <w:kern w:val="2"/>
                <w:sz w:val="21"/>
                <w:szCs w:val="21"/>
                <w:highlight w:val="none"/>
                <w:u w:val="none"/>
                <w:lang w:eastAsia="zh-CN"/>
              </w:rPr>
              <w:t>。</w:t>
            </w:r>
          </w:p>
          <w:p w14:paraId="0CB7E464">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8氢氧根</w:t>
            </w:r>
            <w:r>
              <w:rPr>
                <w:rFonts w:hint="eastAsia" w:ascii="楷体" w:hAnsi="楷体" w:eastAsia="楷体" w:cs="楷体"/>
                <w:b w:val="0"/>
                <w:bCs w:val="0"/>
                <w:color w:val="auto"/>
                <w:kern w:val="2"/>
                <w:sz w:val="21"/>
                <w:szCs w:val="21"/>
                <w:highlight w:val="none"/>
                <w:u w:val="none"/>
              </w:rPr>
              <w:t>淋洗液发生器</w:t>
            </w:r>
          </w:p>
          <w:p w14:paraId="083C7865">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8</w:t>
            </w:r>
            <w:r>
              <w:rPr>
                <w:rFonts w:hint="eastAsia" w:ascii="楷体" w:hAnsi="楷体" w:eastAsia="楷体" w:cs="楷体"/>
                <w:b w:val="0"/>
                <w:bCs w:val="0"/>
                <w:color w:val="auto"/>
                <w:kern w:val="2"/>
                <w:sz w:val="21"/>
                <w:szCs w:val="21"/>
                <w:highlight w:val="none"/>
                <w:u w:val="none"/>
              </w:rPr>
              <w:t>.1流量范围：0.001-3.000ml/min</w:t>
            </w:r>
          </w:p>
          <w:p w14:paraId="3596ADE8">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lang w:eastAsia="zh-CN"/>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8</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2</w:t>
            </w:r>
            <w:r>
              <w:rPr>
                <w:rFonts w:hint="eastAsia" w:ascii="楷体" w:hAnsi="楷体" w:eastAsia="楷体" w:cs="楷体"/>
                <w:b w:val="0"/>
                <w:bCs w:val="0"/>
                <w:color w:val="auto"/>
                <w:kern w:val="2"/>
                <w:sz w:val="21"/>
                <w:szCs w:val="21"/>
                <w:highlight w:val="none"/>
                <w:u w:val="none"/>
              </w:rPr>
              <w:t xml:space="preserve"> KOH淋洗液浓度范围:0.1～100.0mM</w:t>
            </w:r>
          </w:p>
          <w:p w14:paraId="6BD3915F">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lang w:val="en-US" w:eastAsia="zh-CN"/>
              </w:rPr>
            </w:pPr>
            <w:r>
              <w:rPr>
                <w:rFonts w:hint="eastAsia" w:ascii="楷体" w:hAnsi="楷体" w:eastAsia="楷体" w:cs="楷体"/>
                <w:b w:val="0"/>
                <w:bCs w:val="0"/>
                <w:color w:val="auto"/>
                <w:kern w:val="2"/>
                <w:sz w:val="21"/>
                <w:szCs w:val="21"/>
                <w:highlight w:val="none"/>
                <w:u w:val="none"/>
                <w:lang w:val="en-US" w:eastAsia="zh-CN"/>
              </w:rPr>
              <w:t>1.8.3具有氮气加压模块：具备氮气加压装置用于保护淋洗液或显色液，免受大气中的二氧化碳或氧气的影响；为淋洗液加压，以防在管线中产生气泡而造成泵运行不正常；为离子色谱中的一些气动操作阀提供动力，完成气动操作。</w:t>
            </w:r>
          </w:p>
          <w:p w14:paraId="4EB71573">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9</w:t>
            </w:r>
            <w:r>
              <w:rPr>
                <w:rFonts w:hint="eastAsia" w:ascii="楷体" w:hAnsi="楷体" w:eastAsia="楷体" w:cs="楷体"/>
                <w:b w:val="0"/>
                <w:bCs w:val="0"/>
                <w:color w:val="auto"/>
                <w:kern w:val="2"/>
                <w:sz w:val="21"/>
                <w:szCs w:val="21"/>
                <w:highlight w:val="none"/>
                <w:u w:val="none"/>
              </w:rPr>
              <w:tab/>
            </w:r>
            <w:r>
              <w:rPr>
                <w:rFonts w:hint="eastAsia" w:ascii="楷体" w:hAnsi="楷体" w:eastAsia="楷体" w:cs="楷体"/>
                <w:b w:val="0"/>
                <w:bCs w:val="0"/>
                <w:color w:val="auto"/>
                <w:kern w:val="2"/>
                <w:sz w:val="21"/>
                <w:szCs w:val="21"/>
                <w:highlight w:val="none"/>
                <w:u w:val="none"/>
              </w:rPr>
              <w:t>软件</w:t>
            </w:r>
          </w:p>
          <w:p w14:paraId="4EADA265">
            <w:pPr>
              <w:keepNext w:val="0"/>
              <w:keepLines w:val="0"/>
              <w:pageBreakBefore w:val="0"/>
              <w:tabs>
                <w:tab w:val="left" w:pos="1440"/>
              </w:tabs>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rPr>
            </w:pPr>
            <w:r>
              <w:rPr>
                <w:rFonts w:hint="eastAsia" w:ascii="楷体" w:hAnsi="楷体" w:eastAsia="楷体" w:cs="楷体"/>
                <w:b w:val="0"/>
                <w:bCs w:val="0"/>
                <w:color w:val="auto"/>
                <w:kern w:val="2"/>
                <w:sz w:val="21"/>
                <w:szCs w:val="21"/>
                <w:highlight w:val="none"/>
                <w:u w:val="none"/>
                <w:lang w:val="en-US" w:eastAsia="zh-CN"/>
              </w:rPr>
              <w:t>1</w:t>
            </w:r>
            <w:r>
              <w:rPr>
                <w:rFonts w:hint="eastAsia" w:ascii="楷体" w:hAnsi="楷体" w:eastAsia="楷体" w:cs="楷体"/>
                <w:b w:val="0"/>
                <w:bCs w:val="0"/>
                <w:color w:val="auto"/>
                <w:kern w:val="2"/>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9</w:t>
            </w:r>
            <w:r>
              <w:rPr>
                <w:rFonts w:hint="eastAsia" w:ascii="楷体" w:hAnsi="楷体" w:eastAsia="楷体" w:cs="楷体"/>
                <w:b w:val="0"/>
                <w:bCs w:val="0"/>
                <w:color w:val="auto"/>
                <w:kern w:val="2"/>
                <w:sz w:val="21"/>
                <w:szCs w:val="21"/>
                <w:highlight w:val="none"/>
                <w:u w:val="none"/>
              </w:rPr>
              <w:t xml:space="preserve">.1软件和仪器为同一厂家生产，操作系统兼容Windows </w:t>
            </w:r>
            <w:r>
              <w:rPr>
                <w:rFonts w:hint="eastAsia" w:ascii="楷体" w:hAnsi="楷体" w:eastAsia="楷体" w:cs="楷体"/>
                <w:b w:val="0"/>
                <w:bCs w:val="0"/>
                <w:color w:val="auto"/>
                <w:kern w:val="2"/>
                <w:sz w:val="21"/>
                <w:szCs w:val="21"/>
                <w:highlight w:val="none"/>
                <w:u w:val="none"/>
                <w:lang w:val="en-US" w:eastAsia="zh-CN"/>
              </w:rPr>
              <w:t>10</w:t>
            </w:r>
            <w:r>
              <w:rPr>
                <w:rFonts w:hint="eastAsia" w:ascii="楷体" w:hAnsi="楷体" w:eastAsia="楷体" w:cs="楷体"/>
                <w:b w:val="0"/>
                <w:bCs w:val="0"/>
                <w:color w:val="auto"/>
                <w:kern w:val="2"/>
                <w:sz w:val="21"/>
                <w:szCs w:val="21"/>
                <w:highlight w:val="none"/>
                <w:u w:val="none"/>
              </w:rPr>
              <w:t>和Windows</w:t>
            </w:r>
            <w:r>
              <w:rPr>
                <w:rFonts w:hint="eastAsia" w:ascii="楷体" w:hAnsi="楷体" w:eastAsia="楷体" w:cs="楷体"/>
                <w:b w:val="0"/>
                <w:bCs w:val="0"/>
                <w:color w:val="auto"/>
                <w:kern w:val="2"/>
                <w:sz w:val="21"/>
                <w:szCs w:val="21"/>
                <w:highlight w:val="none"/>
                <w:u w:val="none"/>
                <w:lang w:val="en-US" w:eastAsia="zh-CN"/>
              </w:rPr>
              <w:t>11</w:t>
            </w:r>
            <w:r>
              <w:rPr>
                <w:rFonts w:hint="eastAsia" w:ascii="楷体" w:hAnsi="楷体" w:eastAsia="楷体" w:cs="楷体"/>
                <w:b w:val="0"/>
                <w:bCs w:val="0"/>
                <w:color w:val="auto"/>
                <w:kern w:val="2"/>
                <w:sz w:val="21"/>
                <w:szCs w:val="21"/>
                <w:highlight w:val="none"/>
                <w:u w:val="none"/>
              </w:rPr>
              <w:t>，工作站界面简单、直观，操作流程便捷；可以对系统负峰进行直接定性和定量分析，软件可以实现系统部件的有效集成和控制，对离子色谱仪主机、自动进样器等其他升级部件可无缝式增加，便</w:t>
            </w:r>
            <w:r>
              <w:rPr>
                <w:rFonts w:hint="eastAsia" w:ascii="楷体" w:hAnsi="楷体" w:eastAsia="楷体" w:cs="楷体"/>
                <w:b w:val="0"/>
                <w:bCs w:val="0"/>
                <w:color w:val="auto"/>
                <w:kern w:val="2"/>
                <w:sz w:val="21"/>
                <w:szCs w:val="21"/>
                <w:highlight w:val="none"/>
                <w:u w:val="none"/>
                <w:lang w:eastAsia="zh-CN"/>
              </w:rPr>
              <w:t>捷地</w:t>
            </w:r>
            <w:r>
              <w:rPr>
                <w:rFonts w:hint="eastAsia" w:ascii="楷体" w:hAnsi="楷体" w:eastAsia="楷体" w:cs="楷体"/>
                <w:b w:val="0"/>
                <w:bCs w:val="0"/>
                <w:color w:val="auto"/>
                <w:kern w:val="2"/>
                <w:sz w:val="21"/>
                <w:szCs w:val="21"/>
                <w:highlight w:val="none"/>
                <w:u w:val="none"/>
              </w:rPr>
              <w:t>实现多维色谱（柱切换）的功能、多检测联用检测的功能等功能的建立。同一软件同时控制主机、自动进样器及其辅助设备。</w:t>
            </w:r>
          </w:p>
          <w:p w14:paraId="5191AB95">
            <w:pPr>
              <w:keepNext w:val="0"/>
              <w:keepLines w:val="0"/>
              <w:pageBreakBefore w:val="0"/>
              <w:tabs>
                <w:tab w:val="left" w:pos="1440"/>
              </w:tabs>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u w:val="none"/>
                <w:lang w:val="en-US" w:eastAsia="zh-CN"/>
              </w:rPr>
            </w:pPr>
            <w:r>
              <w:rPr>
                <w:rFonts w:hint="eastAsia" w:ascii="楷体" w:hAnsi="楷体" w:eastAsia="楷体" w:cs="楷体"/>
                <w:b w:val="0"/>
                <w:bCs w:val="0"/>
                <w:color w:val="auto"/>
                <w:kern w:val="24"/>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1.9.2软件自主研发，具有软件著作权，通过CMMI成熟度5级评估</w:t>
            </w:r>
            <w:r>
              <w:rPr>
                <w:rFonts w:hint="eastAsia" w:ascii="楷体" w:hAnsi="楷体" w:eastAsia="楷体" w:cs="楷体"/>
                <w:b/>
                <w:bCs/>
                <w:color w:val="auto"/>
                <w:kern w:val="2"/>
                <w:sz w:val="21"/>
                <w:szCs w:val="21"/>
                <w:highlight w:val="none"/>
                <w:u w:val="none"/>
                <w:lang w:val="en-US" w:eastAsia="zh-CN"/>
              </w:rPr>
              <w:t>（需提供具有CMMI评估资质机构出具的证明文件），</w:t>
            </w:r>
            <w:r>
              <w:rPr>
                <w:rFonts w:hint="eastAsia" w:ascii="楷体" w:hAnsi="楷体" w:eastAsia="楷体" w:cs="楷体"/>
                <w:b w:val="0"/>
                <w:bCs w:val="0"/>
                <w:color w:val="auto"/>
                <w:kern w:val="2"/>
                <w:sz w:val="21"/>
                <w:szCs w:val="21"/>
                <w:highlight w:val="none"/>
                <w:u w:val="none"/>
                <w:lang w:val="en-US" w:eastAsia="zh-CN"/>
              </w:rPr>
              <w:t>软件产品研发水平达到国际最高标准，为了方便用户操作和节省成本，可以对同一厂家的气相色谱仪、液相色谱仪、离子色谱仪、液质联用仪和气质联用仪等产品进行控制，该软件可免费升级。</w:t>
            </w:r>
          </w:p>
          <w:p w14:paraId="6B50BADC">
            <w:pPr>
              <w:keepNext w:val="0"/>
              <w:keepLines w:val="0"/>
              <w:pageBreakBefore w:val="0"/>
              <w:tabs>
                <w:tab w:val="left" w:pos="1440"/>
              </w:tabs>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bCs/>
                <w:color w:val="auto"/>
                <w:kern w:val="2"/>
                <w:sz w:val="21"/>
                <w:szCs w:val="21"/>
                <w:highlight w:val="none"/>
                <w:u w:val="none"/>
              </w:rPr>
            </w:pPr>
            <w:r>
              <w:rPr>
                <w:rFonts w:hint="eastAsia" w:ascii="楷体" w:hAnsi="楷体" w:eastAsia="楷体" w:cs="楷体"/>
                <w:b w:val="0"/>
                <w:bCs w:val="0"/>
                <w:color w:val="auto"/>
                <w:kern w:val="24"/>
                <w:sz w:val="21"/>
                <w:szCs w:val="21"/>
                <w:highlight w:val="none"/>
                <w:u w:val="none"/>
              </w:rPr>
              <w:t>▲</w:t>
            </w:r>
            <w:r>
              <w:rPr>
                <w:rFonts w:hint="eastAsia" w:ascii="楷体" w:hAnsi="楷体" w:eastAsia="楷体" w:cs="楷体"/>
                <w:b w:val="0"/>
                <w:bCs w:val="0"/>
                <w:color w:val="auto"/>
                <w:kern w:val="2"/>
                <w:sz w:val="21"/>
                <w:szCs w:val="21"/>
                <w:highlight w:val="none"/>
                <w:u w:val="none"/>
                <w:lang w:val="en-US" w:eastAsia="zh-CN"/>
              </w:rPr>
              <w:t>1.9.3可与原厂电导检测器、紫外检测器、二极管阵列检测器、连续可变波长荧光检测器、蒸发光散射检测器、示差折光检测器、质谱检测器等检测器联用，以实现多维色谱分析。</w:t>
            </w:r>
            <w:r>
              <w:rPr>
                <w:rFonts w:hint="eastAsia" w:ascii="楷体" w:hAnsi="楷体" w:eastAsia="楷体" w:cs="楷体"/>
                <w:b/>
                <w:bCs/>
                <w:color w:val="auto"/>
                <w:kern w:val="2"/>
                <w:sz w:val="21"/>
                <w:szCs w:val="21"/>
                <w:highlight w:val="none"/>
                <w:u w:val="none"/>
                <w:lang w:val="en-US" w:eastAsia="zh-CN"/>
              </w:rPr>
              <w:t>（</w:t>
            </w:r>
            <w:r>
              <w:rPr>
                <w:rStyle w:val="5"/>
                <w:rFonts w:hint="eastAsia" w:ascii="楷体" w:hAnsi="楷体" w:eastAsia="楷体" w:cs="楷体"/>
                <w:b/>
                <w:bCs/>
                <w:color w:val="auto"/>
                <w:kern w:val="24"/>
                <w:sz w:val="21"/>
                <w:szCs w:val="21"/>
                <w:highlight w:val="none"/>
                <w:u w:val="none"/>
                <w:lang w:eastAsia="zh-CN"/>
              </w:rPr>
              <w:t>需</w:t>
            </w:r>
            <w:r>
              <w:rPr>
                <w:rStyle w:val="5"/>
                <w:rFonts w:hint="eastAsia" w:ascii="楷体" w:hAnsi="楷体" w:eastAsia="楷体" w:cs="楷体"/>
                <w:b/>
                <w:bCs/>
                <w:color w:val="auto"/>
                <w:kern w:val="24"/>
                <w:sz w:val="21"/>
                <w:szCs w:val="21"/>
                <w:highlight w:val="none"/>
                <w:u w:val="none"/>
                <w:lang w:val="en-US" w:eastAsia="zh-CN"/>
              </w:rPr>
              <w:t>提供</w:t>
            </w:r>
            <w:r>
              <w:rPr>
                <w:rStyle w:val="5"/>
                <w:rFonts w:hint="eastAsia" w:ascii="楷体" w:hAnsi="楷体" w:eastAsia="楷体" w:cs="楷体"/>
                <w:b/>
                <w:bCs/>
                <w:color w:val="auto"/>
                <w:kern w:val="24"/>
                <w:sz w:val="21"/>
                <w:szCs w:val="21"/>
                <w:highlight w:val="none"/>
                <w:u w:val="none"/>
                <w:lang w:eastAsia="zh-CN"/>
              </w:rPr>
              <w:t>生产厂家官方彩页或技术白皮书等相关证明材料</w:t>
            </w:r>
            <w:r>
              <w:rPr>
                <w:rFonts w:hint="eastAsia" w:ascii="楷体" w:hAnsi="楷体" w:eastAsia="楷体" w:cs="楷体"/>
                <w:b/>
                <w:bCs/>
                <w:i w:val="0"/>
                <w:iCs w:val="0"/>
                <w:color w:val="auto"/>
                <w:kern w:val="0"/>
                <w:sz w:val="21"/>
                <w:szCs w:val="21"/>
                <w:highlight w:val="none"/>
                <w:u w:val="none"/>
                <w:lang w:val="en-US" w:eastAsia="zh-CN" w:bidi="ar"/>
              </w:rPr>
              <w:t>）</w:t>
            </w:r>
          </w:p>
          <w:p w14:paraId="6BDD121D">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bCs/>
                <w:color w:val="auto"/>
                <w:kern w:val="2"/>
                <w:sz w:val="21"/>
                <w:szCs w:val="21"/>
                <w:highlight w:val="none"/>
                <w:u w:val="none"/>
              </w:rPr>
            </w:pPr>
            <w:r>
              <w:rPr>
                <w:rFonts w:hint="eastAsia" w:ascii="楷体" w:hAnsi="楷体" w:eastAsia="楷体" w:cs="楷体"/>
                <w:b/>
                <w:bCs/>
                <w:color w:val="auto"/>
                <w:kern w:val="2"/>
                <w:sz w:val="21"/>
                <w:szCs w:val="21"/>
                <w:highlight w:val="none"/>
                <w:u w:val="none"/>
                <w:lang w:val="en-US" w:eastAsia="zh-CN"/>
              </w:rPr>
              <w:t>2.</w:t>
            </w:r>
            <w:r>
              <w:rPr>
                <w:rFonts w:hint="eastAsia" w:ascii="楷体" w:hAnsi="楷体" w:eastAsia="楷体" w:cs="楷体"/>
                <w:b/>
                <w:bCs/>
                <w:color w:val="auto"/>
                <w:kern w:val="2"/>
                <w:sz w:val="21"/>
                <w:szCs w:val="21"/>
                <w:highlight w:val="none"/>
                <w:u w:val="none"/>
              </w:rPr>
              <w:t>配置要求</w:t>
            </w:r>
          </w:p>
          <w:p w14:paraId="7AA7F297">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eastAsia="zh-CN"/>
              </w:rPr>
            </w:pPr>
            <w:r>
              <w:rPr>
                <w:rFonts w:hint="eastAsia" w:ascii="楷体" w:hAnsi="楷体" w:eastAsia="楷体" w:cs="楷体"/>
                <w:color w:val="auto"/>
                <w:kern w:val="2"/>
                <w:sz w:val="21"/>
                <w:szCs w:val="21"/>
                <w:highlight w:val="none"/>
                <w:u w:val="none"/>
              </w:rPr>
              <w:t>离子色谱主机  1个</w:t>
            </w:r>
            <w:r>
              <w:rPr>
                <w:rFonts w:hint="eastAsia" w:ascii="楷体" w:hAnsi="楷体" w:eastAsia="楷体" w:cs="楷体"/>
                <w:color w:val="auto"/>
                <w:kern w:val="2"/>
                <w:sz w:val="21"/>
                <w:szCs w:val="21"/>
                <w:highlight w:val="none"/>
                <w:u w:val="none"/>
                <w:lang w:eastAsia="zh-CN"/>
              </w:rPr>
              <w:t>；</w:t>
            </w:r>
          </w:p>
          <w:p w14:paraId="5DDB60CC">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eastAsia="zh-CN"/>
              </w:rPr>
            </w:pPr>
            <w:r>
              <w:rPr>
                <w:rFonts w:hint="eastAsia" w:ascii="楷体" w:hAnsi="楷体" w:eastAsia="楷体" w:cs="楷体"/>
                <w:color w:val="auto"/>
                <w:kern w:val="2"/>
                <w:sz w:val="21"/>
                <w:szCs w:val="21"/>
                <w:highlight w:val="none"/>
                <w:u w:val="none"/>
              </w:rPr>
              <w:t xml:space="preserve">高压输液泵   </w:t>
            </w:r>
            <w:r>
              <w:rPr>
                <w:rFonts w:hint="eastAsia" w:ascii="楷体" w:hAnsi="楷体" w:eastAsia="楷体" w:cs="楷体"/>
                <w:color w:val="auto"/>
                <w:kern w:val="2"/>
                <w:sz w:val="21"/>
                <w:szCs w:val="21"/>
                <w:highlight w:val="none"/>
                <w:u w:val="none"/>
                <w:lang w:val="en-US" w:eastAsia="zh-CN"/>
              </w:rPr>
              <w:t xml:space="preserve"> </w:t>
            </w:r>
            <w:r>
              <w:rPr>
                <w:rFonts w:hint="eastAsia" w:ascii="楷体" w:hAnsi="楷体" w:eastAsia="楷体" w:cs="楷体"/>
                <w:color w:val="auto"/>
                <w:kern w:val="2"/>
                <w:sz w:val="21"/>
                <w:szCs w:val="21"/>
                <w:highlight w:val="none"/>
                <w:u w:val="none"/>
              </w:rPr>
              <w:t>1套</w:t>
            </w:r>
            <w:r>
              <w:rPr>
                <w:rFonts w:hint="eastAsia" w:ascii="楷体" w:hAnsi="楷体" w:eastAsia="楷体" w:cs="楷体"/>
                <w:color w:val="auto"/>
                <w:kern w:val="2"/>
                <w:sz w:val="21"/>
                <w:szCs w:val="21"/>
                <w:highlight w:val="none"/>
                <w:u w:val="none"/>
                <w:lang w:eastAsia="zh-CN"/>
              </w:rPr>
              <w:t>；</w:t>
            </w:r>
          </w:p>
          <w:p w14:paraId="4B935B3B">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rPr>
            </w:pPr>
            <w:r>
              <w:rPr>
                <w:rFonts w:hint="eastAsia" w:ascii="楷体" w:hAnsi="楷体" w:eastAsia="楷体" w:cs="楷体"/>
                <w:color w:val="auto"/>
                <w:kern w:val="2"/>
                <w:sz w:val="21"/>
                <w:szCs w:val="21"/>
                <w:highlight w:val="none"/>
                <w:u w:val="none"/>
                <w:lang w:val="en-US" w:eastAsia="zh-CN"/>
              </w:rPr>
              <w:t>10.0</w:t>
            </w:r>
            <w:r>
              <w:rPr>
                <w:rFonts w:hint="eastAsia" w:ascii="楷体" w:hAnsi="楷体" w:eastAsia="楷体" w:cs="楷体"/>
                <w:color w:val="auto"/>
                <w:kern w:val="2"/>
                <w:sz w:val="21"/>
                <w:szCs w:val="21"/>
                <w:highlight w:val="none"/>
                <w:u w:val="none"/>
              </w:rPr>
              <w:t>寸</w:t>
            </w:r>
            <w:r>
              <w:rPr>
                <w:rFonts w:hint="eastAsia" w:ascii="楷体" w:hAnsi="楷体" w:eastAsia="楷体" w:cs="楷体"/>
                <w:color w:val="auto"/>
                <w:kern w:val="2"/>
                <w:sz w:val="21"/>
                <w:szCs w:val="21"/>
                <w:highlight w:val="none"/>
                <w:u w:val="none"/>
                <w:lang w:val="en-US" w:eastAsia="zh-CN"/>
              </w:rPr>
              <w:t>以上</w:t>
            </w:r>
            <w:r>
              <w:rPr>
                <w:rFonts w:hint="eastAsia" w:ascii="楷体" w:hAnsi="楷体" w:eastAsia="楷体" w:cs="楷体"/>
                <w:color w:val="auto"/>
                <w:kern w:val="2"/>
                <w:sz w:val="21"/>
                <w:szCs w:val="21"/>
                <w:highlight w:val="none"/>
                <w:u w:val="none"/>
              </w:rPr>
              <w:t>大尺寸触摸屏</w:t>
            </w:r>
            <w:r>
              <w:rPr>
                <w:rFonts w:hint="eastAsia" w:ascii="楷体" w:hAnsi="楷体" w:eastAsia="楷体" w:cs="楷体"/>
                <w:color w:val="auto"/>
                <w:kern w:val="2"/>
                <w:sz w:val="21"/>
                <w:szCs w:val="21"/>
                <w:highlight w:val="none"/>
                <w:u w:val="none"/>
                <w:lang w:val="en-US" w:eastAsia="zh-CN"/>
              </w:rPr>
              <w:t xml:space="preserve">     </w:t>
            </w:r>
            <w:r>
              <w:rPr>
                <w:rFonts w:hint="eastAsia" w:ascii="楷体" w:hAnsi="楷体" w:eastAsia="楷体" w:cs="楷体"/>
                <w:color w:val="auto"/>
                <w:kern w:val="2"/>
                <w:sz w:val="21"/>
                <w:szCs w:val="21"/>
                <w:highlight w:val="none"/>
                <w:u w:val="none"/>
              </w:rPr>
              <w:t>1套；</w:t>
            </w:r>
          </w:p>
          <w:p w14:paraId="447C1260">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rPr>
            </w:pPr>
            <w:r>
              <w:rPr>
                <w:rFonts w:hint="eastAsia" w:ascii="楷体" w:hAnsi="楷体" w:eastAsia="楷体" w:cs="楷体"/>
                <w:color w:val="auto"/>
                <w:kern w:val="2"/>
                <w:sz w:val="21"/>
                <w:szCs w:val="21"/>
                <w:highlight w:val="none"/>
                <w:u w:val="none"/>
              </w:rPr>
              <w:t>阴离子分析色谱柱</w:t>
            </w:r>
            <w:r>
              <w:rPr>
                <w:rFonts w:hint="eastAsia" w:ascii="楷体" w:hAnsi="楷体" w:eastAsia="楷体" w:cs="楷体"/>
                <w:color w:val="auto"/>
                <w:kern w:val="2"/>
                <w:sz w:val="21"/>
                <w:szCs w:val="21"/>
                <w:highlight w:val="none"/>
                <w:u w:val="none"/>
                <w:lang w:val="en-US" w:eastAsia="zh-CN"/>
              </w:rPr>
              <w:t>及保护柱</w:t>
            </w:r>
            <w:r>
              <w:rPr>
                <w:rFonts w:hint="eastAsia" w:ascii="楷体" w:hAnsi="楷体" w:eastAsia="楷体" w:cs="楷体"/>
                <w:color w:val="auto"/>
                <w:kern w:val="2"/>
                <w:sz w:val="21"/>
                <w:szCs w:val="21"/>
                <w:highlight w:val="none"/>
                <w:u w:val="none"/>
              </w:rPr>
              <w:t xml:space="preserve"> </w:t>
            </w:r>
            <w:r>
              <w:rPr>
                <w:rFonts w:hint="eastAsia" w:ascii="楷体" w:hAnsi="楷体" w:eastAsia="楷体" w:cs="楷体"/>
                <w:color w:val="auto"/>
                <w:kern w:val="2"/>
                <w:sz w:val="21"/>
                <w:szCs w:val="21"/>
                <w:highlight w:val="none"/>
                <w:u w:val="none"/>
                <w:lang w:val="en-US" w:eastAsia="zh-CN"/>
              </w:rPr>
              <w:t xml:space="preserve">   1</w:t>
            </w:r>
            <w:r>
              <w:rPr>
                <w:rFonts w:hint="eastAsia" w:ascii="楷体" w:hAnsi="楷体" w:eastAsia="楷体" w:cs="楷体"/>
                <w:color w:val="auto"/>
                <w:kern w:val="2"/>
                <w:sz w:val="21"/>
                <w:szCs w:val="21"/>
                <w:highlight w:val="none"/>
                <w:u w:val="none"/>
              </w:rPr>
              <w:t>套；</w:t>
            </w:r>
          </w:p>
          <w:p w14:paraId="0264FB1D">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val="en-US" w:eastAsia="zh-CN"/>
              </w:rPr>
            </w:pPr>
            <w:r>
              <w:rPr>
                <w:rFonts w:hint="eastAsia" w:ascii="楷体" w:hAnsi="楷体" w:eastAsia="楷体" w:cs="楷体"/>
                <w:color w:val="auto"/>
                <w:kern w:val="2"/>
                <w:sz w:val="21"/>
                <w:szCs w:val="21"/>
                <w:highlight w:val="none"/>
                <w:u w:val="none"/>
                <w:lang w:val="en-US" w:eastAsia="zh-CN"/>
              </w:rPr>
              <w:t>恒温柱温箱    1套；</w:t>
            </w:r>
          </w:p>
          <w:p w14:paraId="11C775CC">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val="en-US" w:eastAsia="zh-CN"/>
              </w:rPr>
            </w:pPr>
            <w:r>
              <w:rPr>
                <w:rFonts w:hint="eastAsia" w:ascii="楷体" w:hAnsi="楷体" w:eastAsia="楷体" w:cs="楷体"/>
                <w:color w:val="auto"/>
                <w:kern w:val="2"/>
                <w:sz w:val="21"/>
                <w:szCs w:val="21"/>
                <w:highlight w:val="none"/>
                <w:u w:val="none"/>
                <w:lang w:val="en-US" w:eastAsia="zh-CN"/>
              </w:rPr>
              <w:t>阴离子抑制器  1套；（五年质保）</w:t>
            </w:r>
          </w:p>
          <w:p w14:paraId="40A435C4">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val="en-US" w:eastAsia="zh-CN"/>
              </w:rPr>
            </w:pPr>
            <w:r>
              <w:rPr>
                <w:rFonts w:hint="eastAsia" w:ascii="楷体" w:hAnsi="楷体" w:eastAsia="楷体" w:cs="楷体"/>
                <w:color w:val="auto"/>
                <w:kern w:val="2"/>
                <w:sz w:val="21"/>
                <w:szCs w:val="21"/>
                <w:highlight w:val="none"/>
                <w:u w:val="none"/>
                <w:lang w:val="en-US" w:eastAsia="zh-CN"/>
              </w:rPr>
              <w:t>控温数字电导检测器  1套；</w:t>
            </w:r>
          </w:p>
          <w:p w14:paraId="541FEBD6">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val="en-US" w:eastAsia="zh-CN"/>
              </w:rPr>
            </w:pPr>
            <w:r>
              <w:rPr>
                <w:rFonts w:hint="eastAsia" w:ascii="楷体" w:hAnsi="楷体" w:eastAsia="楷体" w:cs="楷体"/>
                <w:color w:val="auto"/>
                <w:kern w:val="2"/>
                <w:sz w:val="21"/>
                <w:szCs w:val="21"/>
                <w:highlight w:val="none"/>
                <w:u w:val="none"/>
                <w:lang w:val="en-US" w:eastAsia="zh-CN"/>
              </w:rPr>
              <w:t>氢氧根淋洗液发生器  1套；</w:t>
            </w:r>
          </w:p>
          <w:p w14:paraId="016C381F">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eastAsia="zh-CN"/>
              </w:rPr>
            </w:pPr>
            <w:r>
              <w:rPr>
                <w:rFonts w:hint="eastAsia" w:ascii="楷体" w:hAnsi="楷体" w:eastAsia="楷体" w:cs="楷体"/>
                <w:color w:val="auto"/>
                <w:kern w:val="2"/>
                <w:sz w:val="21"/>
                <w:szCs w:val="21"/>
                <w:highlight w:val="none"/>
                <w:u w:val="none"/>
              </w:rPr>
              <w:t xml:space="preserve">自动进样器   </w:t>
            </w:r>
            <w:r>
              <w:rPr>
                <w:rFonts w:hint="eastAsia" w:ascii="楷体" w:hAnsi="楷体" w:eastAsia="楷体" w:cs="楷体"/>
                <w:color w:val="auto"/>
                <w:kern w:val="2"/>
                <w:sz w:val="21"/>
                <w:szCs w:val="21"/>
                <w:highlight w:val="none"/>
                <w:u w:val="none"/>
                <w:lang w:val="en-US" w:eastAsia="zh-CN"/>
              </w:rPr>
              <w:t xml:space="preserve">   </w:t>
            </w:r>
            <w:r>
              <w:rPr>
                <w:rFonts w:hint="eastAsia" w:ascii="楷体" w:hAnsi="楷体" w:eastAsia="楷体" w:cs="楷体"/>
                <w:color w:val="auto"/>
                <w:kern w:val="2"/>
                <w:sz w:val="21"/>
                <w:szCs w:val="21"/>
                <w:highlight w:val="none"/>
                <w:u w:val="none"/>
              </w:rPr>
              <w:t>1套</w:t>
            </w:r>
            <w:r>
              <w:rPr>
                <w:rFonts w:hint="eastAsia" w:ascii="楷体" w:hAnsi="楷体" w:eastAsia="楷体" w:cs="楷体"/>
                <w:color w:val="auto"/>
                <w:kern w:val="2"/>
                <w:sz w:val="21"/>
                <w:szCs w:val="21"/>
                <w:highlight w:val="none"/>
                <w:u w:val="none"/>
                <w:lang w:eastAsia="zh-CN"/>
              </w:rPr>
              <w:t>；</w:t>
            </w:r>
          </w:p>
          <w:p w14:paraId="18A4FF78">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val="en-US" w:eastAsia="zh-CN"/>
              </w:rPr>
            </w:pPr>
            <w:r>
              <w:rPr>
                <w:rFonts w:hint="eastAsia" w:ascii="楷体" w:hAnsi="楷体" w:eastAsia="楷体" w:cs="楷体"/>
                <w:color w:val="auto"/>
                <w:kern w:val="2"/>
                <w:sz w:val="21"/>
                <w:szCs w:val="21"/>
                <w:highlight w:val="none"/>
                <w:u w:val="none"/>
                <w:lang w:val="en-US" w:eastAsia="zh-CN"/>
              </w:rPr>
              <w:t>氮气加压模块    1套；</w:t>
            </w:r>
          </w:p>
          <w:p w14:paraId="2FF1D392">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val="en-US" w:eastAsia="zh-CN"/>
              </w:rPr>
            </w:pPr>
            <w:r>
              <w:rPr>
                <w:rFonts w:hint="eastAsia" w:ascii="楷体" w:hAnsi="楷体" w:eastAsia="楷体" w:cs="楷体"/>
                <w:color w:val="auto"/>
                <w:kern w:val="2"/>
                <w:sz w:val="21"/>
                <w:szCs w:val="21"/>
                <w:highlight w:val="none"/>
                <w:u w:val="none"/>
                <w:lang w:val="en-US" w:eastAsia="zh-CN"/>
              </w:rPr>
              <w:t>色谱工作站      1套；</w:t>
            </w:r>
          </w:p>
          <w:p w14:paraId="24F283BF">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lang w:eastAsia="zh-CN"/>
              </w:rPr>
            </w:pPr>
            <w:r>
              <w:rPr>
                <w:rFonts w:hint="eastAsia" w:ascii="楷体" w:hAnsi="楷体" w:eastAsia="楷体" w:cs="楷体"/>
                <w:color w:val="auto"/>
                <w:kern w:val="2"/>
                <w:sz w:val="21"/>
                <w:szCs w:val="21"/>
                <w:highlight w:val="none"/>
                <w:u w:val="none"/>
              </w:rPr>
              <w:t xml:space="preserve">品牌商务电脑 </w:t>
            </w:r>
            <w:r>
              <w:rPr>
                <w:rFonts w:hint="eastAsia" w:ascii="楷体" w:hAnsi="楷体" w:eastAsia="楷体" w:cs="楷体"/>
                <w:color w:val="auto"/>
                <w:kern w:val="2"/>
                <w:sz w:val="21"/>
                <w:szCs w:val="21"/>
                <w:highlight w:val="none"/>
                <w:u w:val="none"/>
                <w:lang w:val="en-US" w:eastAsia="zh-CN"/>
              </w:rPr>
              <w:t xml:space="preserve">   </w:t>
            </w:r>
            <w:r>
              <w:rPr>
                <w:rFonts w:hint="eastAsia" w:ascii="楷体" w:hAnsi="楷体" w:eastAsia="楷体" w:cs="楷体"/>
                <w:color w:val="auto"/>
                <w:kern w:val="2"/>
                <w:sz w:val="21"/>
                <w:szCs w:val="21"/>
                <w:highlight w:val="none"/>
                <w:u w:val="none"/>
              </w:rPr>
              <w:t>1台</w:t>
            </w:r>
            <w:r>
              <w:rPr>
                <w:rFonts w:hint="eastAsia" w:ascii="楷体" w:hAnsi="楷体" w:eastAsia="楷体" w:cs="楷体"/>
                <w:color w:val="auto"/>
                <w:kern w:val="2"/>
                <w:sz w:val="21"/>
                <w:szCs w:val="21"/>
                <w:highlight w:val="none"/>
                <w:u w:val="none"/>
                <w:lang w:eastAsia="zh-CN"/>
              </w:rPr>
              <w:t>；</w:t>
            </w:r>
          </w:p>
          <w:p w14:paraId="25A6EA71">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bCs/>
                <w:color w:val="auto"/>
                <w:kern w:val="2"/>
                <w:sz w:val="21"/>
                <w:szCs w:val="21"/>
                <w:highlight w:val="none"/>
                <w:u w:val="none"/>
                <w:lang w:eastAsia="zh-CN"/>
              </w:rPr>
            </w:pPr>
            <w:r>
              <w:rPr>
                <w:rFonts w:hint="eastAsia" w:ascii="楷体" w:hAnsi="楷体" w:eastAsia="楷体" w:cs="楷体"/>
                <w:color w:val="auto"/>
                <w:kern w:val="2"/>
                <w:sz w:val="21"/>
                <w:szCs w:val="21"/>
                <w:highlight w:val="none"/>
                <w:u w:val="none"/>
              </w:rPr>
              <w:t xml:space="preserve">品牌激光打印机 </w:t>
            </w:r>
            <w:r>
              <w:rPr>
                <w:rFonts w:hint="eastAsia" w:ascii="楷体" w:hAnsi="楷体" w:eastAsia="楷体" w:cs="楷体"/>
                <w:color w:val="auto"/>
                <w:kern w:val="2"/>
                <w:sz w:val="21"/>
                <w:szCs w:val="21"/>
                <w:highlight w:val="none"/>
                <w:u w:val="none"/>
                <w:lang w:val="en-US" w:eastAsia="zh-CN"/>
              </w:rPr>
              <w:t xml:space="preserve"> </w:t>
            </w:r>
            <w:r>
              <w:rPr>
                <w:rFonts w:hint="eastAsia" w:ascii="楷体" w:hAnsi="楷体" w:eastAsia="楷体" w:cs="楷体"/>
                <w:color w:val="auto"/>
                <w:kern w:val="2"/>
                <w:sz w:val="21"/>
                <w:szCs w:val="21"/>
                <w:highlight w:val="none"/>
                <w:u w:val="none"/>
              </w:rPr>
              <w:t>1台</w:t>
            </w:r>
            <w:r>
              <w:rPr>
                <w:rFonts w:hint="eastAsia" w:ascii="楷体" w:hAnsi="楷体" w:eastAsia="楷体" w:cs="楷体"/>
                <w:color w:val="auto"/>
                <w:kern w:val="2"/>
                <w:sz w:val="21"/>
                <w:szCs w:val="21"/>
                <w:highlight w:val="none"/>
                <w:u w:val="none"/>
                <w:lang w:eastAsia="zh-CN"/>
              </w:rPr>
              <w:t>；</w:t>
            </w:r>
          </w:p>
          <w:p w14:paraId="7FD416C1">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rPr>
            </w:pPr>
            <w:r>
              <w:rPr>
                <w:rFonts w:hint="eastAsia" w:ascii="楷体" w:hAnsi="楷体" w:eastAsia="楷体" w:cs="楷体"/>
                <w:b/>
                <w:bCs/>
                <w:color w:val="auto"/>
                <w:kern w:val="2"/>
                <w:sz w:val="21"/>
                <w:szCs w:val="21"/>
                <w:highlight w:val="none"/>
                <w:u w:val="none"/>
                <w:lang w:val="en-US" w:eastAsia="zh-CN"/>
              </w:rPr>
              <w:t>3.</w:t>
            </w:r>
            <w:r>
              <w:rPr>
                <w:rFonts w:hint="eastAsia" w:ascii="楷体" w:hAnsi="楷体" w:eastAsia="楷体" w:cs="楷体"/>
                <w:b/>
                <w:bCs/>
                <w:color w:val="auto"/>
                <w:kern w:val="2"/>
                <w:sz w:val="21"/>
                <w:szCs w:val="21"/>
                <w:highlight w:val="none"/>
                <w:u w:val="none"/>
              </w:rPr>
              <w:t>技术服务和质量保证期</w:t>
            </w:r>
          </w:p>
          <w:p w14:paraId="38EC2D42">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rPr>
            </w:pPr>
            <w:r>
              <w:rPr>
                <w:rFonts w:hint="eastAsia" w:ascii="楷体" w:hAnsi="楷体" w:eastAsia="楷体" w:cs="楷体"/>
                <w:color w:val="auto"/>
                <w:kern w:val="2"/>
                <w:sz w:val="21"/>
                <w:szCs w:val="21"/>
                <w:highlight w:val="none"/>
                <w:u w:val="none"/>
                <w:lang w:val="en-US" w:eastAsia="zh-CN"/>
              </w:rPr>
              <w:t>3</w:t>
            </w:r>
            <w:r>
              <w:rPr>
                <w:rFonts w:hint="eastAsia" w:ascii="楷体" w:hAnsi="楷体" w:eastAsia="楷体" w:cs="楷体"/>
                <w:color w:val="auto"/>
                <w:kern w:val="2"/>
                <w:sz w:val="21"/>
                <w:szCs w:val="21"/>
                <w:highlight w:val="none"/>
                <w:u w:val="none"/>
              </w:rPr>
              <w:t>.1</w:t>
            </w:r>
            <w:r>
              <w:rPr>
                <w:rFonts w:hint="eastAsia" w:ascii="楷体" w:hAnsi="楷体" w:eastAsia="楷体" w:cs="楷体"/>
                <w:color w:val="auto"/>
                <w:kern w:val="2"/>
                <w:sz w:val="21"/>
                <w:szCs w:val="21"/>
                <w:highlight w:val="none"/>
                <w:u w:val="none"/>
              </w:rPr>
              <w:tab/>
            </w:r>
            <w:r>
              <w:rPr>
                <w:rFonts w:hint="eastAsia" w:ascii="楷体" w:hAnsi="楷体" w:eastAsia="楷体" w:cs="楷体"/>
                <w:color w:val="auto"/>
                <w:kern w:val="2"/>
                <w:sz w:val="21"/>
                <w:szCs w:val="21"/>
                <w:highlight w:val="none"/>
                <w:u w:val="none"/>
              </w:rPr>
              <w:t>仪器制造商授权的技术人员到现场免费进行安装调试，确保仪器技术指标验收合格，用户实验室免费培训技术操作人员。</w:t>
            </w:r>
          </w:p>
          <w:p w14:paraId="063B6244">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color w:val="auto"/>
                <w:kern w:val="2"/>
                <w:sz w:val="21"/>
                <w:szCs w:val="21"/>
                <w:highlight w:val="none"/>
                <w:u w:val="none"/>
              </w:rPr>
            </w:pPr>
            <w:r>
              <w:rPr>
                <w:rFonts w:hint="eastAsia" w:ascii="楷体" w:hAnsi="楷体" w:eastAsia="楷体" w:cs="楷体"/>
                <w:color w:val="auto"/>
                <w:kern w:val="2"/>
                <w:sz w:val="21"/>
                <w:szCs w:val="21"/>
                <w:highlight w:val="none"/>
                <w:u w:val="none"/>
                <w:lang w:val="en-US" w:eastAsia="zh-CN"/>
              </w:rPr>
              <w:t>3</w:t>
            </w:r>
            <w:r>
              <w:rPr>
                <w:rFonts w:hint="eastAsia" w:ascii="楷体" w:hAnsi="楷体" w:eastAsia="楷体" w:cs="楷体"/>
                <w:color w:val="auto"/>
                <w:kern w:val="2"/>
                <w:sz w:val="21"/>
                <w:szCs w:val="21"/>
                <w:highlight w:val="none"/>
                <w:u w:val="none"/>
              </w:rPr>
              <w:t>.2验收合格后</w:t>
            </w:r>
            <w:r>
              <w:rPr>
                <w:rFonts w:hint="eastAsia" w:ascii="楷体" w:hAnsi="楷体" w:eastAsia="楷体" w:cs="楷体"/>
                <w:color w:val="auto"/>
                <w:kern w:val="2"/>
                <w:sz w:val="21"/>
                <w:szCs w:val="21"/>
                <w:highlight w:val="none"/>
                <w:u w:val="none"/>
                <w:lang w:val="en-US" w:eastAsia="zh-CN"/>
              </w:rPr>
              <w:t>60</w:t>
            </w:r>
            <w:r>
              <w:rPr>
                <w:rFonts w:hint="eastAsia" w:ascii="楷体" w:hAnsi="楷体" w:eastAsia="楷体" w:cs="楷体"/>
                <w:color w:val="auto"/>
                <w:kern w:val="2"/>
                <w:sz w:val="21"/>
                <w:szCs w:val="21"/>
                <w:highlight w:val="none"/>
                <w:u w:val="none"/>
              </w:rPr>
              <w:t>个月内为质保期。质保期内除非人为故意损坏，否则无条件免收任何费用。</w:t>
            </w:r>
          </w:p>
          <w:p w14:paraId="378D150D">
            <w:pPr>
              <w:keepNext w:val="0"/>
              <w:keepLines w:val="0"/>
              <w:pageBreakBefore w:val="0"/>
              <w:kinsoku/>
              <w:wordWrap/>
              <w:overflowPunct/>
              <w:topLinePunct w:val="0"/>
              <w:autoSpaceDE/>
              <w:autoSpaceDN/>
              <w:bidi w:val="0"/>
              <w:adjustRightInd/>
              <w:snapToGrid/>
              <w:spacing w:after="0" w:afterLines="0" w:line="360" w:lineRule="exact"/>
              <w:ind w:firstLine="0" w:firstLineChars="0"/>
              <w:jc w:val="both"/>
              <w:textAlignment w:val="auto"/>
              <w:rPr>
                <w:rFonts w:hint="eastAsia" w:ascii="楷体" w:hAnsi="楷体" w:eastAsia="楷体" w:cs="楷体"/>
                <w:b w:val="0"/>
                <w:bCs w:val="0"/>
                <w:color w:val="auto"/>
                <w:kern w:val="2"/>
                <w:sz w:val="21"/>
                <w:szCs w:val="21"/>
                <w:highlight w:val="none"/>
                <w:vertAlign w:val="baseline"/>
                <w:lang w:val="en-US" w:eastAsia="zh-CN" w:bidi="ar-SA"/>
              </w:rPr>
            </w:pPr>
            <w:r>
              <w:rPr>
                <w:rFonts w:hint="eastAsia" w:ascii="楷体" w:hAnsi="楷体" w:eastAsia="楷体" w:cs="楷体"/>
                <w:color w:val="auto"/>
                <w:kern w:val="2"/>
                <w:sz w:val="21"/>
                <w:szCs w:val="21"/>
                <w:highlight w:val="none"/>
                <w:u w:val="none"/>
                <w:lang w:val="en-US" w:eastAsia="zh-CN"/>
              </w:rPr>
              <w:t>3.3</w:t>
            </w:r>
            <w:r>
              <w:rPr>
                <w:rFonts w:hint="eastAsia" w:ascii="楷体" w:hAnsi="楷体" w:eastAsia="楷体" w:cs="楷体"/>
                <w:color w:val="auto"/>
                <w:kern w:val="2"/>
                <w:sz w:val="21"/>
                <w:szCs w:val="21"/>
                <w:highlight w:val="none"/>
                <w:u w:val="none"/>
              </w:rPr>
              <w:t>在省内有常驻售后工程师。供贷方在接到用户要求对仪器维修通知，应在1小</w:t>
            </w:r>
            <w:r>
              <w:rPr>
                <w:rFonts w:hint="eastAsia" w:ascii="楷体" w:hAnsi="楷体" w:eastAsia="楷体" w:cs="楷体"/>
                <w:color w:val="auto"/>
                <w:kern w:val="2"/>
                <w:sz w:val="21"/>
                <w:szCs w:val="21"/>
                <w:highlight w:val="none"/>
                <w:u w:val="none"/>
                <w:lang w:eastAsia="zh-CN"/>
              </w:rPr>
              <w:t>时内</w:t>
            </w:r>
            <w:r>
              <w:rPr>
                <w:rFonts w:hint="eastAsia" w:ascii="楷体" w:hAnsi="楷体" w:eastAsia="楷体" w:cs="楷体"/>
                <w:color w:val="auto"/>
                <w:kern w:val="2"/>
                <w:sz w:val="21"/>
                <w:szCs w:val="21"/>
                <w:highlight w:val="none"/>
                <w:u w:val="none"/>
              </w:rPr>
              <w:t>给予答复，24小时内到达买方用户现场进行维修服务。</w:t>
            </w:r>
          </w:p>
        </w:tc>
        <w:tc>
          <w:tcPr>
            <w:tcW w:w="962" w:type="dxa"/>
            <w:noWrap w:val="0"/>
            <w:vAlign w:val="center"/>
          </w:tcPr>
          <w:p w14:paraId="4506BE20">
            <w:pPr>
              <w:jc w:val="both"/>
              <w:rPr>
                <w:rFonts w:hint="eastAsia" w:ascii="楷体" w:hAnsi="楷体" w:eastAsia="楷体" w:cs="楷体"/>
                <w:color w:val="auto"/>
                <w:kern w:val="2"/>
                <w:sz w:val="21"/>
                <w:szCs w:val="21"/>
                <w:highlight w:val="none"/>
                <w:lang w:val="en-US" w:eastAsia="zh-CN" w:bidi="ar-SA"/>
              </w:rPr>
            </w:pPr>
          </w:p>
        </w:tc>
      </w:tr>
      <w:tr w14:paraId="2588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69" w:type="dxa"/>
            <w:noWrap w:val="0"/>
            <w:vAlign w:val="center"/>
          </w:tcPr>
          <w:p w14:paraId="70E80850">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2</w:t>
            </w:r>
          </w:p>
        </w:tc>
        <w:tc>
          <w:tcPr>
            <w:tcW w:w="1613" w:type="dxa"/>
            <w:noWrap w:val="0"/>
            <w:vAlign w:val="center"/>
          </w:tcPr>
          <w:p w14:paraId="51C444E9">
            <w:pPr>
              <w:jc w:val="center"/>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流动注射分析仪</w:t>
            </w:r>
          </w:p>
        </w:tc>
        <w:tc>
          <w:tcPr>
            <w:tcW w:w="7095" w:type="dxa"/>
            <w:noWrap w:val="0"/>
            <w:vAlign w:val="center"/>
          </w:tcPr>
          <w:p w14:paraId="66609D1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r>
              <w:rPr>
                <w:rFonts w:hint="eastAsia" w:ascii="楷体" w:hAnsi="楷体" w:eastAsia="楷体" w:cs="楷体"/>
                <w:color w:val="auto"/>
                <w:sz w:val="21"/>
                <w:szCs w:val="21"/>
                <w:highlight w:val="none"/>
              </w:rPr>
              <w:tab/>
            </w:r>
            <w:r>
              <w:rPr>
                <w:rFonts w:hint="eastAsia" w:ascii="楷体" w:hAnsi="楷体" w:eastAsia="楷体" w:cs="楷体"/>
                <w:color w:val="auto"/>
                <w:sz w:val="21"/>
                <w:szCs w:val="21"/>
                <w:highlight w:val="none"/>
              </w:rPr>
              <w:t>设备名称及用途</w:t>
            </w:r>
          </w:p>
          <w:p w14:paraId="6C562A2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r>
              <w:rPr>
                <w:rFonts w:hint="eastAsia" w:ascii="楷体" w:hAnsi="楷体" w:eastAsia="楷体" w:cs="楷体"/>
                <w:color w:val="auto"/>
                <w:sz w:val="21"/>
                <w:szCs w:val="21"/>
                <w:highlight w:val="none"/>
              </w:rPr>
              <w:tab/>
            </w:r>
            <w:r>
              <w:rPr>
                <w:rFonts w:hint="eastAsia" w:ascii="楷体" w:hAnsi="楷体" w:eastAsia="楷体" w:cs="楷体"/>
                <w:color w:val="auto"/>
                <w:sz w:val="21"/>
                <w:szCs w:val="21"/>
                <w:highlight w:val="none"/>
              </w:rPr>
              <w:t>设备名称：全自动流动注射分析仪</w:t>
            </w:r>
          </w:p>
          <w:p w14:paraId="1B84EF2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b/>
                <w:bCs/>
                <w:color w:val="auto"/>
                <w:sz w:val="21"/>
                <w:szCs w:val="21"/>
                <w:highlight w:val="none"/>
                <w:lang w:val="en-US" w:eastAsia="zh-CN"/>
              </w:rPr>
            </w:pPr>
            <w:r>
              <w:rPr>
                <w:rFonts w:hint="eastAsia" w:ascii="楷体" w:hAnsi="楷体" w:eastAsia="楷体" w:cs="楷体"/>
                <w:color w:val="auto"/>
                <w:sz w:val="21"/>
                <w:szCs w:val="21"/>
                <w:highlight w:val="none"/>
                <w:lang w:val="en-US" w:eastAsia="zh-CN"/>
              </w:rPr>
              <w:t>▲</w:t>
            </w:r>
            <w:r>
              <w:rPr>
                <w:rFonts w:hint="eastAsia" w:ascii="楷体" w:hAnsi="楷体" w:eastAsia="楷体" w:cs="楷体"/>
                <w:color w:val="auto"/>
                <w:sz w:val="21"/>
                <w:szCs w:val="21"/>
                <w:highlight w:val="none"/>
              </w:rPr>
              <w:t>2）仪器组成：通道式主机一体式设计：每个通道内置一体化自动进样器、、蠕动泵、六通阀、化学分析流路、双光束检测器、防尘罩及与化学分析流路配套的温度控制器、控制电路等。</w:t>
            </w:r>
            <w:r>
              <w:rPr>
                <w:rFonts w:hint="eastAsia" w:ascii="楷体" w:hAnsi="楷体" w:eastAsia="楷体" w:cs="楷体"/>
                <w:b/>
                <w:bCs/>
                <w:color w:val="auto"/>
                <w:sz w:val="21"/>
                <w:szCs w:val="21"/>
                <w:highlight w:val="none"/>
                <w:lang w:val="en-US" w:eastAsia="zh-CN"/>
              </w:rPr>
              <w:t>(提供进样器和主机一体式图片并在仪器厂商官方网站上能查询到。）</w:t>
            </w:r>
          </w:p>
          <w:p w14:paraId="6FF74A6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3）仪器原理：仪器基于流动注射分析的基本原理。</w:t>
            </w:r>
          </w:p>
          <w:p w14:paraId="3EC7B08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4）仪器用途：用于测定地表水、地下水、饮用水和环境水中的挥发酚、阴离子表面活性剂、</w:t>
            </w:r>
            <w:r>
              <w:rPr>
                <w:rFonts w:hint="eastAsia" w:ascii="楷体" w:hAnsi="楷体" w:eastAsia="楷体" w:cs="楷体"/>
                <w:color w:val="auto"/>
                <w:sz w:val="21"/>
                <w:szCs w:val="21"/>
                <w:highlight w:val="none"/>
                <w:lang w:val="en-US" w:eastAsia="zh-CN"/>
              </w:rPr>
              <w:t>氨氮项目</w:t>
            </w:r>
            <w:r>
              <w:rPr>
                <w:rFonts w:hint="eastAsia" w:ascii="楷体" w:hAnsi="楷体" w:eastAsia="楷体" w:cs="楷体"/>
                <w:color w:val="auto"/>
                <w:sz w:val="21"/>
                <w:szCs w:val="21"/>
                <w:highlight w:val="none"/>
              </w:rPr>
              <w:t>。</w:t>
            </w:r>
          </w:p>
          <w:p w14:paraId="5396908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lang w:eastAsia="zh-CN"/>
              </w:rPr>
            </w:pPr>
            <w:r>
              <w:rPr>
                <w:rFonts w:hint="eastAsia" w:ascii="楷体" w:hAnsi="楷体" w:eastAsia="楷体" w:cs="楷体"/>
                <w:color w:val="auto"/>
                <w:sz w:val="21"/>
                <w:szCs w:val="21"/>
                <w:highlight w:val="none"/>
              </w:rPr>
              <w:t>2．工作环境 ：室内使用：环境温度10—40℃；相对湿度：25%—85%</w:t>
            </w:r>
          </w:p>
          <w:p w14:paraId="7A0E0390">
            <w:pPr>
              <w:keepNext w:val="0"/>
              <w:keepLines w:val="0"/>
              <w:pageBreakBefore w:val="0"/>
              <w:widowControl/>
              <w:numPr>
                <w:ilvl w:val="0"/>
                <w:numId w:val="1"/>
              </w:numPr>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分析项目的具体技术性能指标：</w:t>
            </w:r>
          </w:p>
          <w:p w14:paraId="3AA09A2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b/>
                <w:bCs/>
                <w:color w:val="auto"/>
                <w:sz w:val="21"/>
                <w:szCs w:val="21"/>
                <w:highlight w:val="none"/>
              </w:rPr>
              <w:t>3.1</w:t>
            </w:r>
            <w:r>
              <w:rPr>
                <w:rFonts w:hint="eastAsia" w:ascii="楷体" w:hAnsi="楷体" w:eastAsia="楷体" w:cs="楷体"/>
                <w:b/>
                <w:bCs/>
                <w:color w:val="auto"/>
                <w:sz w:val="21"/>
                <w:szCs w:val="21"/>
                <w:highlight w:val="none"/>
              </w:rPr>
              <w:tab/>
            </w:r>
            <w:r>
              <w:rPr>
                <w:rFonts w:hint="eastAsia" w:ascii="楷体" w:hAnsi="楷体" w:eastAsia="楷体" w:cs="楷体"/>
                <w:b/>
                <w:bCs/>
                <w:color w:val="auto"/>
                <w:sz w:val="21"/>
                <w:szCs w:val="21"/>
                <w:highlight w:val="none"/>
              </w:rPr>
              <w:t>分析项目：全自动</w:t>
            </w:r>
            <w:r>
              <w:rPr>
                <w:rFonts w:hint="eastAsia" w:ascii="楷体" w:hAnsi="楷体" w:eastAsia="楷体" w:cs="楷体"/>
                <w:b/>
                <w:bCs/>
                <w:color w:val="auto"/>
                <w:sz w:val="21"/>
                <w:szCs w:val="21"/>
                <w:highlight w:val="none"/>
                <w:lang w:val="en-US" w:eastAsia="zh-CN"/>
              </w:rPr>
              <w:t>氰化物</w:t>
            </w:r>
            <w:r>
              <w:rPr>
                <w:rFonts w:hint="eastAsia" w:ascii="楷体" w:hAnsi="楷体" w:eastAsia="楷体" w:cs="楷体"/>
                <w:b/>
                <w:bCs/>
                <w:color w:val="auto"/>
                <w:sz w:val="21"/>
                <w:szCs w:val="21"/>
                <w:highlight w:val="none"/>
              </w:rPr>
              <w:t>分析</w:t>
            </w:r>
            <w:r>
              <w:rPr>
                <w:rFonts w:hint="eastAsia" w:ascii="楷体" w:hAnsi="楷体" w:eastAsia="楷体" w:cs="楷体"/>
                <w:b/>
                <w:bCs/>
                <w:color w:val="auto"/>
                <w:sz w:val="21"/>
                <w:szCs w:val="21"/>
                <w:highlight w:val="none"/>
                <w:lang w:eastAsia="zh-CN"/>
              </w:rPr>
              <w:t>通道</w:t>
            </w:r>
            <w:r>
              <w:rPr>
                <w:rFonts w:hint="eastAsia" w:ascii="楷体" w:hAnsi="楷体" w:eastAsia="楷体" w:cs="楷体"/>
                <w:color w:val="auto"/>
                <w:sz w:val="21"/>
                <w:szCs w:val="21"/>
                <w:highlight w:val="none"/>
              </w:rPr>
              <w:t>（含蠕动泵、六通阀、化学分析模板、双光束检测器、在线加热装置、在线</w:t>
            </w:r>
            <w:r>
              <w:rPr>
                <w:rFonts w:hint="eastAsia" w:ascii="楷体" w:hAnsi="楷体" w:eastAsia="楷体" w:cs="楷体"/>
                <w:color w:val="auto"/>
                <w:sz w:val="21"/>
                <w:szCs w:val="21"/>
                <w:highlight w:val="none"/>
                <w:lang w:val="en-US" w:eastAsia="zh-CN"/>
              </w:rPr>
              <w:t>蒸馏</w:t>
            </w:r>
            <w:r>
              <w:rPr>
                <w:rFonts w:hint="eastAsia" w:ascii="楷体" w:hAnsi="楷体" w:eastAsia="楷体" w:cs="楷体"/>
                <w:color w:val="auto"/>
                <w:sz w:val="21"/>
                <w:szCs w:val="21"/>
                <w:highlight w:val="none"/>
              </w:rPr>
              <w:t>装置，</w:t>
            </w:r>
            <w:r>
              <w:rPr>
                <w:rFonts w:hint="eastAsia" w:ascii="楷体" w:hAnsi="楷体" w:eastAsia="楷体" w:cs="楷体"/>
                <w:color w:val="auto"/>
                <w:sz w:val="21"/>
                <w:szCs w:val="21"/>
                <w:highlight w:val="none"/>
                <w:lang w:val="en-US" w:eastAsia="zh-CN"/>
              </w:rPr>
              <w:t>主机</w:t>
            </w:r>
            <w:r>
              <w:rPr>
                <w:rFonts w:hint="eastAsia" w:ascii="楷体" w:hAnsi="楷体" w:eastAsia="楷体" w:cs="楷体"/>
                <w:color w:val="auto"/>
                <w:sz w:val="21"/>
                <w:szCs w:val="21"/>
                <w:highlight w:val="none"/>
              </w:rPr>
              <w:t>一体式自动进样器）</w:t>
            </w:r>
          </w:p>
          <w:p w14:paraId="5DCAFB9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lang w:eastAsia="zh-CN"/>
              </w:rPr>
            </w:pPr>
            <w:r>
              <w:rPr>
                <w:rFonts w:hint="eastAsia" w:ascii="楷体" w:hAnsi="楷体" w:eastAsia="楷体" w:cs="楷体"/>
                <w:color w:val="auto"/>
                <w:sz w:val="21"/>
                <w:szCs w:val="21"/>
                <w:highlight w:val="none"/>
              </w:rPr>
              <w:t>3.1.</w:t>
            </w:r>
            <w:r>
              <w:rPr>
                <w:rFonts w:hint="eastAsia" w:ascii="楷体" w:hAnsi="楷体" w:eastAsia="楷体" w:cs="楷体"/>
                <w:color w:val="auto"/>
                <w:sz w:val="21"/>
                <w:szCs w:val="21"/>
                <w:highlight w:val="none"/>
                <w:lang w:val="en-US" w:eastAsia="zh-CN"/>
              </w:rPr>
              <w:t>1</w:t>
            </w:r>
            <w:r>
              <w:rPr>
                <w:rFonts w:hint="eastAsia" w:ascii="楷体" w:hAnsi="楷体" w:eastAsia="楷体" w:cs="楷体"/>
                <w:color w:val="auto"/>
                <w:sz w:val="21"/>
                <w:szCs w:val="21"/>
                <w:highlight w:val="none"/>
              </w:rPr>
              <w:tab/>
            </w:r>
            <w:r>
              <w:rPr>
                <w:rFonts w:hint="eastAsia" w:ascii="楷体" w:hAnsi="楷体" w:eastAsia="楷体" w:cs="楷体"/>
                <w:color w:val="auto"/>
                <w:sz w:val="21"/>
                <w:szCs w:val="21"/>
                <w:highlight w:val="none"/>
              </w:rPr>
              <w:t>方法原理：</w:t>
            </w:r>
            <w:r>
              <w:rPr>
                <w:rFonts w:hint="eastAsia" w:ascii="楷体" w:hAnsi="楷体" w:eastAsia="楷体" w:cs="楷体"/>
                <w:color w:val="auto"/>
                <w:sz w:val="21"/>
                <w:szCs w:val="21"/>
                <w:highlight w:val="none"/>
                <w:lang w:eastAsia="zh-CN"/>
              </w:rPr>
              <w:t>在线蒸馏异烟酸-巴比妥酸光度法</w:t>
            </w:r>
          </w:p>
          <w:p w14:paraId="579475A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3.1.</w:t>
            </w:r>
            <w:r>
              <w:rPr>
                <w:rFonts w:hint="eastAsia" w:ascii="楷体" w:hAnsi="楷体" w:eastAsia="楷体" w:cs="楷体"/>
                <w:color w:val="auto"/>
                <w:sz w:val="21"/>
                <w:szCs w:val="21"/>
                <w:highlight w:val="none"/>
                <w:lang w:val="en-US" w:eastAsia="zh-CN"/>
              </w:rPr>
              <w:t>2</w:t>
            </w:r>
            <w:r>
              <w:rPr>
                <w:rFonts w:hint="eastAsia" w:ascii="楷体" w:hAnsi="楷体" w:eastAsia="楷体" w:cs="楷体"/>
                <w:color w:val="auto"/>
                <w:sz w:val="21"/>
                <w:szCs w:val="21"/>
                <w:highlight w:val="none"/>
              </w:rPr>
              <w:tab/>
            </w:r>
            <w:r>
              <w:rPr>
                <w:rFonts w:hint="eastAsia" w:ascii="楷体" w:hAnsi="楷体" w:eastAsia="楷体" w:cs="楷体"/>
                <w:color w:val="auto"/>
                <w:sz w:val="21"/>
                <w:szCs w:val="21"/>
                <w:highlight w:val="none"/>
              </w:rPr>
              <w:t>特别要求：膜分离在线蒸馏模块</w:t>
            </w:r>
          </w:p>
          <w:p w14:paraId="564AC83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3.1.</w:t>
            </w:r>
            <w:r>
              <w:rPr>
                <w:rFonts w:hint="eastAsia" w:ascii="楷体" w:hAnsi="楷体" w:eastAsia="楷体" w:cs="楷体"/>
                <w:color w:val="auto"/>
                <w:sz w:val="21"/>
                <w:szCs w:val="21"/>
                <w:highlight w:val="none"/>
                <w:lang w:val="en-US" w:eastAsia="zh-CN"/>
              </w:rPr>
              <w:t>3</w:t>
            </w:r>
            <w:r>
              <w:rPr>
                <w:rFonts w:hint="eastAsia" w:ascii="楷体" w:hAnsi="楷体" w:eastAsia="楷体" w:cs="楷体"/>
                <w:color w:val="auto"/>
                <w:sz w:val="21"/>
                <w:szCs w:val="21"/>
                <w:highlight w:val="none"/>
              </w:rPr>
              <w:tab/>
            </w:r>
            <w:r>
              <w:rPr>
                <w:rFonts w:hint="eastAsia" w:ascii="楷体" w:hAnsi="楷体" w:eastAsia="楷体" w:cs="楷体"/>
                <w:color w:val="auto"/>
                <w:sz w:val="21"/>
                <w:szCs w:val="21"/>
                <w:highlight w:val="none"/>
              </w:rPr>
              <w:t>线性范围：0.00</w:t>
            </w:r>
            <w:r>
              <w:rPr>
                <w:rFonts w:hint="eastAsia" w:ascii="楷体" w:hAnsi="楷体" w:eastAsia="楷体" w:cs="楷体"/>
                <w:color w:val="auto"/>
                <w:sz w:val="21"/>
                <w:szCs w:val="21"/>
                <w:highlight w:val="none"/>
                <w:lang w:val="en-US" w:eastAsia="zh-CN"/>
              </w:rPr>
              <w:t>1</w:t>
            </w:r>
            <w:r>
              <w:rPr>
                <w:rFonts w:hint="eastAsia" w:ascii="楷体" w:hAnsi="楷体" w:eastAsia="楷体" w:cs="楷体"/>
                <w:color w:val="auto"/>
                <w:sz w:val="21"/>
                <w:szCs w:val="21"/>
                <w:highlight w:val="none"/>
              </w:rPr>
              <w:t xml:space="preserve"> -</w:t>
            </w:r>
            <w:r>
              <w:rPr>
                <w:rFonts w:hint="eastAsia" w:ascii="楷体" w:hAnsi="楷体" w:eastAsia="楷体" w:cs="楷体"/>
                <w:color w:val="auto"/>
                <w:sz w:val="21"/>
                <w:szCs w:val="21"/>
                <w:highlight w:val="none"/>
                <w:lang w:val="en-US" w:eastAsia="zh-CN"/>
              </w:rPr>
              <w:t>0.2</w:t>
            </w:r>
            <w:r>
              <w:rPr>
                <w:rFonts w:hint="eastAsia" w:ascii="楷体" w:hAnsi="楷体" w:eastAsia="楷体" w:cs="楷体"/>
                <w:color w:val="auto"/>
                <w:sz w:val="21"/>
                <w:szCs w:val="21"/>
                <w:highlight w:val="none"/>
              </w:rPr>
              <w:t xml:space="preserve">mg/L </w:t>
            </w:r>
          </w:p>
          <w:p w14:paraId="65F76FE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3.1.</w:t>
            </w:r>
            <w:r>
              <w:rPr>
                <w:rFonts w:hint="eastAsia" w:ascii="楷体" w:hAnsi="楷体" w:eastAsia="楷体" w:cs="楷体"/>
                <w:color w:val="auto"/>
                <w:sz w:val="21"/>
                <w:szCs w:val="21"/>
                <w:highlight w:val="none"/>
                <w:lang w:val="en-US" w:eastAsia="zh-CN"/>
              </w:rPr>
              <w:t>4</w:t>
            </w:r>
            <w:r>
              <w:rPr>
                <w:rFonts w:hint="eastAsia" w:ascii="楷体" w:hAnsi="楷体" w:eastAsia="楷体" w:cs="楷体"/>
                <w:color w:val="auto"/>
                <w:sz w:val="21"/>
                <w:szCs w:val="21"/>
                <w:highlight w:val="none"/>
              </w:rPr>
              <w:tab/>
            </w:r>
            <w:r>
              <w:rPr>
                <w:rFonts w:hint="eastAsia" w:ascii="楷体" w:hAnsi="楷体" w:eastAsia="楷体" w:cs="楷体"/>
                <w:color w:val="auto"/>
                <w:sz w:val="21"/>
                <w:szCs w:val="21"/>
                <w:highlight w:val="none"/>
              </w:rPr>
              <w:t>MDL: &lt; 0.000</w:t>
            </w:r>
            <w:r>
              <w:rPr>
                <w:rFonts w:hint="eastAsia" w:ascii="楷体" w:hAnsi="楷体" w:eastAsia="楷体" w:cs="楷体"/>
                <w:color w:val="auto"/>
                <w:sz w:val="21"/>
                <w:szCs w:val="21"/>
                <w:highlight w:val="none"/>
                <w:lang w:val="en-US" w:eastAsia="zh-CN"/>
              </w:rPr>
              <w:t>5</w:t>
            </w:r>
            <w:r>
              <w:rPr>
                <w:rFonts w:hint="eastAsia" w:ascii="楷体" w:hAnsi="楷体" w:eastAsia="楷体" w:cs="楷体"/>
                <w:color w:val="auto"/>
                <w:sz w:val="21"/>
                <w:szCs w:val="21"/>
                <w:highlight w:val="none"/>
              </w:rPr>
              <w:t>mg/L</w:t>
            </w:r>
          </w:p>
          <w:p w14:paraId="7D4D648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3.1.</w:t>
            </w:r>
            <w:r>
              <w:rPr>
                <w:rFonts w:hint="eastAsia" w:ascii="楷体" w:hAnsi="楷体" w:eastAsia="楷体" w:cs="楷体"/>
                <w:color w:val="auto"/>
                <w:sz w:val="21"/>
                <w:szCs w:val="21"/>
                <w:highlight w:val="none"/>
                <w:lang w:val="en-US" w:eastAsia="zh-CN"/>
              </w:rPr>
              <w:t>5</w:t>
            </w:r>
            <w:r>
              <w:rPr>
                <w:rFonts w:hint="eastAsia" w:ascii="楷体" w:hAnsi="楷体" w:eastAsia="楷体" w:cs="楷体"/>
                <w:color w:val="auto"/>
                <w:sz w:val="21"/>
                <w:szCs w:val="21"/>
                <w:highlight w:val="none"/>
              </w:rPr>
              <w:tab/>
            </w:r>
            <w:r>
              <w:rPr>
                <w:rFonts w:hint="eastAsia" w:ascii="楷体" w:hAnsi="楷体" w:eastAsia="楷体" w:cs="楷体"/>
                <w:color w:val="auto"/>
                <w:sz w:val="21"/>
                <w:szCs w:val="21"/>
                <w:highlight w:val="none"/>
              </w:rPr>
              <w:t>样品分析频率：</w:t>
            </w:r>
            <w:r>
              <w:rPr>
                <w:rFonts w:hint="eastAsia" w:ascii="楷体" w:hAnsi="楷体" w:eastAsia="楷体" w:cs="楷体"/>
                <w:color w:val="auto"/>
                <w:sz w:val="21"/>
                <w:szCs w:val="21"/>
                <w:highlight w:val="none"/>
                <w:lang w:val="en-US" w:eastAsia="zh-CN"/>
              </w:rPr>
              <w:t>20</w:t>
            </w:r>
            <w:r>
              <w:rPr>
                <w:rFonts w:hint="eastAsia" w:ascii="楷体" w:hAnsi="楷体" w:eastAsia="楷体" w:cs="楷体"/>
                <w:color w:val="auto"/>
                <w:sz w:val="21"/>
                <w:szCs w:val="21"/>
                <w:highlight w:val="none"/>
              </w:rPr>
              <w:t>样/小时</w:t>
            </w:r>
          </w:p>
          <w:p w14:paraId="21985697">
            <w:pPr>
              <w:keepNext w:val="0"/>
              <w:keepLines w:val="0"/>
              <w:pageBreakBefore w:val="0"/>
              <w:kinsoku/>
              <w:wordWrap/>
              <w:overflowPunct/>
              <w:topLinePunct w:val="0"/>
              <w:autoSpaceDE/>
              <w:autoSpaceDN/>
              <w:bidi w:val="0"/>
              <w:adjustRightInd/>
              <w:snapToGrid/>
              <w:spacing w:line="360" w:lineRule="exact"/>
              <w:textAlignment w:val="auto"/>
              <w:rPr>
                <w:rFonts w:hint="eastAsia" w:ascii="楷体" w:hAnsi="楷体" w:eastAsia="楷体" w:cs="楷体"/>
                <w:color w:val="auto"/>
                <w:sz w:val="21"/>
                <w:szCs w:val="21"/>
                <w:highlight w:val="none"/>
              </w:rPr>
            </w:pPr>
            <w:r>
              <w:rPr>
                <w:rFonts w:hint="eastAsia" w:ascii="楷体" w:hAnsi="楷体" w:eastAsia="楷体" w:cs="楷体"/>
                <w:b/>
                <w:bCs/>
                <w:color w:val="auto"/>
                <w:sz w:val="21"/>
                <w:szCs w:val="21"/>
                <w:highlight w:val="none"/>
              </w:rPr>
              <w:t>3.2</w:t>
            </w:r>
            <w:r>
              <w:rPr>
                <w:rFonts w:hint="eastAsia" w:ascii="楷体" w:hAnsi="楷体" w:eastAsia="楷体" w:cs="楷体"/>
                <w:b/>
                <w:bCs/>
                <w:color w:val="auto"/>
                <w:sz w:val="21"/>
                <w:szCs w:val="21"/>
                <w:highlight w:val="none"/>
              </w:rPr>
              <w:tab/>
            </w:r>
            <w:r>
              <w:rPr>
                <w:rFonts w:hint="eastAsia" w:ascii="楷体" w:hAnsi="楷体" w:eastAsia="楷体" w:cs="楷体"/>
                <w:color w:val="auto"/>
                <w:sz w:val="21"/>
                <w:szCs w:val="21"/>
                <w:highlight w:val="none"/>
                <w:lang w:val="en-US" w:eastAsia="zh-CN"/>
              </w:rPr>
              <w:t>多参数分析通道：分析项目指标包含:(</w:t>
            </w:r>
            <w:r>
              <w:rPr>
                <w:rFonts w:hint="eastAsia" w:ascii="楷体" w:hAnsi="楷体" w:eastAsia="楷体" w:cs="楷体"/>
                <w:color w:val="auto"/>
                <w:sz w:val="21"/>
                <w:szCs w:val="21"/>
                <w:highlight w:val="none"/>
              </w:rPr>
              <w:t>氨氮</w:t>
            </w: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rPr>
              <w:t>硝酸盐</w:t>
            </w: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rPr>
              <w:t>亚硝酸盐</w:t>
            </w: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rPr>
              <w:t>正磷酸盐</w:t>
            </w: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rPr>
              <w:t>硅酸盐</w:t>
            </w: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rPr>
              <w:t>硼</w:t>
            </w:r>
            <w:r>
              <w:rPr>
                <w:rFonts w:hint="eastAsia" w:ascii="楷体" w:hAnsi="楷体" w:eastAsia="楷体" w:cs="楷体"/>
                <w:color w:val="auto"/>
                <w:sz w:val="21"/>
                <w:szCs w:val="21"/>
                <w:highlight w:val="none"/>
                <w:lang w:val="en-US" w:eastAsia="zh-CN"/>
              </w:rPr>
              <w:t>化物、</w:t>
            </w:r>
            <w:r>
              <w:rPr>
                <w:rFonts w:hint="eastAsia" w:ascii="楷体" w:hAnsi="楷体" w:eastAsia="楷体" w:cs="楷体"/>
                <w:color w:val="auto"/>
                <w:sz w:val="21"/>
                <w:szCs w:val="21"/>
                <w:highlight w:val="none"/>
              </w:rPr>
              <w:t>总硬度</w:t>
            </w: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rPr>
              <w:t>总碱度</w:t>
            </w: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rPr>
              <w:t>铁离子</w:t>
            </w: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lang w:val="en-US" w:eastAsia="zh-CN"/>
              </w:rPr>
              <w:t>六价铬、</w:t>
            </w:r>
            <w:r>
              <w:rPr>
                <w:rFonts w:hint="eastAsia" w:ascii="楷体" w:hAnsi="楷体" w:eastAsia="楷体" w:cs="楷体"/>
                <w:color w:val="auto"/>
                <w:sz w:val="21"/>
                <w:szCs w:val="21"/>
                <w:highlight w:val="none"/>
              </w:rPr>
              <w:t>铝离子</w:t>
            </w:r>
            <w:r>
              <w:rPr>
                <w:rFonts w:hint="eastAsia" w:ascii="楷体" w:hAnsi="楷体" w:eastAsia="楷体" w:cs="楷体"/>
                <w:color w:val="auto"/>
                <w:sz w:val="21"/>
                <w:szCs w:val="21"/>
                <w:highlight w:val="none"/>
                <w:lang w:val="en-US" w:eastAsia="zh-CN"/>
              </w:rPr>
              <w:t>等),具体要求如下表</w:t>
            </w:r>
          </w:p>
          <w:tbl>
            <w:tblPr>
              <w:tblStyle w:val="4"/>
              <w:tblpPr w:leftFromText="180" w:rightFromText="180" w:vertAnchor="text" w:horzAnchor="page" w:tblpX="1956" w:tblpY="6"/>
              <w:tblOverlap w:val="never"/>
              <w:tblW w:w="8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4"/>
              <w:gridCol w:w="1675"/>
              <w:gridCol w:w="1972"/>
              <w:gridCol w:w="1610"/>
              <w:gridCol w:w="1400"/>
            </w:tblGrid>
            <w:tr w14:paraId="54FD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714" w:type="dxa"/>
                  <w:noWrap w:val="0"/>
                  <w:vAlign w:val="center"/>
                </w:tcPr>
                <w:p w14:paraId="68A6B62C">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b/>
                      <w:color w:val="auto"/>
                      <w:sz w:val="21"/>
                      <w:szCs w:val="21"/>
                      <w:highlight w:val="none"/>
                    </w:rPr>
                  </w:pPr>
                  <w:r>
                    <w:rPr>
                      <w:rFonts w:hint="eastAsia" w:ascii="楷体" w:hAnsi="楷体" w:eastAsia="楷体" w:cs="楷体"/>
                      <w:b/>
                      <w:color w:val="auto"/>
                      <w:sz w:val="21"/>
                      <w:szCs w:val="21"/>
                      <w:highlight w:val="none"/>
                    </w:rPr>
                    <w:t>包含检测项目</w:t>
                  </w:r>
                </w:p>
              </w:tc>
              <w:tc>
                <w:tcPr>
                  <w:tcW w:w="1675" w:type="dxa"/>
                  <w:noWrap w:val="0"/>
                  <w:vAlign w:val="center"/>
                </w:tcPr>
                <w:p w14:paraId="1AC99D4B">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b/>
                      <w:color w:val="auto"/>
                      <w:sz w:val="21"/>
                      <w:szCs w:val="21"/>
                      <w:highlight w:val="none"/>
                    </w:rPr>
                  </w:pPr>
                  <w:r>
                    <w:rPr>
                      <w:rFonts w:hint="eastAsia" w:ascii="楷体" w:hAnsi="楷体" w:eastAsia="楷体" w:cs="楷体"/>
                      <w:b/>
                      <w:color w:val="auto"/>
                      <w:sz w:val="21"/>
                      <w:szCs w:val="21"/>
                      <w:highlight w:val="none"/>
                    </w:rPr>
                    <w:t>检测原理</w:t>
                  </w:r>
                </w:p>
              </w:tc>
              <w:tc>
                <w:tcPr>
                  <w:tcW w:w="1972" w:type="dxa"/>
                  <w:noWrap w:val="0"/>
                  <w:vAlign w:val="center"/>
                </w:tcPr>
                <w:p w14:paraId="538209DC">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b/>
                      <w:color w:val="auto"/>
                      <w:sz w:val="21"/>
                      <w:szCs w:val="21"/>
                      <w:highlight w:val="none"/>
                    </w:rPr>
                  </w:pPr>
                  <w:r>
                    <w:rPr>
                      <w:rFonts w:hint="eastAsia" w:ascii="楷体" w:hAnsi="楷体" w:eastAsia="楷体" w:cs="楷体"/>
                      <w:b/>
                      <w:color w:val="auto"/>
                      <w:sz w:val="21"/>
                      <w:szCs w:val="21"/>
                      <w:highlight w:val="none"/>
                    </w:rPr>
                    <w:t>检测范围（mg/L）</w:t>
                  </w:r>
                </w:p>
              </w:tc>
              <w:tc>
                <w:tcPr>
                  <w:tcW w:w="1610" w:type="dxa"/>
                  <w:noWrap w:val="0"/>
                  <w:vAlign w:val="center"/>
                </w:tcPr>
                <w:p w14:paraId="7D6F6C6D">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b/>
                      <w:color w:val="auto"/>
                      <w:sz w:val="21"/>
                      <w:szCs w:val="21"/>
                      <w:highlight w:val="none"/>
                    </w:rPr>
                  </w:pPr>
                  <w:r>
                    <w:rPr>
                      <w:rFonts w:hint="eastAsia" w:ascii="楷体" w:hAnsi="楷体" w:eastAsia="楷体" w:cs="楷体"/>
                      <w:b/>
                      <w:color w:val="auto"/>
                      <w:sz w:val="21"/>
                      <w:szCs w:val="21"/>
                      <w:highlight w:val="none"/>
                    </w:rPr>
                    <w:t>检出限（mg/L）</w:t>
                  </w:r>
                </w:p>
              </w:tc>
              <w:tc>
                <w:tcPr>
                  <w:tcW w:w="1400" w:type="dxa"/>
                  <w:noWrap w:val="0"/>
                  <w:vAlign w:val="center"/>
                </w:tcPr>
                <w:p w14:paraId="6494939A">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b/>
                      <w:color w:val="auto"/>
                      <w:sz w:val="21"/>
                      <w:szCs w:val="21"/>
                      <w:highlight w:val="none"/>
                    </w:rPr>
                  </w:pPr>
                  <w:r>
                    <w:rPr>
                      <w:rFonts w:hint="eastAsia" w:ascii="楷体" w:hAnsi="楷体" w:eastAsia="楷体" w:cs="楷体"/>
                      <w:b/>
                      <w:color w:val="auto"/>
                      <w:sz w:val="21"/>
                      <w:szCs w:val="21"/>
                      <w:highlight w:val="none"/>
                    </w:rPr>
                    <w:t>精密度</w:t>
                  </w:r>
                </w:p>
              </w:tc>
            </w:tr>
            <w:tr w14:paraId="6EFB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43D19D84">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氨氮</w:t>
                  </w:r>
                </w:p>
              </w:tc>
              <w:tc>
                <w:tcPr>
                  <w:tcW w:w="1675" w:type="dxa"/>
                  <w:noWrap w:val="0"/>
                  <w:vAlign w:val="center"/>
                </w:tcPr>
                <w:p w14:paraId="03CD7A20">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水杨酸/靛酚蓝</w:t>
                  </w:r>
                </w:p>
              </w:tc>
              <w:tc>
                <w:tcPr>
                  <w:tcW w:w="1972" w:type="dxa"/>
                  <w:noWrap w:val="0"/>
                  <w:vAlign w:val="center"/>
                </w:tcPr>
                <w:p w14:paraId="4AF2DAB9">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0.01-5.0</w:t>
                  </w:r>
                </w:p>
              </w:tc>
              <w:tc>
                <w:tcPr>
                  <w:tcW w:w="1610" w:type="dxa"/>
                  <w:noWrap w:val="0"/>
                  <w:vAlign w:val="center"/>
                </w:tcPr>
                <w:p w14:paraId="13944B31">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0.005</w:t>
                  </w:r>
                </w:p>
              </w:tc>
              <w:tc>
                <w:tcPr>
                  <w:tcW w:w="1400" w:type="dxa"/>
                  <w:noWrap w:val="0"/>
                  <w:vAlign w:val="center"/>
                </w:tcPr>
                <w:p w14:paraId="0D3ADBAB">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0E2F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25187E33">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硝酸盐</w:t>
                  </w:r>
                </w:p>
              </w:tc>
              <w:tc>
                <w:tcPr>
                  <w:tcW w:w="1675" w:type="dxa"/>
                  <w:noWrap w:val="0"/>
                  <w:vAlign w:val="center"/>
                </w:tcPr>
                <w:p w14:paraId="2E9A5ECD">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镉还原-NEED</w:t>
                  </w:r>
                </w:p>
              </w:tc>
              <w:tc>
                <w:tcPr>
                  <w:tcW w:w="1972" w:type="dxa"/>
                  <w:noWrap w:val="0"/>
                  <w:vAlign w:val="center"/>
                </w:tcPr>
                <w:p w14:paraId="426D8986">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0.01-2.0</w:t>
                  </w:r>
                </w:p>
              </w:tc>
              <w:tc>
                <w:tcPr>
                  <w:tcW w:w="1610" w:type="dxa"/>
                  <w:noWrap w:val="0"/>
                  <w:vAlign w:val="center"/>
                </w:tcPr>
                <w:p w14:paraId="164FF305">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0.001</w:t>
                  </w:r>
                </w:p>
              </w:tc>
              <w:tc>
                <w:tcPr>
                  <w:tcW w:w="1400" w:type="dxa"/>
                  <w:noWrap w:val="0"/>
                  <w:vAlign w:val="center"/>
                </w:tcPr>
                <w:p w14:paraId="519770F6">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5A91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6A550687">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亚硝酸盐</w:t>
                  </w:r>
                </w:p>
              </w:tc>
              <w:tc>
                <w:tcPr>
                  <w:tcW w:w="1675" w:type="dxa"/>
                  <w:noWrap w:val="0"/>
                  <w:vAlign w:val="center"/>
                </w:tcPr>
                <w:p w14:paraId="019E0F10">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NEED</w:t>
                  </w:r>
                </w:p>
              </w:tc>
              <w:tc>
                <w:tcPr>
                  <w:tcW w:w="1972" w:type="dxa"/>
                  <w:noWrap w:val="0"/>
                  <w:vAlign w:val="center"/>
                </w:tcPr>
                <w:p w14:paraId="05386550">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0.01-2.0</w:t>
                  </w:r>
                </w:p>
              </w:tc>
              <w:tc>
                <w:tcPr>
                  <w:tcW w:w="1610" w:type="dxa"/>
                  <w:noWrap w:val="0"/>
                  <w:vAlign w:val="center"/>
                </w:tcPr>
                <w:p w14:paraId="0FB742A0">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0.001</w:t>
                  </w:r>
                </w:p>
              </w:tc>
              <w:tc>
                <w:tcPr>
                  <w:tcW w:w="1400" w:type="dxa"/>
                  <w:noWrap w:val="0"/>
                  <w:vAlign w:val="center"/>
                </w:tcPr>
                <w:p w14:paraId="272AD8C5">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4832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4778DBFA">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正磷酸盐</w:t>
                  </w:r>
                </w:p>
              </w:tc>
              <w:tc>
                <w:tcPr>
                  <w:tcW w:w="1675" w:type="dxa"/>
                  <w:noWrap w:val="0"/>
                  <w:vAlign w:val="center"/>
                </w:tcPr>
                <w:p w14:paraId="61A03F15">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磷钼蓝</w:t>
                  </w:r>
                </w:p>
              </w:tc>
              <w:tc>
                <w:tcPr>
                  <w:tcW w:w="1972" w:type="dxa"/>
                  <w:noWrap w:val="0"/>
                  <w:vAlign w:val="center"/>
                </w:tcPr>
                <w:p w14:paraId="65F9E98D">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0.1-0.4</w:t>
                  </w:r>
                </w:p>
              </w:tc>
              <w:tc>
                <w:tcPr>
                  <w:tcW w:w="1610" w:type="dxa"/>
                  <w:noWrap w:val="0"/>
                  <w:vAlign w:val="center"/>
                </w:tcPr>
                <w:p w14:paraId="47459FDC">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0.002</w:t>
                  </w:r>
                </w:p>
              </w:tc>
              <w:tc>
                <w:tcPr>
                  <w:tcW w:w="1400" w:type="dxa"/>
                  <w:noWrap w:val="0"/>
                  <w:vAlign w:val="center"/>
                </w:tcPr>
                <w:p w14:paraId="60196357">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229D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44DD4C0C">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硅酸盐</w:t>
                  </w:r>
                </w:p>
              </w:tc>
              <w:tc>
                <w:tcPr>
                  <w:tcW w:w="1675" w:type="dxa"/>
                  <w:noWrap w:val="0"/>
                  <w:vAlign w:val="center"/>
                </w:tcPr>
                <w:p w14:paraId="62D459BC">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硅钼蓝</w:t>
                  </w:r>
                </w:p>
              </w:tc>
              <w:tc>
                <w:tcPr>
                  <w:tcW w:w="1972" w:type="dxa"/>
                  <w:noWrap w:val="0"/>
                  <w:vAlign w:val="center"/>
                </w:tcPr>
                <w:p w14:paraId="55CC412A">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0.01-2.0</w:t>
                  </w:r>
                </w:p>
              </w:tc>
              <w:tc>
                <w:tcPr>
                  <w:tcW w:w="1610" w:type="dxa"/>
                  <w:noWrap w:val="0"/>
                  <w:vAlign w:val="center"/>
                </w:tcPr>
                <w:p w14:paraId="5296D484">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0.015</w:t>
                  </w:r>
                </w:p>
              </w:tc>
              <w:tc>
                <w:tcPr>
                  <w:tcW w:w="1400" w:type="dxa"/>
                  <w:noWrap w:val="0"/>
                  <w:vAlign w:val="center"/>
                </w:tcPr>
                <w:p w14:paraId="0A63BF72">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3FC4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001276B2">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lang w:val="en-US" w:eastAsia="zh-CN"/>
                    </w:rPr>
                  </w:pPr>
                  <w:r>
                    <w:rPr>
                      <w:rFonts w:hint="eastAsia" w:ascii="楷体" w:hAnsi="楷体" w:eastAsia="楷体" w:cs="楷体"/>
                      <w:color w:val="auto"/>
                      <w:sz w:val="21"/>
                      <w:szCs w:val="21"/>
                      <w:highlight w:val="none"/>
                    </w:rPr>
                    <w:t>硼</w:t>
                  </w:r>
                  <w:r>
                    <w:rPr>
                      <w:rFonts w:hint="eastAsia" w:ascii="楷体" w:hAnsi="楷体" w:eastAsia="楷体" w:cs="楷体"/>
                      <w:color w:val="auto"/>
                      <w:sz w:val="21"/>
                      <w:szCs w:val="21"/>
                      <w:highlight w:val="none"/>
                      <w:lang w:val="en-US" w:eastAsia="zh-CN"/>
                    </w:rPr>
                    <w:t>化物</w:t>
                  </w:r>
                </w:p>
              </w:tc>
              <w:tc>
                <w:tcPr>
                  <w:tcW w:w="1675" w:type="dxa"/>
                  <w:noWrap w:val="0"/>
                  <w:vAlign w:val="center"/>
                </w:tcPr>
                <w:p w14:paraId="27AA0CCD">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甲亚胺</w:t>
                  </w:r>
                </w:p>
              </w:tc>
              <w:tc>
                <w:tcPr>
                  <w:tcW w:w="1972" w:type="dxa"/>
                  <w:noWrap w:val="0"/>
                  <w:vAlign w:val="center"/>
                </w:tcPr>
                <w:p w14:paraId="2C4250AA">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0.05-2.0</w:t>
                  </w:r>
                </w:p>
              </w:tc>
              <w:tc>
                <w:tcPr>
                  <w:tcW w:w="1610" w:type="dxa"/>
                  <w:noWrap w:val="0"/>
                  <w:vAlign w:val="center"/>
                </w:tcPr>
                <w:p w14:paraId="1FE38EE0">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0.025</w:t>
                  </w:r>
                </w:p>
              </w:tc>
              <w:tc>
                <w:tcPr>
                  <w:tcW w:w="1400" w:type="dxa"/>
                  <w:noWrap w:val="0"/>
                  <w:vAlign w:val="center"/>
                </w:tcPr>
                <w:p w14:paraId="11731491">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7423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57639925">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总硬度</w:t>
                  </w:r>
                </w:p>
              </w:tc>
              <w:tc>
                <w:tcPr>
                  <w:tcW w:w="1675" w:type="dxa"/>
                  <w:noWrap w:val="0"/>
                  <w:vAlign w:val="center"/>
                </w:tcPr>
                <w:p w14:paraId="7EC59E50">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钙镁指示剂</w:t>
                  </w:r>
                </w:p>
              </w:tc>
              <w:tc>
                <w:tcPr>
                  <w:tcW w:w="1972" w:type="dxa"/>
                  <w:noWrap w:val="0"/>
                  <w:vAlign w:val="center"/>
                </w:tcPr>
                <w:p w14:paraId="4E87354E">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10-400</w:t>
                  </w:r>
                </w:p>
              </w:tc>
              <w:tc>
                <w:tcPr>
                  <w:tcW w:w="1610" w:type="dxa"/>
                  <w:noWrap w:val="0"/>
                  <w:vAlign w:val="center"/>
                </w:tcPr>
                <w:p w14:paraId="1A0B2F29">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4.0</w:t>
                  </w:r>
                </w:p>
              </w:tc>
              <w:tc>
                <w:tcPr>
                  <w:tcW w:w="1400" w:type="dxa"/>
                  <w:noWrap w:val="0"/>
                  <w:vAlign w:val="center"/>
                </w:tcPr>
                <w:p w14:paraId="55ACD58A">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4E43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24ECAB30">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总碱度</w:t>
                  </w:r>
                </w:p>
              </w:tc>
              <w:tc>
                <w:tcPr>
                  <w:tcW w:w="1675" w:type="dxa"/>
                  <w:noWrap w:val="0"/>
                  <w:vAlign w:val="center"/>
                </w:tcPr>
                <w:p w14:paraId="5DA38F98">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甲基橙法</w:t>
                  </w:r>
                </w:p>
              </w:tc>
              <w:tc>
                <w:tcPr>
                  <w:tcW w:w="1972" w:type="dxa"/>
                  <w:noWrap w:val="0"/>
                  <w:vAlign w:val="center"/>
                </w:tcPr>
                <w:p w14:paraId="0A12F1D2">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10-500</w:t>
                  </w:r>
                </w:p>
              </w:tc>
              <w:tc>
                <w:tcPr>
                  <w:tcW w:w="1610" w:type="dxa"/>
                  <w:noWrap w:val="0"/>
                  <w:vAlign w:val="center"/>
                </w:tcPr>
                <w:p w14:paraId="52EA753A">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4.0</w:t>
                  </w:r>
                </w:p>
              </w:tc>
              <w:tc>
                <w:tcPr>
                  <w:tcW w:w="1400" w:type="dxa"/>
                  <w:noWrap w:val="0"/>
                  <w:vAlign w:val="center"/>
                </w:tcPr>
                <w:p w14:paraId="058FDCE5">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7B3F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4F868AD2">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铁离子</w:t>
                  </w:r>
                </w:p>
              </w:tc>
              <w:tc>
                <w:tcPr>
                  <w:tcW w:w="1675" w:type="dxa"/>
                  <w:noWrap w:val="0"/>
                  <w:vAlign w:val="center"/>
                </w:tcPr>
                <w:p w14:paraId="740AF153">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邻菲罗啉</w:t>
                  </w:r>
                </w:p>
              </w:tc>
              <w:tc>
                <w:tcPr>
                  <w:tcW w:w="1972" w:type="dxa"/>
                  <w:noWrap w:val="0"/>
                  <w:vAlign w:val="center"/>
                </w:tcPr>
                <w:p w14:paraId="0AB49BD5">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0.01-5.0</w:t>
                  </w:r>
                </w:p>
              </w:tc>
              <w:tc>
                <w:tcPr>
                  <w:tcW w:w="1610" w:type="dxa"/>
                  <w:noWrap w:val="0"/>
                  <w:vAlign w:val="center"/>
                </w:tcPr>
                <w:p w14:paraId="29B7B5BA">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0.005</w:t>
                  </w:r>
                </w:p>
              </w:tc>
              <w:tc>
                <w:tcPr>
                  <w:tcW w:w="1400" w:type="dxa"/>
                  <w:noWrap w:val="0"/>
                  <w:vAlign w:val="center"/>
                </w:tcPr>
                <w:p w14:paraId="529EE75B">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20C1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791AD067">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六价铬</w:t>
                  </w:r>
                </w:p>
              </w:tc>
              <w:tc>
                <w:tcPr>
                  <w:tcW w:w="1675" w:type="dxa"/>
                  <w:noWrap w:val="0"/>
                  <w:vAlign w:val="center"/>
                </w:tcPr>
                <w:p w14:paraId="4D8A623F">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二苯碳酰二肼</w:t>
                  </w:r>
                </w:p>
              </w:tc>
              <w:tc>
                <w:tcPr>
                  <w:tcW w:w="1972" w:type="dxa"/>
                  <w:noWrap w:val="0"/>
                  <w:vAlign w:val="center"/>
                </w:tcPr>
                <w:p w14:paraId="3FBFB617">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0.002-1.0</w:t>
                  </w:r>
                </w:p>
              </w:tc>
              <w:tc>
                <w:tcPr>
                  <w:tcW w:w="1610" w:type="dxa"/>
                  <w:noWrap w:val="0"/>
                  <w:vAlign w:val="center"/>
                </w:tcPr>
                <w:p w14:paraId="34704F6F">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0.0008</w:t>
                  </w:r>
                </w:p>
              </w:tc>
              <w:tc>
                <w:tcPr>
                  <w:tcW w:w="1400" w:type="dxa"/>
                  <w:noWrap w:val="0"/>
                  <w:vAlign w:val="center"/>
                </w:tcPr>
                <w:p w14:paraId="184C6F0B">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r w14:paraId="53E8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14" w:type="dxa"/>
                  <w:noWrap w:val="0"/>
                  <w:vAlign w:val="center"/>
                </w:tcPr>
                <w:p w14:paraId="0D770B13">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铝离子</w:t>
                  </w:r>
                </w:p>
              </w:tc>
              <w:tc>
                <w:tcPr>
                  <w:tcW w:w="1675" w:type="dxa"/>
                  <w:noWrap w:val="0"/>
                  <w:vAlign w:val="center"/>
                </w:tcPr>
                <w:p w14:paraId="3A0373DC">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铬天青</w:t>
                  </w:r>
                </w:p>
              </w:tc>
              <w:tc>
                <w:tcPr>
                  <w:tcW w:w="1972" w:type="dxa"/>
                  <w:noWrap w:val="0"/>
                  <w:vAlign w:val="center"/>
                </w:tcPr>
                <w:p w14:paraId="0904882E">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1.0-10.0</w:t>
                  </w:r>
                </w:p>
              </w:tc>
              <w:tc>
                <w:tcPr>
                  <w:tcW w:w="1610" w:type="dxa"/>
                  <w:noWrap w:val="0"/>
                  <w:vAlign w:val="center"/>
                </w:tcPr>
                <w:p w14:paraId="3A353817">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0.5</w:t>
                  </w:r>
                </w:p>
              </w:tc>
              <w:tc>
                <w:tcPr>
                  <w:tcW w:w="1400" w:type="dxa"/>
                  <w:noWrap w:val="0"/>
                  <w:vAlign w:val="center"/>
                </w:tcPr>
                <w:p w14:paraId="49C4975A">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r>
          </w:tbl>
          <w:p w14:paraId="14DA10F6">
            <w:pPr>
              <w:keepNext w:val="0"/>
              <w:keepLines w:val="0"/>
              <w:pageBreakBefore w:val="0"/>
              <w:widowControl w:val="0"/>
              <w:tabs>
                <w:tab w:val="left" w:pos="828"/>
              </w:tabs>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kern w:val="0"/>
                <w:sz w:val="21"/>
                <w:szCs w:val="21"/>
                <w:highlight w:val="none"/>
                <w:lang w:val="en-US" w:eastAsia="zh-CN" w:bidi="ar-SA"/>
              </w:rPr>
            </w:pPr>
            <w:r>
              <w:rPr>
                <w:rFonts w:hint="eastAsia" w:ascii="楷体" w:hAnsi="楷体" w:eastAsia="楷体" w:cs="楷体"/>
                <w:color w:val="auto"/>
                <w:kern w:val="0"/>
                <w:sz w:val="21"/>
                <w:szCs w:val="21"/>
                <w:highlight w:val="none"/>
                <w:lang w:val="en-US" w:eastAsia="zh-CN" w:bidi="ar-SA"/>
              </w:rPr>
              <w:t xml:space="preserve">4.仪器性能指标：仪器能各个通道之间独立工作，也可同时工作，最多可连接16个同系列分析仪。 </w:t>
            </w:r>
          </w:p>
          <w:p w14:paraId="3485CEB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4.1</w:t>
            </w:r>
            <w:r>
              <w:rPr>
                <w:rFonts w:hint="eastAsia" w:ascii="楷体" w:hAnsi="楷体" w:eastAsia="楷体" w:cs="楷体"/>
                <w:color w:val="auto"/>
                <w:sz w:val="21"/>
                <w:szCs w:val="21"/>
                <w:highlight w:val="none"/>
              </w:rPr>
              <w:tab/>
            </w:r>
            <w:r>
              <w:rPr>
                <w:rFonts w:hint="eastAsia" w:ascii="楷体" w:hAnsi="楷体" w:eastAsia="楷体" w:cs="楷体"/>
                <w:color w:val="auto"/>
                <w:sz w:val="21"/>
                <w:szCs w:val="21"/>
                <w:highlight w:val="none"/>
              </w:rPr>
              <w:t>启动和关机时间：不超过5分钟</w:t>
            </w: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rPr>
              <w:t>重现性： RSD&lt;1.5%.方法转换：方法转换无需移动仪器硬件</w:t>
            </w:r>
          </w:p>
          <w:p w14:paraId="6810E9A0">
            <w:pPr>
              <w:keepNext w:val="0"/>
              <w:keepLines w:val="0"/>
              <w:pageBreakBefore w:val="0"/>
              <w:kinsoku/>
              <w:wordWrap/>
              <w:overflowPunct/>
              <w:topLinePunct w:val="0"/>
              <w:autoSpaceDE/>
              <w:autoSpaceDN/>
              <w:bidi w:val="0"/>
              <w:adjustRightInd/>
              <w:snapToGrid/>
              <w:spacing w:line="360" w:lineRule="exact"/>
              <w:textAlignment w:val="auto"/>
              <w:rPr>
                <w:rFonts w:hint="eastAsia" w:ascii="楷体" w:hAnsi="楷体" w:eastAsia="楷体" w:cs="楷体"/>
                <w:b/>
                <w:bCs/>
                <w:color w:val="auto"/>
                <w:sz w:val="21"/>
                <w:szCs w:val="21"/>
                <w:highlight w:val="none"/>
                <w:lang w:val="en-US" w:eastAsia="zh-CN"/>
              </w:rPr>
            </w:pPr>
            <w:r>
              <w:rPr>
                <w:rFonts w:hint="eastAsia" w:ascii="楷体" w:hAnsi="楷体" w:eastAsia="楷体" w:cs="楷体"/>
                <w:color w:val="auto"/>
                <w:sz w:val="21"/>
                <w:szCs w:val="21"/>
                <w:highlight w:val="none"/>
                <w:lang w:val="en-US" w:eastAsia="zh-CN"/>
              </w:rPr>
              <w:t>▲</w:t>
            </w:r>
            <w:r>
              <w:rPr>
                <w:rFonts w:hint="eastAsia" w:ascii="楷体" w:hAnsi="楷体" w:eastAsia="楷体" w:cs="楷体"/>
                <w:color w:val="auto"/>
                <w:sz w:val="21"/>
                <w:szCs w:val="21"/>
                <w:highlight w:val="none"/>
              </w:rPr>
              <w:t>4.</w:t>
            </w:r>
            <w:r>
              <w:rPr>
                <w:rFonts w:hint="eastAsia" w:ascii="楷体" w:hAnsi="楷体" w:eastAsia="楷体" w:cs="楷体"/>
                <w:color w:val="auto"/>
                <w:sz w:val="21"/>
                <w:szCs w:val="21"/>
                <w:highlight w:val="none"/>
                <w:lang w:val="en-US" w:eastAsia="zh-CN"/>
              </w:rPr>
              <w:t>2化学分析流路：采用无翻边管路接头，毛细管使用全化学惰性透明管。化学流路面板与水平面不小于30°倾斜式设计，面板自带导流槽。</w:t>
            </w:r>
            <w:r>
              <w:rPr>
                <w:rFonts w:hint="eastAsia" w:ascii="楷体" w:hAnsi="楷体" w:eastAsia="楷体" w:cs="楷体"/>
                <w:b/>
                <w:bCs/>
                <w:color w:val="auto"/>
                <w:sz w:val="21"/>
                <w:szCs w:val="21"/>
                <w:highlight w:val="none"/>
                <w:lang w:val="en-US" w:eastAsia="zh-CN"/>
              </w:rPr>
              <w:t>（提供仪器结构图及证明文件）</w:t>
            </w:r>
          </w:p>
          <w:p w14:paraId="2141335C">
            <w:pPr>
              <w:keepNext w:val="0"/>
              <w:keepLines w:val="0"/>
              <w:pageBreakBefore w:val="0"/>
              <w:kinsoku/>
              <w:wordWrap/>
              <w:overflowPunct/>
              <w:topLinePunct w:val="0"/>
              <w:autoSpaceDE/>
              <w:autoSpaceDN/>
              <w:bidi w:val="0"/>
              <w:adjustRightInd/>
              <w:snapToGrid/>
              <w:spacing w:line="360" w:lineRule="exac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5.</w:t>
            </w:r>
            <w:r>
              <w:rPr>
                <w:rFonts w:hint="eastAsia" w:ascii="楷体" w:hAnsi="楷体" w:eastAsia="楷体" w:cs="楷体"/>
                <w:color w:val="auto"/>
                <w:sz w:val="21"/>
                <w:szCs w:val="21"/>
                <w:highlight w:val="none"/>
                <w:lang w:val="en-US" w:eastAsia="zh-CN"/>
              </w:rPr>
              <w:t xml:space="preserve"> </w:t>
            </w:r>
            <w:r>
              <w:rPr>
                <w:rFonts w:hint="eastAsia" w:ascii="楷体" w:hAnsi="楷体" w:eastAsia="楷体" w:cs="楷体"/>
                <w:color w:val="auto"/>
                <w:sz w:val="21"/>
                <w:szCs w:val="21"/>
                <w:highlight w:val="none"/>
              </w:rPr>
              <w:t>系统配置及性能指标</w:t>
            </w:r>
          </w:p>
          <w:p w14:paraId="5D9BAB5A">
            <w:pPr>
              <w:keepNext w:val="0"/>
              <w:keepLines w:val="0"/>
              <w:pageBreakBefore w:val="0"/>
              <w:kinsoku/>
              <w:wordWrap/>
              <w:overflowPunct/>
              <w:topLinePunct w:val="0"/>
              <w:autoSpaceDE/>
              <w:autoSpaceDN/>
              <w:bidi w:val="0"/>
              <w:adjustRightInd/>
              <w:snapToGrid/>
              <w:spacing w:line="360" w:lineRule="exact"/>
              <w:textAlignment w:val="auto"/>
              <w:rPr>
                <w:rFonts w:hint="eastAsia" w:ascii="楷体" w:hAnsi="楷体" w:eastAsia="楷体" w:cs="楷体"/>
                <w:b/>
                <w:bCs/>
                <w:color w:val="auto"/>
                <w:sz w:val="21"/>
                <w:szCs w:val="21"/>
                <w:highlight w:val="none"/>
                <w:lang w:eastAsia="zh-CN"/>
              </w:rPr>
            </w:pPr>
            <w:r>
              <w:rPr>
                <w:rFonts w:hint="eastAsia" w:ascii="楷体" w:hAnsi="楷体" w:eastAsia="楷体" w:cs="楷体"/>
                <w:color w:val="auto"/>
                <w:sz w:val="21"/>
                <w:szCs w:val="21"/>
                <w:highlight w:val="none"/>
                <w:lang w:val="en-US" w:eastAsia="zh-CN"/>
              </w:rPr>
              <w:t>▲5</w:t>
            </w:r>
            <w:r>
              <w:rPr>
                <w:rFonts w:hint="eastAsia" w:ascii="楷体" w:hAnsi="楷体" w:eastAsia="楷体" w:cs="楷体"/>
                <w:color w:val="auto"/>
                <w:sz w:val="21"/>
                <w:szCs w:val="21"/>
                <w:highlight w:val="none"/>
                <w:lang w:eastAsia="zh-CN"/>
              </w:rPr>
              <w:t>.1</w:t>
            </w:r>
            <w:r>
              <w:rPr>
                <w:rFonts w:hint="eastAsia" w:ascii="楷体" w:hAnsi="楷体" w:eastAsia="楷体" w:cs="楷体"/>
                <w:color w:val="auto"/>
                <w:sz w:val="21"/>
                <w:szCs w:val="21"/>
                <w:highlight w:val="none"/>
              </w:rPr>
              <w:t>.</w:t>
            </w:r>
            <w:r>
              <w:rPr>
                <w:rFonts w:hint="eastAsia" w:ascii="楷体" w:hAnsi="楷体" w:eastAsia="楷体" w:cs="楷体"/>
                <w:color w:val="auto"/>
                <w:sz w:val="21"/>
                <w:szCs w:val="21"/>
                <w:highlight w:val="none"/>
                <w:lang w:eastAsia="zh-CN"/>
              </w:rPr>
              <w:t>检每个通道都包括一个专用的检测器, 检测器为双光束设计，检测器和滤光片均与水平面不小于30°倾斜式设计，更换方便。</w:t>
            </w:r>
            <w:r>
              <w:rPr>
                <w:rFonts w:hint="eastAsia" w:ascii="楷体" w:hAnsi="楷体" w:eastAsia="楷体" w:cs="楷体"/>
                <w:b/>
                <w:bCs/>
                <w:color w:val="auto"/>
                <w:sz w:val="21"/>
                <w:szCs w:val="21"/>
                <w:highlight w:val="none"/>
                <w:lang w:eastAsia="zh-CN"/>
              </w:rPr>
              <w:t>（提供仪器30°倾斜式设计结构图）</w:t>
            </w:r>
          </w:p>
          <w:p w14:paraId="2F7EF03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b/>
                <w:bCs/>
                <w:color w:val="auto"/>
                <w:sz w:val="21"/>
                <w:szCs w:val="21"/>
                <w:highlight w:val="none"/>
              </w:rPr>
            </w:pPr>
            <w:r>
              <w:rPr>
                <w:rFonts w:hint="eastAsia" w:ascii="楷体" w:hAnsi="楷体" w:eastAsia="楷体" w:cs="楷体"/>
                <w:b/>
                <w:bCs/>
                <w:color w:val="auto"/>
                <w:sz w:val="21"/>
                <w:szCs w:val="21"/>
                <w:highlight w:val="none"/>
              </w:rPr>
              <w:t>★</w:t>
            </w:r>
            <w:r>
              <w:rPr>
                <w:rFonts w:hint="eastAsia" w:ascii="楷体" w:hAnsi="楷体" w:eastAsia="楷体" w:cs="楷体"/>
                <w:color w:val="auto"/>
                <w:sz w:val="21"/>
                <w:szCs w:val="21"/>
                <w:highlight w:val="none"/>
              </w:rPr>
              <w:t>5.</w:t>
            </w:r>
            <w:r>
              <w:rPr>
                <w:rFonts w:hint="eastAsia" w:ascii="楷体" w:hAnsi="楷体" w:eastAsia="楷体" w:cs="楷体"/>
                <w:color w:val="auto"/>
                <w:sz w:val="21"/>
                <w:szCs w:val="21"/>
                <w:highlight w:val="none"/>
                <w:lang w:val="en-US" w:eastAsia="zh-CN"/>
              </w:rPr>
              <w:t>2</w:t>
            </w:r>
            <w:r>
              <w:rPr>
                <w:rFonts w:hint="eastAsia" w:ascii="楷体" w:hAnsi="楷体" w:eastAsia="楷体" w:cs="楷体"/>
                <w:color w:val="auto"/>
                <w:sz w:val="21"/>
                <w:szCs w:val="21"/>
                <w:highlight w:val="none"/>
              </w:rPr>
              <w:t>蠕动泵：整体压块式设计，压块可分为2个不同压力的区域，方便应对不同规格泵管时的压力调节。泵管进样方向和化学反应流路方向相同，蠕动泵与前处理蒸馏萃取装置保持不小于15cm高度压差，便于消除管路气泡。</w:t>
            </w:r>
            <w:r>
              <w:rPr>
                <w:rFonts w:hint="eastAsia" w:ascii="楷体" w:hAnsi="楷体" w:eastAsia="楷体" w:cs="楷体"/>
                <w:b/>
                <w:bCs/>
                <w:color w:val="auto"/>
                <w:sz w:val="21"/>
                <w:szCs w:val="21"/>
                <w:highlight w:val="none"/>
              </w:rPr>
              <w:t>（提供仪器蠕动泵与前处理蒸馏萃取装置保持不小于15cm高度压差结构图）</w:t>
            </w:r>
          </w:p>
          <w:p w14:paraId="4EAB8AB3">
            <w:pPr>
              <w:keepNext w:val="0"/>
              <w:keepLines w:val="0"/>
              <w:pageBreakBefore w:val="0"/>
              <w:kinsoku/>
              <w:wordWrap/>
              <w:overflowPunct/>
              <w:topLinePunct w:val="0"/>
              <w:autoSpaceDE/>
              <w:autoSpaceDN/>
              <w:bidi w:val="0"/>
              <w:adjustRightInd/>
              <w:snapToGrid/>
              <w:spacing w:line="360" w:lineRule="exact"/>
              <w:textAlignment w:val="auto"/>
              <w:rPr>
                <w:rFonts w:hint="eastAsia" w:ascii="楷体" w:hAnsi="楷体" w:eastAsia="楷体" w:cs="楷体"/>
                <w:b/>
                <w:bCs/>
                <w:color w:val="auto"/>
                <w:sz w:val="21"/>
                <w:szCs w:val="21"/>
                <w:highlight w:val="none"/>
              </w:rPr>
            </w:pPr>
            <w:r>
              <w:rPr>
                <w:rFonts w:hint="eastAsia" w:ascii="楷体" w:hAnsi="楷体" w:eastAsia="楷体" w:cs="楷体"/>
                <w:color w:val="auto"/>
                <w:sz w:val="21"/>
                <w:szCs w:val="21"/>
                <w:highlight w:val="none"/>
                <w:lang w:val="en-US" w:eastAsia="zh-CN"/>
              </w:rPr>
              <w:t>▲</w:t>
            </w:r>
            <w:r>
              <w:rPr>
                <w:rFonts w:hint="eastAsia" w:ascii="楷体" w:hAnsi="楷体" w:eastAsia="楷体" w:cs="楷体"/>
                <w:color w:val="auto"/>
                <w:sz w:val="21"/>
                <w:szCs w:val="21"/>
                <w:highlight w:val="none"/>
              </w:rPr>
              <w:t>5.</w:t>
            </w:r>
            <w:r>
              <w:rPr>
                <w:rFonts w:hint="eastAsia" w:ascii="楷体" w:hAnsi="楷体" w:eastAsia="楷体" w:cs="楷体"/>
                <w:color w:val="auto"/>
                <w:sz w:val="21"/>
                <w:szCs w:val="21"/>
                <w:highlight w:val="none"/>
                <w:lang w:val="en-US" w:eastAsia="zh-CN"/>
              </w:rPr>
              <w:t>3</w:t>
            </w:r>
            <w:r>
              <w:rPr>
                <w:rFonts w:hint="eastAsia" w:ascii="楷体" w:hAnsi="楷体" w:eastAsia="楷体" w:cs="楷体"/>
                <w:color w:val="auto"/>
                <w:sz w:val="21"/>
                <w:szCs w:val="21"/>
                <w:highlight w:val="none"/>
              </w:rPr>
              <w:t>主机一体式自动进样器：主机进样器不可拆分，中间无共用电缆，进样器和主机通道同一电源控制开关，样品位大于等于60位。</w:t>
            </w:r>
            <w:r>
              <w:rPr>
                <w:rFonts w:hint="eastAsia" w:ascii="楷体" w:hAnsi="楷体" w:eastAsia="楷体" w:cs="楷体"/>
                <w:b/>
                <w:bCs/>
                <w:color w:val="auto"/>
                <w:sz w:val="21"/>
                <w:szCs w:val="21"/>
                <w:highlight w:val="none"/>
              </w:rPr>
              <w:t>（提供技术证明文件）</w:t>
            </w:r>
          </w:p>
          <w:p w14:paraId="5F2D2D3A">
            <w:pPr>
              <w:keepNext w:val="0"/>
              <w:keepLines w:val="0"/>
              <w:pageBreakBefore w:val="0"/>
              <w:kinsoku/>
              <w:wordWrap/>
              <w:overflowPunct/>
              <w:topLinePunct w:val="0"/>
              <w:autoSpaceDE/>
              <w:autoSpaceDN/>
              <w:bidi w:val="0"/>
              <w:adjustRightInd/>
              <w:snapToGrid/>
              <w:spacing w:line="360" w:lineRule="exac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lang w:val="en-US" w:eastAsia="zh-CN"/>
              </w:rPr>
              <w:t>6.</w:t>
            </w:r>
            <w:r>
              <w:rPr>
                <w:rFonts w:hint="eastAsia" w:ascii="楷体" w:hAnsi="楷体" w:eastAsia="楷体" w:cs="楷体"/>
                <w:color w:val="auto"/>
                <w:sz w:val="21"/>
                <w:szCs w:val="21"/>
                <w:highlight w:val="none"/>
              </w:rPr>
              <w:t>采用中文控制软件，直接在WINDOWS下操作。内置方法参数，界面简洁，一键式操作，不采用繁琐的导航式，无需一步一步设置，实验前不需进行繁杂的设置。</w:t>
            </w:r>
          </w:p>
          <w:p w14:paraId="5281379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lang w:val="en-US" w:eastAsia="zh-CN"/>
              </w:rPr>
            </w:pPr>
            <w:r>
              <w:rPr>
                <w:rFonts w:hint="eastAsia" w:ascii="楷体" w:hAnsi="楷体" w:eastAsia="楷体" w:cs="楷体"/>
                <w:color w:val="auto"/>
                <w:sz w:val="21"/>
                <w:szCs w:val="21"/>
                <w:highlight w:val="none"/>
                <w:lang w:val="en-US" w:eastAsia="zh-CN"/>
              </w:rPr>
              <w:t>7</w:t>
            </w:r>
            <w:r>
              <w:rPr>
                <w:rFonts w:hint="eastAsia" w:ascii="楷体" w:hAnsi="楷体" w:eastAsia="楷体" w:cs="楷体"/>
                <w:color w:val="auto"/>
                <w:sz w:val="21"/>
                <w:szCs w:val="21"/>
                <w:highlight w:val="none"/>
              </w:rPr>
              <w:t>.</w:t>
            </w:r>
            <w:r>
              <w:rPr>
                <w:rFonts w:hint="eastAsia" w:ascii="楷体" w:hAnsi="楷体" w:eastAsia="楷体" w:cs="楷体"/>
                <w:color w:val="auto"/>
                <w:sz w:val="21"/>
                <w:szCs w:val="21"/>
                <w:highlight w:val="none"/>
                <w:lang w:val="en-US" w:eastAsia="zh-CN"/>
              </w:rPr>
              <w:t>服务要求：</w:t>
            </w:r>
          </w:p>
          <w:p w14:paraId="27D8061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7.1 质保期：验收合格后 1年，保修期外：终身负责提供技术支持，保证仪器的正常工作，免“上门费”，如有更新的软件免费提供给买方。</w:t>
            </w:r>
          </w:p>
          <w:p w14:paraId="57D1C532">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7.2培训：仪器安装现场对用户人员进行培训，每年对客户免费进行至少两次的回访。</w:t>
            </w:r>
          </w:p>
          <w:p w14:paraId="562DA949">
            <w:pPr>
              <w:keepNext w:val="0"/>
              <w:keepLines w:val="0"/>
              <w:pageBreakBefore w:val="0"/>
              <w:numPr>
                <w:ilvl w:val="0"/>
                <w:numId w:val="2"/>
              </w:numPr>
              <w:kinsoku/>
              <w:wordWrap/>
              <w:overflowPunct/>
              <w:topLinePunct w:val="0"/>
              <w:autoSpaceDE/>
              <w:autoSpaceDN/>
              <w:bidi w:val="0"/>
              <w:adjustRightInd/>
              <w:snapToGrid/>
              <w:spacing w:line="360" w:lineRule="exac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仪器配置要求</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4661"/>
              <w:gridCol w:w="991"/>
            </w:tblGrid>
            <w:tr w14:paraId="1E40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noWrap w:val="0"/>
                  <w:vAlign w:val="center"/>
                </w:tcPr>
                <w:p w14:paraId="6D210C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序号</w:t>
                  </w:r>
                </w:p>
              </w:tc>
              <w:tc>
                <w:tcPr>
                  <w:tcW w:w="4661" w:type="dxa"/>
                  <w:noWrap w:val="0"/>
                  <w:vAlign w:val="top"/>
                </w:tcPr>
                <w:p w14:paraId="4B7E87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名称</w:t>
                  </w:r>
                </w:p>
              </w:tc>
              <w:tc>
                <w:tcPr>
                  <w:tcW w:w="991" w:type="dxa"/>
                  <w:noWrap w:val="0"/>
                  <w:vAlign w:val="center"/>
                </w:tcPr>
                <w:p w14:paraId="2EE359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数量</w:t>
                  </w:r>
                </w:p>
              </w:tc>
            </w:tr>
            <w:tr w14:paraId="14CF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noWrap w:val="0"/>
                  <w:vAlign w:val="center"/>
                </w:tcPr>
                <w:p w14:paraId="74FAB2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w:t>
                  </w:r>
                </w:p>
              </w:tc>
              <w:tc>
                <w:tcPr>
                  <w:tcW w:w="4661" w:type="dxa"/>
                  <w:noWrap w:val="0"/>
                  <w:vAlign w:val="top"/>
                </w:tcPr>
                <w:p w14:paraId="12CFC8D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全自动</w:t>
                  </w:r>
                  <w:r>
                    <w:rPr>
                      <w:rFonts w:hint="eastAsia" w:ascii="楷体" w:hAnsi="楷体" w:eastAsia="楷体" w:cs="楷体"/>
                      <w:color w:val="auto"/>
                      <w:sz w:val="21"/>
                      <w:szCs w:val="21"/>
                      <w:highlight w:val="none"/>
                      <w:lang w:val="en-US" w:eastAsia="zh-CN"/>
                    </w:rPr>
                    <w:t>氰化物</w:t>
                  </w:r>
                  <w:r>
                    <w:rPr>
                      <w:rFonts w:hint="eastAsia" w:ascii="楷体" w:hAnsi="楷体" w:eastAsia="楷体" w:cs="楷体"/>
                      <w:color w:val="auto"/>
                      <w:sz w:val="21"/>
                      <w:szCs w:val="21"/>
                      <w:highlight w:val="none"/>
                    </w:rPr>
                    <w:t>分析通道</w:t>
                  </w:r>
                </w:p>
              </w:tc>
              <w:tc>
                <w:tcPr>
                  <w:tcW w:w="991" w:type="dxa"/>
                  <w:noWrap w:val="0"/>
                  <w:vAlign w:val="top"/>
                </w:tcPr>
                <w:p w14:paraId="05354A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1台</w:t>
                  </w:r>
                </w:p>
              </w:tc>
            </w:tr>
            <w:tr w14:paraId="1C65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noWrap w:val="0"/>
                  <w:vAlign w:val="center"/>
                </w:tcPr>
                <w:p w14:paraId="457BF2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2</w:t>
                  </w:r>
                </w:p>
              </w:tc>
              <w:tc>
                <w:tcPr>
                  <w:tcW w:w="4661" w:type="dxa"/>
                  <w:noWrap w:val="0"/>
                  <w:vAlign w:val="top"/>
                </w:tcPr>
                <w:p w14:paraId="5F4BC9A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全自动</w:t>
                  </w:r>
                  <w:r>
                    <w:rPr>
                      <w:rFonts w:hint="eastAsia" w:ascii="楷体" w:hAnsi="楷体" w:eastAsia="楷体" w:cs="楷体"/>
                      <w:color w:val="auto"/>
                      <w:sz w:val="21"/>
                      <w:szCs w:val="21"/>
                      <w:highlight w:val="none"/>
                      <w:lang w:val="en-US" w:eastAsia="zh-CN"/>
                    </w:rPr>
                    <w:t>多参数</w:t>
                  </w:r>
                  <w:r>
                    <w:rPr>
                      <w:rFonts w:hint="eastAsia" w:ascii="楷体" w:hAnsi="楷体" w:eastAsia="楷体" w:cs="楷体"/>
                      <w:color w:val="auto"/>
                      <w:sz w:val="21"/>
                      <w:szCs w:val="21"/>
                      <w:highlight w:val="none"/>
                    </w:rPr>
                    <w:t>分析通道</w:t>
                  </w:r>
                </w:p>
              </w:tc>
              <w:tc>
                <w:tcPr>
                  <w:tcW w:w="991" w:type="dxa"/>
                  <w:noWrap w:val="0"/>
                  <w:vAlign w:val="top"/>
                </w:tcPr>
                <w:p w14:paraId="37FCD6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1台</w:t>
                  </w:r>
                </w:p>
              </w:tc>
            </w:tr>
            <w:tr w14:paraId="778D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noWrap w:val="0"/>
                  <w:vAlign w:val="center"/>
                </w:tcPr>
                <w:p w14:paraId="7A7264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lang w:val="en-US" w:eastAsia="zh-CN"/>
                    </w:rPr>
                  </w:pPr>
                  <w:r>
                    <w:rPr>
                      <w:rFonts w:hint="eastAsia" w:ascii="楷体" w:hAnsi="楷体" w:eastAsia="楷体" w:cs="楷体"/>
                      <w:color w:val="auto"/>
                      <w:sz w:val="21"/>
                      <w:szCs w:val="21"/>
                      <w:highlight w:val="none"/>
                      <w:lang w:val="en-US" w:eastAsia="zh-CN"/>
                    </w:rPr>
                    <w:t>3</w:t>
                  </w:r>
                </w:p>
              </w:tc>
              <w:tc>
                <w:tcPr>
                  <w:tcW w:w="4661" w:type="dxa"/>
                  <w:noWrap w:val="0"/>
                  <w:vAlign w:val="top"/>
                </w:tcPr>
                <w:p w14:paraId="11FC97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lang w:eastAsia="zh-CN"/>
                    </w:rPr>
                  </w:pPr>
                  <w:r>
                    <w:rPr>
                      <w:rFonts w:hint="eastAsia" w:ascii="楷体" w:hAnsi="楷体" w:eastAsia="楷体" w:cs="楷体"/>
                      <w:color w:val="auto"/>
                      <w:sz w:val="21"/>
                      <w:szCs w:val="21"/>
                      <w:highlight w:val="none"/>
                      <w:lang w:eastAsia="zh-CN"/>
                    </w:rPr>
                    <w:t>主机一体式自动进样器</w:t>
                  </w:r>
                </w:p>
              </w:tc>
              <w:tc>
                <w:tcPr>
                  <w:tcW w:w="991" w:type="dxa"/>
                  <w:noWrap w:val="0"/>
                  <w:vAlign w:val="top"/>
                </w:tcPr>
                <w:p w14:paraId="339747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lang w:val="en-US" w:eastAsia="zh-CN"/>
                    </w:rPr>
                  </w:pPr>
                  <w:r>
                    <w:rPr>
                      <w:rFonts w:hint="eastAsia" w:ascii="楷体" w:hAnsi="楷体" w:eastAsia="楷体" w:cs="楷体"/>
                      <w:color w:val="auto"/>
                      <w:sz w:val="21"/>
                      <w:szCs w:val="21"/>
                      <w:highlight w:val="none"/>
                      <w:lang w:val="en-US" w:eastAsia="zh-CN"/>
                    </w:rPr>
                    <w:t>2台</w:t>
                  </w:r>
                </w:p>
              </w:tc>
            </w:tr>
            <w:tr w14:paraId="20C5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noWrap w:val="0"/>
                  <w:vAlign w:val="center"/>
                </w:tcPr>
                <w:p w14:paraId="64495C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lang w:eastAsia="zh-CN"/>
                    </w:rPr>
                  </w:pPr>
                  <w:r>
                    <w:rPr>
                      <w:rFonts w:hint="eastAsia" w:ascii="楷体" w:hAnsi="楷体" w:eastAsia="楷体" w:cs="楷体"/>
                      <w:color w:val="auto"/>
                      <w:sz w:val="21"/>
                      <w:szCs w:val="21"/>
                      <w:highlight w:val="none"/>
                      <w:lang w:val="en-US" w:eastAsia="zh-CN"/>
                    </w:rPr>
                    <w:t>4</w:t>
                  </w:r>
                </w:p>
              </w:tc>
              <w:tc>
                <w:tcPr>
                  <w:tcW w:w="4661" w:type="dxa"/>
                  <w:noWrap w:val="0"/>
                  <w:vAlign w:val="top"/>
                </w:tcPr>
                <w:p w14:paraId="2F57365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lang w:val="en-US" w:eastAsia="zh-CN"/>
                    </w:rPr>
                  </w:pPr>
                  <w:r>
                    <w:rPr>
                      <w:rFonts w:hint="eastAsia" w:ascii="楷体" w:hAnsi="楷体" w:eastAsia="楷体" w:cs="楷体"/>
                      <w:color w:val="auto"/>
                      <w:sz w:val="21"/>
                      <w:szCs w:val="21"/>
                      <w:highlight w:val="none"/>
                      <w:lang w:val="en-US" w:eastAsia="zh-CN"/>
                    </w:rPr>
                    <w:t>电脑、打印机</w:t>
                  </w:r>
                </w:p>
              </w:tc>
              <w:tc>
                <w:tcPr>
                  <w:tcW w:w="991" w:type="dxa"/>
                  <w:noWrap w:val="0"/>
                  <w:vAlign w:val="center"/>
                </w:tcPr>
                <w:p w14:paraId="23F3F0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1套</w:t>
                  </w:r>
                </w:p>
              </w:tc>
            </w:tr>
            <w:tr w14:paraId="2A34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noWrap w:val="0"/>
                  <w:vAlign w:val="center"/>
                </w:tcPr>
                <w:p w14:paraId="41FB40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lang w:val="en-US" w:eastAsia="zh-CN"/>
                    </w:rPr>
                  </w:pPr>
                  <w:r>
                    <w:rPr>
                      <w:rFonts w:hint="eastAsia" w:ascii="楷体" w:hAnsi="楷体" w:eastAsia="楷体" w:cs="楷体"/>
                      <w:color w:val="auto"/>
                      <w:sz w:val="21"/>
                      <w:szCs w:val="21"/>
                      <w:highlight w:val="none"/>
                      <w:lang w:val="en-US" w:eastAsia="zh-CN"/>
                    </w:rPr>
                    <w:t>5</w:t>
                  </w:r>
                </w:p>
              </w:tc>
              <w:tc>
                <w:tcPr>
                  <w:tcW w:w="4661" w:type="dxa"/>
                  <w:noWrap w:val="0"/>
                  <w:vAlign w:val="top"/>
                </w:tcPr>
                <w:p w14:paraId="032E35D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说明书：软件、仪器及方法说明</w:t>
                  </w:r>
                </w:p>
              </w:tc>
              <w:tc>
                <w:tcPr>
                  <w:tcW w:w="991" w:type="dxa"/>
                  <w:noWrap w:val="0"/>
                  <w:vAlign w:val="center"/>
                </w:tcPr>
                <w:p w14:paraId="2FC200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rPr>
                    <w:t>1套</w:t>
                  </w:r>
                </w:p>
              </w:tc>
            </w:tr>
            <w:tr w14:paraId="0C54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noWrap w:val="0"/>
                  <w:vAlign w:val="center"/>
                </w:tcPr>
                <w:p w14:paraId="044D65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lang w:val="en-US" w:eastAsia="zh-CN"/>
                    </w:rPr>
                  </w:pPr>
                  <w:r>
                    <w:rPr>
                      <w:rFonts w:hint="eastAsia" w:ascii="楷体" w:hAnsi="楷体" w:eastAsia="楷体" w:cs="楷体"/>
                      <w:color w:val="auto"/>
                      <w:sz w:val="21"/>
                      <w:szCs w:val="21"/>
                      <w:highlight w:val="none"/>
                      <w:lang w:val="en-US" w:eastAsia="zh-CN"/>
                    </w:rPr>
                    <w:t>6</w:t>
                  </w:r>
                </w:p>
              </w:tc>
              <w:tc>
                <w:tcPr>
                  <w:tcW w:w="4661" w:type="dxa"/>
                  <w:noWrap w:val="0"/>
                  <w:vAlign w:val="top"/>
                </w:tcPr>
                <w:p w14:paraId="5F2AF76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楷体" w:hAnsi="楷体" w:eastAsia="楷体" w:cs="楷体"/>
                      <w:color w:val="auto"/>
                      <w:sz w:val="21"/>
                      <w:szCs w:val="21"/>
                      <w:highlight w:val="none"/>
                      <w:lang w:val="en-US" w:eastAsia="zh-CN"/>
                    </w:rPr>
                  </w:pPr>
                  <w:r>
                    <w:rPr>
                      <w:rFonts w:hint="eastAsia" w:ascii="楷体" w:hAnsi="楷体" w:eastAsia="楷体" w:cs="楷体"/>
                      <w:color w:val="auto"/>
                      <w:sz w:val="21"/>
                      <w:szCs w:val="21"/>
                      <w:highlight w:val="none"/>
                      <w:lang w:val="en-US" w:eastAsia="zh-CN"/>
                    </w:rPr>
                    <w:t>方法试剂包</w:t>
                  </w:r>
                </w:p>
              </w:tc>
              <w:tc>
                <w:tcPr>
                  <w:tcW w:w="991" w:type="dxa"/>
                  <w:noWrap w:val="0"/>
                  <w:vAlign w:val="center"/>
                </w:tcPr>
                <w:p w14:paraId="56B1B2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lang w:val="en-US" w:eastAsia="zh-CN"/>
                    </w:rPr>
                    <w:t>2</w:t>
                  </w:r>
                  <w:r>
                    <w:rPr>
                      <w:rFonts w:hint="eastAsia" w:ascii="楷体" w:hAnsi="楷体" w:eastAsia="楷体" w:cs="楷体"/>
                      <w:color w:val="auto"/>
                      <w:sz w:val="21"/>
                      <w:szCs w:val="21"/>
                      <w:highlight w:val="none"/>
                    </w:rPr>
                    <w:t>套</w:t>
                  </w:r>
                </w:p>
              </w:tc>
            </w:tr>
          </w:tbl>
          <w:p w14:paraId="7F215BE0">
            <w:pPr>
              <w:jc w:val="left"/>
              <w:rPr>
                <w:rFonts w:hint="eastAsia" w:ascii="楷体" w:hAnsi="楷体" w:eastAsia="楷体" w:cs="楷体"/>
                <w:color w:val="auto"/>
                <w:kern w:val="2"/>
                <w:sz w:val="21"/>
                <w:szCs w:val="21"/>
                <w:highlight w:val="none"/>
                <w:lang w:val="en-US" w:eastAsia="zh-CN" w:bidi="ar-SA"/>
              </w:rPr>
            </w:pPr>
          </w:p>
        </w:tc>
        <w:tc>
          <w:tcPr>
            <w:tcW w:w="962" w:type="dxa"/>
            <w:noWrap w:val="0"/>
            <w:vAlign w:val="center"/>
          </w:tcPr>
          <w:p w14:paraId="5DA2D92F">
            <w:pPr>
              <w:ind w:firstLine="210" w:firstLineChars="100"/>
              <w:jc w:val="both"/>
              <w:rPr>
                <w:rFonts w:hint="eastAsia" w:ascii="楷体" w:hAnsi="楷体" w:eastAsia="楷体" w:cs="楷体"/>
                <w:color w:val="auto"/>
                <w:kern w:val="2"/>
                <w:sz w:val="21"/>
                <w:szCs w:val="21"/>
                <w:highlight w:val="none"/>
                <w:lang w:val="en-US" w:eastAsia="zh-CN" w:bidi="ar-SA"/>
              </w:rPr>
            </w:pPr>
          </w:p>
        </w:tc>
      </w:tr>
      <w:tr w14:paraId="0D1F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969" w:type="dxa"/>
            <w:noWrap w:val="0"/>
            <w:vAlign w:val="center"/>
          </w:tcPr>
          <w:p w14:paraId="58F57CA4">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3</w:t>
            </w:r>
          </w:p>
        </w:tc>
        <w:tc>
          <w:tcPr>
            <w:tcW w:w="1613" w:type="dxa"/>
            <w:noWrap w:val="0"/>
            <w:vAlign w:val="center"/>
          </w:tcPr>
          <w:p w14:paraId="36CFFAF4">
            <w:pPr>
              <w:jc w:val="center"/>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万分之一天平</w:t>
            </w:r>
          </w:p>
        </w:tc>
        <w:tc>
          <w:tcPr>
            <w:tcW w:w="7095" w:type="dxa"/>
            <w:noWrap w:val="0"/>
            <w:vAlign w:val="top"/>
          </w:tcPr>
          <w:p w14:paraId="766B3B58">
            <w:pPr>
              <w:keepNext w:val="0"/>
              <w:keepLines w:val="0"/>
              <w:widowControl/>
              <w:numPr>
                <w:ilvl w:val="0"/>
                <w:numId w:val="3"/>
              </w:numPr>
              <w:suppressLineNumbers w:val="0"/>
              <w:jc w:val="left"/>
              <w:textAlignment w:val="top"/>
              <w:rPr>
                <w:rFonts w:hint="eastAsia" w:ascii="楷体" w:hAnsi="楷体" w:eastAsia="楷体" w:cs="楷体"/>
                <w:i w:val="0"/>
                <w:iCs w:val="0"/>
                <w:color w:val="auto"/>
                <w:kern w:val="2"/>
                <w:sz w:val="21"/>
                <w:szCs w:val="21"/>
                <w:highlight w:val="none"/>
                <w:u w:val="none"/>
                <w:lang w:val="en-US" w:eastAsia="zh-CN" w:bidi="ar-SA"/>
              </w:rPr>
            </w:pPr>
            <w:r>
              <w:rPr>
                <w:rFonts w:hint="eastAsia" w:ascii="楷体" w:hAnsi="楷体" w:eastAsia="楷体" w:cs="楷体"/>
                <w:i w:val="0"/>
                <w:iCs w:val="0"/>
                <w:color w:val="auto"/>
                <w:kern w:val="0"/>
                <w:sz w:val="21"/>
                <w:szCs w:val="21"/>
                <w:highlight w:val="none"/>
                <w:u w:val="none"/>
                <w:lang w:val="en-US" w:eastAsia="zh-CN" w:bidi="ar"/>
              </w:rPr>
              <w:t>称量原理：电磁力平衡式分析天平；量程≥200g，可读性 0.0001g（0.1mg）。</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2、重复性误差≤±0.0002g；线性误差≤±0.0003g。</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3、校准方式：外部校准，配套标准外校砝码。</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4、防风罩配置：四面高透明玻璃防风罩，秤盘尺寸≥80mm。</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5、显示配置：</w:t>
            </w:r>
            <w:r>
              <w:rPr>
                <w:rFonts w:hint="eastAsia" w:ascii="楷体" w:hAnsi="楷体" w:eastAsia="楷体" w:cs="楷体"/>
                <w:b/>
                <w:bCs/>
                <w:i w:val="0"/>
                <w:iCs w:val="0"/>
                <w:color w:val="auto"/>
                <w:kern w:val="0"/>
                <w:sz w:val="21"/>
                <w:szCs w:val="21"/>
                <w:highlight w:val="none"/>
                <w:u w:val="none"/>
                <w:lang w:val="en-US" w:eastAsia="zh-CN" w:bidi="ar"/>
              </w:rPr>
              <w:t>≥4.8 英寸</w:t>
            </w:r>
            <w:r>
              <w:rPr>
                <w:rFonts w:hint="eastAsia" w:ascii="楷体" w:hAnsi="楷体" w:eastAsia="楷体" w:cs="楷体"/>
                <w:i w:val="0"/>
                <w:iCs w:val="0"/>
                <w:color w:val="auto"/>
                <w:kern w:val="0"/>
                <w:sz w:val="21"/>
                <w:szCs w:val="21"/>
                <w:highlight w:val="none"/>
                <w:u w:val="none"/>
                <w:lang w:val="en-US" w:eastAsia="zh-CN" w:bidi="ar"/>
              </w:rPr>
              <w:t xml:space="preserve"> LCD 高清显示屏。</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6、机身底座：全铝底座，底座厚度≥3.8mm；传感器采用独立密封屏蔽式安装。</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7、具备去皮、稳定判别、计数、称量单位切换等常用功能。</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8、整机外壳采用防尘结构，棱角斜边高亮处理工艺。</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9、具备数据输出接口，支持外接打印机、计算机导出称量数据。</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10、质保服务：整机原厂质保≥12 个月，提供上门安装调试与现场操作培训。</w:t>
            </w:r>
          </w:p>
        </w:tc>
        <w:tc>
          <w:tcPr>
            <w:tcW w:w="962" w:type="dxa"/>
            <w:noWrap w:val="0"/>
            <w:vAlign w:val="center"/>
          </w:tcPr>
          <w:p w14:paraId="566AE0DC">
            <w:pPr>
              <w:ind w:firstLine="210" w:firstLineChars="100"/>
              <w:jc w:val="both"/>
              <w:rPr>
                <w:rFonts w:hint="eastAsia" w:ascii="楷体" w:hAnsi="楷体" w:eastAsia="楷体" w:cs="楷体"/>
                <w:color w:val="auto"/>
                <w:kern w:val="2"/>
                <w:sz w:val="21"/>
                <w:szCs w:val="21"/>
                <w:highlight w:val="none"/>
                <w:lang w:val="en-US" w:eastAsia="zh-CN" w:bidi="ar-SA"/>
              </w:rPr>
            </w:pPr>
          </w:p>
        </w:tc>
      </w:tr>
      <w:tr w14:paraId="5B52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969" w:type="dxa"/>
            <w:noWrap w:val="0"/>
            <w:vAlign w:val="center"/>
          </w:tcPr>
          <w:p w14:paraId="49A43014">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4</w:t>
            </w:r>
          </w:p>
        </w:tc>
        <w:tc>
          <w:tcPr>
            <w:tcW w:w="1613" w:type="dxa"/>
            <w:noWrap w:val="0"/>
            <w:vAlign w:val="center"/>
          </w:tcPr>
          <w:p w14:paraId="39FD9C09">
            <w:pPr>
              <w:jc w:val="center"/>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多参数水质分析仪</w:t>
            </w:r>
          </w:p>
        </w:tc>
        <w:tc>
          <w:tcPr>
            <w:tcW w:w="7095" w:type="dxa"/>
            <w:noWrap w:val="0"/>
            <w:vAlign w:val="center"/>
          </w:tcPr>
          <w:p w14:paraId="63B40A21">
            <w:pPr>
              <w:keepNext w:val="0"/>
              <w:keepLines w:val="0"/>
              <w:widowControl/>
              <w:suppressLineNumbers w:val="0"/>
              <w:jc w:val="left"/>
              <w:textAlignment w:val="center"/>
              <w:rPr>
                <w:rFonts w:hint="eastAsia" w:ascii="楷体" w:hAnsi="楷体" w:eastAsia="楷体" w:cs="楷体"/>
                <w:i w:val="0"/>
                <w:iCs w:val="0"/>
                <w:color w:val="auto"/>
                <w:kern w:val="2"/>
                <w:sz w:val="21"/>
                <w:szCs w:val="21"/>
                <w:highlight w:val="none"/>
                <w:u w:val="none"/>
                <w:lang w:val="en-US" w:eastAsia="zh-CN" w:bidi="ar-SA"/>
              </w:rPr>
            </w:pPr>
            <w:r>
              <w:rPr>
                <w:rFonts w:hint="eastAsia" w:ascii="楷体" w:hAnsi="楷体" w:eastAsia="楷体" w:cs="楷体"/>
                <w:i w:val="0"/>
                <w:iCs w:val="0"/>
                <w:color w:val="auto"/>
                <w:kern w:val="0"/>
                <w:sz w:val="21"/>
                <w:szCs w:val="21"/>
                <w:highlight w:val="none"/>
                <w:u w:val="none"/>
                <w:lang w:val="en-US" w:eastAsia="zh-CN" w:bidi="ar"/>
              </w:rPr>
              <w:t xml:space="preserve">  1. 测量范围：游离性余氯:0~5mg/L；总氯:0~15mg/L；二氧化氯:0~30mg/L；臭氧:0~50mg/L；</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PH 值 e:0~14；</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2. 示值误差：≤±3%</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3. 分辨率：0.001Abs</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4. 曲线数量：231</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5. 重复性：≤±2%</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6. 比色方式：16mm/25mm 比色管</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7. 主机显示屏：</w:t>
            </w:r>
            <w:r>
              <w:rPr>
                <w:rFonts w:hint="eastAsia" w:ascii="楷体" w:hAnsi="楷体" w:eastAsia="楷体" w:cs="楷体"/>
                <w:b/>
                <w:bCs/>
                <w:i w:val="0"/>
                <w:iCs w:val="0"/>
                <w:color w:val="auto"/>
                <w:kern w:val="0"/>
                <w:sz w:val="21"/>
                <w:szCs w:val="21"/>
                <w:highlight w:val="none"/>
                <w:u w:val="none"/>
                <w:lang w:val="en-US" w:eastAsia="zh-CN" w:bidi="ar"/>
              </w:rPr>
              <w:t>≥3.5英寸</w:t>
            </w:r>
            <w:r>
              <w:rPr>
                <w:rFonts w:hint="eastAsia" w:ascii="楷体" w:hAnsi="楷体" w:eastAsia="楷体" w:cs="楷体"/>
                <w:i w:val="0"/>
                <w:iCs w:val="0"/>
                <w:color w:val="auto"/>
                <w:kern w:val="0"/>
                <w:sz w:val="21"/>
                <w:szCs w:val="21"/>
                <w:highlight w:val="none"/>
                <w:u w:val="none"/>
                <w:lang w:val="en-US" w:eastAsia="zh-CN" w:bidi="ar"/>
              </w:rPr>
              <w:t>；彩色液晶屏</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8. 主机电池容量：</w:t>
            </w:r>
            <w:r>
              <w:rPr>
                <w:rFonts w:hint="eastAsia" w:ascii="楷体" w:hAnsi="楷体" w:eastAsia="楷体" w:cs="楷体"/>
                <w:b/>
                <w:bCs/>
                <w:i w:val="0"/>
                <w:iCs w:val="0"/>
                <w:color w:val="auto"/>
                <w:kern w:val="0"/>
                <w:sz w:val="21"/>
                <w:szCs w:val="21"/>
                <w:highlight w:val="none"/>
                <w:u w:val="none"/>
                <w:lang w:val="en-US" w:eastAsia="zh-CN" w:bidi="ar"/>
              </w:rPr>
              <w:t>不低于3.7V 3000mAh）</w:t>
            </w:r>
            <w:r>
              <w:rPr>
                <w:rFonts w:hint="eastAsia" w:ascii="楷体" w:hAnsi="楷体" w:eastAsia="楷体" w:cs="楷体"/>
                <w:b/>
                <w:bCs/>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9. 存储数据：</w:t>
            </w:r>
            <w:r>
              <w:rPr>
                <w:rFonts w:hint="eastAsia" w:ascii="楷体" w:hAnsi="楷体" w:eastAsia="楷体" w:cs="楷体"/>
                <w:b/>
                <w:bCs/>
                <w:i w:val="0"/>
                <w:iCs w:val="0"/>
                <w:color w:val="auto"/>
                <w:kern w:val="0"/>
                <w:sz w:val="21"/>
                <w:szCs w:val="21"/>
                <w:highlight w:val="none"/>
                <w:u w:val="none"/>
                <w:lang w:val="en-US" w:eastAsia="zh-CN" w:bidi="ar"/>
              </w:rPr>
              <w:t>≥4万组</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10. 充电方式：Type-C 充电接口，AC220V</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11. 打印机：外置蓝牙热敏行式打印机（选配）</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12. 环境温度：(5-40)℃</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13. 环境湿度：≤85%(无冷</w:t>
            </w:r>
          </w:p>
        </w:tc>
        <w:tc>
          <w:tcPr>
            <w:tcW w:w="962" w:type="dxa"/>
            <w:noWrap w:val="0"/>
            <w:vAlign w:val="center"/>
          </w:tcPr>
          <w:p w14:paraId="0EF55A5F">
            <w:pPr>
              <w:ind w:firstLine="210" w:firstLineChars="100"/>
              <w:jc w:val="both"/>
              <w:rPr>
                <w:rFonts w:hint="eastAsia" w:ascii="楷体" w:hAnsi="楷体" w:eastAsia="楷体" w:cs="楷体"/>
                <w:color w:val="auto"/>
                <w:kern w:val="2"/>
                <w:sz w:val="21"/>
                <w:szCs w:val="21"/>
                <w:highlight w:val="none"/>
                <w:lang w:val="en-US" w:eastAsia="zh-CN" w:bidi="ar-SA"/>
              </w:rPr>
            </w:pPr>
          </w:p>
        </w:tc>
      </w:tr>
      <w:tr w14:paraId="1D09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969" w:type="dxa"/>
            <w:noWrap w:val="0"/>
            <w:vAlign w:val="center"/>
          </w:tcPr>
          <w:p w14:paraId="2CAC4A48">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5</w:t>
            </w:r>
          </w:p>
        </w:tc>
        <w:tc>
          <w:tcPr>
            <w:tcW w:w="1613" w:type="dxa"/>
            <w:noWrap w:val="0"/>
            <w:vAlign w:val="center"/>
          </w:tcPr>
          <w:p w14:paraId="68FC80AB">
            <w:pPr>
              <w:jc w:val="center"/>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可见分光光度计</w:t>
            </w:r>
          </w:p>
        </w:tc>
        <w:tc>
          <w:tcPr>
            <w:tcW w:w="7095" w:type="dxa"/>
            <w:noWrap w:val="0"/>
            <w:vAlign w:val="top"/>
          </w:tcPr>
          <w:p w14:paraId="4FB42616">
            <w:pPr>
              <w:keepNext w:val="0"/>
              <w:keepLines w:val="0"/>
              <w:widowControl/>
              <w:suppressLineNumbers w:val="0"/>
              <w:jc w:val="left"/>
              <w:textAlignment w:val="top"/>
              <w:rPr>
                <w:rFonts w:hint="eastAsia" w:ascii="楷体" w:hAnsi="楷体" w:eastAsia="楷体" w:cs="楷体"/>
                <w:i w:val="0"/>
                <w:iCs w:val="0"/>
                <w:color w:val="auto"/>
                <w:kern w:val="2"/>
                <w:sz w:val="21"/>
                <w:szCs w:val="21"/>
                <w:highlight w:val="none"/>
                <w:u w:val="none"/>
                <w:lang w:val="en-US" w:eastAsia="zh-CN" w:bidi="ar-SA"/>
              </w:rPr>
            </w:pPr>
            <w:r>
              <w:rPr>
                <w:rFonts w:hint="eastAsia" w:ascii="楷体" w:hAnsi="楷体" w:eastAsia="楷体" w:cs="楷体"/>
                <w:color w:val="auto"/>
                <w:sz w:val="21"/>
                <w:szCs w:val="21"/>
                <w:highlight w:val="none"/>
                <w:u w:val="none"/>
                <w:lang w:val="en-US" w:eastAsia="zh-CN" w:bidi="ar"/>
              </w:rPr>
              <w:t>1、光谱带宽：2nm；波长范围：190nm～1100nm；波长准确度≤±0.3nm，波长重复性≤0.1nm。</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2、测光方式支持透过率、吸光度、能量、反射率测量；光度范围：0～999.9%(T)、-4A～4A、0～9999C、-1.9999F。</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3、光度准确度：≤±0.3%(T)（0～100% T）；≤±0.002A（0～0.5A）；≤±0.004A（0.5～1A）。</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4、光度重复性：≤0.15%(T)（0～100% T）；≤0.001A（0～0.5A）；≤0.002A（0.5～1A）。</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5、杂散光≤0.03%(T)（测试条件：220nm NaI、360nm NaNO₂）。</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6、稳定性≤±0.0004A/h（500nm，开机预热 30min）；噪声≤0.0003A。</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7、基线平直度≤±0.001A；导数分辨率＞0.5；扫描速度分为快、中、慢三档可调。</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8、显示系统：</w:t>
            </w:r>
            <w:r>
              <w:rPr>
                <w:rFonts w:hint="eastAsia" w:ascii="楷体" w:hAnsi="楷体" w:eastAsia="楷体" w:cs="楷体"/>
                <w:b/>
                <w:bCs/>
                <w:i w:val="0"/>
                <w:iCs w:val="0"/>
                <w:color w:val="auto"/>
                <w:kern w:val="0"/>
                <w:sz w:val="21"/>
                <w:szCs w:val="21"/>
                <w:highlight w:val="none"/>
                <w:u w:val="none"/>
                <w:lang w:val="en-US" w:eastAsia="zh-CN" w:bidi="ar"/>
              </w:rPr>
              <w:t>≥</w:t>
            </w:r>
            <w:r>
              <w:rPr>
                <w:rFonts w:hint="eastAsia" w:ascii="楷体" w:hAnsi="楷体" w:eastAsia="楷体" w:cs="楷体"/>
                <w:b/>
                <w:bCs/>
                <w:color w:val="auto"/>
                <w:sz w:val="21"/>
                <w:szCs w:val="21"/>
                <w:highlight w:val="none"/>
                <w:u w:val="none"/>
                <w:lang w:val="en-US" w:eastAsia="zh-CN" w:bidi="ar"/>
              </w:rPr>
              <w:t>6 英寸 ，</w:t>
            </w:r>
            <w:r>
              <w:rPr>
                <w:rFonts w:hint="eastAsia" w:ascii="楷体" w:hAnsi="楷体" w:eastAsia="楷体" w:cs="楷体"/>
                <w:color w:val="auto"/>
                <w:sz w:val="21"/>
                <w:szCs w:val="21"/>
                <w:highlight w:val="none"/>
                <w:u w:val="none"/>
                <w:lang w:val="en-US" w:eastAsia="zh-CN" w:bidi="ar"/>
              </w:rPr>
              <w:t>点阵背光数字 LCD 显示屏。</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9、光源配置：配置氘灯、长寿命卤钨灯；氘灯使用寿命≥2000 小时。</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10、光学系统：精密双光束光学系统，光学底板采用 8 毫米厚铝板；配置进口光电接收器。</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11、操作模式：具备主机独立测量模式、计算机软件控制测量模式两种工作模式。</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12、数据存储：单机模式扫描曲线可存储9条，工作曲线可存储9条；联机模式存储数量不限；开放式样品室，可拓展选配反射样品架、固体样品架、恒温浴装置、自动进样器。</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13、硬件接口：具备 USB、RS232C 串行通讯接口，配套打印接口，可连接电脑软件及外接打印机。</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14、配套定性定量分析软件：具备光谱测量、动力学测量、定量分析、DNA 测定、光谱扫描、峰谷检测、导数运算、多图谱对比功能；最多支持10条不同图谱同时对比显示，图谱可导出、打印。</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15、★质保要求：整机原厂质保不少于12个月，提供原厂技术支持、安装调试、操作培训；上门培训工程师需持有色谱或光谱学会的相关培训结业资料证明。</w:t>
            </w:r>
          </w:p>
        </w:tc>
        <w:tc>
          <w:tcPr>
            <w:tcW w:w="962" w:type="dxa"/>
            <w:noWrap w:val="0"/>
            <w:vAlign w:val="center"/>
          </w:tcPr>
          <w:p w14:paraId="005E7E26">
            <w:pPr>
              <w:ind w:firstLine="210" w:firstLineChars="100"/>
              <w:jc w:val="both"/>
              <w:rPr>
                <w:rFonts w:hint="eastAsia" w:ascii="楷体" w:hAnsi="楷体" w:eastAsia="楷体" w:cs="楷体"/>
                <w:color w:val="auto"/>
                <w:kern w:val="2"/>
                <w:sz w:val="21"/>
                <w:szCs w:val="21"/>
                <w:highlight w:val="none"/>
                <w:lang w:val="en-US" w:eastAsia="zh-CN" w:bidi="ar-SA"/>
              </w:rPr>
            </w:pPr>
          </w:p>
        </w:tc>
      </w:tr>
      <w:tr w14:paraId="46CB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969" w:type="dxa"/>
            <w:noWrap w:val="0"/>
            <w:vAlign w:val="center"/>
          </w:tcPr>
          <w:p w14:paraId="38B4E9B1">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6</w:t>
            </w:r>
          </w:p>
        </w:tc>
        <w:tc>
          <w:tcPr>
            <w:tcW w:w="1613" w:type="dxa"/>
            <w:noWrap w:val="0"/>
            <w:vAlign w:val="center"/>
          </w:tcPr>
          <w:p w14:paraId="76D63C65">
            <w:pPr>
              <w:jc w:val="center"/>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元素灯(原子吸收)铁、铜、锰、锌、铅、镉灯</w:t>
            </w:r>
          </w:p>
        </w:tc>
        <w:tc>
          <w:tcPr>
            <w:tcW w:w="7095" w:type="dxa"/>
            <w:noWrap w:val="0"/>
            <w:vAlign w:val="top"/>
          </w:tcPr>
          <w:p w14:paraId="61EBBA8B">
            <w:pPr>
              <w:keepNext w:val="0"/>
              <w:keepLines w:val="0"/>
              <w:widowControl/>
              <w:suppressLineNumbers w:val="0"/>
              <w:jc w:val="left"/>
              <w:textAlignment w:val="top"/>
              <w:rPr>
                <w:rFonts w:hint="eastAsia" w:ascii="楷体" w:hAnsi="楷体" w:eastAsia="楷体" w:cs="楷体"/>
                <w:i w:val="0"/>
                <w:iCs w:val="0"/>
                <w:color w:val="auto"/>
                <w:kern w:val="2"/>
                <w:sz w:val="21"/>
                <w:szCs w:val="21"/>
                <w:highlight w:val="none"/>
                <w:u w:val="none"/>
                <w:lang w:val="en-US" w:eastAsia="zh-CN" w:bidi="ar-SA"/>
              </w:rPr>
            </w:pPr>
            <w:r>
              <w:rPr>
                <w:rFonts w:hint="eastAsia" w:ascii="楷体" w:hAnsi="楷体" w:eastAsia="楷体" w:cs="楷体"/>
                <w:i w:val="0"/>
                <w:iCs w:val="0"/>
                <w:color w:val="auto"/>
                <w:kern w:val="0"/>
                <w:sz w:val="21"/>
                <w:szCs w:val="21"/>
                <w:highlight w:val="none"/>
                <w:u w:val="none"/>
                <w:lang w:val="en-US" w:eastAsia="zh-CN" w:bidi="ar"/>
              </w:rPr>
              <w:t>1、特征灵敏线波长：324.8 nm（Cu），波长偏差≤±0.1 nm；</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2、推荐工作电流：4 mA；</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3、最大允许工作电流 ≤15 mA；</w:t>
            </w:r>
            <w:r>
              <w:rPr>
                <w:rFonts w:hint="eastAsia" w:ascii="楷体" w:hAnsi="楷体" w:eastAsia="楷体" w:cs="楷体"/>
                <w:i w:val="0"/>
                <w:iCs w:val="0"/>
                <w:color w:val="auto"/>
                <w:kern w:val="0"/>
                <w:sz w:val="21"/>
                <w:szCs w:val="21"/>
                <w:highlight w:val="none"/>
                <w:u w:val="none"/>
                <w:lang w:val="en-US" w:eastAsia="zh-CN" w:bidi="ar"/>
              </w:rPr>
              <w:br w:type="textWrapping"/>
            </w:r>
            <w:r>
              <w:rPr>
                <w:rFonts w:hint="eastAsia" w:ascii="楷体" w:hAnsi="楷体" w:eastAsia="楷体" w:cs="楷体"/>
                <w:i w:val="0"/>
                <w:iCs w:val="0"/>
                <w:color w:val="auto"/>
                <w:kern w:val="0"/>
                <w:sz w:val="21"/>
                <w:szCs w:val="21"/>
                <w:highlight w:val="none"/>
                <w:u w:val="none"/>
                <w:lang w:val="en-US" w:eastAsia="zh-CN" w:bidi="ar"/>
              </w:rPr>
              <w:t>4、适用于 Cu、Fe、Mn、Zn、Pb、Cd 等元素原子吸收光谱分析。</w:t>
            </w:r>
          </w:p>
        </w:tc>
        <w:tc>
          <w:tcPr>
            <w:tcW w:w="962" w:type="dxa"/>
            <w:noWrap w:val="0"/>
            <w:vAlign w:val="center"/>
          </w:tcPr>
          <w:p w14:paraId="13CDBBD2">
            <w:pPr>
              <w:ind w:firstLine="210" w:firstLineChars="100"/>
              <w:jc w:val="both"/>
              <w:rPr>
                <w:rFonts w:hint="eastAsia" w:ascii="楷体" w:hAnsi="楷体" w:eastAsia="楷体" w:cs="楷体"/>
                <w:color w:val="auto"/>
                <w:kern w:val="2"/>
                <w:sz w:val="21"/>
                <w:szCs w:val="21"/>
                <w:highlight w:val="none"/>
                <w:lang w:val="en-US" w:eastAsia="zh-CN" w:bidi="ar-SA"/>
              </w:rPr>
            </w:pPr>
          </w:p>
        </w:tc>
      </w:tr>
      <w:tr w14:paraId="2EB6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969" w:type="dxa"/>
            <w:noWrap w:val="0"/>
            <w:vAlign w:val="center"/>
          </w:tcPr>
          <w:p w14:paraId="14CB786A">
            <w:pPr>
              <w:jc w:val="center"/>
              <w:rPr>
                <w:rFonts w:hint="eastAsia" w:ascii="楷体" w:hAnsi="楷体" w:eastAsia="楷体" w:cs="楷体"/>
                <w:bCs/>
                <w:color w:val="auto"/>
                <w:kern w:val="2"/>
                <w:sz w:val="21"/>
                <w:szCs w:val="21"/>
                <w:highlight w:val="none"/>
                <w:lang w:val="en-US" w:eastAsia="zh-CN" w:bidi="ar-SA"/>
              </w:rPr>
            </w:pPr>
            <w:r>
              <w:rPr>
                <w:rFonts w:hint="eastAsia" w:ascii="楷体" w:hAnsi="楷体" w:eastAsia="楷体" w:cs="楷体"/>
                <w:bCs/>
                <w:color w:val="auto"/>
                <w:kern w:val="2"/>
                <w:sz w:val="21"/>
                <w:szCs w:val="21"/>
                <w:highlight w:val="none"/>
                <w:lang w:val="en-US" w:eastAsia="zh-CN" w:bidi="ar-SA"/>
              </w:rPr>
              <w:t>7</w:t>
            </w:r>
          </w:p>
        </w:tc>
        <w:tc>
          <w:tcPr>
            <w:tcW w:w="1613" w:type="dxa"/>
            <w:noWrap w:val="0"/>
            <w:vAlign w:val="center"/>
          </w:tcPr>
          <w:p w14:paraId="40505B7B">
            <w:pPr>
              <w:jc w:val="center"/>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rPr>
              <w:t>元素灯(原子荧光)砷、汞、硒灯</w:t>
            </w:r>
          </w:p>
        </w:tc>
        <w:tc>
          <w:tcPr>
            <w:tcW w:w="7095" w:type="dxa"/>
            <w:noWrap w:val="0"/>
            <w:vAlign w:val="top"/>
          </w:tcPr>
          <w:p w14:paraId="56B41621">
            <w:pPr>
              <w:keepNext w:val="0"/>
              <w:keepLines w:val="0"/>
              <w:widowControl/>
              <w:suppressLineNumbers w:val="0"/>
              <w:jc w:val="left"/>
              <w:textAlignment w:val="top"/>
              <w:rPr>
                <w:rFonts w:hint="eastAsia" w:ascii="楷体" w:hAnsi="楷体" w:eastAsia="楷体" w:cs="楷体"/>
                <w:i w:val="0"/>
                <w:iCs w:val="0"/>
                <w:color w:val="auto"/>
                <w:kern w:val="2"/>
                <w:sz w:val="21"/>
                <w:szCs w:val="21"/>
                <w:highlight w:val="none"/>
                <w:u w:val="none"/>
                <w:lang w:val="en-US" w:eastAsia="zh-CN" w:bidi="ar-SA"/>
              </w:rPr>
            </w:pPr>
            <w:r>
              <w:rPr>
                <w:rFonts w:hint="eastAsia" w:ascii="楷体" w:hAnsi="楷体" w:eastAsia="楷体" w:cs="楷体"/>
                <w:color w:val="auto"/>
                <w:sz w:val="21"/>
                <w:szCs w:val="21"/>
                <w:highlight w:val="none"/>
                <w:u w:val="none"/>
                <w:lang w:val="en-US" w:eastAsia="zh-CN" w:bidi="ar"/>
              </w:rPr>
              <w:t>1、特征灵敏线波长：253.7 nm（Hg），波长偏差≤±0.1 nm；</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2、推荐工作电流：3 mA；</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3、最大允许工作电流 ≤8 mA；</w:t>
            </w:r>
            <w:r>
              <w:rPr>
                <w:rFonts w:hint="eastAsia" w:ascii="楷体" w:hAnsi="楷体" w:eastAsia="楷体" w:cs="楷体"/>
                <w:color w:val="auto"/>
                <w:sz w:val="21"/>
                <w:szCs w:val="21"/>
                <w:highlight w:val="none"/>
                <w:u w:val="none"/>
                <w:lang w:val="en-US" w:eastAsia="zh-CN" w:bidi="ar"/>
              </w:rPr>
              <w:br w:type="textWrapping"/>
            </w:r>
            <w:r>
              <w:rPr>
                <w:rFonts w:hint="eastAsia" w:ascii="楷体" w:hAnsi="楷体" w:eastAsia="楷体" w:cs="楷体"/>
                <w:color w:val="auto"/>
                <w:sz w:val="21"/>
                <w:szCs w:val="21"/>
                <w:highlight w:val="none"/>
                <w:u w:val="none"/>
                <w:lang w:val="en-US" w:eastAsia="zh-CN" w:bidi="ar"/>
              </w:rPr>
              <w:t>4、配套供应砷（As）、汞（Hg）、硒（Se）专用空心阴极灯，满足原子荧光检测需求。</w:t>
            </w:r>
          </w:p>
        </w:tc>
        <w:tc>
          <w:tcPr>
            <w:tcW w:w="962" w:type="dxa"/>
            <w:noWrap w:val="0"/>
            <w:vAlign w:val="center"/>
          </w:tcPr>
          <w:p w14:paraId="5EC365D0">
            <w:pPr>
              <w:ind w:firstLine="210" w:firstLineChars="100"/>
              <w:jc w:val="both"/>
              <w:rPr>
                <w:rFonts w:hint="eastAsia" w:ascii="楷体" w:hAnsi="楷体" w:eastAsia="楷体" w:cs="楷体"/>
                <w:color w:val="auto"/>
                <w:kern w:val="2"/>
                <w:sz w:val="21"/>
                <w:szCs w:val="21"/>
                <w:highlight w:val="none"/>
                <w:lang w:val="en-US" w:eastAsia="zh-CN" w:bidi="ar-SA"/>
              </w:rPr>
            </w:pPr>
          </w:p>
        </w:tc>
      </w:tr>
    </w:tbl>
    <w:p w14:paraId="1AB9370E">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08D22048">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3CAA9AF3">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5AEB77C4">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63F87163">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70350AA7">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41E22A42">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6C70FF3D">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26AF101C">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56266BEA">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4D590A05">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71EA3C6F">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5973EAF2">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0182F1F5">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7C091AA8">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5A481EC7">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2D3D7DA4">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33E9F436">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5C614D09">
      <w:pPr>
        <w:pStyle w:val="2"/>
        <w:widowControl/>
        <w:adjustRightInd w:val="0"/>
        <w:snapToGrid w:val="0"/>
        <w:jc w:val="center"/>
        <w:outlineLvl w:val="0"/>
        <w:rPr>
          <w:rFonts w:hint="default" w:ascii="楷体" w:hAnsi="楷体" w:eastAsia="楷体" w:cs="楷体"/>
          <w:b/>
          <w:color w:val="auto"/>
          <w:sz w:val="32"/>
          <w:szCs w:val="32"/>
          <w:highlight w:val="none"/>
          <w:lang w:val="en-US" w:eastAsia="zh-CN"/>
        </w:rPr>
      </w:pPr>
    </w:p>
    <w:p w14:paraId="73B5B625">
      <w:pPr>
        <w:keepNext w:val="0"/>
        <w:keepLines w:val="0"/>
        <w:pageBreakBefore w:val="0"/>
        <w:widowControl w:val="0"/>
        <w:kinsoku/>
        <w:wordWrap/>
        <w:overflowPunct/>
        <w:topLinePunct w:val="0"/>
        <w:autoSpaceDE w:val="0"/>
        <w:autoSpaceDN/>
        <w:bidi w:val="0"/>
        <w:adjustRightInd w:val="0"/>
        <w:snapToGrid w:val="0"/>
        <w:spacing w:line="360" w:lineRule="exact"/>
        <w:jc w:val="center"/>
        <w:textAlignment w:val="auto"/>
        <w:outlineLvl w:val="9"/>
        <w:rPr>
          <w:rFonts w:hint="eastAsia" w:ascii="楷体" w:hAnsi="楷体" w:eastAsia="楷体" w:cs="楷体"/>
          <w:b/>
          <w:bCs/>
          <w:color w:val="auto"/>
          <w:kern w:val="2"/>
          <w:sz w:val="28"/>
          <w:szCs w:val="28"/>
          <w:highlight w:val="none"/>
          <w:lang w:val="en-US" w:eastAsia="zh-CN" w:bidi="ar-SA"/>
        </w:rPr>
      </w:pPr>
      <w:r>
        <w:rPr>
          <w:rFonts w:hint="eastAsia" w:ascii="楷体" w:hAnsi="楷体" w:eastAsia="楷体" w:cs="楷体"/>
          <w:b/>
          <w:color w:val="auto"/>
          <w:kern w:val="2"/>
          <w:sz w:val="28"/>
          <w:szCs w:val="28"/>
          <w:highlight w:val="none"/>
          <w:lang w:val="en-US" w:eastAsia="zh-CN"/>
        </w:rPr>
        <w:t>第三节 商务要求</w:t>
      </w:r>
    </w:p>
    <w:p w14:paraId="563BDB0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right="0" w:rightChars="0"/>
        <w:jc w:val="both"/>
        <w:textAlignment w:val="auto"/>
        <w:outlineLvl w:val="9"/>
        <w:rPr>
          <w:rFonts w:hint="eastAsia" w:ascii="楷体" w:hAnsi="楷体" w:eastAsia="楷体" w:cs="楷体"/>
          <w:b/>
          <w:color w:val="auto"/>
          <w:kern w:val="2"/>
          <w:sz w:val="24"/>
          <w:szCs w:val="24"/>
          <w:highlight w:val="none"/>
          <w:lang w:val="en-US"/>
        </w:rPr>
      </w:pPr>
      <w:r>
        <w:rPr>
          <w:rFonts w:hint="eastAsia" w:ascii="楷体" w:hAnsi="楷体" w:eastAsia="楷体" w:cs="楷体"/>
          <w:b/>
          <w:color w:val="auto"/>
          <w:kern w:val="2"/>
          <w:sz w:val="24"/>
          <w:szCs w:val="24"/>
          <w:highlight w:val="none"/>
          <w:lang w:val="en-US" w:eastAsia="zh-CN"/>
        </w:rPr>
        <w:t>一、交货期、付款方式说明</w:t>
      </w:r>
    </w:p>
    <w:p w14:paraId="61789AD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beforeAutospacing="0" w:line="400" w:lineRule="exact"/>
        <w:ind w:left="0" w:leftChars="0" w:right="0" w:rightChars="0" w:firstLine="480" w:firstLineChars="200"/>
        <w:jc w:val="both"/>
        <w:textAlignment w:val="auto"/>
        <w:outlineLvl w:val="9"/>
        <w:rPr>
          <w:rFonts w:hint="eastAsia" w:ascii="楷体" w:hAnsi="楷体" w:eastAsia="楷体" w:cs="楷体"/>
          <w:b w:val="0"/>
          <w:bCs/>
          <w:color w:val="auto"/>
          <w:kern w:val="2"/>
          <w:sz w:val="24"/>
          <w:szCs w:val="24"/>
          <w:highlight w:val="none"/>
          <w:u w:val="single"/>
          <w:lang w:val="en-US" w:eastAsia="zh-CN" w:bidi="ar-SA"/>
        </w:rPr>
      </w:pPr>
      <w:bookmarkStart w:id="2" w:name="_Toc5406"/>
      <w:r>
        <w:rPr>
          <w:rFonts w:hint="eastAsia" w:ascii="楷体" w:hAnsi="楷体" w:eastAsia="楷体" w:cs="楷体"/>
          <w:color w:val="auto"/>
          <w:kern w:val="2"/>
          <w:sz w:val="24"/>
          <w:szCs w:val="24"/>
          <w:highlight w:val="none"/>
          <w:lang w:val="en-US" w:eastAsia="zh-CN" w:bidi="ar-SA"/>
        </w:rPr>
        <w:t>1.交货时间：</w:t>
      </w:r>
      <w:bookmarkEnd w:id="2"/>
      <w:r>
        <w:rPr>
          <w:rFonts w:hint="eastAsia" w:ascii="楷体" w:hAnsi="楷体" w:eastAsia="楷体" w:cs="楷体"/>
          <w:color w:val="auto"/>
          <w:kern w:val="2"/>
          <w:sz w:val="24"/>
          <w:szCs w:val="24"/>
          <w:highlight w:val="none"/>
          <w:u w:val="single"/>
          <w:lang w:val="en-US" w:eastAsia="zh-CN" w:bidi="ar-SA"/>
        </w:rPr>
        <w:t>自合同签订之日起，30天之完成所有设备的供货及安装</w:t>
      </w:r>
      <w:r>
        <w:rPr>
          <w:rFonts w:hint="eastAsia" w:ascii="楷体" w:hAnsi="楷体" w:eastAsia="楷体" w:cs="楷体"/>
          <w:b w:val="0"/>
          <w:bCs/>
          <w:color w:val="auto"/>
          <w:kern w:val="2"/>
          <w:sz w:val="24"/>
          <w:szCs w:val="24"/>
          <w:highlight w:val="none"/>
          <w:u w:val="none"/>
          <w:lang w:val="en-US" w:eastAsia="zh-CN" w:bidi="ar-SA"/>
        </w:rPr>
        <w:t>。</w:t>
      </w:r>
    </w:p>
    <w:p w14:paraId="2702579A">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2.交付地点：采购人指定地点。</w:t>
      </w:r>
    </w:p>
    <w:p w14:paraId="0C258D40">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3.交货方式：现场交货</w:t>
      </w:r>
    </w:p>
    <w:p w14:paraId="43438950">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color w:val="auto"/>
          <w:kern w:val="2"/>
          <w:sz w:val="24"/>
          <w:szCs w:val="24"/>
          <w:highlight w:val="none"/>
          <w:lang w:val="en-US" w:eastAsia="zh-CN" w:bidi="ar-SA"/>
        </w:rPr>
      </w:pPr>
      <w:r>
        <w:rPr>
          <w:rFonts w:hint="eastAsia" w:ascii="楷体" w:hAnsi="楷体" w:eastAsia="楷体" w:cs="楷体"/>
          <w:b w:val="0"/>
          <w:bCs/>
          <w:color w:val="auto"/>
          <w:kern w:val="2"/>
          <w:sz w:val="24"/>
          <w:szCs w:val="24"/>
          <w:highlight w:val="none"/>
          <w:lang w:val="en-US" w:eastAsia="zh-CN" w:bidi="ar-SA"/>
        </w:rPr>
        <w:t>4.付款人：保靖县疾病预防控制中心</w:t>
      </w:r>
    </w:p>
    <w:p w14:paraId="65E059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楷体" w:hAnsi="楷体" w:eastAsia="楷体" w:cs="楷体"/>
          <w:b w:val="0"/>
          <w:bCs/>
          <w:color w:val="auto"/>
          <w:kern w:val="2"/>
          <w:sz w:val="24"/>
          <w:szCs w:val="24"/>
          <w:highlight w:val="none"/>
          <w:u w:val="single"/>
          <w:lang w:val="en-US" w:eastAsia="zh-CN" w:bidi="ar-SA"/>
        </w:rPr>
      </w:pPr>
      <w:r>
        <w:rPr>
          <w:rFonts w:hint="eastAsia" w:ascii="楷体" w:hAnsi="楷体" w:eastAsia="楷体" w:cs="楷体"/>
          <w:b w:val="0"/>
          <w:bCs/>
          <w:color w:val="auto"/>
          <w:kern w:val="2"/>
          <w:sz w:val="24"/>
          <w:szCs w:val="24"/>
          <w:highlight w:val="none"/>
          <w:lang w:val="en-US" w:eastAsia="zh-CN" w:bidi="ar-SA"/>
        </w:rPr>
        <w:t>5.付款方式：</w:t>
      </w:r>
      <w:r>
        <w:rPr>
          <w:rFonts w:hint="eastAsia" w:ascii="楷体" w:hAnsi="楷体" w:eastAsia="楷体" w:cs="楷体"/>
          <w:b w:val="0"/>
          <w:bCs/>
          <w:color w:val="auto"/>
          <w:kern w:val="2"/>
          <w:sz w:val="24"/>
          <w:szCs w:val="24"/>
          <w:highlight w:val="none"/>
          <w:u w:val="single"/>
          <w:lang w:val="en-US" w:eastAsia="zh-CN" w:bidi="ar-SA"/>
        </w:rPr>
        <w:t>待合同签订之日起，采购人向中标方支付预付款，预付款为合同金额的50%，中标方必须在采购人规定的时间内将所有设备的供货及安装完成；通过采购人合格验收之后，再支付至合同金额的97%，剩余尾款3%，待保质期结束后（无质量问题，无纠纷问题）之后一次性无息支付</w:t>
      </w:r>
      <w:r>
        <w:rPr>
          <w:rFonts w:hint="eastAsia" w:ascii="楷体" w:hAnsi="楷体" w:eastAsia="楷体" w:cs="楷体"/>
          <w:b w:val="0"/>
          <w:bCs/>
          <w:color w:val="auto"/>
          <w:kern w:val="2"/>
          <w:sz w:val="24"/>
          <w:szCs w:val="24"/>
          <w:highlight w:val="none"/>
          <w:lang w:val="en-US" w:eastAsia="zh-CN" w:bidi="ar-SA"/>
        </w:rPr>
        <w:t>。</w:t>
      </w:r>
    </w:p>
    <w:p w14:paraId="609548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outlineLvl w:val="9"/>
        <w:rPr>
          <w:rFonts w:hint="eastAsia" w:ascii="楷体" w:hAnsi="楷体" w:eastAsia="楷体" w:cs="楷体"/>
          <w:b/>
          <w:color w:val="auto"/>
          <w:kern w:val="2"/>
          <w:sz w:val="24"/>
          <w:szCs w:val="24"/>
          <w:highlight w:val="none"/>
          <w:lang w:val="en-US" w:eastAsia="zh-CN" w:bidi="ar-SA"/>
        </w:rPr>
      </w:pPr>
      <w:r>
        <w:rPr>
          <w:rFonts w:hint="eastAsia" w:ascii="楷体" w:hAnsi="楷体" w:eastAsia="楷体" w:cs="楷体"/>
          <w:b/>
          <w:color w:val="auto"/>
          <w:kern w:val="2"/>
          <w:sz w:val="24"/>
          <w:szCs w:val="21"/>
          <w:highlight w:val="none"/>
          <w:lang w:val="en-US" w:eastAsia="zh-CN" w:bidi="ar-SA"/>
        </w:rPr>
        <w:t>二、</w:t>
      </w:r>
      <w:r>
        <w:rPr>
          <w:rFonts w:hint="eastAsia" w:ascii="楷体" w:hAnsi="楷体" w:eastAsia="楷体" w:cs="楷体"/>
          <w:b/>
          <w:color w:val="auto"/>
          <w:kern w:val="2"/>
          <w:sz w:val="24"/>
          <w:szCs w:val="24"/>
          <w:highlight w:val="none"/>
          <w:lang w:val="en-US" w:eastAsia="zh-CN" w:bidi="ar-SA"/>
        </w:rPr>
        <w:t xml:space="preserve">设备质量要求： </w:t>
      </w:r>
    </w:p>
    <w:p w14:paraId="23E40607">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1.本次采购的所有设备质量须符合国家标准，（如没有国家标准，按行业标准）；</w:t>
      </w:r>
    </w:p>
    <w:p w14:paraId="6B77F9B9">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2.中标人提供的产品必须是原装正品，符合国家质量检测标准，具有出厂合格证或国家鉴定合格证。如因产品质量等原因造成的一切法律和经济等责任概由中标人负责；</w:t>
      </w:r>
    </w:p>
    <w:p w14:paraId="29167CF1">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3.设备材料保修及售后服务条款：设备材料均不包含安装调试费用，材料因质量原因，质保期内包修包退；并终身给予配件和技术支持。</w:t>
      </w:r>
    </w:p>
    <w:p w14:paraId="2BC80AE7">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4.设备必须按照采购人要求提供，不得贴牌换牌、弄虚作假，一经发现，采购人将取消合同，同时收取合同总额20%的违约金，并将乙方报送政府采购部门备案，情节严重者，将追究其法律责任。</w:t>
      </w:r>
    </w:p>
    <w:p w14:paraId="078E4FD1">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5.中标人需在接到故障信息后及时反馈上门维修，并在约定时间内排除故障，设备最长维修期限不得超过1天。</w:t>
      </w:r>
    </w:p>
    <w:p w14:paraId="12088082">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6.保修期：所投产品保质期有要求的按要求执行，没有要求的按国家标准执行。</w:t>
      </w:r>
    </w:p>
    <w:p w14:paraId="6241C5D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400" w:lineRule="exact"/>
        <w:ind w:right="0" w:rightChars="0"/>
        <w:jc w:val="both"/>
        <w:textAlignment w:val="auto"/>
        <w:outlineLvl w:val="9"/>
        <w:rPr>
          <w:rFonts w:hint="eastAsia" w:ascii="楷体" w:hAnsi="楷体" w:eastAsia="楷体" w:cs="楷体"/>
          <w:b/>
          <w:color w:val="auto"/>
          <w:kern w:val="2"/>
          <w:sz w:val="24"/>
          <w:szCs w:val="24"/>
          <w:highlight w:val="none"/>
          <w:lang w:val="en-US" w:eastAsia="zh-CN"/>
        </w:rPr>
      </w:pPr>
      <w:r>
        <w:rPr>
          <w:rFonts w:hint="eastAsia" w:ascii="楷体" w:hAnsi="楷体" w:eastAsia="楷体" w:cs="楷体"/>
          <w:b/>
          <w:color w:val="auto"/>
          <w:kern w:val="2"/>
          <w:sz w:val="24"/>
          <w:szCs w:val="24"/>
          <w:highlight w:val="none"/>
          <w:lang w:val="en-US" w:eastAsia="zh-CN"/>
        </w:rPr>
        <w:t>三、验收及售后服务要求</w:t>
      </w:r>
    </w:p>
    <w:p w14:paraId="53261A16">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1.启动验收,制定验收方案。</w:t>
      </w:r>
    </w:p>
    <w:p w14:paraId="279C07ED">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2.中标人提供验收所需资料。提供技术资料、合格证明以及验收所必须具备的其他材料,通知采购人并协助开展验收。验收过程中产生纠纷的，由市场监管部门认定的检测机构检测,如为中标人原因造成的，由中标人承担检测费用；否则，由采购人承担。货物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14:paraId="728162CC">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3.到货采购人可抽一种产品送相关检测机构检测，检测费用由供应负责，若有产品质量问题，实行包换、包退。</w:t>
      </w:r>
    </w:p>
    <w:p w14:paraId="56CEA99D">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outlineLvl w:val="9"/>
        <w:rPr>
          <w:rFonts w:hint="eastAsia" w:ascii="楷体" w:hAnsi="楷体" w:eastAsia="楷体" w:cs="楷体"/>
          <w:b w:val="0"/>
          <w:bCs w:val="0"/>
          <w:color w:val="auto"/>
          <w:kern w:val="2"/>
          <w:sz w:val="24"/>
          <w:szCs w:val="24"/>
          <w:highlight w:val="none"/>
          <w:lang w:val="en-US" w:eastAsia="zh-CN"/>
        </w:rPr>
      </w:pPr>
      <w:r>
        <w:rPr>
          <w:rFonts w:hint="eastAsia" w:ascii="楷体" w:hAnsi="楷体" w:eastAsia="楷体" w:cs="楷体"/>
          <w:b w:val="0"/>
          <w:bCs w:val="0"/>
          <w:color w:val="auto"/>
          <w:kern w:val="2"/>
          <w:sz w:val="24"/>
          <w:szCs w:val="24"/>
          <w:highlight w:val="none"/>
          <w:lang w:val="en-US" w:eastAsia="zh-CN"/>
        </w:rPr>
        <w:t>4.供方将负责为用户免费上门保修服务。保修期内出现需方无法处理的故障时，供方接到通知后应立即响应，24小时内到达现场进行处理。</w:t>
      </w:r>
    </w:p>
    <w:p w14:paraId="1AB7552D">
      <w:pPr>
        <w:keepNext w:val="0"/>
        <w:keepLines w:val="0"/>
        <w:pageBreakBefore w:val="0"/>
        <w:widowControl/>
        <w:kinsoku/>
        <w:wordWrap/>
        <w:overflowPunct/>
        <w:topLinePunct w:val="0"/>
        <w:autoSpaceDN/>
        <w:bidi w:val="0"/>
        <w:spacing w:before="0" w:beforeAutospacing="0" w:after="0" w:afterAutospacing="0" w:line="400" w:lineRule="exact"/>
        <w:ind w:left="0" w:right="0"/>
        <w:jc w:val="both"/>
        <w:textAlignment w:val="auto"/>
        <w:outlineLvl w:val="9"/>
        <w:rPr>
          <w:rFonts w:hint="eastAsia" w:ascii="楷体" w:hAnsi="楷体" w:eastAsia="楷体" w:cs="楷体"/>
          <w:b/>
          <w:bCs/>
          <w:color w:val="auto"/>
          <w:kern w:val="0"/>
          <w:sz w:val="24"/>
          <w:szCs w:val="24"/>
          <w:highlight w:val="none"/>
          <w:lang w:val="en-US" w:eastAsia="zh-CN" w:bidi="ar-SA"/>
        </w:rPr>
      </w:pPr>
      <w:r>
        <w:rPr>
          <w:rFonts w:hint="eastAsia" w:ascii="楷体" w:hAnsi="楷体" w:eastAsia="楷体" w:cs="楷体"/>
          <w:b/>
          <w:bCs/>
          <w:color w:val="auto"/>
          <w:kern w:val="0"/>
          <w:sz w:val="24"/>
          <w:szCs w:val="24"/>
          <w:highlight w:val="none"/>
          <w:lang w:val="en-US" w:eastAsia="zh-CN" w:bidi="ar-SA"/>
        </w:rPr>
        <w:t>四、相关说明</w:t>
      </w:r>
    </w:p>
    <w:p w14:paraId="6D95E944">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400" w:lineRule="exact"/>
        <w:ind w:left="0" w:leftChars="0" w:right="0" w:rightChars="0" w:firstLine="480" w:firstLineChars="200"/>
        <w:jc w:val="left"/>
        <w:textAlignment w:val="auto"/>
        <w:outlineLvl w:val="9"/>
        <w:rPr>
          <w:rFonts w:hint="eastAsia" w:ascii="楷体" w:hAnsi="楷体" w:eastAsia="楷体" w:cs="楷体"/>
          <w:color w:val="auto"/>
          <w:kern w:val="2"/>
          <w:sz w:val="24"/>
          <w:szCs w:val="21"/>
          <w:highlight w:val="none"/>
          <w:lang w:val="en-US" w:eastAsia="zh-CN" w:bidi="ar-SA"/>
        </w:rPr>
      </w:pPr>
      <w:r>
        <w:rPr>
          <w:rFonts w:hint="eastAsia" w:ascii="楷体" w:hAnsi="楷体" w:eastAsia="楷体" w:cs="楷体"/>
          <w:color w:val="auto"/>
          <w:kern w:val="2"/>
          <w:sz w:val="24"/>
          <w:szCs w:val="21"/>
          <w:highlight w:val="none"/>
          <w:lang w:val="en-US" w:eastAsia="zh-CN" w:bidi="ar-SA"/>
        </w:rPr>
        <w:t>1.现场踏勘：采购人不另行组织对本项目实施现场进行踏勘，有关踏勘事宜由投标人与采购人联系自行处理。</w:t>
      </w:r>
    </w:p>
    <w:p w14:paraId="638CF3CD">
      <w:pPr>
        <w:rPr>
          <w:color w:val="auto"/>
          <w:highlight w:val="none"/>
        </w:rPr>
      </w:pPr>
    </w:p>
    <w:sectPr>
      <w:pgSz w:w="11906" w:h="16838"/>
      <w:pgMar w:top="1020" w:right="720" w:bottom="10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5E8311"/>
    <w:multiLevelType w:val="singleLevel"/>
    <w:tmpl w:val="BA5E8311"/>
    <w:lvl w:ilvl="0" w:tentative="0">
      <w:start w:val="1"/>
      <w:numFmt w:val="decimal"/>
      <w:suff w:val="space"/>
      <w:lvlText w:val="%1、"/>
      <w:lvlJc w:val="left"/>
    </w:lvl>
  </w:abstractNum>
  <w:abstractNum w:abstractNumId="1">
    <w:nsid w:val="4D3C93A0"/>
    <w:multiLevelType w:val="singleLevel"/>
    <w:tmpl w:val="4D3C93A0"/>
    <w:lvl w:ilvl="0" w:tentative="0">
      <w:start w:val="8"/>
      <w:numFmt w:val="decimal"/>
      <w:lvlText w:val="%1."/>
      <w:lvlJc w:val="left"/>
      <w:pPr>
        <w:tabs>
          <w:tab w:val="left" w:pos="312"/>
        </w:tabs>
      </w:pPr>
    </w:lvl>
  </w:abstractNum>
  <w:abstractNum w:abstractNumId="2">
    <w:nsid w:val="51FC087B"/>
    <w:multiLevelType w:val="singleLevel"/>
    <w:tmpl w:val="51FC087B"/>
    <w:lvl w:ilvl="0" w:tentative="0">
      <w:start w:val="3"/>
      <w:numFmt w:val="decimal"/>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dit="forms" w:enforcement="1" w:cryptProviderType="rsaFull" w:cryptAlgorithmClass="hash" w:cryptAlgorithmType="typeAny" w:cryptAlgorithmSid="4" w:cryptSpinCount="0" w:hash="jhWTii3azdHNI/4H096i1AXhEMM=" w:salt="l8wA5BcdVmIk+2+tU2JiGg=="/>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D344BF"/>
    <w:rsid w:val="14AE78FC"/>
    <w:rsid w:val="48D34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SA"/>
    </w:rPr>
  </w:style>
  <w:style w:type="table" w:styleId="4">
    <w:name w:val="Table Grid"/>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列出段落1"/>
    <w:next w:val="1"/>
    <w:qFormat/>
    <w:uiPriority w:val="0"/>
    <w:pPr>
      <w:widowControl w:val="0"/>
      <w:ind w:firstLine="20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2026-09-16T04:07:00Z</dcterms:created>
  <dc:creator>XXLC</dc:creator>
  <cp:lastModifiedBy>XXLC</cp:lastModifiedBy>
  <dcterms:modified xsi:type="dcterms:W3CDTF">2026-09-16T04:09:15Z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E5A56519847E4760B9FD6959ECA59130_11</vt:lpwstr>
  </property>
  <property fmtid="{D5CDD505-2E9C-101B-9397-08002B2CF9AE}" pid="4" name="KSOTemplateDocerSaveRecord">
    <vt:lpwstr>eyJoZGlkIjoiNjg0ZTAwMzBiMjgwOWU5NWJmYjk5MjQ1NTRhYjBiZTgiLCJ1c2VySWQiOiIzOTYwNTU5NDMifQ==</vt:lpwstr>
  </property>
</Properties>
</file>