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DCB5F3">
      <w:pPr>
        <w:spacing w:line="300" w:lineRule="auto"/>
        <w:jc w:val="center"/>
        <w:outlineLvl w:val="0"/>
        <w:rPr>
          <w:rFonts w:ascii="黑体" w:hAnsi="宋体" w:eastAsia="黑体"/>
          <w:b/>
          <w:color w:val="auto"/>
          <w:sz w:val="32"/>
          <w:szCs w:val="32"/>
          <w:highlight w:val="none"/>
        </w:rPr>
      </w:pPr>
      <w:r>
        <w:rPr>
          <w:rFonts w:hint="eastAsia" w:ascii="黑体" w:hAnsi="宋体" w:eastAsia="黑体"/>
          <w:b/>
          <w:color w:val="auto"/>
          <w:sz w:val="32"/>
          <w:szCs w:val="32"/>
          <w:highlight w:val="none"/>
        </w:rPr>
        <w:t>采购需求</w:t>
      </w:r>
    </w:p>
    <w:p w14:paraId="1E4DCDE9">
      <w:pPr>
        <w:spacing w:line="500" w:lineRule="exact"/>
        <w:rPr>
          <w:rFonts w:hint="default" w:ascii="宋体" w:hAnsi="宋体" w:eastAsia="宋体"/>
          <w:b/>
          <w:color w:val="auto"/>
          <w:sz w:val="24"/>
          <w:highlight w:val="none"/>
          <w:lang w:val="en-US" w:eastAsia="zh-CN"/>
        </w:rPr>
      </w:pPr>
      <w:r>
        <w:rPr>
          <w:rFonts w:hint="eastAsia" w:ascii="宋体" w:hAnsi="宋体"/>
          <w:b/>
          <w:color w:val="auto"/>
          <w:sz w:val="24"/>
          <w:highlight w:val="none"/>
        </w:rPr>
        <w:t>一、采购货物</w:t>
      </w:r>
      <w:r>
        <w:rPr>
          <w:rFonts w:hint="eastAsia" w:ascii="宋体" w:hAnsi="宋体"/>
          <w:b/>
          <w:color w:val="auto"/>
          <w:sz w:val="24"/>
          <w:highlight w:val="none"/>
          <w:lang w:val="en-US" w:eastAsia="zh-CN"/>
        </w:rPr>
        <w:t>及主要技术参数</w:t>
      </w:r>
    </w:p>
    <w:p w14:paraId="15EFA0F6">
      <w:pPr>
        <w:spacing w:line="440" w:lineRule="exact"/>
        <w:rPr>
          <w:rFonts w:ascii="宋体" w:hAnsi="宋体"/>
          <w:color w:val="auto"/>
          <w:szCs w:val="21"/>
          <w:highlight w:val="none"/>
        </w:rPr>
      </w:pPr>
    </w:p>
    <w:tbl>
      <w:tblPr>
        <w:tblStyle w:val="12"/>
        <w:tblpPr w:leftFromText="180" w:rightFromText="180" w:vertAnchor="text" w:tblpXSpec="center" w:tblpY="1"/>
        <w:tblOverlap w:val="never"/>
        <w:tblW w:w="14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7"/>
        <w:gridCol w:w="1605"/>
        <w:gridCol w:w="12382"/>
      </w:tblGrid>
      <w:tr w14:paraId="6386A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blHeader/>
          <w:jc w:val="center"/>
        </w:trPr>
        <w:tc>
          <w:tcPr>
            <w:tcW w:w="757" w:type="dxa"/>
            <w:vAlign w:val="center"/>
          </w:tcPr>
          <w:p w14:paraId="044935E7">
            <w:pPr>
              <w:pStyle w:val="6"/>
              <w:pageBreakBefore w:val="0"/>
              <w:wordWrap/>
              <w:overflowPunct/>
              <w:topLinePunct w:val="0"/>
              <w:bidi w:val="0"/>
              <w:spacing w:beforeAutospacing="0" w:after="0" w:afterAutospacing="0" w:line="480" w:lineRule="exact"/>
              <w:ind w:left="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bidi="ar"/>
              </w:rPr>
              <w:t>序号</w:t>
            </w:r>
          </w:p>
        </w:tc>
        <w:tc>
          <w:tcPr>
            <w:tcW w:w="1605" w:type="dxa"/>
            <w:vAlign w:val="center"/>
          </w:tcPr>
          <w:p w14:paraId="463E6358">
            <w:pPr>
              <w:pStyle w:val="6"/>
              <w:pageBreakBefore w:val="0"/>
              <w:wordWrap/>
              <w:overflowPunct/>
              <w:topLinePunct w:val="0"/>
              <w:bidi w:val="0"/>
              <w:spacing w:beforeAutospacing="0" w:after="0" w:afterAutospacing="0" w:line="480" w:lineRule="exact"/>
              <w:ind w:left="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bidi="ar"/>
              </w:rPr>
              <w:t>设备名称</w:t>
            </w:r>
          </w:p>
        </w:tc>
        <w:tc>
          <w:tcPr>
            <w:tcW w:w="12382" w:type="dxa"/>
            <w:vAlign w:val="center"/>
          </w:tcPr>
          <w:p w14:paraId="607FB1D4">
            <w:pPr>
              <w:pStyle w:val="6"/>
              <w:pageBreakBefore w:val="0"/>
              <w:wordWrap/>
              <w:overflowPunct/>
              <w:topLinePunct w:val="0"/>
              <w:bidi w:val="0"/>
              <w:spacing w:beforeAutospacing="0" w:after="0" w:afterAutospacing="0" w:line="480" w:lineRule="exact"/>
              <w:ind w:left="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bidi="ar"/>
              </w:rPr>
              <w:t>详细需求</w:t>
            </w:r>
          </w:p>
        </w:tc>
      </w:tr>
      <w:tr w14:paraId="1329C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7" w:type="dxa"/>
            <w:vAlign w:val="center"/>
          </w:tcPr>
          <w:p w14:paraId="4A9A2A8C">
            <w:pPr>
              <w:pStyle w:val="6"/>
              <w:pageBreakBefore w:val="0"/>
              <w:wordWrap/>
              <w:overflowPunct/>
              <w:topLinePunct w:val="0"/>
              <w:bidi w:val="0"/>
              <w:spacing w:beforeAutospacing="0" w:after="0" w:afterAutospacing="0" w:line="480" w:lineRule="exact"/>
              <w:ind w:left="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1</w:t>
            </w:r>
          </w:p>
        </w:tc>
        <w:tc>
          <w:tcPr>
            <w:tcW w:w="1605" w:type="dxa"/>
            <w:vAlign w:val="center"/>
          </w:tcPr>
          <w:p w14:paraId="20C1364A">
            <w:pPr>
              <w:pStyle w:val="6"/>
              <w:pageBreakBefore w:val="0"/>
              <w:wordWrap/>
              <w:overflowPunct/>
              <w:topLinePunct w:val="0"/>
              <w:bidi w:val="0"/>
              <w:spacing w:beforeAutospacing="0" w:after="0" w:afterAutospacing="0" w:line="480" w:lineRule="exact"/>
              <w:ind w:left="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标准砝码组</w:t>
            </w:r>
          </w:p>
        </w:tc>
        <w:tc>
          <w:tcPr>
            <w:tcW w:w="12382" w:type="dxa"/>
          </w:tcPr>
          <w:p w14:paraId="68221732">
            <w:pPr>
              <w:pStyle w:val="6"/>
              <w:pageBreakBefore w:val="0"/>
              <w:numPr>
                <w:ilvl w:val="0"/>
                <w:numId w:val="0"/>
              </w:numPr>
              <w:wordWrap/>
              <w:overflowPunct/>
              <w:topLinePunct w:val="0"/>
              <w:bidi w:val="0"/>
              <w:spacing w:beforeAutospacing="0" w:after="0" w:afterAutospacing="0" w:line="480" w:lineRule="exact"/>
              <w:ind w:lef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1、用途及应用要求：</w:t>
            </w:r>
          </w:p>
          <w:p w14:paraId="7C09621B">
            <w:pPr>
              <w:pStyle w:val="6"/>
              <w:pageBreakBefore w:val="0"/>
              <w:numPr>
                <w:ilvl w:val="0"/>
                <w:numId w:val="0"/>
              </w:numPr>
              <w:wordWrap/>
              <w:overflowPunct/>
              <w:topLinePunct w:val="0"/>
              <w:bidi w:val="0"/>
              <w:spacing w:beforeAutospacing="0" w:after="0" w:afterAutospacing="0" w:line="480" w:lineRule="exact"/>
              <w:ind w:lef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用于检定传递M1等级、M12等级及其以下的砝码，以及检定相应的衡量仪器，和与相应的衡量仪器配套使用</w:t>
            </w:r>
            <w:r>
              <w:rPr>
                <w:rFonts w:hint="eastAsia" w:ascii="宋体" w:hAnsi="宋体" w:eastAsia="宋体" w:cs="宋体"/>
                <w:color w:val="auto"/>
                <w:sz w:val="21"/>
                <w:szCs w:val="21"/>
                <w:highlight w:val="none"/>
                <w:lang w:eastAsia="zh-CN"/>
              </w:rPr>
              <w:t>；</w:t>
            </w:r>
          </w:p>
          <w:p w14:paraId="7AF945A3">
            <w:pPr>
              <w:pStyle w:val="6"/>
              <w:pageBreakBefore w:val="0"/>
              <w:numPr>
                <w:ilvl w:val="0"/>
                <w:numId w:val="0"/>
              </w:numPr>
              <w:wordWrap/>
              <w:overflowPunct/>
              <w:topLinePunct w:val="0"/>
              <w:bidi w:val="0"/>
              <w:spacing w:beforeAutospacing="0" w:after="0" w:afterAutospacing="0" w:line="480" w:lineRule="exact"/>
              <w:ind w:left="0"/>
              <w:rPr>
                <w:rStyle w:val="15"/>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2、主要技术参数要求：</w:t>
            </w:r>
          </w:p>
          <w:p w14:paraId="5CC19732">
            <w:pPr>
              <w:pStyle w:val="6"/>
              <w:pageBreakBefore w:val="0"/>
              <w:numPr>
                <w:ilvl w:val="0"/>
                <w:numId w:val="0"/>
              </w:numPr>
              <w:wordWrap/>
              <w:overflowPunct/>
              <w:topLinePunct w:val="0"/>
              <w:bidi w:val="0"/>
              <w:spacing w:beforeAutospacing="0" w:after="0" w:afterAutospacing="0" w:line="480" w:lineRule="exact"/>
              <w:ind w:left="0" w:firstLine="210" w:firstLineChars="1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满足国标《GB/T 4167-2024》、《JJG 99-2022》要求。</w:t>
            </w:r>
          </w:p>
          <w:p w14:paraId="22C4A238">
            <w:pPr>
              <w:pStyle w:val="6"/>
              <w:pageBreakBefore w:val="0"/>
              <w:numPr>
                <w:ilvl w:val="0"/>
                <w:numId w:val="0"/>
              </w:numPr>
              <w:wordWrap/>
              <w:overflowPunct/>
              <w:topLinePunct w:val="0"/>
              <w:bidi w:val="0"/>
              <w:spacing w:beforeAutospacing="0" w:after="0" w:afterAutospacing="0" w:line="480" w:lineRule="exact"/>
              <w:ind w:left="0" w:firstLine="210" w:firstLineChars="100"/>
              <w:rPr>
                <w:rStyle w:val="15"/>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F2等级标准砝码，材质：304不锈钢</w:t>
            </w:r>
            <w:r>
              <w:rPr>
                <w:rStyle w:val="15"/>
                <w:rFonts w:hint="eastAsia" w:ascii="宋体" w:hAnsi="宋体" w:eastAsia="宋体" w:cs="宋体"/>
                <w:color w:val="auto"/>
                <w:sz w:val="21"/>
                <w:szCs w:val="21"/>
                <w:highlight w:val="none"/>
                <w:lang w:val="en-US" w:eastAsia="zh-CN" w:bidi="ar"/>
              </w:rPr>
              <w:t>。</w:t>
            </w:r>
          </w:p>
          <w:p w14:paraId="4BF96529">
            <w:pPr>
              <w:pStyle w:val="6"/>
              <w:pageBreakBefore w:val="0"/>
              <w:numPr>
                <w:ilvl w:val="0"/>
                <w:numId w:val="0"/>
              </w:numPr>
              <w:wordWrap/>
              <w:overflowPunct/>
              <w:topLinePunct w:val="0"/>
              <w:bidi w:val="0"/>
              <w:spacing w:beforeAutospacing="0" w:after="0" w:afterAutospacing="0" w:line="480" w:lineRule="exact"/>
              <w:ind w:left="0"/>
              <w:rPr>
                <w:rStyle w:val="15"/>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3、配置及参数要求：</w:t>
            </w:r>
          </w:p>
          <w:p w14:paraId="42341199">
            <w:pPr>
              <w:pStyle w:val="6"/>
              <w:pageBreakBefore w:val="0"/>
              <w:wordWrap/>
              <w:overflowPunct/>
              <w:topLinePunct w:val="0"/>
              <w:bidi w:val="0"/>
              <w:spacing w:beforeAutospacing="0" w:after="0" w:afterAutospacing="0" w:line="480" w:lineRule="exact"/>
              <w:ind w:left="0" w:firstLine="0" w:firstLineChars="0"/>
              <w:rPr>
                <w:rStyle w:val="15"/>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1mg</w:t>
            </w:r>
            <w:r>
              <w:rPr>
                <w:rStyle w:val="15"/>
                <w:rFonts w:hint="eastAsia" w:ascii="宋体" w:hAnsi="宋体" w:eastAsia="宋体" w:cs="宋体"/>
                <w:color w:val="auto"/>
                <w:sz w:val="21"/>
                <w:szCs w:val="21"/>
                <w:highlight w:val="none"/>
                <w:lang w:eastAsia="zh-CN" w:bidi="ar"/>
              </w:rPr>
              <w:t>～</w:t>
            </w:r>
            <w:r>
              <w:rPr>
                <w:rStyle w:val="15"/>
                <w:rFonts w:hint="eastAsia" w:ascii="宋体" w:hAnsi="宋体" w:eastAsia="宋体" w:cs="宋体"/>
                <w:color w:val="auto"/>
                <w:sz w:val="21"/>
                <w:szCs w:val="21"/>
                <w:highlight w:val="none"/>
                <w:lang w:val="en-US" w:eastAsia="zh-CN" w:bidi="ar"/>
              </w:rPr>
              <w:t>20kg全套含30个标准砝码：</w:t>
            </w:r>
          </w:p>
          <w:p w14:paraId="2CA5AAD5">
            <w:pPr>
              <w:pStyle w:val="6"/>
              <w:pageBreakBefore w:val="0"/>
              <w:wordWrap/>
              <w:overflowPunct/>
              <w:topLinePunct w:val="0"/>
              <w:bidi w:val="0"/>
              <w:spacing w:beforeAutospacing="0" w:after="0" w:afterAutospacing="0" w:line="480" w:lineRule="exact"/>
              <w:ind w:left="0" w:firstLine="0" w:firstLineChars="0"/>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(1、2、2、5、10、20、20、50、100、200、200、500) mg，</w:t>
            </w:r>
          </w:p>
          <w:p w14:paraId="5D25178B">
            <w:pPr>
              <w:pStyle w:val="6"/>
              <w:pageBreakBefore w:val="0"/>
              <w:wordWrap/>
              <w:overflowPunct/>
              <w:topLinePunct w:val="0"/>
              <w:bidi w:val="0"/>
              <w:spacing w:beforeAutospacing="0" w:after="0" w:afterAutospacing="0" w:line="480" w:lineRule="exact"/>
              <w:ind w:left="0" w:firstLine="0" w:firstLineChars="0"/>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(1、2、2、5、10、20、20、50、100、200、200、500) g，</w:t>
            </w:r>
          </w:p>
          <w:p w14:paraId="7A69AAE8">
            <w:pPr>
              <w:pStyle w:val="6"/>
              <w:pageBreakBefore w:val="0"/>
              <w:numPr>
                <w:ilvl w:val="0"/>
                <w:numId w:val="0"/>
              </w:numPr>
              <w:wordWrap/>
              <w:overflowPunct/>
              <w:topLinePunct w:val="0"/>
              <w:bidi w:val="0"/>
              <w:spacing w:beforeAutospacing="0" w:after="0" w:afterAutospacing="0" w:line="480" w:lineRule="exact"/>
              <w:ind w:left="0"/>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(1、2、2、5、10、20) kg</w:t>
            </w:r>
          </w:p>
          <w:p w14:paraId="4ED0DFD8">
            <w:pPr>
              <w:pStyle w:val="6"/>
              <w:pageBreakBefore w:val="0"/>
              <w:numPr>
                <w:ilvl w:val="0"/>
                <w:numId w:val="0"/>
              </w:numPr>
              <w:wordWrap/>
              <w:overflowPunct/>
              <w:topLinePunct w:val="0"/>
              <w:bidi w:val="0"/>
              <w:spacing w:beforeAutospacing="0" w:after="0" w:afterAutospacing="0" w:line="480" w:lineRule="exact"/>
              <w:ind w:left="0"/>
              <w:rPr>
                <w:rStyle w:val="15"/>
                <w:rFonts w:hint="eastAsia" w:ascii="宋体" w:hAnsi="宋体" w:eastAsia="宋体" w:cs="宋体"/>
                <w:color w:val="auto"/>
                <w:sz w:val="21"/>
                <w:szCs w:val="21"/>
                <w:highlight w:val="none"/>
                <w:lang w:val="en-US" w:eastAsia="zh-CN" w:bidi="ar"/>
              </w:rPr>
            </w:pPr>
            <w:r>
              <w:rPr>
                <w:rStyle w:val="15"/>
                <w:rFonts w:hint="eastAsia" w:ascii="宋体" w:hAnsi="宋体" w:eastAsia="宋体" w:cs="宋体"/>
                <w:color w:val="auto"/>
                <w:sz w:val="21"/>
                <w:szCs w:val="21"/>
                <w:highlight w:val="none"/>
                <w:lang w:val="en-US" w:eastAsia="zh-CN" w:bidi="ar"/>
              </w:rPr>
              <w:t>4、其他要求：带铝盒包装：砝码盒应足够坚固，不易变形，内衬环保材质。</w:t>
            </w:r>
          </w:p>
        </w:tc>
      </w:tr>
      <w:tr w14:paraId="1D666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7" w:type="dxa"/>
            <w:vAlign w:val="center"/>
          </w:tcPr>
          <w:p w14:paraId="6B4F8210">
            <w:pPr>
              <w:pStyle w:val="6"/>
              <w:pageBreakBefore w:val="0"/>
              <w:wordWrap/>
              <w:overflowPunct/>
              <w:topLinePunct w:val="0"/>
              <w:bidi w:val="0"/>
              <w:spacing w:beforeAutospacing="0" w:after="0" w:afterAutospacing="0" w:line="480" w:lineRule="exact"/>
              <w:ind w:left="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2</w:t>
            </w:r>
          </w:p>
        </w:tc>
        <w:tc>
          <w:tcPr>
            <w:tcW w:w="1605" w:type="dxa"/>
            <w:vAlign w:val="center"/>
          </w:tcPr>
          <w:p w14:paraId="6A6CCA28">
            <w:pPr>
              <w:pStyle w:val="6"/>
              <w:pageBreakBefore w:val="0"/>
              <w:wordWrap/>
              <w:overflowPunct/>
              <w:topLinePunct w:val="0"/>
              <w:bidi w:val="0"/>
              <w:spacing w:beforeAutospacing="0" w:after="0" w:afterAutospacing="0" w:line="480" w:lineRule="exact"/>
              <w:ind w:lef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bidi="ar"/>
              </w:rPr>
              <w:t>标准砝码组</w:t>
            </w:r>
          </w:p>
        </w:tc>
        <w:tc>
          <w:tcPr>
            <w:tcW w:w="12382" w:type="dxa"/>
            <w:vAlign w:val="center"/>
          </w:tcPr>
          <w:p w14:paraId="56F92087">
            <w:pPr>
              <w:pStyle w:val="6"/>
              <w:pageBreakBefore w:val="0"/>
              <w:numPr>
                <w:ilvl w:val="0"/>
                <w:numId w:val="0"/>
              </w:numPr>
              <w:wordWrap/>
              <w:overflowPunct/>
              <w:topLinePunct w:val="0"/>
              <w:bidi w:val="0"/>
              <w:spacing w:beforeAutospacing="0" w:after="0" w:afterAutospacing="0" w:line="480" w:lineRule="exact"/>
              <w:ind w:lef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1、用途及应用要求：</w:t>
            </w:r>
          </w:p>
          <w:p w14:paraId="6501DA3A">
            <w:pPr>
              <w:pStyle w:val="6"/>
              <w:pageBreakBefore w:val="0"/>
              <w:numPr>
                <w:ilvl w:val="0"/>
                <w:numId w:val="0"/>
              </w:numPr>
              <w:wordWrap/>
              <w:overflowPunct/>
              <w:topLinePunct w:val="0"/>
              <w:bidi w:val="0"/>
              <w:spacing w:beforeAutospacing="0" w:after="0" w:afterAutospacing="0" w:line="480" w:lineRule="exact"/>
              <w:ind w:lef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用于检定传递M12等级及其以下的砝码，以及检定相应的衡量仪器，和与相应的衡量仪器配套使用</w:t>
            </w:r>
            <w:r>
              <w:rPr>
                <w:rFonts w:hint="eastAsia" w:ascii="宋体" w:hAnsi="宋体" w:eastAsia="宋体" w:cs="宋体"/>
                <w:color w:val="auto"/>
                <w:sz w:val="21"/>
                <w:szCs w:val="21"/>
                <w:highlight w:val="none"/>
                <w:lang w:eastAsia="zh-CN"/>
              </w:rPr>
              <w:t>；</w:t>
            </w:r>
          </w:p>
          <w:p w14:paraId="768FDA4C">
            <w:pPr>
              <w:pStyle w:val="6"/>
              <w:pageBreakBefore w:val="0"/>
              <w:numPr>
                <w:ilvl w:val="0"/>
                <w:numId w:val="0"/>
              </w:numPr>
              <w:wordWrap/>
              <w:overflowPunct/>
              <w:topLinePunct w:val="0"/>
              <w:bidi w:val="0"/>
              <w:spacing w:beforeAutospacing="0" w:after="0" w:afterAutospacing="0" w:line="480" w:lineRule="exact"/>
              <w:ind w:left="0"/>
              <w:rPr>
                <w:rStyle w:val="15"/>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2、主要技术参数要求：</w:t>
            </w:r>
          </w:p>
          <w:p w14:paraId="591EE966">
            <w:pPr>
              <w:pStyle w:val="6"/>
              <w:pageBreakBefore w:val="0"/>
              <w:numPr>
                <w:ilvl w:val="0"/>
                <w:numId w:val="0"/>
              </w:numPr>
              <w:wordWrap/>
              <w:overflowPunct/>
              <w:topLinePunct w:val="0"/>
              <w:bidi w:val="0"/>
              <w:spacing w:beforeAutospacing="0" w:after="0" w:afterAutospacing="0" w:line="480" w:lineRule="exact"/>
              <w:ind w:firstLine="210" w:firstLineChars="1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满足国标《GB/T 4167-2024》、《JJG 99-2022》要求。</w:t>
            </w:r>
          </w:p>
          <w:p w14:paraId="7385B0F9">
            <w:pPr>
              <w:pStyle w:val="6"/>
              <w:pageBreakBefore w:val="0"/>
              <w:numPr>
                <w:ilvl w:val="0"/>
                <w:numId w:val="0"/>
              </w:numPr>
              <w:wordWrap/>
              <w:overflowPunct/>
              <w:topLinePunct w:val="0"/>
              <w:bidi w:val="0"/>
              <w:spacing w:beforeAutospacing="0" w:after="0" w:afterAutospacing="0" w:line="480" w:lineRule="exact"/>
              <w:ind w:left="0" w:firstLine="210" w:firstLineChars="100"/>
              <w:rPr>
                <w:rStyle w:val="15"/>
                <w:rFonts w:hint="default"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25kg标准砝码，锁形，等级：M1级。</w:t>
            </w:r>
            <w:r>
              <w:rPr>
                <w:rStyle w:val="15"/>
                <w:rFonts w:hint="eastAsia" w:ascii="宋体" w:hAnsi="宋体" w:eastAsia="宋体" w:cs="宋体"/>
                <w:color w:val="auto"/>
                <w:sz w:val="21"/>
                <w:szCs w:val="21"/>
                <w:highlight w:val="none"/>
                <w:lang w:val="en-US" w:eastAsia="zh-CN" w:bidi="ar"/>
              </w:rPr>
              <w:t>10mg、20mg、50mg、</w:t>
            </w:r>
            <w:r>
              <w:rPr>
                <w:rFonts w:hint="eastAsia" w:ascii="宋体" w:hAnsi="宋体" w:eastAsia="宋体" w:cs="宋体"/>
                <w:color w:val="auto"/>
                <w:sz w:val="21"/>
                <w:szCs w:val="21"/>
                <w:highlight w:val="none"/>
                <w:lang w:val="en-US" w:eastAsia="zh-CN"/>
              </w:rPr>
              <w:t>100mg、200mg、500mg、1g、2g、5g、10g，等级：M1级。</w:t>
            </w:r>
          </w:p>
          <w:p w14:paraId="6ACF9402">
            <w:pPr>
              <w:pStyle w:val="6"/>
              <w:pageBreakBefore w:val="0"/>
              <w:numPr>
                <w:ilvl w:val="0"/>
                <w:numId w:val="0"/>
              </w:numPr>
              <w:wordWrap/>
              <w:overflowPunct/>
              <w:topLinePunct w:val="0"/>
              <w:bidi w:val="0"/>
              <w:spacing w:beforeAutospacing="0" w:after="0" w:afterAutospacing="0" w:line="480" w:lineRule="exact"/>
              <w:ind w:left="0"/>
              <w:rPr>
                <w:rStyle w:val="15"/>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3、配置及参数要求：</w:t>
            </w:r>
          </w:p>
          <w:p w14:paraId="5B63BD63">
            <w:pPr>
              <w:pStyle w:val="6"/>
              <w:pageBreakBefore w:val="0"/>
              <w:numPr>
                <w:ilvl w:val="0"/>
                <w:numId w:val="0"/>
              </w:numPr>
              <w:wordWrap/>
              <w:overflowPunct/>
              <w:topLinePunct w:val="0"/>
              <w:bidi w:val="0"/>
              <w:spacing w:beforeAutospacing="0" w:after="0" w:afterAutospacing="0" w:line="480" w:lineRule="exact"/>
              <w:ind w:left="0" w:firstLine="210" w:firstLineChars="100"/>
              <w:rPr>
                <w:rStyle w:val="15"/>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25kg砝码：其中20个材质为不锈钢、300个材质为铸铁，共计320个</w:t>
            </w:r>
            <w:r>
              <w:rPr>
                <w:rStyle w:val="15"/>
                <w:rFonts w:hint="eastAsia" w:ascii="宋体" w:hAnsi="宋体" w:eastAsia="宋体" w:cs="宋体"/>
                <w:color w:val="auto"/>
                <w:sz w:val="21"/>
                <w:szCs w:val="21"/>
                <w:highlight w:val="none"/>
                <w:lang w:val="en-US" w:eastAsia="zh-CN" w:bidi="ar"/>
              </w:rPr>
              <w:t>；10mg、20mg、50mg、</w:t>
            </w:r>
            <w:r>
              <w:rPr>
                <w:rFonts w:hint="eastAsia" w:ascii="宋体" w:hAnsi="宋体" w:eastAsia="宋体" w:cs="宋体"/>
                <w:color w:val="auto"/>
                <w:sz w:val="21"/>
                <w:szCs w:val="21"/>
                <w:highlight w:val="none"/>
                <w:lang w:val="en-US" w:eastAsia="zh-CN"/>
              </w:rPr>
              <w:t>100mg、200mg、500mg、1g、2g、5g、10g各15个。</w:t>
            </w:r>
          </w:p>
        </w:tc>
      </w:tr>
      <w:tr w14:paraId="5F10D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7" w:type="dxa"/>
            <w:vAlign w:val="center"/>
          </w:tcPr>
          <w:p w14:paraId="18ABBEB1">
            <w:pPr>
              <w:pStyle w:val="6"/>
              <w:pageBreakBefore w:val="0"/>
              <w:wordWrap/>
              <w:overflowPunct/>
              <w:topLinePunct w:val="0"/>
              <w:bidi w:val="0"/>
              <w:spacing w:beforeAutospacing="0" w:after="0" w:afterAutospacing="0" w:line="480" w:lineRule="exact"/>
              <w:ind w:left="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3</w:t>
            </w:r>
          </w:p>
        </w:tc>
        <w:tc>
          <w:tcPr>
            <w:tcW w:w="1605" w:type="dxa"/>
            <w:vAlign w:val="center"/>
          </w:tcPr>
          <w:p w14:paraId="21514DE7">
            <w:pPr>
              <w:pStyle w:val="6"/>
              <w:pageBreakBefore w:val="0"/>
              <w:wordWrap/>
              <w:overflowPunct/>
              <w:topLinePunct w:val="0"/>
              <w:bidi w:val="0"/>
              <w:spacing w:beforeAutospacing="0" w:after="0" w:afterAutospacing="0" w:line="480" w:lineRule="exact"/>
              <w:ind w:left="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质量比较仪</w:t>
            </w:r>
          </w:p>
        </w:tc>
        <w:tc>
          <w:tcPr>
            <w:tcW w:w="12382" w:type="dxa"/>
          </w:tcPr>
          <w:p w14:paraId="50066161">
            <w:pPr>
              <w:pStyle w:val="6"/>
              <w:pageBreakBefore w:val="0"/>
              <w:numPr>
                <w:ilvl w:val="0"/>
                <w:numId w:val="0"/>
              </w:numPr>
              <w:wordWrap/>
              <w:overflowPunct/>
              <w:topLinePunct w:val="0"/>
              <w:bidi w:val="0"/>
              <w:spacing w:beforeAutospacing="0" w:after="0" w:afterAutospacing="0" w:line="480" w:lineRule="exact"/>
              <w:ind w:left="0" w:left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1、用途及应用要求：</w:t>
            </w:r>
          </w:p>
          <w:p w14:paraId="695E7FCE">
            <w:pPr>
              <w:pStyle w:val="6"/>
              <w:pageBreakBefore w:val="0"/>
              <w:numPr>
                <w:ilvl w:val="0"/>
                <w:numId w:val="0"/>
              </w:numPr>
              <w:wordWrap/>
              <w:overflowPunct/>
              <w:topLinePunct w:val="0"/>
              <w:bidi w:val="0"/>
              <w:spacing w:beforeAutospacing="0" w:after="0" w:afterAutospacing="0" w:line="480" w:lineRule="exact"/>
              <w:ind w:left="0" w:left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主要用于高精度质量测量，核心用途是砝码的检定与校准；满足《JJF 1326-2011 质量比较仪校准规范》、《GB/T 29252-2012 实验室仪器和设备质量检验规则》要求。</w:t>
            </w:r>
          </w:p>
          <w:p w14:paraId="4006E12B">
            <w:pPr>
              <w:pStyle w:val="6"/>
              <w:pageBreakBefore w:val="0"/>
              <w:numPr>
                <w:ilvl w:val="0"/>
                <w:numId w:val="0"/>
              </w:numPr>
              <w:wordWrap/>
              <w:overflowPunct/>
              <w:topLinePunct w:val="0"/>
              <w:bidi w:val="0"/>
              <w:spacing w:beforeAutospacing="0" w:after="0" w:afterAutospacing="0" w:line="480" w:lineRule="exact"/>
              <w:ind w:left="0" w:left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2、主要技术参数要求：</w:t>
            </w:r>
          </w:p>
          <w:p w14:paraId="2E734D15">
            <w:pPr>
              <w:pStyle w:val="6"/>
              <w:pageBreakBefore w:val="0"/>
              <w:wordWrap/>
              <w:overflowPunct/>
              <w:topLinePunct w:val="0"/>
              <w:bidi w:val="0"/>
              <w:spacing w:beforeAutospacing="0" w:after="0" w:afterAutospacing="0" w:line="480" w:lineRule="exact"/>
              <w:ind w:left="0" w:leftChars="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2.1、量程不低于500g,精度不低于0.5mg,能满足检定F2等级500g标准砝码的要求。</w:t>
            </w:r>
          </w:p>
          <w:p w14:paraId="13795508">
            <w:pPr>
              <w:pStyle w:val="6"/>
              <w:pageBreakBefore w:val="0"/>
              <w:wordWrap/>
              <w:overflowPunct/>
              <w:topLinePunct w:val="0"/>
              <w:bidi w:val="0"/>
              <w:spacing w:beforeAutospacing="0" w:after="0" w:afterAutospacing="0" w:line="480" w:lineRule="exact"/>
              <w:ind w:left="0" w:leftChars="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2.2、超载/欠载报警、温度补偿、全量程去皮、累加/累减。</w:t>
            </w:r>
          </w:p>
          <w:p w14:paraId="2883075E">
            <w:pPr>
              <w:pStyle w:val="6"/>
              <w:pageBreakBefore w:val="0"/>
              <w:wordWrap/>
              <w:overflowPunct/>
              <w:topLinePunct w:val="0"/>
              <w:bidi w:val="0"/>
              <w:spacing w:beforeAutospacing="0" w:after="0" w:afterAutospacing="0" w:line="480" w:lineRule="exact"/>
              <w:ind w:left="0" w:leftChars="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2.3、具有温度补偿、漂移补偿技术，使全天候称量更准确可靠。</w:t>
            </w:r>
          </w:p>
          <w:p w14:paraId="292E4402">
            <w:pPr>
              <w:pStyle w:val="6"/>
              <w:pageBreakBefore w:val="0"/>
              <w:wordWrap/>
              <w:overflowPunct/>
              <w:topLinePunct w:val="0"/>
              <w:bidi w:val="0"/>
              <w:spacing w:beforeAutospacing="0" w:after="0" w:afterAutospacing="0" w:line="480" w:lineRule="exact"/>
              <w:ind w:left="0" w:leftChars="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2.4、多种称量单位转换及数据输出方式:克、克拉、盎司等。</w:t>
            </w:r>
          </w:p>
          <w:p w14:paraId="48137154">
            <w:pPr>
              <w:pStyle w:val="6"/>
              <w:pageBreakBefore w:val="0"/>
              <w:wordWrap/>
              <w:overflowPunct/>
              <w:topLinePunct w:val="0"/>
              <w:bidi w:val="0"/>
              <w:spacing w:beforeAutospacing="0" w:after="0" w:afterAutospacing="0" w:line="480" w:lineRule="exact"/>
              <w:ind w:left="0" w:leftChars="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2.5、称量方式：计数、百分比、动物称量等，适用于不同称量。</w:t>
            </w:r>
          </w:p>
          <w:p w14:paraId="16F690D3">
            <w:pPr>
              <w:pStyle w:val="6"/>
              <w:pageBreakBefore w:val="0"/>
              <w:wordWrap/>
              <w:overflowPunct/>
              <w:topLinePunct w:val="0"/>
              <w:bidi w:val="0"/>
              <w:spacing w:beforeAutospacing="0" w:after="0" w:afterAutospacing="0" w:line="480" w:lineRule="exact"/>
              <w:ind w:left="0" w:leftChars="0" w:firstLine="0" w:firstLineChars="0"/>
              <w:rPr>
                <w:rFonts w:hint="eastAsia" w:ascii="宋体" w:hAnsi="宋体" w:eastAsia="宋体" w:cs="宋体"/>
                <w:bCs/>
                <w:color w:val="auto"/>
                <w:sz w:val="21"/>
                <w:szCs w:val="21"/>
                <w:highlight w:val="none"/>
                <w:lang w:val="en-US" w:eastAsia="zh-CN"/>
              </w:rPr>
            </w:pPr>
            <w:r>
              <w:rPr>
                <w:rFonts w:hint="eastAsia" w:ascii="宋体" w:hAnsi="宋体" w:eastAsia="宋体" w:cs="宋体"/>
                <w:color w:val="auto"/>
                <w:sz w:val="21"/>
                <w:szCs w:val="21"/>
                <w:highlight w:val="none"/>
                <w:lang w:val="en-US" w:eastAsia="zh-CN"/>
              </w:rPr>
              <w:t>2.6、配有RS232输出接口，可与电脑、打印机等外设连接。</w:t>
            </w:r>
          </w:p>
        </w:tc>
      </w:tr>
      <w:tr w14:paraId="3CBF2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7" w:type="dxa"/>
            <w:vAlign w:val="center"/>
          </w:tcPr>
          <w:p w14:paraId="2DCD0019">
            <w:pPr>
              <w:pStyle w:val="6"/>
              <w:pageBreakBefore w:val="0"/>
              <w:wordWrap/>
              <w:overflowPunct/>
              <w:topLinePunct w:val="0"/>
              <w:bidi w:val="0"/>
              <w:spacing w:beforeAutospacing="0" w:after="0" w:afterAutospacing="0" w:line="480" w:lineRule="exact"/>
              <w:ind w:left="0" w:firstLine="0" w:firstLineChars="0"/>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4</w:t>
            </w:r>
          </w:p>
        </w:tc>
        <w:tc>
          <w:tcPr>
            <w:tcW w:w="1605" w:type="dxa"/>
            <w:vAlign w:val="center"/>
          </w:tcPr>
          <w:p w14:paraId="2DF9967A">
            <w:pPr>
              <w:pStyle w:val="6"/>
              <w:pageBreakBefore w:val="0"/>
              <w:wordWrap/>
              <w:overflowPunct/>
              <w:topLinePunct w:val="0"/>
              <w:bidi w:val="0"/>
              <w:spacing w:beforeAutospacing="0" w:after="0" w:afterAutospacing="0" w:line="480" w:lineRule="exact"/>
              <w:ind w:left="0" w:firstLine="0" w:firstLineChars="0"/>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质量比较仪</w:t>
            </w:r>
            <w:r>
              <w:rPr>
                <w:rFonts w:hint="eastAsia" w:ascii="宋体" w:hAnsi="宋体" w:eastAsia="宋体" w:cs="宋体"/>
                <w:color w:val="auto"/>
                <w:sz w:val="21"/>
                <w:szCs w:val="21"/>
                <w:highlight w:val="none"/>
                <w:lang w:val="en-US" w:eastAsia="zh-CN" w:bidi="ar"/>
              </w:rPr>
              <w:t>2</w:t>
            </w:r>
          </w:p>
        </w:tc>
        <w:tc>
          <w:tcPr>
            <w:tcW w:w="12382" w:type="dxa"/>
          </w:tcPr>
          <w:p w14:paraId="07FE1573">
            <w:pPr>
              <w:pStyle w:val="6"/>
              <w:pageBreakBefore w:val="0"/>
              <w:numPr>
                <w:ilvl w:val="0"/>
                <w:numId w:val="0"/>
              </w:numPr>
              <w:wordWrap/>
              <w:overflowPunct/>
              <w:topLinePunct w:val="0"/>
              <w:bidi w:val="0"/>
              <w:spacing w:beforeAutospacing="0" w:after="0" w:afterAutospacing="0" w:line="480" w:lineRule="exact"/>
              <w:ind w:left="0" w:left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1、用途及应用要求：</w:t>
            </w:r>
          </w:p>
          <w:p w14:paraId="55CD004D">
            <w:pPr>
              <w:pStyle w:val="6"/>
              <w:pageBreakBefore w:val="0"/>
              <w:numPr>
                <w:ilvl w:val="0"/>
                <w:numId w:val="0"/>
              </w:numPr>
              <w:wordWrap/>
              <w:overflowPunct/>
              <w:topLinePunct w:val="0"/>
              <w:bidi w:val="0"/>
              <w:spacing w:beforeAutospacing="0" w:after="0" w:afterAutospacing="0" w:line="480" w:lineRule="exact"/>
              <w:ind w:left="0" w:left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主要用于高精度质量测量，核心用途是砝码的检定与校准；</w:t>
            </w:r>
          </w:p>
          <w:p w14:paraId="6251C0BD">
            <w:pPr>
              <w:pStyle w:val="6"/>
              <w:pageBreakBefore w:val="0"/>
              <w:numPr>
                <w:ilvl w:val="0"/>
                <w:numId w:val="0"/>
              </w:numPr>
              <w:wordWrap/>
              <w:overflowPunct/>
              <w:topLinePunct w:val="0"/>
              <w:bidi w:val="0"/>
              <w:spacing w:beforeAutospacing="0" w:after="0" w:afterAutospacing="0" w:line="480" w:lineRule="exact"/>
              <w:ind w:left="0" w:left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2、主要技术参数要求：</w:t>
            </w:r>
          </w:p>
          <w:p w14:paraId="34274524">
            <w:pPr>
              <w:pStyle w:val="6"/>
              <w:keepNext w:val="0"/>
              <w:keepLines w:val="0"/>
              <w:pageBreakBefore w:val="0"/>
              <w:widowControl/>
              <w:numPr>
                <w:ilvl w:val="0"/>
                <w:numId w:val="0"/>
              </w:numPr>
              <w:kinsoku w:val="0"/>
              <w:wordWrap/>
              <w:overflowPunct/>
              <w:topLinePunct w:val="0"/>
              <w:autoSpaceDE w:val="0"/>
              <w:autoSpaceDN w:val="0"/>
              <w:bidi w:val="0"/>
              <w:adjustRightInd w:val="0"/>
              <w:snapToGrid w:val="0"/>
              <w:spacing w:beforeAutospacing="0" w:after="0" w:afterAutospacing="0" w:line="480" w:lineRule="exact"/>
              <w:ind w:left="0"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 满足《JJF 1326-2011 质量比较仪校准规范》、《GB/T 29252-2012 实验室仪器和设备质量检验规则》要求。</w:t>
            </w:r>
          </w:p>
          <w:p w14:paraId="79308BF9">
            <w:pPr>
              <w:pStyle w:val="6"/>
              <w:keepNext w:val="0"/>
              <w:keepLines w:val="0"/>
              <w:pageBreakBefore w:val="0"/>
              <w:widowControl/>
              <w:numPr>
                <w:ilvl w:val="0"/>
                <w:numId w:val="0"/>
              </w:numPr>
              <w:kinsoku w:val="0"/>
              <w:wordWrap/>
              <w:overflowPunct/>
              <w:topLinePunct w:val="0"/>
              <w:autoSpaceDE w:val="0"/>
              <w:autoSpaceDN w:val="0"/>
              <w:bidi w:val="0"/>
              <w:adjustRightInd w:val="0"/>
              <w:snapToGrid w:val="0"/>
              <w:spacing w:beforeAutospacing="0" w:after="0" w:afterAutospacing="0" w:line="480" w:lineRule="exact"/>
              <w:ind w:left="0" w:firstLine="420" w:firstLineChars="200"/>
              <w:textAlignment w:val="baseline"/>
              <w:rPr>
                <w:rFonts w:hint="default" w:ascii="宋体" w:hAnsi="宋体" w:eastAsia="宋体" w:cs="宋体"/>
                <w:bCs/>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2.2 量程不低于30kg，精度不低于1g。</w:t>
            </w:r>
          </w:p>
        </w:tc>
      </w:tr>
      <w:tr w14:paraId="6B4DF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7" w:type="dxa"/>
            <w:vAlign w:val="center"/>
          </w:tcPr>
          <w:p w14:paraId="1F636326">
            <w:pPr>
              <w:pStyle w:val="6"/>
              <w:pageBreakBefore w:val="0"/>
              <w:wordWrap/>
              <w:overflowPunct/>
              <w:topLinePunct w:val="0"/>
              <w:bidi w:val="0"/>
              <w:spacing w:beforeAutospacing="0" w:after="0" w:afterAutospacing="0" w:line="480" w:lineRule="exact"/>
              <w:ind w:left="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5</w:t>
            </w:r>
          </w:p>
        </w:tc>
        <w:tc>
          <w:tcPr>
            <w:tcW w:w="1605" w:type="dxa"/>
            <w:vAlign w:val="center"/>
          </w:tcPr>
          <w:p w14:paraId="02A6B653">
            <w:pPr>
              <w:pStyle w:val="6"/>
              <w:pageBreakBefore w:val="0"/>
              <w:wordWrap/>
              <w:overflowPunct/>
              <w:topLinePunct w:val="0"/>
              <w:bidi w:val="0"/>
              <w:spacing w:beforeAutospacing="0" w:after="0" w:afterAutospacing="0" w:line="480" w:lineRule="exact"/>
              <w:ind w:left="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质量比较仪</w:t>
            </w:r>
          </w:p>
        </w:tc>
        <w:tc>
          <w:tcPr>
            <w:tcW w:w="12382" w:type="dxa"/>
          </w:tcPr>
          <w:p w14:paraId="121454F1">
            <w:pPr>
              <w:pStyle w:val="16"/>
              <w:pageBreakBefore w:val="0"/>
              <w:numPr>
                <w:ilvl w:val="0"/>
                <w:numId w:val="0"/>
              </w:numPr>
              <w:wordWrap/>
              <w:overflowPunct/>
              <w:topLinePunct w:val="0"/>
              <w:bidi w:val="0"/>
              <w:spacing w:beforeAutospacing="0" w:afterAutospacing="0" w:line="480" w:lineRule="exact"/>
              <w:ind w:left="0" w:leftChars="0"/>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lang w:val="en-US" w:eastAsia="zh-CN"/>
              </w:rPr>
              <w:t>1、</w:t>
            </w:r>
            <w:r>
              <w:rPr>
                <w:rFonts w:hint="eastAsia" w:ascii="宋体" w:hAnsi="宋体" w:eastAsia="宋体" w:cs="宋体"/>
                <w:b/>
                <w:bCs/>
                <w:color w:val="auto"/>
                <w:kern w:val="0"/>
                <w:sz w:val="21"/>
                <w:szCs w:val="21"/>
                <w:highlight w:val="none"/>
              </w:rPr>
              <w:t>用途及应用要求</w:t>
            </w:r>
          </w:p>
          <w:p w14:paraId="471C72B4">
            <w:pPr>
              <w:pStyle w:val="16"/>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设备用于</w:t>
            </w:r>
            <w:r>
              <w:rPr>
                <w:rFonts w:hint="eastAsia" w:ascii="宋体" w:hAnsi="宋体" w:eastAsia="宋体" w:cs="宋体"/>
                <w:color w:val="auto"/>
                <w:sz w:val="21"/>
                <w:szCs w:val="21"/>
                <w:highlight w:val="none"/>
                <w:lang w:val="en-US" w:eastAsia="zh-CN"/>
              </w:rPr>
              <w:t>高精度质量测量，核心用途是</w:t>
            </w:r>
            <w:r>
              <w:rPr>
                <w:rFonts w:hint="eastAsia" w:ascii="宋体" w:hAnsi="宋体" w:eastAsia="宋体" w:cs="宋体"/>
                <w:color w:val="auto"/>
                <w:kern w:val="0"/>
                <w:sz w:val="21"/>
                <w:szCs w:val="21"/>
                <w:highlight w:val="none"/>
              </w:rPr>
              <w:t>砝码检定</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检定范围</w:t>
            </w:r>
            <w:r>
              <w:rPr>
                <w:rFonts w:hint="eastAsia" w:ascii="宋体" w:hAnsi="宋体" w:eastAsia="宋体" w:cs="宋体"/>
                <w:color w:val="auto"/>
                <w:kern w:val="0"/>
                <w:sz w:val="21"/>
                <w:szCs w:val="21"/>
                <w:highlight w:val="none"/>
                <w:lang w:val="en-US" w:eastAsia="zh-CN"/>
              </w:rPr>
              <w:t>0</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rPr>
              <w:t>00g</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F2等级</w:t>
            </w:r>
            <w:r>
              <w:rPr>
                <w:rFonts w:hint="eastAsia" w:ascii="宋体" w:hAnsi="宋体" w:eastAsia="宋体" w:cs="宋体"/>
                <w:color w:val="auto"/>
                <w:kern w:val="0"/>
                <w:sz w:val="21"/>
                <w:szCs w:val="21"/>
                <w:highlight w:val="none"/>
                <w:lang w:val="en-US" w:eastAsia="zh-CN"/>
              </w:rPr>
              <w:t>标准砝码</w:t>
            </w:r>
            <w:r>
              <w:rPr>
                <w:rFonts w:hint="eastAsia" w:ascii="宋体" w:hAnsi="宋体" w:eastAsia="宋体" w:cs="宋体"/>
                <w:color w:val="auto"/>
                <w:kern w:val="0"/>
                <w:sz w:val="21"/>
                <w:szCs w:val="21"/>
                <w:highlight w:val="none"/>
              </w:rPr>
              <w:t>。满足</w:t>
            </w:r>
            <w:r>
              <w:rPr>
                <w:rFonts w:hint="eastAsia" w:ascii="宋体" w:hAnsi="宋体" w:eastAsia="宋体" w:cs="宋体"/>
                <w:color w:val="auto"/>
                <w:sz w:val="21"/>
                <w:szCs w:val="21"/>
                <w:highlight w:val="none"/>
                <w:lang w:val="en-US" w:eastAsia="zh-CN"/>
              </w:rPr>
              <w:t>《JJG 99-2022 砝码检定规程》、《JJF 1326-2011 质量比较仪校准规范》、《GB/T 29252-2012 实验室仪器和设备质量检验规则》</w:t>
            </w:r>
            <w:r>
              <w:rPr>
                <w:rFonts w:hint="eastAsia" w:ascii="宋体" w:hAnsi="宋体" w:eastAsia="宋体" w:cs="宋体"/>
                <w:color w:val="auto"/>
                <w:kern w:val="0"/>
                <w:sz w:val="21"/>
                <w:szCs w:val="21"/>
                <w:highlight w:val="none"/>
              </w:rPr>
              <w:t>规程要求</w:t>
            </w:r>
            <w:r>
              <w:rPr>
                <w:rFonts w:hint="eastAsia" w:ascii="宋体" w:hAnsi="宋体" w:eastAsia="宋体" w:cs="宋体"/>
                <w:color w:val="auto"/>
                <w:kern w:val="0"/>
                <w:sz w:val="21"/>
                <w:szCs w:val="21"/>
                <w:highlight w:val="none"/>
                <w:lang w:eastAsia="zh-CN"/>
              </w:rPr>
              <w:t>。</w:t>
            </w:r>
          </w:p>
          <w:p w14:paraId="430C66EB">
            <w:pPr>
              <w:pStyle w:val="16"/>
              <w:pageBreakBefore w:val="0"/>
              <w:numPr>
                <w:ilvl w:val="0"/>
                <w:numId w:val="0"/>
              </w:numPr>
              <w:wordWrap/>
              <w:overflowPunct/>
              <w:topLinePunct w:val="0"/>
              <w:bidi w:val="0"/>
              <w:spacing w:beforeAutospacing="0" w:afterAutospacing="0" w:line="480" w:lineRule="exact"/>
              <w:ind w:left="0" w:leftChars="0"/>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2、</w:t>
            </w:r>
            <w:r>
              <w:rPr>
                <w:rFonts w:hint="eastAsia" w:ascii="宋体" w:hAnsi="宋体" w:eastAsia="宋体" w:cs="宋体"/>
                <w:b/>
                <w:bCs/>
                <w:color w:val="auto"/>
                <w:kern w:val="0"/>
                <w:sz w:val="21"/>
                <w:szCs w:val="21"/>
                <w:highlight w:val="none"/>
              </w:rPr>
              <w:t>主要技术参数</w:t>
            </w:r>
            <w:r>
              <w:rPr>
                <w:rFonts w:hint="eastAsia" w:ascii="宋体" w:hAnsi="宋体" w:eastAsia="宋体" w:cs="宋体"/>
                <w:b/>
                <w:bCs/>
                <w:color w:val="auto"/>
                <w:kern w:val="0"/>
                <w:sz w:val="21"/>
                <w:szCs w:val="21"/>
                <w:highlight w:val="none"/>
                <w:lang w:val="en-US" w:eastAsia="zh-CN"/>
              </w:rPr>
              <w:t>要求</w:t>
            </w:r>
          </w:p>
          <w:p w14:paraId="7716406E">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最大载荷：220g；实际分度值：0.01mg；5%负载时的可重复性允差：0.015mg；5%负载时的可重复性典型值：0.007mg；约为最大负载时的可重复性允差：0.025mg；约为最大负载时的可重复性典型值：0.015mg；线性偏差允差：0.07mg；线性偏差典型值：0.03mg；</w:t>
            </w:r>
          </w:p>
          <w:p w14:paraId="53B6AB26">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r>
              <w:rPr>
                <w:rFonts w:hint="eastAsia" w:ascii="宋体" w:hAnsi="宋体" w:eastAsia="宋体" w:cs="宋体"/>
                <w:bCs/>
                <w:color w:val="auto"/>
                <w:sz w:val="21"/>
                <w:szCs w:val="21"/>
                <w:highlight w:val="none"/>
                <w:lang w:val="en-US" w:eastAsia="zh-CN"/>
              </w:rPr>
              <w:t>2</w:t>
            </w:r>
            <w:r>
              <w:rPr>
                <w:rFonts w:hint="eastAsia" w:ascii="宋体" w:hAnsi="宋体" w:eastAsia="宋体" w:cs="宋体"/>
                <w:bCs/>
                <w:color w:val="auto"/>
                <w:sz w:val="21"/>
                <w:szCs w:val="21"/>
                <w:highlight w:val="none"/>
              </w:rPr>
              <w:t>全自动调水平功能，电机驱动，无需手动调整水平；启动内部校准与调整功能时，会自动检测天平水平状态，若天平不水平，则启动全自动水平调整功能；</w:t>
            </w:r>
          </w:p>
          <w:p w14:paraId="14BD6E69">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bCs/>
                <w:color w:val="auto"/>
                <w:sz w:val="21"/>
                <w:szCs w:val="21"/>
                <w:highlight w:val="none"/>
              </w:rPr>
            </w:pPr>
            <w:bookmarkStart w:id="0" w:name="_Hlk170222580"/>
            <w:r>
              <w:rPr>
                <w:rFonts w:hint="eastAsia" w:ascii="宋体" w:hAnsi="宋体" w:eastAsia="宋体" w:cs="宋体"/>
                <w:bCs/>
                <w:color w:val="auto"/>
                <w:kern w:val="0"/>
                <w:sz w:val="21"/>
                <w:szCs w:val="21"/>
                <w:highlight w:val="none"/>
              </w:rPr>
              <w:t>2.</w:t>
            </w:r>
            <w:r>
              <w:rPr>
                <w:rFonts w:hint="eastAsia" w:ascii="宋体" w:hAnsi="宋体" w:eastAsia="宋体" w:cs="宋体"/>
                <w:bCs/>
                <w:color w:val="auto"/>
                <w:kern w:val="0"/>
                <w:sz w:val="21"/>
                <w:szCs w:val="21"/>
                <w:highlight w:val="none"/>
                <w:lang w:val="en-US" w:eastAsia="zh-CN"/>
              </w:rPr>
              <w:t>3</w:t>
            </w:r>
            <w:r>
              <w:rPr>
                <w:rFonts w:hint="eastAsia" w:ascii="宋体" w:hAnsi="宋体" w:eastAsia="宋体" w:cs="宋体"/>
                <w:bCs/>
                <w:color w:val="auto"/>
                <w:kern w:val="0"/>
                <w:sz w:val="21"/>
                <w:szCs w:val="21"/>
                <w:highlight w:val="none"/>
              </w:rPr>
              <w:t>防风罩玻璃表面镀有特殊导电涂层，能够有效减少静电对称重的干扰；</w:t>
            </w:r>
            <w:bookmarkEnd w:id="0"/>
          </w:p>
          <w:p w14:paraId="4436A106">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bCs/>
                <w:color w:val="auto"/>
                <w:sz w:val="21"/>
                <w:szCs w:val="21"/>
                <w:highlight w:val="none"/>
              </w:rPr>
            </w:pPr>
            <w:r>
              <w:rPr>
                <w:rFonts w:hint="eastAsia" w:ascii="宋体" w:hAnsi="宋体" w:eastAsia="宋体" w:cs="宋体"/>
                <w:bCs/>
                <w:color w:val="auto"/>
                <w:kern w:val="0"/>
                <w:sz w:val="21"/>
                <w:szCs w:val="21"/>
                <w:highlight w:val="none"/>
              </w:rPr>
              <w:t>2</w:t>
            </w:r>
            <w:r>
              <w:rPr>
                <w:rFonts w:hint="eastAsia" w:ascii="宋体" w:hAnsi="宋体" w:eastAsia="宋体" w:cs="宋体"/>
                <w:bCs/>
                <w:color w:val="auto"/>
                <w:kern w:val="0"/>
                <w:sz w:val="21"/>
                <w:szCs w:val="21"/>
                <w:highlight w:val="none"/>
                <w:lang w:val="en-US" w:eastAsia="zh-CN"/>
              </w:rPr>
              <w:t>.4</w:t>
            </w:r>
            <w:r>
              <w:rPr>
                <w:rFonts w:hint="eastAsia" w:ascii="宋体" w:hAnsi="宋体" w:eastAsia="宋体" w:cs="宋体"/>
                <w:bCs/>
                <w:color w:val="auto"/>
                <w:sz w:val="21"/>
                <w:szCs w:val="21"/>
                <w:highlight w:val="none"/>
                <w:lang w:val="en-US" w:eastAsia="zh-CN"/>
              </w:rPr>
              <w:t>有</w:t>
            </w:r>
            <w:r>
              <w:rPr>
                <w:rFonts w:hint="eastAsia" w:ascii="宋体" w:hAnsi="宋体" w:eastAsia="宋体" w:cs="宋体"/>
                <w:bCs/>
                <w:color w:val="auto"/>
                <w:sz w:val="21"/>
                <w:szCs w:val="21"/>
                <w:highlight w:val="none"/>
              </w:rPr>
              <w:t>下部吊钩称量功能，无法在秤盘上称重的样品可用此方式完成称重工作，或满足特殊样品的称重需求；</w:t>
            </w:r>
            <w:r>
              <w:rPr>
                <w:rFonts w:hint="eastAsia" w:ascii="宋体" w:hAnsi="宋体" w:eastAsia="宋体" w:cs="宋体"/>
                <w:bCs/>
                <w:color w:val="auto"/>
                <w:kern w:val="0"/>
                <w:sz w:val="21"/>
                <w:szCs w:val="21"/>
                <w:highlight w:val="none"/>
              </w:rPr>
              <w:t xml:space="preserve"> 秤盘尺寸为</w:t>
            </w:r>
            <w:r>
              <w:rPr>
                <w:rFonts w:hint="eastAsia" w:ascii="宋体" w:hAnsi="宋体" w:eastAsia="宋体" w:cs="宋体"/>
                <w:color w:val="auto"/>
                <w:sz w:val="21"/>
                <w:szCs w:val="21"/>
                <w:highlight w:val="none"/>
                <w:shd w:val="clear" w:color="auto" w:fill="FFFFFF"/>
              </w:rPr>
              <w:t>Φ=90mm</w:t>
            </w:r>
            <w:r>
              <w:rPr>
                <w:rFonts w:hint="eastAsia" w:ascii="宋体" w:hAnsi="宋体" w:eastAsia="宋体" w:cs="宋体"/>
                <w:bCs/>
                <w:color w:val="auto"/>
                <w:kern w:val="0"/>
                <w:sz w:val="21"/>
                <w:szCs w:val="21"/>
                <w:highlight w:val="none"/>
              </w:rPr>
              <w:t>，能装载更大底面积的容器以便于称量工作的进行；</w:t>
            </w:r>
          </w:p>
          <w:p w14:paraId="320C152A">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bCs/>
                <w:color w:val="auto"/>
                <w:kern w:val="0"/>
                <w:sz w:val="21"/>
                <w:szCs w:val="21"/>
                <w:highlight w:val="none"/>
              </w:rPr>
            </w:pPr>
            <w:bookmarkStart w:id="1" w:name="_Hlk153746920"/>
            <w:r>
              <w:rPr>
                <w:rFonts w:hint="eastAsia" w:ascii="宋体" w:hAnsi="宋体" w:eastAsia="宋体" w:cs="宋体"/>
                <w:bCs/>
                <w:color w:val="auto"/>
                <w:kern w:val="0"/>
                <w:sz w:val="21"/>
                <w:szCs w:val="21"/>
                <w:highlight w:val="none"/>
              </w:rPr>
              <w:t>2.</w:t>
            </w:r>
            <w:r>
              <w:rPr>
                <w:rFonts w:hint="eastAsia" w:ascii="宋体" w:hAnsi="宋体" w:eastAsia="宋体" w:cs="宋体"/>
                <w:bCs/>
                <w:color w:val="auto"/>
                <w:kern w:val="0"/>
                <w:sz w:val="21"/>
                <w:szCs w:val="21"/>
                <w:highlight w:val="none"/>
                <w:lang w:val="en-US" w:eastAsia="zh-CN"/>
              </w:rPr>
              <w:t>5</w:t>
            </w:r>
            <w:r>
              <w:rPr>
                <w:rFonts w:hint="eastAsia" w:ascii="宋体" w:hAnsi="宋体" w:eastAsia="宋体" w:cs="宋体"/>
                <w:bCs/>
                <w:color w:val="auto"/>
                <w:kern w:val="0"/>
                <w:sz w:val="21"/>
                <w:szCs w:val="21"/>
                <w:highlight w:val="none"/>
              </w:rPr>
              <w:t>操作界面可一键切换至用户登录界面，便捷快速地切换使用账户；</w:t>
            </w:r>
            <w:r>
              <w:rPr>
                <w:rFonts w:hint="eastAsia" w:ascii="宋体" w:hAnsi="宋体" w:eastAsia="宋体" w:cs="宋体"/>
                <w:bCs/>
                <w:color w:val="auto"/>
                <w:sz w:val="21"/>
                <w:szCs w:val="21"/>
                <w:highlight w:val="none"/>
              </w:rPr>
              <w:t>水平监测功能，当天平未处于水平状态时会有报警提醒；</w:t>
            </w:r>
            <w:r>
              <w:rPr>
                <w:rFonts w:hint="eastAsia" w:ascii="宋体" w:hAnsi="宋体" w:eastAsia="宋体" w:cs="宋体"/>
                <w:color w:val="auto"/>
                <w:kern w:val="0"/>
                <w:sz w:val="21"/>
                <w:szCs w:val="21"/>
                <w:highlight w:val="none"/>
              </w:rPr>
              <w:t>IsoCAL功能，依据温度和时间触发的全自动内部校准和调整功能，确保获得准确的称量结果，内部砝码亦可进行线性化调整；</w:t>
            </w:r>
          </w:p>
          <w:p w14:paraId="4BBFE0ED">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2.</w:t>
            </w:r>
            <w:r>
              <w:rPr>
                <w:rFonts w:hint="eastAsia" w:ascii="宋体" w:hAnsi="宋体" w:eastAsia="宋体" w:cs="宋体"/>
                <w:bCs/>
                <w:color w:val="auto"/>
                <w:kern w:val="0"/>
                <w:sz w:val="21"/>
                <w:szCs w:val="21"/>
                <w:highlight w:val="none"/>
                <w:lang w:val="en-US" w:eastAsia="zh-CN"/>
              </w:rPr>
              <w:t>6</w:t>
            </w:r>
            <w:r>
              <w:rPr>
                <w:rFonts w:hint="eastAsia" w:ascii="宋体" w:hAnsi="宋体" w:eastAsia="宋体" w:cs="宋体"/>
                <w:bCs/>
                <w:color w:val="auto"/>
                <w:kern w:val="0"/>
                <w:sz w:val="21"/>
                <w:szCs w:val="21"/>
                <w:highlight w:val="none"/>
              </w:rPr>
              <w:t>校准结果</w:t>
            </w:r>
            <w:r>
              <w:rPr>
                <w:rFonts w:hint="eastAsia" w:ascii="宋体" w:hAnsi="宋体" w:eastAsia="宋体" w:cs="宋体"/>
                <w:bCs/>
                <w:color w:val="auto"/>
                <w:kern w:val="0"/>
                <w:sz w:val="21"/>
                <w:szCs w:val="21"/>
                <w:highlight w:val="none"/>
                <w:lang w:eastAsia="zh-CN"/>
              </w:rPr>
              <w:t>可</w:t>
            </w:r>
            <w:r>
              <w:rPr>
                <w:rFonts w:hint="eastAsia" w:ascii="宋体" w:hAnsi="宋体" w:eastAsia="宋体" w:cs="宋体"/>
                <w:bCs/>
                <w:color w:val="auto"/>
                <w:kern w:val="0"/>
                <w:sz w:val="21"/>
                <w:szCs w:val="21"/>
                <w:highlight w:val="none"/>
              </w:rPr>
              <w:t>存储在天平内部，可通过U盘导出；内置Alibi存储器，存储器内数据只可读，不能够修改或选择性删除。可存储</w:t>
            </w:r>
            <w:r>
              <w:rPr>
                <w:rFonts w:hint="eastAsia" w:ascii="宋体" w:hAnsi="宋体" w:eastAsia="宋体" w:cs="宋体"/>
                <w:bCs/>
                <w:color w:val="auto"/>
                <w:kern w:val="0"/>
                <w:sz w:val="21"/>
                <w:szCs w:val="21"/>
                <w:highlight w:val="none"/>
                <w:lang w:eastAsia="zh-CN"/>
              </w:rPr>
              <w:t>≥</w:t>
            </w:r>
            <w:r>
              <w:rPr>
                <w:rFonts w:hint="eastAsia" w:ascii="宋体" w:hAnsi="宋体" w:eastAsia="宋体" w:cs="宋体"/>
                <w:bCs/>
                <w:color w:val="auto"/>
                <w:kern w:val="0"/>
                <w:sz w:val="21"/>
                <w:szCs w:val="21"/>
                <w:highlight w:val="none"/>
              </w:rPr>
              <w:t>15万条称重数据，存满后循环覆盖，可通过U盘导出；</w:t>
            </w:r>
          </w:p>
          <w:p w14:paraId="6E800C97">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bCs/>
                <w:color w:val="auto"/>
                <w:sz w:val="21"/>
                <w:szCs w:val="21"/>
                <w:highlight w:val="none"/>
              </w:rPr>
            </w:pPr>
            <w:r>
              <w:rPr>
                <w:rFonts w:hint="eastAsia" w:ascii="宋体" w:hAnsi="宋体" w:eastAsia="宋体" w:cs="宋体"/>
                <w:bCs/>
                <w:color w:val="auto"/>
                <w:kern w:val="0"/>
                <w:sz w:val="21"/>
                <w:szCs w:val="21"/>
                <w:highlight w:val="none"/>
              </w:rPr>
              <w:t>2.</w:t>
            </w:r>
            <w:r>
              <w:rPr>
                <w:rFonts w:hint="eastAsia" w:ascii="宋体" w:hAnsi="宋体" w:eastAsia="宋体" w:cs="宋体"/>
                <w:bCs/>
                <w:color w:val="auto"/>
                <w:kern w:val="0"/>
                <w:sz w:val="21"/>
                <w:szCs w:val="21"/>
                <w:highlight w:val="none"/>
                <w:lang w:val="en-US" w:eastAsia="zh-CN"/>
              </w:rPr>
              <w:t>7</w:t>
            </w:r>
            <w:r>
              <w:rPr>
                <w:rFonts w:hint="eastAsia" w:ascii="宋体" w:hAnsi="宋体" w:eastAsia="宋体" w:cs="宋体"/>
                <w:bCs/>
                <w:color w:val="auto"/>
                <w:kern w:val="0"/>
                <w:sz w:val="21"/>
                <w:szCs w:val="21"/>
                <w:highlight w:val="none"/>
              </w:rPr>
              <w:t>可在报告从天平输出时进行数据无效化标注，并可添加数据无效化的原因；</w:t>
            </w:r>
          </w:p>
          <w:p w14:paraId="2BE7DE4E">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天平导出文档随附MD5校验码，保证数据传递的安全性、有效性和可溯源性；</w:t>
            </w:r>
          </w:p>
          <w:p w14:paraId="7A73D1FE">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称重界面带有动态量程条，图形显示已占用的量程；</w:t>
            </w:r>
          </w:p>
          <w:p w14:paraId="23FCD355">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2</w:t>
            </w:r>
            <w:r>
              <w:rPr>
                <w:rFonts w:hint="eastAsia" w:ascii="宋体" w:hAnsi="宋体" w:eastAsia="宋体" w:cs="宋体"/>
                <w:bCs/>
                <w:color w:val="auto"/>
                <w:kern w:val="0"/>
                <w:sz w:val="21"/>
                <w:szCs w:val="21"/>
                <w:highlight w:val="none"/>
                <w:lang w:val="en-US" w:eastAsia="zh-CN"/>
              </w:rPr>
              <w:t>.8</w:t>
            </w:r>
            <w:r>
              <w:rPr>
                <w:rFonts w:hint="eastAsia" w:ascii="宋体" w:hAnsi="宋体" w:eastAsia="宋体" w:cs="宋体"/>
                <w:bCs/>
                <w:color w:val="auto"/>
                <w:kern w:val="0"/>
                <w:sz w:val="21"/>
                <w:szCs w:val="21"/>
                <w:highlight w:val="none"/>
              </w:rPr>
              <w:t>状态中心可显示报警、错误、校准情况、水平、清洁状态等信息，在报警或报错情形下，系统可以图文形式提供指导或处理建议；</w:t>
            </w:r>
          </w:p>
          <w:p w14:paraId="2EF6E2E4">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2.</w:t>
            </w:r>
            <w:r>
              <w:rPr>
                <w:rFonts w:hint="eastAsia" w:ascii="宋体" w:hAnsi="宋体" w:eastAsia="宋体" w:cs="宋体"/>
                <w:bCs/>
                <w:color w:val="auto"/>
                <w:kern w:val="0"/>
                <w:sz w:val="21"/>
                <w:szCs w:val="21"/>
                <w:highlight w:val="none"/>
                <w:lang w:val="en-US" w:eastAsia="zh-CN"/>
              </w:rPr>
              <w:t>9</w:t>
            </w:r>
            <w:r>
              <w:rPr>
                <w:rFonts w:hint="eastAsia" w:ascii="宋体" w:hAnsi="宋体" w:eastAsia="宋体" w:cs="宋体"/>
                <w:bCs/>
                <w:color w:val="auto"/>
                <w:kern w:val="0"/>
                <w:sz w:val="21"/>
                <w:szCs w:val="21"/>
                <w:highlight w:val="none"/>
              </w:rPr>
              <w:t xml:space="preserve"> 系统带有温度补偿，在不同环境温度下都能获得优异的称重结果；PC直连功能，无需软件即可轻松连接到PC，将时间、称量数值及单位直接传输到电子表格或者文本等格式的文档中； </w:t>
            </w:r>
          </w:p>
          <w:p w14:paraId="16561F29">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2.1</w:t>
            </w:r>
            <w:r>
              <w:rPr>
                <w:rFonts w:hint="eastAsia" w:ascii="宋体" w:hAnsi="宋体" w:eastAsia="宋体" w:cs="宋体"/>
                <w:bCs/>
                <w:color w:val="auto"/>
                <w:kern w:val="0"/>
                <w:sz w:val="21"/>
                <w:szCs w:val="21"/>
                <w:highlight w:val="none"/>
                <w:lang w:val="en-US" w:eastAsia="zh-CN"/>
              </w:rPr>
              <w:t>0</w:t>
            </w:r>
            <w:r>
              <w:rPr>
                <w:rFonts w:hint="eastAsia" w:ascii="宋体" w:hAnsi="宋体" w:eastAsia="宋体" w:cs="宋体"/>
                <w:bCs/>
                <w:color w:val="auto"/>
                <w:kern w:val="0"/>
                <w:sz w:val="21"/>
                <w:szCs w:val="21"/>
                <w:highlight w:val="none"/>
              </w:rPr>
              <w:t>内置标准应用程序</w:t>
            </w:r>
            <w:r>
              <w:rPr>
                <w:rFonts w:hint="eastAsia" w:ascii="宋体" w:hAnsi="宋体" w:eastAsia="宋体" w:cs="宋体"/>
                <w:bCs/>
                <w:color w:val="auto"/>
                <w:kern w:val="0"/>
                <w:sz w:val="21"/>
                <w:szCs w:val="21"/>
                <w:highlight w:val="none"/>
                <w:lang w:eastAsia="zh-CN"/>
              </w:rPr>
              <w:t>不少于以下</w:t>
            </w:r>
            <w:r>
              <w:rPr>
                <w:rFonts w:hint="eastAsia" w:ascii="宋体" w:hAnsi="宋体" w:eastAsia="宋体" w:cs="宋体"/>
                <w:bCs/>
                <w:color w:val="auto"/>
                <w:kern w:val="0"/>
                <w:sz w:val="21"/>
                <w:szCs w:val="21"/>
                <w:highlight w:val="none"/>
              </w:rPr>
              <w:t>十三种：称重、百分比称重、净重-总重、求和、动态称重、自由因子、统计分析、计件、检重、密度、间隔打印、峰值保持；</w:t>
            </w:r>
          </w:p>
          <w:p w14:paraId="1AB6AB06">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b/>
                <w:color w:val="auto"/>
                <w:sz w:val="21"/>
                <w:szCs w:val="21"/>
                <w:highlight w:val="none"/>
              </w:rPr>
            </w:pPr>
            <w:r>
              <w:rPr>
                <w:rFonts w:hint="eastAsia" w:ascii="宋体" w:hAnsi="宋体" w:eastAsia="宋体" w:cs="宋体"/>
                <w:bCs/>
                <w:color w:val="auto"/>
                <w:kern w:val="0"/>
                <w:sz w:val="21"/>
                <w:szCs w:val="21"/>
                <w:highlight w:val="none"/>
              </w:rPr>
              <w:t>2.1</w:t>
            </w:r>
            <w:r>
              <w:rPr>
                <w:rFonts w:hint="eastAsia" w:ascii="宋体" w:hAnsi="宋体" w:eastAsia="宋体" w:cs="宋体"/>
                <w:bCs/>
                <w:color w:val="auto"/>
                <w:kern w:val="0"/>
                <w:sz w:val="21"/>
                <w:szCs w:val="21"/>
                <w:highlight w:val="none"/>
                <w:lang w:val="en-US" w:eastAsia="zh-CN"/>
              </w:rPr>
              <w:t>1</w:t>
            </w:r>
            <w:r>
              <w:rPr>
                <w:rFonts w:hint="eastAsia" w:ascii="宋体" w:hAnsi="宋体" w:eastAsia="宋体" w:cs="宋体"/>
                <w:bCs/>
                <w:color w:val="auto"/>
                <w:kern w:val="0"/>
                <w:sz w:val="21"/>
                <w:szCs w:val="21"/>
                <w:highlight w:val="none"/>
              </w:rPr>
              <w:t xml:space="preserve"> 计时器控制操作功能，能以固定周期自动启动任务、显示消息、进入待机、待机唤醒、自动备份等操作；包含所有元数据的GLP打印格式，亦可自定义数据输出的内容，报告可同时输出至两个端口，可传输至打印机、FTP、U盘、电脑等，输出至FTP或U盘可选择CSV或PDF格式；</w:t>
            </w:r>
          </w:p>
          <w:p w14:paraId="62F38785">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w:t>
            </w: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rPr>
              <w:t>配置及参数要求</w:t>
            </w:r>
          </w:p>
          <w:bookmarkEnd w:id="1"/>
          <w:p w14:paraId="7BDFD6EB">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3.</w:t>
            </w:r>
            <w:r>
              <w:rPr>
                <w:rFonts w:hint="eastAsia" w:ascii="宋体" w:hAnsi="宋体" w:eastAsia="宋体" w:cs="宋体"/>
                <w:bCs/>
                <w:color w:val="auto"/>
                <w:kern w:val="0"/>
                <w:sz w:val="21"/>
                <w:szCs w:val="21"/>
                <w:highlight w:val="none"/>
                <w:lang w:val="en-US" w:eastAsia="zh-CN"/>
              </w:rPr>
              <w:t>1</w:t>
            </w:r>
            <w:r>
              <w:rPr>
                <w:rFonts w:hint="eastAsia" w:ascii="宋体" w:hAnsi="宋体" w:eastAsia="宋体" w:cs="宋体"/>
                <w:bCs/>
                <w:color w:val="auto"/>
                <w:kern w:val="0"/>
                <w:sz w:val="21"/>
                <w:szCs w:val="21"/>
                <w:highlight w:val="none"/>
              </w:rPr>
              <w:t>配置清单</w:t>
            </w:r>
          </w:p>
          <w:p w14:paraId="61A42184">
            <w:pPr>
              <w:pStyle w:val="16"/>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天平主机×1</w:t>
            </w:r>
            <w:r>
              <w:rPr>
                <w:rFonts w:hint="eastAsia" w:ascii="宋体" w:hAnsi="宋体" w:eastAsia="宋体" w:cs="宋体"/>
                <w:bCs/>
                <w:color w:val="auto"/>
                <w:kern w:val="0"/>
                <w:sz w:val="21"/>
                <w:szCs w:val="21"/>
                <w:highlight w:val="none"/>
                <w:lang w:val="en-US" w:eastAsia="zh-CN"/>
              </w:rPr>
              <w:t>,</w:t>
            </w:r>
            <w:r>
              <w:rPr>
                <w:rFonts w:hint="eastAsia" w:ascii="宋体" w:hAnsi="宋体" w:eastAsia="宋体" w:cs="宋体"/>
                <w:bCs/>
                <w:color w:val="auto"/>
                <w:kern w:val="0"/>
                <w:sz w:val="21"/>
                <w:szCs w:val="21"/>
                <w:highlight w:val="none"/>
              </w:rPr>
              <w:t>称量室底板×1</w:t>
            </w:r>
            <w:r>
              <w:rPr>
                <w:rFonts w:hint="eastAsia" w:ascii="宋体" w:hAnsi="宋体" w:eastAsia="宋体" w:cs="宋体"/>
                <w:bCs/>
                <w:color w:val="auto"/>
                <w:kern w:val="0"/>
                <w:sz w:val="21"/>
                <w:szCs w:val="21"/>
                <w:highlight w:val="none"/>
                <w:lang w:val="en-US" w:eastAsia="zh-CN"/>
              </w:rPr>
              <w:t>,</w:t>
            </w:r>
            <w:r>
              <w:rPr>
                <w:rFonts w:hint="eastAsia" w:ascii="宋体" w:hAnsi="宋体" w:eastAsia="宋体" w:cs="宋体"/>
                <w:bCs/>
                <w:color w:val="auto"/>
                <w:kern w:val="0"/>
                <w:sz w:val="21"/>
                <w:szCs w:val="21"/>
                <w:highlight w:val="none"/>
              </w:rPr>
              <w:t>称盘×1</w:t>
            </w:r>
            <w:r>
              <w:rPr>
                <w:rFonts w:hint="eastAsia" w:ascii="宋体" w:hAnsi="宋体" w:eastAsia="宋体" w:cs="宋体"/>
                <w:bCs/>
                <w:color w:val="auto"/>
                <w:kern w:val="0"/>
                <w:sz w:val="21"/>
                <w:szCs w:val="21"/>
                <w:highlight w:val="none"/>
                <w:lang w:val="en-US" w:eastAsia="zh-CN"/>
              </w:rPr>
              <w:t>,</w:t>
            </w:r>
            <w:r>
              <w:rPr>
                <w:rFonts w:hint="eastAsia" w:ascii="宋体" w:hAnsi="宋体" w:eastAsia="宋体" w:cs="宋体"/>
                <w:bCs/>
                <w:color w:val="auto"/>
                <w:kern w:val="0"/>
                <w:sz w:val="21"/>
                <w:szCs w:val="21"/>
                <w:highlight w:val="none"/>
              </w:rPr>
              <w:t>屏蔽板×1</w:t>
            </w:r>
            <w:r>
              <w:rPr>
                <w:rFonts w:hint="eastAsia" w:ascii="宋体" w:hAnsi="宋体" w:eastAsia="宋体" w:cs="宋体"/>
                <w:bCs/>
                <w:color w:val="auto"/>
                <w:kern w:val="0"/>
                <w:sz w:val="21"/>
                <w:szCs w:val="21"/>
                <w:highlight w:val="none"/>
                <w:lang w:val="en-US" w:eastAsia="zh-CN"/>
              </w:rPr>
              <w:t>,</w:t>
            </w:r>
            <w:r>
              <w:rPr>
                <w:rFonts w:hint="eastAsia" w:ascii="宋体" w:hAnsi="宋体" w:eastAsia="宋体" w:cs="宋体"/>
                <w:bCs/>
                <w:color w:val="auto"/>
                <w:kern w:val="0"/>
                <w:sz w:val="21"/>
                <w:szCs w:val="21"/>
                <w:highlight w:val="none"/>
              </w:rPr>
              <w:t>电源装置×1</w:t>
            </w:r>
            <w:r>
              <w:rPr>
                <w:rFonts w:hint="eastAsia" w:ascii="宋体" w:hAnsi="宋体" w:eastAsia="宋体" w:cs="宋体"/>
                <w:bCs/>
                <w:color w:val="auto"/>
                <w:kern w:val="0"/>
                <w:sz w:val="21"/>
                <w:szCs w:val="21"/>
                <w:highlight w:val="none"/>
                <w:lang w:val="en-US" w:eastAsia="zh-CN"/>
              </w:rPr>
              <w:t>,</w:t>
            </w:r>
            <w:r>
              <w:rPr>
                <w:rFonts w:hint="eastAsia" w:ascii="宋体" w:hAnsi="宋体" w:eastAsia="宋体" w:cs="宋体"/>
                <w:bCs/>
                <w:color w:val="auto"/>
                <w:kern w:val="0"/>
                <w:sz w:val="21"/>
                <w:szCs w:val="21"/>
                <w:highlight w:val="none"/>
              </w:rPr>
              <w:t>电源线×1</w:t>
            </w:r>
            <w:r>
              <w:rPr>
                <w:rFonts w:hint="eastAsia" w:ascii="宋体" w:hAnsi="宋体" w:eastAsia="宋体" w:cs="宋体"/>
                <w:bCs/>
                <w:color w:val="auto"/>
                <w:kern w:val="0"/>
                <w:sz w:val="21"/>
                <w:szCs w:val="21"/>
                <w:highlight w:val="none"/>
                <w:lang w:val="en-US" w:eastAsia="zh-CN"/>
              </w:rPr>
              <w:t>,</w:t>
            </w:r>
            <w:r>
              <w:rPr>
                <w:rFonts w:hint="eastAsia" w:ascii="宋体" w:hAnsi="宋体" w:eastAsia="宋体" w:cs="宋体"/>
                <w:bCs/>
                <w:color w:val="auto"/>
                <w:kern w:val="0"/>
                <w:sz w:val="21"/>
                <w:szCs w:val="21"/>
                <w:highlight w:val="none"/>
              </w:rPr>
              <w:t>USB线缆×1</w:t>
            </w:r>
            <w:r>
              <w:rPr>
                <w:rFonts w:hint="eastAsia" w:ascii="宋体" w:hAnsi="宋体" w:eastAsia="宋体" w:cs="宋体"/>
                <w:bCs/>
                <w:color w:val="auto"/>
                <w:kern w:val="0"/>
                <w:sz w:val="21"/>
                <w:szCs w:val="21"/>
                <w:highlight w:val="none"/>
                <w:lang w:val="en-US" w:eastAsia="zh-CN"/>
              </w:rPr>
              <w:t>,</w:t>
            </w:r>
            <w:r>
              <w:rPr>
                <w:rFonts w:hint="eastAsia" w:ascii="宋体" w:hAnsi="宋体" w:eastAsia="宋体" w:cs="宋体"/>
                <w:bCs/>
                <w:color w:val="auto"/>
                <w:kern w:val="0"/>
                <w:sz w:val="21"/>
                <w:szCs w:val="21"/>
                <w:highlight w:val="none"/>
              </w:rPr>
              <w:t>操作显示屏×1</w:t>
            </w:r>
          </w:p>
          <w:p w14:paraId="411EEDFB">
            <w:pPr>
              <w:pStyle w:val="16"/>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kern w:val="0"/>
                <w:sz w:val="21"/>
                <w:szCs w:val="21"/>
                <w:highlight w:val="none"/>
              </w:rPr>
              <w:t>显示屏连接线缆×1</w:t>
            </w:r>
            <w:r>
              <w:rPr>
                <w:rFonts w:hint="eastAsia" w:ascii="宋体" w:hAnsi="宋体" w:eastAsia="宋体" w:cs="宋体"/>
                <w:bCs/>
                <w:color w:val="auto"/>
                <w:kern w:val="0"/>
                <w:sz w:val="21"/>
                <w:szCs w:val="21"/>
                <w:highlight w:val="none"/>
                <w:lang w:val="en-US" w:eastAsia="zh-CN"/>
              </w:rPr>
              <w:t>,</w:t>
            </w:r>
            <w:r>
              <w:rPr>
                <w:rFonts w:hint="eastAsia" w:ascii="宋体" w:hAnsi="宋体" w:eastAsia="宋体" w:cs="宋体"/>
                <w:bCs/>
                <w:color w:val="auto"/>
                <w:kern w:val="0"/>
                <w:sz w:val="21"/>
                <w:szCs w:val="21"/>
                <w:highlight w:val="none"/>
              </w:rPr>
              <w:t>防风罩×1</w:t>
            </w:r>
            <w:r>
              <w:rPr>
                <w:rFonts w:hint="eastAsia" w:ascii="宋体" w:hAnsi="宋体" w:eastAsia="宋体" w:cs="宋体"/>
                <w:bCs/>
                <w:color w:val="auto"/>
                <w:kern w:val="0"/>
                <w:sz w:val="21"/>
                <w:szCs w:val="21"/>
                <w:highlight w:val="none"/>
                <w:lang w:val="en-US" w:eastAsia="zh-CN"/>
              </w:rPr>
              <w:t>,</w:t>
            </w:r>
            <w:r>
              <w:rPr>
                <w:rFonts w:hint="eastAsia" w:ascii="宋体" w:hAnsi="宋体" w:eastAsia="宋体" w:cs="宋体"/>
                <w:bCs/>
                <w:color w:val="auto"/>
                <w:kern w:val="0"/>
                <w:sz w:val="21"/>
                <w:szCs w:val="21"/>
                <w:highlight w:val="none"/>
              </w:rPr>
              <w:t>掌操作键×2</w:t>
            </w:r>
            <w:r>
              <w:rPr>
                <w:rFonts w:hint="eastAsia" w:ascii="宋体" w:hAnsi="宋体" w:eastAsia="宋体" w:cs="宋体"/>
                <w:bCs/>
                <w:color w:val="auto"/>
                <w:kern w:val="0"/>
                <w:sz w:val="21"/>
                <w:szCs w:val="21"/>
                <w:highlight w:val="none"/>
                <w:lang w:val="en-US" w:eastAsia="zh-CN"/>
              </w:rPr>
              <w:t>,</w:t>
            </w:r>
            <w:r>
              <w:rPr>
                <w:rFonts w:hint="eastAsia" w:ascii="宋体" w:hAnsi="宋体" w:eastAsia="宋体" w:cs="宋体"/>
                <w:bCs/>
                <w:color w:val="auto"/>
                <w:kern w:val="0"/>
                <w:sz w:val="21"/>
                <w:szCs w:val="21"/>
                <w:highlight w:val="none"/>
              </w:rPr>
              <w:t>防尘罩×1</w:t>
            </w:r>
            <w:r>
              <w:rPr>
                <w:rFonts w:hint="eastAsia" w:ascii="宋体" w:hAnsi="宋体" w:eastAsia="宋体" w:cs="宋体"/>
                <w:bCs/>
                <w:color w:val="auto"/>
                <w:kern w:val="0"/>
                <w:sz w:val="21"/>
                <w:szCs w:val="21"/>
                <w:highlight w:val="none"/>
                <w:lang w:val="en-US" w:eastAsia="zh-CN"/>
              </w:rPr>
              <w:t>,</w:t>
            </w:r>
            <w:r>
              <w:rPr>
                <w:rFonts w:hint="eastAsia" w:ascii="宋体" w:hAnsi="宋体" w:eastAsia="宋体" w:cs="宋体"/>
                <w:bCs/>
                <w:color w:val="auto"/>
                <w:kern w:val="0"/>
                <w:sz w:val="21"/>
                <w:szCs w:val="21"/>
                <w:highlight w:val="none"/>
              </w:rPr>
              <w:t>操作手册×1</w:t>
            </w:r>
          </w:p>
        </w:tc>
      </w:tr>
      <w:tr w14:paraId="251B7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7" w:type="dxa"/>
            <w:vAlign w:val="center"/>
          </w:tcPr>
          <w:p w14:paraId="54D69BB3">
            <w:pPr>
              <w:pStyle w:val="6"/>
              <w:pageBreakBefore w:val="0"/>
              <w:wordWrap/>
              <w:overflowPunct/>
              <w:topLinePunct w:val="0"/>
              <w:bidi w:val="0"/>
              <w:spacing w:beforeAutospacing="0" w:after="0" w:afterAutospacing="0" w:line="480" w:lineRule="exact"/>
              <w:ind w:left="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6</w:t>
            </w:r>
          </w:p>
        </w:tc>
        <w:tc>
          <w:tcPr>
            <w:tcW w:w="1605" w:type="dxa"/>
            <w:vAlign w:val="center"/>
          </w:tcPr>
          <w:p w14:paraId="5BDB216B">
            <w:pPr>
              <w:pStyle w:val="6"/>
              <w:pageBreakBefore w:val="0"/>
              <w:wordWrap/>
              <w:overflowPunct/>
              <w:topLinePunct w:val="0"/>
              <w:bidi w:val="0"/>
              <w:spacing w:beforeAutospacing="0" w:after="0" w:afterAutospacing="0" w:line="480" w:lineRule="exact"/>
              <w:ind w:left="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质量比较仪</w:t>
            </w:r>
          </w:p>
        </w:tc>
        <w:tc>
          <w:tcPr>
            <w:tcW w:w="12382" w:type="dxa"/>
          </w:tcPr>
          <w:p w14:paraId="46146A0A">
            <w:pPr>
              <w:pStyle w:val="6"/>
              <w:pageBreakBefore w:val="0"/>
              <w:numPr>
                <w:ilvl w:val="0"/>
                <w:numId w:val="0"/>
              </w:numPr>
              <w:wordWrap/>
              <w:overflowPunct/>
              <w:topLinePunct w:val="0"/>
              <w:bidi w:val="0"/>
              <w:spacing w:beforeAutospacing="0" w:after="0" w:afterAutospacing="0" w:line="480" w:lineRule="exact"/>
              <w:ind w:left="0" w:left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1、用途及应用要求：</w:t>
            </w:r>
          </w:p>
          <w:p w14:paraId="54D88745">
            <w:pPr>
              <w:pStyle w:val="6"/>
              <w:pageBreakBefore w:val="0"/>
              <w:numPr>
                <w:ilvl w:val="0"/>
                <w:numId w:val="0"/>
              </w:numPr>
              <w:wordWrap/>
              <w:overflowPunct/>
              <w:topLinePunct w:val="0"/>
              <w:bidi w:val="0"/>
              <w:spacing w:beforeAutospacing="0" w:after="0" w:afterAutospacing="0" w:line="480" w:lineRule="exact"/>
              <w:ind w:left="0" w:left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主要用于高精度质量测量，核心用途是砝码的检定与校准；满足《JJF 1326-2011 质量比较仪校准规范》、《GB/T 29252-2012 实验室仪器和设备质量检验规则》、《JJG 99-2022 砝码检定规程》要求。</w:t>
            </w:r>
          </w:p>
          <w:p w14:paraId="5ECD2650">
            <w:pPr>
              <w:pStyle w:val="6"/>
              <w:pageBreakBefore w:val="0"/>
              <w:numPr>
                <w:ilvl w:val="0"/>
                <w:numId w:val="0"/>
              </w:numPr>
              <w:wordWrap/>
              <w:overflowPunct/>
              <w:topLinePunct w:val="0"/>
              <w:bidi w:val="0"/>
              <w:spacing w:beforeAutospacing="0" w:after="0" w:afterAutospacing="0" w:line="480" w:lineRule="exact"/>
              <w:ind w:left="0" w:left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2、主要技术参数要求：</w:t>
            </w:r>
          </w:p>
          <w:p w14:paraId="63D0ACEC">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2.1、</w:t>
            </w:r>
            <w:r>
              <w:rPr>
                <w:rFonts w:hint="eastAsia" w:ascii="宋体" w:hAnsi="宋体" w:eastAsia="宋体" w:cs="宋体"/>
                <w:color w:val="auto"/>
                <w:sz w:val="21"/>
                <w:szCs w:val="21"/>
                <w:highlight w:val="none"/>
                <w:lang w:eastAsia="zh-CN"/>
              </w:rPr>
              <w:t>后置式电磁力传感器，三开门大防风罩，采用导电涂层防风玻璃，防止人体或样品带电造成测显不稳定，宽敞称量室，操作方便。</w:t>
            </w:r>
          </w:p>
          <w:p w14:paraId="71D1AAD3">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2.2、</w:t>
            </w:r>
            <w:r>
              <w:rPr>
                <w:rFonts w:hint="eastAsia" w:ascii="宋体" w:hAnsi="宋体" w:eastAsia="宋体" w:cs="宋体"/>
                <w:color w:val="auto"/>
                <w:sz w:val="21"/>
                <w:szCs w:val="21"/>
                <w:highlight w:val="none"/>
                <w:lang w:eastAsia="zh-CN"/>
              </w:rPr>
              <w:t>采用直流式无风电器消除静电，避免产生粉末样品</w:t>
            </w:r>
            <w:r>
              <w:rPr>
                <w:rFonts w:hint="eastAsia" w:ascii="宋体" w:hAnsi="宋体" w:eastAsia="宋体" w:cs="宋体"/>
                <w:color w:val="auto"/>
                <w:sz w:val="21"/>
                <w:szCs w:val="21"/>
                <w:highlight w:val="none"/>
                <w:lang w:val="en-US" w:eastAsia="zh-CN"/>
              </w:rPr>
              <w:t>漂</w:t>
            </w:r>
            <w:r>
              <w:rPr>
                <w:rFonts w:hint="eastAsia" w:ascii="宋体" w:hAnsi="宋体" w:eastAsia="宋体" w:cs="宋体"/>
                <w:color w:val="auto"/>
                <w:sz w:val="21"/>
                <w:szCs w:val="21"/>
                <w:highlight w:val="none"/>
                <w:lang w:eastAsia="zh-CN"/>
              </w:rPr>
              <w:t>浮。</w:t>
            </w:r>
          </w:p>
          <w:p w14:paraId="521A28F5">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2.3、</w:t>
            </w:r>
            <w:r>
              <w:rPr>
                <w:rFonts w:hint="eastAsia" w:ascii="宋体" w:hAnsi="宋体" w:eastAsia="宋体" w:cs="宋体"/>
                <w:color w:val="auto"/>
                <w:sz w:val="21"/>
                <w:szCs w:val="21"/>
                <w:highlight w:val="none"/>
                <w:lang w:eastAsia="zh-CN"/>
              </w:rPr>
              <w:t>采用高贾敏度、高稳定性后置式电磁力传感器技术获得更高的计量性能。</w:t>
            </w:r>
          </w:p>
          <w:p w14:paraId="2048A50C">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2.4、</w:t>
            </w:r>
            <w:r>
              <w:rPr>
                <w:rFonts w:hint="eastAsia" w:ascii="宋体" w:hAnsi="宋体" w:eastAsia="宋体" w:cs="宋体"/>
                <w:color w:val="auto"/>
                <w:sz w:val="21"/>
                <w:szCs w:val="21"/>
                <w:highlight w:val="none"/>
                <w:lang w:eastAsia="zh-CN"/>
              </w:rPr>
              <w:t>不锈钢925mm或中50mm网格状专用大秤盘。可放置较大容器，使用方便。</w:t>
            </w:r>
          </w:p>
          <w:p w14:paraId="5D65B6B6">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2.5、</w:t>
            </w:r>
            <w:r>
              <w:rPr>
                <w:rFonts w:hint="eastAsia" w:ascii="宋体" w:hAnsi="宋体" w:eastAsia="宋体" w:cs="宋体"/>
                <w:color w:val="auto"/>
                <w:sz w:val="21"/>
                <w:szCs w:val="21"/>
                <w:highlight w:val="none"/>
                <w:lang w:eastAsia="zh-CN"/>
              </w:rPr>
              <w:t>称量台双环设计，分隔板取下后也可实现静电消除。</w:t>
            </w:r>
          </w:p>
          <w:p w14:paraId="41D89E7C">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2.6、</w:t>
            </w:r>
            <w:r>
              <w:rPr>
                <w:rFonts w:hint="eastAsia" w:ascii="宋体" w:hAnsi="宋体" w:eastAsia="宋体" w:cs="宋体"/>
                <w:color w:val="auto"/>
                <w:sz w:val="21"/>
                <w:szCs w:val="21"/>
                <w:highlight w:val="none"/>
                <w:lang w:eastAsia="zh-CN"/>
              </w:rPr>
              <w:t>内置标准砝码，一键自动校准。</w:t>
            </w:r>
          </w:p>
          <w:p w14:paraId="7DD46C82">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lang w:eastAsia="zh-CN"/>
              </w:rPr>
              <w:t>LCD液</w:t>
            </w:r>
            <w:r>
              <w:rPr>
                <w:rFonts w:hint="eastAsia" w:ascii="宋体" w:hAnsi="宋体" w:eastAsia="宋体" w:cs="宋体"/>
                <w:color w:val="auto"/>
                <w:sz w:val="21"/>
                <w:szCs w:val="21"/>
                <w:highlight w:val="none"/>
                <w:lang w:val="en-US" w:eastAsia="zh-CN"/>
              </w:rPr>
              <w:t>晶</w:t>
            </w:r>
            <w:r>
              <w:rPr>
                <w:rFonts w:hint="eastAsia" w:ascii="宋体" w:hAnsi="宋体" w:eastAsia="宋体" w:cs="宋体"/>
                <w:color w:val="auto"/>
                <w:sz w:val="21"/>
                <w:szCs w:val="21"/>
                <w:highlight w:val="none"/>
                <w:lang w:eastAsia="zh-CN"/>
              </w:rPr>
              <w:t>背光显示屏。</w:t>
            </w:r>
          </w:p>
          <w:p w14:paraId="0B7F1355">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2.8、</w:t>
            </w:r>
            <w:r>
              <w:rPr>
                <w:rFonts w:hint="eastAsia" w:ascii="宋体" w:hAnsi="宋体" w:eastAsia="宋体" w:cs="宋体"/>
                <w:color w:val="auto"/>
                <w:sz w:val="21"/>
                <w:szCs w:val="21"/>
                <w:highlight w:val="none"/>
                <w:lang w:eastAsia="zh-CN"/>
              </w:rPr>
              <w:t>全自动内部校准、自动定时校准、温度变化自动校准。全方位消除由于温度、环境、时间等因素产生的漂移误差。</w:t>
            </w:r>
          </w:p>
          <w:p w14:paraId="39C535CF">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2.9、</w:t>
            </w:r>
            <w:r>
              <w:rPr>
                <w:rFonts w:hint="eastAsia" w:ascii="宋体" w:hAnsi="宋体" w:eastAsia="宋体" w:cs="宋体"/>
                <w:color w:val="auto"/>
                <w:sz w:val="21"/>
                <w:szCs w:val="21"/>
                <w:highlight w:val="none"/>
                <w:lang w:eastAsia="zh-CN"/>
              </w:rPr>
              <w:t>具有温度补偿、漂移补偿技术，使全天候称量更准确可靠。</w:t>
            </w:r>
          </w:p>
          <w:p w14:paraId="210A69CF">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2.10、</w:t>
            </w:r>
            <w:r>
              <w:rPr>
                <w:rFonts w:hint="eastAsia" w:ascii="宋体" w:hAnsi="宋体" w:eastAsia="宋体" w:cs="宋体"/>
                <w:color w:val="auto"/>
                <w:sz w:val="21"/>
                <w:szCs w:val="21"/>
                <w:highlight w:val="none"/>
                <w:lang w:eastAsia="zh-CN"/>
              </w:rPr>
              <w:t>强大存储功能测量数据≥200组，校准数据≥50组.</w:t>
            </w:r>
          </w:p>
          <w:p w14:paraId="36B3FF14">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2.11、</w:t>
            </w:r>
            <w:r>
              <w:rPr>
                <w:rFonts w:hint="eastAsia" w:ascii="宋体" w:hAnsi="宋体" w:eastAsia="宋体" w:cs="宋体"/>
                <w:color w:val="auto"/>
                <w:sz w:val="21"/>
                <w:szCs w:val="21"/>
                <w:highlight w:val="none"/>
                <w:lang w:eastAsia="zh-CN"/>
              </w:rPr>
              <w:t>用户权限管理通过密码锁功能，可对天平功能进行阶段性限制，防止人为</w:t>
            </w:r>
            <w:r>
              <w:rPr>
                <w:rFonts w:hint="eastAsia" w:ascii="宋体" w:hAnsi="宋体" w:eastAsia="宋体" w:cs="宋体"/>
                <w:color w:val="auto"/>
                <w:sz w:val="21"/>
                <w:szCs w:val="21"/>
                <w:highlight w:val="none"/>
                <w:lang w:val="en-US" w:eastAsia="zh-CN"/>
              </w:rPr>
              <w:t>篡改</w:t>
            </w:r>
            <w:r>
              <w:rPr>
                <w:rFonts w:hint="eastAsia" w:ascii="宋体" w:hAnsi="宋体" w:eastAsia="宋体" w:cs="宋体"/>
                <w:color w:val="auto"/>
                <w:sz w:val="21"/>
                <w:szCs w:val="21"/>
                <w:highlight w:val="none"/>
                <w:lang w:eastAsia="zh-CN"/>
              </w:rPr>
              <w:t>天平功能设置。</w:t>
            </w:r>
          </w:p>
          <w:p w14:paraId="72E5C6F2">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2.12、</w:t>
            </w:r>
            <w:r>
              <w:rPr>
                <w:rFonts w:hint="eastAsia" w:ascii="宋体" w:hAnsi="宋体" w:eastAsia="宋体" w:cs="宋体"/>
                <w:color w:val="auto"/>
                <w:sz w:val="21"/>
                <w:szCs w:val="21"/>
                <w:highlight w:val="none"/>
                <w:lang w:eastAsia="zh-CN"/>
              </w:rPr>
              <w:t>超载/欠载报警、全量程去皮、累加/累减。</w:t>
            </w:r>
          </w:p>
          <w:p w14:paraId="3271687F">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2.13、</w:t>
            </w:r>
            <w:r>
              <w:rPr>
                <w:rFonts w:hint="eastAsia" w:ascii="宋体" w:hAnsi="宋体" w:eastAsia="宋体" w:cs="宋体"/>
                <w:color w:val="auto"/>
                <w:sz w:val="21"/>
                <w:szCs w:val="21"/>
                <w:highlight w:val="none"/>
                <w:lang w:eastAsia="zh-CN"/>
              </w:rPr>
              <w:t>称量方式:计数、百分比、动物称量等，适用于不同称量。</w:t>
            </w:r>
          </w:p>
          <w:p w14:paraId="521392F9">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2.14、.</w:t>
            </w:r>
            <w:r>
              <w:rPr>
                <w:rFonts w:hint="eastAsia" w:ascii="宋体" w:hAnsi="宋体" w:eastAsia="宋体" w:cs="宋体"/>
                <w:color w:val="auto"/>
                <w:sz w:val="21"/>
                <w:szCs w:val="21"/>
                <w:highlight w:val="none"/>
                <w:lang w:eastAsia="zh-CN"/>
              </w:rPr>
              <w:t>配有RS232及USB接口输出接口，可与电脑、打印机等外设连接。</w:t>
            </w:r>
          </w:p>
          <w:p w14:paraId="1D070937">
            <w:pPr>
              <w:pStyle w:val="6"/>
              <w:pageBreakBefore w:val="0"/>
              <w:wordWrap/>
              <w:overflowPunct/>
              <w:topLinePunct w:val="0"/>
              <w:bidi w:val="0"/>
              <w:spacing w:beforeAutospacing="0" w:after="0" w:afterAutospacing="0" w:line="480" w:lineRule="exact"/>
              <w:ind w:left="0" w:leftChars="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2.15、量程不低于5g，精度不低于0.001mg,能满足检定F2等级mg组标准砝码的要求。</w:t>
            </w:r>
          </w:p>
        </w:tc>
      </w:tr>
      <w:tr w14:paraId="609AF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7" w:type="dxa"/>
            <w:vAlign w:val="center"/>
          </w:tcPr>
          <w:p w14:paraId="266A6179">
            <w:pPr>
              <w:pStyle w:val="6"/>
              <w:pageBreakBefore w:val="0"/>
              <w:wordWrap/>
              <w:overflowPunct/>
              <w:topLinePunct w:val="0"/>
              <w:bidi w:val="0"/>
              <w:spacing w:beforeAutospacing="0" w:after="0" w:afterAutospacing="0" w:line="480" w:lineRule="exact"/>
              <w:ind w:left="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7</w:t>
            </w:r>
          </w:p>
        </w:tc>
        <w:tc>
          <w:tcPr>
            <w:tcW w:w="1605" w:type="dxa"/>
            <w:vAlign w:val="center"/>
          </w:tcPr>
          <w:p w14:paraId="5B2069A3">
            <w:pPr>
              <w:pStyle w:val="6"/>
              <w:pageBreakBefore w:val="0"/>
              <w:wordWrap/>
              <w:overflowPunct/>
              <w:topLinePunct w:val="0"/>
              <w:bidi w:val="0"/>
              <w:spacing w:beforeAutospacing="0" w:after="0" w:afterAutospacing="0" w:line="480" w:lineRule="exact"/>
              <w:ind w:lef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bidi="ar"/>
              </w:rPr>
              <w:t>标准砝码组</w:t>
            </w:r>
          </w:p>
        </w:tc>
        <w:tc>
          <w:tcPr>
            <w:tcW w:w="12382" w:type="dxa"/>
            <w:vAlign w:val="center"/>
          </w:tcPr>
          <w:p w14:paraId="1E2952F2">
            <w:pPr>
              <w:pStyle w:val="6"/>
              <w:pageBreakBefore w:val="0"/>
              <w:numPr>
                <w:ilvl w:val="0"/>
                <w:numId w:val="0"/>
              </w:numPr>
              <w:wordWrap/>
              <w:overflowPunct/>
              <w:topLinePunct w:val="0"/>
              <w:bidi w:val="0"/>
              <w:spacing w:beforeAutospacing="0" w:after="0" w:afterAutospacing="0" w:line="480" w:lineRule="exact"/>
              <w:ind w:lef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1、用途及应用要求：</w:t>
            </w:r>
          </w:p>
          <w:p w14:paraId="3F0D4B2D">
            <w:pPr>
              <w:pStyle w:val="6"/>
              <w:pageBreakBefore w:val="0"/>
              <w:numPr>
                <w:ilvl w:val="0"/>
                <w:numId w:val="0"/>
              </w:numPr>
              <w:wordWrap/>
              <w:overflowPunct/>
              <w:topLinePunct w:val="0"/>
              <w:bidi w:val="0"/>
              <w:spacing w:beforeAutospacing="0" w:after="0" w:afterAutospacing="0" w:line="480" w:lineRule="exact"/>
              <w:ind w:lef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用于检定传递M12等级及其以下的砝码，以及检定相应的衡量仪器，和与相应的衡量仪器配套使用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满足《GB/T 4167-2024》、《JJG 99-2022》要求。</w:t>
            </w:r>
          </w:p>
          <w:p w14:paraId="5BE007CA">
            <w:pPr>
              <w:pStyle w:val="6"/>
              <w:pageBreakBefore w:val="0"/>
              <w:numPr>
                <w:ilvl w:val="0"/>
                <w:numId w:val="0"/>
              </w:numPr>
              <w:wordWrap/>
              <w:overflowPunct/>
              <w:topLinePunct w:val="0"/>
              <w:bidi w:val="0"/>
              <w:spacing w:beforeAutospacing="0" w:after="0" w:afterAutospacing="0" w:line="480" w:lineRule="exact"/>
              <w:ind w:left="0"/>
              <w:rPr>
                <w:rStyle w:val="15"/>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2、主要技术参数要求：</w:t>
            </w:r>
          </w:p>
          <w:p w14:paraId="7E057111">
            <w:pPr>
              <w:pStyle w:val="6"/>
              <w:pageBreakBefore w:val="0"/>
              <w:numPr>
                <w:ilvl w:val="0"/>
                <w:numId w:val="0"/>
              </w:numPr>
              <w:wordWrap/>
              <w:overflowPunct/>
              <w:topLinePunct w:val="0"/>
              <w:bidi w:val="0"/>
              <w:spacing w:beforeAutospacing="0" w:after="0" w:afterAutospacing="0" w:line="480" w:lineRule="exact"/>
              <w:ind w:left="0" w:firstLine="210" w:firstLineChars="1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1000kg标准砝码，材质：铸铁，等级：M1级，方形；共10个。</w:t>
            </w:r>
          </w:p>
        </w:tc>
      </w:tr>
      <w:tr w14:paraId="5CB39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7" w:type="dxa"/>
            <w:vAlign w:val="center"/>
          </w:tcPr>
          <w:p w14:paraId="5F0D91F4">
            <w:pPr>
              <w:pStyle w:val="6"/>
              <w:pageBreakBefore w:val="0"/>
              <w:wordWrap/>
              <w:overflowPunct/>
              <w:topLinePunct w:val="0"/>
              <w:bidi w:val="0"/>
              <w:spacing w:beforeAutospacing="0" w:after="0" w:afterAutospacing="0" w:line="480" w:lineRule="exact"/>
              <w:ind w:left="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8</w:t>
            </w:r>
          </w:p>
        </w:tc>
        <w:tc>
          <w:tcPr>
            <w:tcW w:w="1605" w:type="dxa"/>
            <w:vAlign w:val="center"/>
          </w:tcPr>
          <w:p w14:paraId="7011EA07">
            <w:pPr>
              <w:pStyle w:val="6"/>
              <w:pageBreakBefore w:val="0"/>
              <w:wordWrap/>
              <w:overflowPunct/>
              <w:topLinePunct w:val="0"/>
              <w:bidi w:val="0"/>
              <w:spacing w:beforeAutospacing="0" w:after="0" w:afterAutospacing="0" w:line="480" w:lineRule="exact"/>
              <w:ind w:left="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标准砝码组</w:t>
            </w:r>
          </w:p>
        </w:tc>
        <w:tc>
          <w:tcPr>
            <w:tcW w:w="12382" w:type="dxa"/>
          </w:tcPr>
          <w:p w14:paraId="7A26F0F0">
            <w:pPr>
              <w:pStyle w:val="6"/>
              <w:pageBreakBefore w:val="0"/>
              <w:numPr>
                <w:ilvl w:val="0"/>
                <w:numId w:val="0"/>
              </w:numPr>
              <w:wordWrap/>
              <w:overflowPunct/>
              <w:topLinePunct w:val="0"/>
              <w:bidi w:val="0"/>
              <w:spacing w:beforeAutospacing="0" w:after="0" w:afterAutospacing="0" w:line="480" w:lineRule="exact"/>
              <w:ind w:lef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1、用途及应用要求：</w:t>
            </w:r>
          </w:p>
          <w:p w14:paraId="008F1E2F">
            <w:pPr>
              <w:pStyle w:val="6"/>
              <w:pageBreakBefore w:val="0"/>
              <w:numPr>
                <w:ilvl w:val="0"/>
                <w:numId w:val="0"/>
              </w:numPr>
              <w:wordWrap/>
              <w:overflowPunct/>
              <w:topLinePunct w:val="0"/>
              <w:bidi w:val="0"/>
              <w:spacing w:beforeAutospacing="0" w:after="0" w:afterAutospacing="0" w:line="480" w:lineRule="exact"/>
              <w:ind w:left="0" w:firstLine="210" w:firstLineChars="1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用于检定传递</w:t>
            </w:r>
            <w:r>
              <w:rPr>
                <w:rFonts w:hint="eastAsia" w:ascii="宋体" w:hAnsi="宋体" w:eastAsia="宋体" w:cs="宋体"/>
                <w:color w:val="auto"/>
                <w:sz w:val="21"/>
                <w:szCs w:val="21"/>
                <w:highlight w:val="none"/>
                <w:lang w:val="en-US" w:eastAsia="zh-CN"/>
              </w:rPr>
              <w:t>F2等级、</w:t>
            </w:r>
            <w:r>
              <w:rPr>
                <w:rFonts w:hint="eastAsia" w:ascii="宋体" w:hAnsi="宋体" w:eastAsia="宋体" w:cs="宋体"/>
                <w:color w:val="auto"/>
                <w:sz w:val="21"/>
                <w:szCs w:val="21"/>
                <w:highlight w:val="none"/>
              </w:rPr>
              <w:t>M1等级、M12等级及其以下的砝码，以及检定相应的衡量仪器，和与相应的衡量仪器配套使用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满足《GB/T 4167-2024》、《JJG 99-2022》要求。</w:t>
            </w:r>
          </w:p>
          <w:p w14:paraId="62291B46">
            <w:pPr>
              <w:pStyle w:val="6"/>
              <w:pageBreakBefore w:val="0"/>
              <w:numPr>
                <w:ilvl w:val="0"/>
                <w:numId w:val="0"/>
              </w:numPr>
              <w:wordWrap/>
              <w:overflowPunct/>
              <w:topLinePunct w:val="0"/>
              <w:bidi w:val="0"/>
              <w:spacing w:beforeAutospacing="0" w:after="0" w:afterAutospacing="0" w:line="480" w:lineRule="exact"/>
              <w:ind w:left="0"/>
              <w:rPr>
                <w:rStyle w:val="15"/>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2、主要技术参数要求：</w:t>
            </w:r>
          </w:p>
          <w:p w14:paraId="78B3A7E6">
            <w:pPr>
              <w:pStyle w:val="6"/>
              <w:pageBreakBefore w:val="0"/>
              <w:numPr>
                <w:ilvl w:val="0"/>
                <w:numId w:val="0"/>
              </w:numPr>
              <w:wordWrap/>
              <w:overflowPunct/>
              <w:topLinePunct w:val="0"/>
              <w:bidi w:val="0"/>
              <w:spacing w:beforeAutospacing="0" w:after="0" w:afterAutospacing="0" w:line="480" w:lineRule="exact"/>
              <w:ind w:left="0" w:firstLine="210" w:firstLineChars="100"/>
              <w:rPr>
                <w:rStyle w:val="15"/>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F1等级标准砝码，材质：304不锈钢</w:t>
            </w:r>
            <w:r>
              <w:rPr>
                <w:rStyle w:val="15"/>
                <w:rFonts w:hint="eastAsia" w:ascii="宋体" w:hAnsi="宋体" w:eastAsia="宋体" w:cs="宋体"/>
                <w:color w:val="auto"/>
                <w:sz w:val="21"/>
                <w:szCs w:val="21"/>
                <w:highlight w:val="none"/>
                <w:lang w:val="en-US" w:eastAsia="zh-CN" w:bidi="ar"/>
              </w:rPr>
              <w:t>。</w:t>
            </w:r>
          </w:p>
          <w:p w14:paraId="1C373C99">
            <w:pPr>
              <w:pStyle w:val="6"/>
              <w:pageBreakBefore w:val="0"/>
              <w:numPr>
                <w:ilvl w:val="0"/>
                <w:numId w:val="0"/>
              </w:numPr>
              <w:wordWrap/>
              <w:overflowPunct/>
              <w:topLinePunct w:val="0"/>
              <w:bidi w:val="0"/>
              <w:spacing w:beforeAutospacing="0" w:after="0" w:afterAutospacing="0" w:line="480" w:lineRule="exact"/>
              <w:ind w:left="0"/>
              <w:rPr>
                <w:rStyle w:val="15"/>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3、配置及参数要求：</w:t>
            </w:r>
          </w:p>
          <w:p w14:paraId="682BFAE8">
            <w:pPr>
              <w:pStyle w:val="6"/>
              <w:pageBreakBefore w:val="0"/>
              <w:wordWrap/>
              <w:overflowPunct/>
              <w:topLinePunct w:val="0"/>
              <w:bidi w:val="0"/>
              <w:spacing w:beforeAutospacing="0" w:after="0" w:afterAutospacing="0" w:line="480" w:lineRule="exact"/>
              <w:ind w:left="0" w:leftChars="0" w:firstLine="0" w:firstLineChars="0"/>
              <w:rPr>
                <w:rStyle w:val="15"/>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1g</w:t>
            </w:r>
            <w:r>
              <w:rPr>
                <w:rStyle w:val="15"/>
                <w:rFonts w:hint="eastAsia" w:ascii="宋体" w:hAnsi="宋体" w:eastAsia="宋体" w:cs="宋体"/>
                <w:color w:val="auto"/>
                <w:sz w:val="21"/>
                <w:szCs w:val="21"/>
                <w:highlight w:val="none"/>
                <w:lang w:eastAsia="zh-CN" w:bidi="ar"/>
              </w:rPr>
              <w:t>～</w:t>
            </w:r>
            <w:r>
              <w:rPr>
                <w:rStyle w:val="15"/>
                <w:rFonts w:hint="eastAsia" w:ascii="宋体" w:hAnsi="宋体" w:eastAsia="宋体" w:cs="宋体"/>
                <w:color w:val="auto"/>
                <w:sz w:val="21"/>
                <w:szCs w:val="21"/>
                <w:highlight w:val="none"/>
                <w:lang w:val="en-US" w:eastAsia="zh-CN" w:bidi="ar"/>
              </w:rPr>
              <w:t>20kg全套含31个标准砝码：</w:t>
            </w:r>
          </w:p>
          <w:p w14:paraId="29A6BA43">
            <w:pPr>
              <w:pStyle w:val="6"/>
              <w:pageBreakBefore w:val="0"/>
              <w:wordWrap/>
              <w:overflowPunct/>
              <w:topLinePunct w:val="0"/>
              <w:bidi w:val="0"/>
              <w:spacing w:beforeAutospacing="0" w:after="0" w:afterAutospacing="0" w:line="480" w:lineRule="exact"/>
              <w:ind w:left="0" w:leftChars="0" w:firstLine="0" w:firstLineChars="0"/>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(1、2、2、5、10、20、20、50、100、200、200、500)g，2套；</w:t>
            </w:r>
          </w:p>
          <w:p w14:paraId="7F2DE1AC">
            <w:pPr>
              <w:pStyle w:val="6"/>
              <w:pageBreakBefore w:val="0"/>
              <w:numPr>
                <w:ilvl w:val="0"/>
                <w:numId w:val="0"/>
              </w:numPr>
              <w:wordWrap/>
              <w:overflowPunct/>
              <w:topLinePunct w:val="0"/>
              <w:bidi w:val="0"/>
              <w:spacing w:beforeAutospacing="0" w:after="0" w:afterAutospacing="0" w:line="480" w:lineRule="exact"/>
              <w:ind w:left="0"/>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(1、2、2、5、5、10、20)kg，1套。</w:t>
            </w:r>
          </w:p>
          <w:p w14:paraId="5ADB27CD">
            <w:pPr>
              <w:pStyle w:val="6"/>
              <w:pageBreakBefore w:val="0"/>
              <w:numPr>
                <w:ilvl w:val="0"/>
                <w:numId w:val="0"/>
              </w:numPr>
              <w:wordWrap/>
              <w:overflowPunct/>
              <w:topLinePunct w:val="0"/>
              <w:bidi w:val="0"/>
              <w:spacing w:beforeAutospacing="0" w:after="0" w:afterAutospacing="0" w:line="480" w:lineRule="exact"/>
              <w:ind w:left="0"/>
              <w:rPr>
                <w:rStyle w:val="15"/>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4、其他要求：</w:t>
            </w:r>
            <w:r>
              <w:rPr>
                <w:rStyle w:val="15"/>
                <w:rFonts w:hint="eastAsia" w:ascii="宋体" w:hAnsi="宋体" w:eastAsia="宋体" w:cs="宋体"/>
                <w:color w:val="auto"/>
                <w:sz w:val="21"/>
                <w:szCs w:val="21"/>
                <w:highlight w:val="none"/>
                <w:lang w:val="en-US" w:eastAsia="zh-CN" w:bidi="ar"/>
              </w:rPr>
              <w:t>带铝盒包装：砝码盒应足够坚固，不易变形，内衬环保材质</w:t>
            </w:r>
            <w:r>
              <w:rPr>
                <w:rFonts w:hint="eastAsia" w:ascii="宋体" w:hAnsi="宋体" w:eastAsia="宋体" w:cs="宋体"/>
                <w:color w:val="auto"/>
                <w:sz w:val="21"/>
                <w:szCs w:val="21"/>
                <w:highlight w:val="none"/>
                <w:lang w:val="en-US" w:eastAsia="zh-CN"/>
              </w:rPr>
              <w:t>。</w:t>
            </w:r>
          </w:p>
        </w:tc>
      </w:tr>
      <w:tr w14:paraId="1C5CE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7" w:type="dxa"/>
            <w:vAlign w:val="center"/>
          </w:tcPr>
          <w:p w14:paraId="493C6C2D">
            <w:pPr>
              <w:pStyle w:val="6"/>
              <w:pageBreakBefore w:val="0"/>
              <w:wordWrap/>
              <w:overflowPunct/>
              <w:topLinePunct w:val="0"/>
              <w:bidi w:val="0"/>
              <w:spacing w:beforeAutospacing="0" w:after="0" w:afterAutospacing="0" w:line="480" w:lineRule="exact"/>
              <w:ind w:left="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9</w:t>
            </w:r>
          </w:p>
        </w:tc>
        <w:tc>
          <w:tcPr>
            <w:tcW w:w="1605" w:type="dxa"/>
            <w:vAlign w:val="center"/>
          </w:tcPr>
          <w:p w14:paraId="31A75D0C">
            <w:pPr>
              <w:pStyle w:val="6"/>
              <w:pageBreakBefore w:val="0"/>
              <w:wordWrap/>
              <w:overflowPunct/>
              <w:topLinePunct w:val="0"/>
              <w:bidi w:val="0"/>
              <w:spacing w:beforeAutospacing="0" w:after="0" w:afterAutospacing="0" w:line="480" w:lineRule="exact"/>
              <w:ind w:left="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标准砝码组</w:t>
            </w:r>
          </w:p>
        </w:tc>
        <w:tc>
          <w:tcPr>
            <w:tcW w:w="12382" w:type="dxa"/>
          </w:tcPr>
          <w:p w14:paraId="57301974">
            <w:pPr>
              <w:pStyle w:val="6"/>
              <w:pageBreakBefore w:val="0"/>
              <w:numPr>
                <w:ilvl w:val="0"/>
                <w:numId w:val="0"/>
              </w:numPr>
              <w:wordWrap/>
              <w:overflowPunct/>
              <w:topLinePunct w:val="0"/>
              <w:bidi w:val="0"/>
              <w:spacing w:beforeAutospacing="0" w:after="0" w:afterAutospacing="0" w:line="480" w:lineRule="exact"/>
              <w:ind w:lef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1、用途及应用要求：</w:t>
            </w:r>
          </w:p>
          <w:p w14:paraId="2DA36DC3">
            <w:pPr>
              <w:pStyle w:val="6"/>
              <w:pageBreakBefore w:val="0"/>
              <w:numPr>
                <w:ilvl w:val="0"/>
                <w:numId w:val="0"/>
              </w:numPr>
              <w:wordWrap/>
              <w:overflowPunct/>
              <w:topLinePunct w:val="0"/>
              <w:bidi w:val="0"/>
              <w:spacing w:beforeAutospacing="0" w:after="0" w:afterAutospacing="0" w:line="480" w:lineRule="exact"/>
              <w:ind w:left="0" w:firstLine="210" w:firstLineChars="1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用于检定传递</w:t>
            </w:r>
            <w:r>
              <w:rPr>
                <w:rFonts w:hint="eastAsia" w:ascii="宋体" w:hAnsi="宋体" w:eastAsia="宋体" w:cs="宋体"/>
                <w:color w:val="auto"/>
                <w:sz w:val="21"/>
                <w:szCs w:val="21"/>
                <w:highlight w:val="none"/>
                <w:lang w:val="en-US" w:eastAsia="zh-CN"/>
              </w:rPr>
              <w:t>F1等级、F2等级、</w:t>
            </w:r>
            <w:r>
              <w:rPr>
                <w:rFonts w:hint="eastAsia" w:ascii="宋体" w:hAnsi="宋体" w:eastAsia="宋体" w:cs="宋体"/>
                <w:color w:val="auto"/>
                <w:sz w:val="21"/>
                <w:szCs w:val="21"/>
                <w:highlight w:val="none"/>
              </w:rPr>
              <w:t>M1等级及其以下的砝码，以及检定相应的衡量仪器，和与相应的衡量仪器配套使用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满足国标《GB/T 4167-2024》、《JJG 99-2022》要求。</w:t>
            </w:r>
          </w:p>
          <w:p w14:paraId="282EF42E">
            <w:pPr>
              <w:pStyle w:val="6"/>
              <w:pageBreakBefore w:val="0"/>
              <w:numPr>
                <w:ilvl w:val="0"/>
                <w:numId w:val="0"/>
              </w:numPr>
              <w:wordWrap/>
              <w:overflowPunct/>
              <w:topLinePunct w:val="0"/>
              <w:bidi w:val="0"/>
              <w:spacing w:beforeAutospacing="0" w:after="0" w:afterAutospacing="0" w:line="480" w:lineRule="exact"/>
              <w:ind w:left="0"/>
              <w:rPr>
                <w:rFonts w:hint="eastAsia" w:ascii="宋体" w:hAnsi="宋体" w:eastAsia="宋体" w:cs="宋体"/>
                <w:color w:val="auto"/>
                <w:sz w:val="21"/>
                <w:szCs w:val="21"/>
                <w:highlight w:val="none"/>
                <w:lang w:eastAsia="zh-CN"/>
              </w:rPr>
            </w:pPr>
          </w:p>
          <w:p w14:paraId="58EED32E">
            <w:pPr>
              <w:pStyle w:val="6"/>
              <w:pageBreakBefore w:val="0"/>
              <w:numPr>
                <w:ilvl w:val="0"/>
                <w:numId w:val="0"/>
              </w:numPr>
              <w:wordWrap/>
              <w:overflowPunct/>
              <w:topLinePunct w:val="0"/>
              <w:bidi w:val="0"/>
              <w:spacing w:beforeAutospacing="0" w:after="0" w:afterAutospacing="0" w:line="480" w:lineRule="exact"/>
              <w:ind w:left="0"/>
              <w:rPr>
                <w:rStyle w:val="15"/>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2、主要技术参数要求：</w:t>
            </w:r>
          </w:p>
          <w:p w14:paraId="7E15945A">
            <w:pPr>
              <w:pStyle w:val="6"/>
              <w:pageBreakBefore w:val="0"/>
              <w:numPr>
                <w:ilvl w:val="0"/>
                <w:numId w:val="0"/>
              </w:numPr>
              <w:wordWrap/>
              <w:overflowPunct/>
              <w:topLinePunct w:val="0"/>
              <w:bidi w:val="0"/>
              <w:spacing w:beforeAutospacing="0" w:after="0" w:afterAutospacing="0" w:line="480" w:lineRule="exact"/>
              <w:ind w:left="0" w:firstLine="210" w:firstLineChars="100"/>
              <w:rPr>
                <w:rStyle w:val="15"/>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2.1、E2等级标准砝码，材质：304不锈钢</w:t>
            </w:r>
            <w:r>
              <w:rPr>
                <w:rStyle w:val="15"/>
                <w:rFonts w:hint="eastAsia" w:ascii="宋体" w:hAnsi="宋体" w:eastAsia="宋体" w:cs="宋体"/>
                <w:color w:val="auto"/>
                <w:sz w:val="21"/>
                <w:szCs w:val="21"/>
                <w:highlight w:val="none"/>
                <w:lang w:val="en-US" w:eastAsia="zh-CN" w:bidi="ar"/>
              </w:rPr>
              <w:t>；</w:t>
            </w:r>
          </w:p>
          <w:p w14:paraId="6EC6FBD7">
            <w:pPr>
              <w:pStyle w:val="6"/>
              <w:pageBreakBefore w:val="0"/>
              <w:wordWrap/>
              <w:overflowPunct/>
              <w:topLinePunct w:val="0"/>
              <w:bidi w:val="0"/>
              <w:spacing w:beforeAutospacing="0" w:after="0" w:afterAutospacing="0" w:line="480" w:lineRule="exact"/>
              <w:ind w:left="0" w:leftChars="0" w:firstLine="0" w:firstLineChars="0"/>
              <w:rPr>
                <w:rStyle w:val="15"/>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2.2、1mg</w:t>
            </w:r>
            <w:r>
              <w:rPr>
                <w:rStyle w:val="15"/>
                <w:rFonts w:hint="eastAsia" w:ascii="宋体" w:hAnsi="宋体" w:eastAsia="宋体" w:cs="宋体"/>
                <w:color w:val="auto"/>
                <w:sz w:val="21"/>
                <w:szCs w:val="21"/>
                <w:highlight w:val="none"/>
                <w:lang w:eastAsia="zh-CN" w:bidi="ar"/>
              </w:rPr>
              <w:t>～</w:t>
            </w:r>
            <w:r>
              <w:rPr>
                <w:rStyle w:val="15"/>
                <w:rFonts w:hint="eastAsia" w:ascii="宋体" w:hAnsi="宋体" w:eastAsia="宋体" w:cs="宋体"/>
                <w:color w:val="auto"/>
                <w:sz w:val="21"/>
                <w:szCs w:val="21"/>
                <w:highlight w:val="none"/>
                <w:lang w:val="en-US" w:eastAsia="zh-CN" w:bidi="ar"/>
              </w:rPr>
              <w:t>200g全套含23个标准砝码:</w:t>
            </w:r>
          </w:p>
          <w:p w14:paraId="2E79D3DE">
            <w:pPr>
              <w:pStyle w:val="6"/>
              <w:pageBreakBefore w:val="0"/>
              <w:wordWrap/>
              <w:overflowPunct/>
              <w:topLinePunct w:val="0"/>
              <w:bidi w:val="0"/>
              <w:spacing w:beforeAutospacing="0" w:after="0" w:afterAutospacing="0" w:line="480" w:lineRule="exact"/>
              <w:ind w:left="0" w:leftChars="0" w:firstLine="0" w:firstLineChars="0"/>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(1、2、2、5、10、20、20、50、100、200、200、500) mg，</w:t>
            </w:r>
          </w:p>
          <w:p w14:paraId="3EB5EE23">
            <w:pPr>
              <w:pStyle w:val="6"/>
              <w:pageBreakBefore w:val="0"/>
              <w:numPr>
                <w:ilvl w:val="0"/>
                <w:numId w:val="0"/>
              </w:numPr>
              <w:wordWrap/>
              <w:overflowPunct/>
              <w:topLinePunct w:val="0"/>
              <w:bidi w:val="0"/>
              <w:spacing w:beforeAutospacing="0" w:after="0" w:afterAutospacing="0" w:line="480" w:lineRule="exact"/>
              <w:ind w:left="0"/>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(1、2、2、5、10、20、20、50、100、200、200) g。</w:t>
            </w:r>
          </w:p>
          <w:p w14:paraId="4EC53AC7">
            <w:pPr>
              <w:pStyle w:val="6"/>
              <w:pageBreakBefore w:val="0"/>
              <w:numPr>
                <w:ilvl w:val="0"/>
                <w:numId w:val="0"/>
              </w:numPr>
              <w:wordWrap/>
              <w:overflowPunct/>
              <w:topLinePunct w:val="0"/>
              <w:bidi w:val="0"/>
              <w:spacing w:beforeAutospacing="0" w:after="0" w:afterAutospacing="0" w:line="480" w:lineRule="exact"/>
              <w:ind w:left="0"/>
              <w:rPr>
                <w:rStyle w:val="15"/>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3、其他要求：</w:t>
            </w:r>
          </w:p>
          <w:p w14:paraId="7A69337B">
            <w:pPr>
              <w:pStyle w:val="6"/>
              <w:pageBreakBefore w:val="0"/>
              <w:wordWrap/>
              <w:overflowPunct/>
              <w:topLinePunct w:val="0"/>
              <w:bidi w:val="0"/>
              <w:spacing w:beforeAutospacing="0" w:after="0" w:afterAutospacing="0" w:line="480" w:lineRule="exact"/>
              <w:ind w:left="0" w:leftChars="0" w:firstLine="0" w:firstLineChars="0"/>
              <w:rPr>
                <w:rStyle w:val="15"/>
                <w:rFonts w:hint="eastAsia" w:ascii="宋体" w:hAnsi="宋体" w:eastAsia="宋体" w:cs="宋体"/>
                <w:color w:val="auto"/>
                <w:sz w:val="21"/>
                <w:szCs w:val="21"/>
                <w:highlight w:val="none"/>
                <w:lang w:val="en-US" w:eastAsia="zh-CN" w:bidi="ar"/>
              </w:rPr>
            </w:pPr>
            <w:r>
              <w:rPr>
                <w:rStyle w:val="15"/>
                <w:rFonts w:hint="eastAsia" w:ascii="宋体" w:hAnsi="宋体" w:eastAsia="宋体" w:cs="宋体"/>
                <w:color w:val="auto"/>
                <w:sz w:val="21"/>
                <w:szCs w:val="21"/>
                <w:highlight w:val="none"/>
                <w:lang w:val="en-US" w:eastAsia="zh-CN" w:bidi="ar"/>
              </w:rPr>
              <w:t>带铝盒包装：砝码盒应足够坚固，不易变形，内衬环保材质</w:t>
            </w:r>
            <w:r>
              <w:rPr>
                <w:rFonts w:hint="eastAsia" w:ascii="宋体" w:hAnsi="宋体" w:eastAsia="宋体" w:cs="宋体"/>
                <w:color w:val="auto"/>
                <w:sz w:val="21"/>
                <w:szCs w:val="21"/>
                <w:highlight w:val="none"/>
                <w:lang w:val="en-US" w:eastAsia="zh-CN"/>
              </w:rPr>
              <w:t>。</w:t>
            </w:r>
          </w:p>
        </w:tc>
      </w:tr>
      <w:tr w14:paraId="74048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7" w:type="dxa"/>
            <w:vAlign w:val="center"/>
          </w:tcPr>
          <w:p w14:paraId="312CA824">
            <w:pPr>
              <w:pStyle w:val="6"/>
              <w:pageBreakBefore w:val="0"/>
              <w:wordWrap/>
              <w:overflowPunct/>
              <w:topLinePunct w:val="0"/>
              <w:bidi w:val="0"/>
              <w:spacing w:beforeAutospacing="0" w:after="0" w:afterAutospacing="0" w:line="480" w:lineRule="exact"/>
              <w:ind w:left="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10</w:t>
            </w:r>
          </w:p>
        </w:tc>
        <w:tc>
          <w:tcPr>
            <w:tcW w:w="1605" w:type="dxa"/>
            <w:vAlign w:val="center"/>
          </w:tcPr>
          <w:p w14:paraId="5C59ADCC">
            <w:pPr>
              <w:pStyle w:val="6"/>
              <w:pageBreakBefore w:val="0"/>
              <w:wordWrap/>
              <w:overflowPunct/>
              <w:topLinePunct w:val="0"/>
              <w:bidi w:val="0"/>
              <w:spacing w:beforeAutospacing="0" w:after="0" w:afterAutospacing="0" w:line="480" w:lineRule="exact"/>
              <w:ind w:left="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双级电流互感器</w:t>
            </w:r>
          </w:p>
        </w:tc>
        <w:tc>
          <w:tcPr>
            <w:tcW w:w="12382" w:type="dxa"/>
          </w:tcPr>
          <w:p w14:paraId="21622491">
            <w:pPr>
              <w:pStyle w:val="6"/>
              <w:keepNext w:val="0"/>
              <w:keepLines w:val="0"/>
              <w:pageBreakBefore w:val="0"/>
              <w:widowControl/>
              <w:kinsoku w:val="0"/>
              <w:wordWrap/>
              <w:overflowPunct/>
              <w:topLinePunct w:val="0"/>
              <w:autoSpaceDE w:val="0"/>
              <w:autoSpaceDN w:val="0"/>
              <w:bidi w:val="0"/>
              <w:adjustRightInd w:val="0"/>
              <w:snapToGrid w:val="0"/>
              <w:spacing w:beforeAutospacing="0" w:after="0" w:afterAutospacing="0" w:line="480" w:lineRule="exact"/>
              <w:ind w:left="0" w:leftChars="0" w:firstLine="0" w:firstLineChars="0"/>
              <w:textAlignment w:val="baseline"/>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1、用途及应用要求：</w:t>
            </w:r>
          </w:p>
          <w:p w14:paraId="47EA4211">
            <w:pPr>
              <w:pStyle w:val="6"/>
              <w:keepNext w:val="0"/>
              <w:keepLines w:val="0"/>
              <w:pageBreakBefore w:val="0"/>
              <w:widowControl/>
              <w:kinsoku w:val="0"/>
              <w:wordWrap/>
              <w:overflowPunct/>
              <w:topLinePunct w:val="0"/>
              <w:autoSpaceDE w:val="0"/>
              <w:autoSpaceDN w:val="0"/>
              <w:bidi w:val="0"/>
              <w:adjustRightInd w:val="0"/>
              <w:snapToGrid w:val="0"/>
              <w:spacing w:beforeAutospacing="0" w:after="0" w:afterAutospacing="0" w:line="480" w:lineRule="exact"/>
              <w:ind w:left="0" w:leftChars="0" w:firstLine="0" w:firstLineChars="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主要用于精度等级为0.01级及以下各等级电压互感器的计量、测量、保护用互感器的检定、校准及量值传递工作，可完成电磁式互感器、电子式互感器的误差检定、变比测试、极性校验、负荷试验等项目，适用于电力计量机构、第三方检测实验室、电力系统运维单位的量值溯源与计量器具监督检定工作。</w:t>
            </w:r>
          </w:p>
          <w:p w14:paraId="1C619228">
            <w:pPr>
              <w:pStyle w:val="6"/>
              <w:keepNext w:val="0"/>
              <w:keepLines w:val="0"/>
              <w:pageBreakBefore w:val="0"/>
              <w:widowControl/>
              <w:kinsoku w:val="0"/>
              <w:wordWrap/>
              <w:overflowPunct/>
              <w:topLinePunct w:val="0"/>
              <w:autoSpaceDE w:val="0"/>
              <w:autoSpaceDN w:val="0"/>
              <w:bidi w:val="0"/>
              <w:adjustRightInd w:val="0"/>
              <w:snapToGrid w:val="0"/>
              <w:spacing w:beforeAutospacing="0" w:after="0" w:afterAutospacing="0" w:line="480" w:lineRule="exact"/>
              <w:ind w:left="0" w:leftChars="0" w:firstLine="0" w:firstLineChars="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设备整体性能、检定流程、试验方法、数据判定完全满足《JJG 1189.</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-2026</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测量用互感器 第 1 部分：标准电流互感器》国家计量检定规程及行业标准：</w:t>
            </w:r>
          </w:p>
          <w:p w14:paraId="50886E7D">
            <w:pPr>
              <w:pStyle w:val="6"/>
              <w:keepNext w:val="0"/>
              <w:keepLines w:val="0"/>
              <w:pageBreakBefore w:val="0"/>
              <w:widowControl/>
              <w:kinsoku w:val="0"/>
              <w:wordWrap/>
              <w:overflowPunct/>
              <w:topLinePunct w:val="0"/>
              <w:autoSpaceDE w:val="0"/>
              <w:autoSpaceDN w:val="0"/>
              <w:bidi w:val="0"/>
              <w:adjustRightInd w:val="0"/>
              <w:snapToGrid w:val="0"/>
              <w:spacing w:beforeAutospacing="0" w:after="0" w:afterAutospacing="0" w:line="480" w:lineRule="exact"/>
              <w:ind w:left="0" w:leftChars="0" w:firstLine="0" w:firstLineChars="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设备可完全覆盖上述规程中规定的比值误差、相位误差、负荷误差、绝缘性能、升降压稳定性等全部检定项目，测量数据精准、重复性好，可满足各级计量量值传递工作要求，可出具合规检定原始记录及证书。</w:t>
            </w:r>
          </w:p>
          <w:p w14:paraId="69311629">
            <w:pPr>
              <w:pStyle w:val="6"/>
              <w:keepNext w:val="0"/>
              <w:keepLines w:val="0"/>
              <w:pageBreakBefore w:val="0"/>
              <w:widowControl/>
              <w:kinsoku w:val="0"/>
              <w:wordWrap/>
              <w:overflowPunct/>
              <w:topLinePunct w:val="0"/>
              <w:autoSpaceDE w:val="0"/>
              <w:autoSpaceDN w:val="0"/>
              <w:bidi w:val="0"/>
              <w:adjustRightInd w:val="0"/>
              <w:snapToGrid w:val="0"/>
              <w:spacing w:beforeAutospacing="0" w:after="0" w:afterAutospacing="0" w:line="480" w:lineRule="exact"/>
              <w:ind w:left="0" w:leftChars="0" w:firstLine="0" w:firstLineChars="0"/>
              <w:textAlignment w:val="baseline"/>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2、主要技术参数要求：</w:t>
            </w:r>
          </w:p>
          <w:p w14:paraId="49E511FF">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▲额定一次电流： </w:t>
            </w:r>
          </w:p>
          <w:p w14:paraId="74BE1CB5">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5, 7.5, 10, 15, 20, 25, 30, 40, 50, 60, 75, 80, 100, 120, 125, 150, 160, 200, 250, 300, 315, 350, 400, 450, 500, 600, 630, 700, 750, 800, 1000, 1200, 1250, 1500, 1600, 1800, 2000A </w:t>
            </w:r>
          </w:p>
          <w:p w14:paraId="4DFA78BB">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额定二次电流： 5A, 1A </w:t>
            </w:r>
          </w:p>
          <w:p w14:paraId="10EB29CC">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额定电流比： 5A～2000A/5A, 5A～2000A/1A </w:t>
            </w:r>
          </w:p>
          <w:p w14:paraId="3A57842F">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★精度等级： 0.002S 级 </w:t>
            </w:r>
          </w:p>
          <w:p w14:paraId="557316B2">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二次容量： 0.2Ω (额定二次电流为 5A 时 5VA，额定二次电流为 1A 时 0.2VA) </w:t>
            </w:r>
          </w:p>
          <w:p w14:paraId="10B89EC9">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功率因数： COSΦ=1.0 </w:t>
            </w:r>
          </w:p>
          <w:p w14:paraId="7E6BC75C">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工作范围： (1%-120%). In </w:t>
            </w:r>
          </w:p>
          <w:p w14:paraId="28EC5CE8">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标准 CT 一次绕组接线方式： </w:t>
            </w:r>
          </w:p>
          <w:p w14:paraId="564B9D2B">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一次电流为 5A-800A 时，固定桩头接线 </w:t>
            </w:r>
          </w:p>
          <w:p w14:paraId="5676DDFE">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一次电流为 1000A-2000A 时，穿心一匝接线 </w:t>
            </w:r>
          </w:p>
          <w:p w14:paraId="27F77AD1">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频率： 50Hz/60Hz </w:t>
            </w:r>
          </w:p>
          <w:p w14:paraId="7D1F757F">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产品结构： 双级结构 </w:t>
            </w:r>
          </w:p>
          <w:p w14:paraId="539EA9E1">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电压等级： AC 600V </w:t>
            </w:r>
          </w:p>
          <w:p w14:paraId="078BB275">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jc w:val="left"/>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 xml:space="preserve">产品耐压： 2000V 1min </w:t>
            </w:r>
          </w:p>
        </w:tc>
      </w:tr>
      <w:tr w14:paraId="05276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7" w:type="dxa"/>
            <w:vAlign w:val="center"/>
          </w:tcPr>
          <w:p w14:paraId="007537B3">
            <w:pPr>
              <w:pStyle w:val="6"/>
              <w:pageBreakBefore w:val="0"/>
              <w:wordWrap/>
              <w:overflowPunct/>
              <w:topLinePunct w:val="0"/>
              <w:bidi w:val="0"/>
              <w:spacing w:beforeAutospacing="0" w:after="0" w:afterAutospacing="0" w:line="480" w:lineRule="exact"/>
              <w:ind w:left="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11</w:t>
            </w:r>
          </w:p>
        </w:tc>
        <w:tc>
          <w:tcPr>
            <w:tcW w:w="1605" w:type="dxa"/>
            <w:vAlign w:val="center"/>
          </w:tcPr>
          <w:p w14:paraId="7CA4589A">
            <w:pPr>
              <w:pStyle w:val="6"/>
              <w:pageBreakBefore w:val="0"/>
              <w:wordWrap/>
              <w:overflowPunct/>
              <w:topLinePunct w:val="0"/>
              <w:bidi w:val="0"/>
              <w:spacing w:beforeAutospacing="0" w:after="0" w:afterAutospacing="0" w:line="480" w:lineRule="exact"/>
              <w:ind w:left="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标准电压互感器</w:t>
            </w:r>
          </w:p>
        </w:tc>
        <w:tc>
          <w:tcPr>
            <w:tcW w:w="12382" w:type="dxa"/>
          </w:tcPr>
          <w:p w14:paraId="72A9D48B">
            <w:pPr>
              <w:pStyle w:val="6"/>
              <w:keepNext w:val="0"/>
              <w:keepLines w:val="0"/>
              <w:pageBreakBefore w:val="0"/>
              <w:widowControl/>
              <w:kinsoku w:val="0"/>
              <w:wordWrap/>
              <w:overflowPunct/>
              <w:topLinePunct w:val="0"/>
              <w:autoSpaceDE w:val="0"/>
              <w:autoSpaceDN w:val="0"/>
              <w:bidi w:val="0"/>
              <w:adjustRightInd w:val="0"/>
              <w:snapToGrid w:val="0"/>
              <w:spacing w:beforeAutospacing="0" w:after="0" w:afterAutospacing="0" w:line="480" w:lineRule="exact"/>
              <w:ind w:left="0" w:leftChars="0" w:firstLine="0" w:firstLineChars="0"/>
              <w:textAlignment w:val="baseline"/>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1、用途及应用要求：</w:t>
            </w:r>
          </w:p>
          <w:p w14:paraId="16C8F7A0">
            <w:pPr>
              <w:pStyle w:val="6"/>
              <w:keepNext w:val="0"/>
              <w:keepLines w:val="0"/>
              <w:pageBreakBefore w:val="0"/>
              <w:widowControl/>
              <w:kinsoku w:val="0"/>
              <w:wordWrap/>
              <w:overflowPunct/>
              <w:topLinePunct w:val="0"/>
              <w:autoSpaceDE w:val="0"/>
              <w:autoSpaceDN w:val="0"/>
              <w:bidi w:val="0"/>
              <w:adjustRightInd w:val="0"/>
              <w:snapToGrid w:val="0"/>
              <w:spacing w:beforeAutospacing="0" w:after="0" w:afterAutospacing="0" w:line="480" w:lineRule="exact"/>
              <w:ind w:left="0" w:leftChars="0" w:firstLine="0" w:firstLineChars="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主要用于精度等级为0.01级及以下各等级电压互感器的计量、保护用互感器的检定、校准及量值传递工作，可完成电磁式互感器、电子式互感器的误差检定、变比测试、极性校验、负荷试验等项目，适用于电力计量机构、第三方检测实验室、电力系统运维单位的量值溯源与计量器具监督检定工作。</w:t>
            </w:r>
          </w:p>
          <w:p w14:paraId="51DBEF28">
            <w:pPr>
              <w:pStyle w:val="6"/>
              <w:keepNext w:val="0"/>
              <w:keepLines w:val="0"/>
              <w:pageBreakBefore w:val="0"/>
              <w:widowControl/>
              <w:kinsoku w:val="0"/>
              <w:wordWrap/>
              <w:overflowPunct/>
              <w:topLinePunct w:val="0"/>
              <w:autoSpaceDE w:val="0"/>
              <w:autoSpaceDN w:val="0"/>
              <w:bidi w:val="0"/>
              <w:adjustRightInd w:val="0"/>
              <w:snapToGrid w:val="0"/>
              <w:spacing w:beforeAutospacing="0" w:after="0" w:afterAutospacing="0" w:line="480" w:lineRule="exact"/>
              <w:ind w:left="0" w:leftChars="0" w:firstLine="0" w:firstLineChars="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设备整体性能、检定流程、试验方法、数据判定完全满足《JJG 1189.</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-2026</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测量用互感器 第</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部分：标准电</w:t>
            </w:r>
            <w:r>
              <w:rPr>
                <w:rFonts w:hint="eastAsia" w:ascii="宋体" w:hAnsi="宋体" w:eastAsia="宋体" w:cs="宋体"/>
                <w:color w:val="auto"/>
                <w:sz w:val="21"/>
                <w:szCs w:val="21"/>
                <w:highlight w:val="none"/>
                <w:lang w:val="en-US" w:eastAsia="zh-CN"/>
              </w:rPr>
              <w:t>压</w:t>
            </w:r>
            <w:r>
              <w:rPr>
                <w:rFonts w:hint="eastAsia" w:ascii="宋体" w:hAnsi="宋体" w:eastAsia="宋体" w:cs="宋体"/>
                <w:color w:val="auto"/>
                <w:sz w:val="21"/>
                <w:szCs w:val="21"/>
                <w:highlight w:val="none"/>
                <w:lang w:eastAsia="zh-CN"/>
              </w:rPr>
              <w:t>互感器》国家计量检定规程及行业标准：</w:t>
            </w:r>
          </w:p>
          <w:p w14:paraId="3AB5A885">
            <w:pPr>
              <w:pStyle w:val="6"/>
              <w:keepNext w:val="0"/>
              <w:keepLines w:val="0"/>
              <w:pageBreakBefore w:val="0"/>
              <w:widowControl/>
              <w:kinsoku w:val="0"/>
              <w:wordWrap/>
              <w:overflowPunct/>
              <w:topLinePunct w:val="0"/>
              <w:autoSpaceDE w:val="0"/>
              <w:autoSpaceDN w:val="0"/>
              <w:bidi w:val="0"/>
              <w:adjustRightInd w:val="0"/>
              <w:snapToGrid w:val="0"/>
              <w:spacing w:beforeAutospacing="0" w:after="0" w:afterAutospacing="0" w:line="480" w:lineRule="exact"/>
              <w:ind w:left="0" w:leftChars="0" w:firstLine="0" w:firstLineChars="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设备可完全覆盖上述规程中规定的比值误差、相位误差、负荷误差、绝缘性能、升降压稳定性等全部检定项目，测量数据精准、重复性好，可满足各级计量量值传递工作要求，可出具合规检定原始记录及证书。</w:t>
            </w:r>
          </w:p>
          <w:p w14:paraId="0D0BFAA1">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▲额定一次电压： </w:t>
            </w:r>
          </w:p>
          <w:p w14:paraId="23FDFAD2">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1kV, 2kV, 3kV, 5kV, 6kV, 10kV, </w:t>
            </w:r>
            <m:oMath>
              <m:r>
                <m:rPr>
                  <m:sty m:val="p"/>
                </m:rPr>
                <w:rPr>
                  <w:rFonts w:hint="default" w:ascii="DejaVu Math TeX Gyre" w:hAnsi="宋体" w:eastAsia="宋体" w:cs="宋体"/>
                  <w:snapToGrid w:val="0"/>
                  <w:color w:val="auto"/>
                  <w:kern w:val="0"/>
                  <w:sz w:val="21"/>
                  <w:szCs w:val="21"/>
                  <w:highlight w:val="none"/>
                  <w:lang w:val="en-US" w:eastAsia="zh-CN" w:bidi="ar-SA"/>
                </w:rPr>
                <m:t>1/</m:t>
              </m:r>
              <m:rad>
                <m:radPr>
                  <m:degHide m:val="1"/>
                  <m:ctrlPr>
                    <w:rPr>
                      <w:rFonts w:hint="default" w:ascii="DejaVu Math TeX Gyre" w:hAnsi="DejaVu Math TeX Gyre" w:cs="宋体"/>
                      <w:i/>
                      <w:snapToGrid w:val="0"/>
                      <w:color w:val="auto"/>
                      <w:kern w:val="0"/>
                      <w:sz w:val="21"/>
                      <w:szCs w:val="21"/>
                      <w:highlight w:val="none"/>
                      <w:lang w:val="en-US" w:bidi="ar-SA"/>
                    </w:rPr>
                  </m:ctrlPr>
                </m:radPr>
                <m:deg>
                  <m:ctrlPr>
                    <w:rPr>
                      <w:rFonts w:hint="default" w:ascii="DejaVu Math TeX Gyre" w:hAnsi="DejaVu Math TeX Gyre" w:cs="宋体"/>
                      <w:i/>
                      <w:snapToGrid w:val="0"/>
                      <w:color w:val="auto"/>
                      <w:kern w:val="0"/>
                      <w:sz w:val="21"/>
                      <w:szCs w:val="21"/>
                      <w:highlight w:val="none"/>
                      <w:lang w:val="en-US" w:bidi="ar-SA"/>
                    </w:rPr>
                  </m:ctrlPr>
                </m:deg>
                <m:e>
                  <m:r>
                    <m:rPr/>
                    <w:rPr>
                      <w:rFonts w:hint="default" w:ascii="DejaVu Math TeX Gyre" w:hAnsi="DejaVu Math TeX Gyre" w:cs="宋体"/>
                      <w:snapToGrid w:val="0"/>
                      <w:color w:val="auto"/>
                      <w:kern w:val="0"/>
                      <w:sz w:val="21"/>
                      <w:szCs w:val="21"/>
                      <w:highlight w:val="none"/>
                      <w:lang w:val="en-US" w:eastAsia="zh-CN" w:bidi="ar-SA"/>
                    </w:rPr>
                    <m:t>3</m:t>
                  </m:r>
                  <m:ctrlPr>
                    <w:rPr>
                      <w:rFonts w:hint="default" w:ascii="DejaVu Math TeX Gyre" w:hAnsi="DejaVu Math TeX Gyre" w:cs="宋体"/>
                      <w:i/>
                      <w:snapToGrid w:val="0"/>
                      <w:color w:val="auto"/>
                      <w:kern w:val="0"/>
                      <w:sz w:val="21"/>
                      <w:szCs w:val="21"/>
                      <w:highlight w:val="none"/>
                      <w:lang w:val="en-US" w:bidi="ar-SA"/>
                    </w:rPr>
                  </m:ctrlPr>
                </m:e>
              </m:rad>
            </m:oMath>
            <w:r>
              <w:rPr>
                <w:rFonts w:hint="eastAsia" w:ascii="宋体" w:hAnsi="宋体" w:eastAsia="宋体" w:cs="宋体"/>
                <w:snapToGrid w:val="0"/>
                <w:color w:val="auto"/>
                <w:kern w:val="0"/>
                <w:sz w:val="21"/>
                <w:szCs w:val="21"/>
                <w:highlight w:val="none"/>
                <w:lang w:val="en-US" w:eastAsia="zh-CN" w:bidi="ar"/>
              </w:rPr>
              <w:t xml:space="preserve">kV, </w:t>
            </w:r>
            <m:oMath>
              <m:r>
                <m:rPr>
                  <m:sty m:val="p"/>
                </m:rPr>
                <w:rPr>
                  <w:rFonts w:hint="default" w:ascii="DejaVu Math TeX Gyre" w:hAnsi="宋体" w:eastAsia="宋体" w:cs="宋体"/>
                  <w:snapToGrid w:val="0"/>
                  <w:color w:val="auto"/>
                  <w:kern w:val="0"/>
                  <w:sz w:val="21"/>
                  <w:szCs w:val="21"/>
                  <w:highlight w:val="none"/>
                  <w:lang w:val="en-US" w:eastAsia="zh-CN" w:bidi="ar-SA"/>
                </w:rPr>
                <m:t>2/</m:t>
              </m:r>
              <m:rad>
                <m:radPr>
                  <m:degHide m:val="1"/>
                  <m:ctrlPr>
                    <w:rPr>
                      <w:rFonts w:hint="default" w:ascii="DejaVu Math TeX Gyre" w:hAnsi="DejaVu Math TeX Gyre" w:cs="宋体"/>
                      <w:i/>
                      <w:snapToGrid w:val="0"/>
                      <w:color w:val="auto"/>
                      <w:kern w:val="0"/>
                      <w:sz w:val="21"/>
                      <w:szCs w:val="21"/>
                      <w:highlight w:val="none"/>
                      <w:lang w:val="en-US" w:bidi="ar-SA"/>
                    </w:rPr>
                  </m:ctrlPr>
                </m:radPr>
                <m:deg>
                  <m:ctrlPr>
                    <w:rPr>
                      <w:rFonts w:hint="default" w:ascii="DejaVu Math TeX Gyre" w:hAnsi="DejaVu Math TeX Gyre" w:cs="宋体"/>
                      <w:i/>
                      <w:snapToGrid w:val="0"/>
                      <w:color w:val="auto"/>
                      <w:kern w:val="0"/>
                      <w:sz w:val="21"/>
                      <w:szCs w:val="21"/>
                      <w:highlight w:val="none"/>
                      <w:lang w:val="en-US" w:bidi="ar-SA"/>
                    </w:rPr>
                  </m:ctrlPr>
                </m:deg>
                <m:e>
                  <m:r>
                    <m:rPr/>
                    <w:rPr>
                      <w:rFonts w:hint="default" w:ascii="DejaVu Math TeX Gyre" w:hAnsi="DejaVu Math TeX Gyre" w:cs="宋体"/>
                      <w:snapToGrid w:val="0"/>
                      <w:color w:val="auto"/>
                      <w:kern w:val="0"/>
                      <w:sz w:val="21"/>
                      <w:szCs w:val="21"/>
                      <w:highlight w:val="none"/>
                      <w:lang w:val="en-US" w:eastAsia="zh-CN" w:bidi="ar-SA"/>
                    </w:rPr>
                    <m:t>3</m:t>
                  </m:r>
                  <m:ctrlPr>
                    <w:rPr>
                      <w:rFonts w:hint="default" w:ascii="DejaVu Math TeX Gyre" w:hAnsi="DejaVu Math TeX Gyre" w:cs="宋体"/>
                      <w:i/>
                      <w:snapToGrid w:val="0"/>
                      <w:color w:val="auto"/>
                      <w:kern w:val="0"/>
                      <w:sz w:val="21"/>
                      <w:szCs w:val="21"/>
                      <w:highlight w:val="none"/>
                      <w:lang w:val="en-US" w:bidi="ar-SA"/>
                    </w:rPr>
                  </m:ctrlPr>
                </m:e>
              </m:rad>
            </m:oMath>
            <w:r>
              <w:rPr>
                <w:rFonts w:hint="eastAsia" w:ascii="宋体" w:hAnsi="宋体" w:eastAsia="宋体" w:cs="宋体"/>
                <w:snapToGrid w:val="0"/>
                <w:color w:val="auto"/>
                <w:kern w:val="0"/>
                <w:sz w:val="21"/>
                <w:szCs w:val="21"/>
                <w:highlight w:val="none"/>
                <w:lang w:val="en-US" w:eastAsia="zh-CN" w:bidi="ar"/>
              </w:rPr>
              <w:t xml:space="preserve">kV, </w:t>
            </w:r>
            <m:oMath>
              <m:r>
                <m:rPr>
                  <m:sty m:val="p"/>
                </m:rPr>
                <w:rPr>
                  <w:rFonts w:hint="default" w:ascii="DejaVu Math TeX Gyre" w:hAnsi="宋体" w:eastAsia="宋体" w:cs="宋体"/>
                  <w:snapToGrid w:val="0"/>
                  <w:color w:val="auto"/>
                  <w:kern w:val="0"/>
                  <w:sz w:val="21"/>
                  <w:szCs w:val="21"/>
                  <w:highlight w:val="none"/>
                  <w:lang w:val="en-US" w:eastAsia="zh-CN" w:bidi="ar-SA"/>
                </w:rPr>
                <m:t>3/</m:t>
              </m:r>
              <m:rad>
                <m:radPr>
                  <m:degHide m:val="1"/>
                  <m:ctrlPr>
                    <w:rPr>
                      <w:rFonts w:hint="default" w:ascii="DejaVu Math TeX Gyre" w:hAnsi="DejaVu Math TeX Gyre" w:cs="宋体"/>
                      <w:i/>
                      <w:snapToGrid w:val="0"/>
                      <w:color w:val="auto"/>
                      <w:kern w:val="0"/>
                      <w:sz w:val="21"/>
                      <w:szCs w:val="21"/>
                      <w:highlight w:val="none"/>
                      <w:lang w:val="en-US" w:bidi="ar-SA"/>
                    </w:rPr>
                  </m:ctrlPr>
                </m:radPr>
                <m:deg>
                  <m:ctrlPr>
                    <w:rPr>
                      <w:rFonts w:hint="default" w:ascii="DejaVu Math TeX Gyre" w:hAnsi="DejaVu Math TeX Gyre" w:cs="宋体"/>
                      <w:i/>
                      <w:snapToGrid w:val="0"/>
                      <w:color w:val="auto"/>
                      <w:kern w:val="0"/>
                      <w:sz w:val="21"/>
                      <w:szCs w:val="21"/>
                      <w:highlight w:val="none"/>
                      <w:lang w:val="en-US" w:bidi="ar-SA"/>
                    </w:rPr>
                  </m:ctrlPr>
                </m:deg>
                <m:e>
                  <m:r>
                    <m:rPr/>
                    <w:rPr>
                      <w:rFonts w:hint="default" w:ascii="DejaVu Math TeX Gyre" w:hAnsi="DejaVu Math TeX Gyre" w:cs="宋体"/>
                      <w:snapToGrid w:val="0"/>
                      <w:color w:val="auto"/>
                      <w:kern w:val="0"/>
                      <w:sz w:val="21"/>
                      <w:szCs w:val="21"/>
                      <w:highlight w:val="none"/>
                      <w:lang w:val="en-US" w:eastAsia="zh-CN" w:bidi="ar-SA"/>
                    </w:rPr>
                    <m:t>3</m:t>
                  </m:r>
                  <m:ctrlPr>
                    <w:rPr>
                      <w:rFonts w:hint="default" w:ascii="DejaVu Math TeX Gyre" w:hAnsi="DejaVu Math TeX Gyre" w:cs="宋体"/>
                      <w:i/>
                      <w:snapToGrid w:val="0"/>
                      <w:color w:val="auto"/>
                      <w:kern w:val="0"/>
                      <w:sz w:val="21"/>
                      <w:szCs w:val="21"/>
                      <w:highlight w:val="none"/>
                      <w:lang w:val="en-US" w:bidi="ar-SA"/>
                    </w:rPr>
                  </m:ctrlPr>
                </m:e>
              </m:rad>
            </m:oMath>
            <w:r>
              <w:rPr>
                <w:rFonts w:hint="eastAsia" w:ascii="宋体" w:hAnsi="宋体" w:eastAsia="宋体" w:cs="宋体"/>
                <w:snapToGrid w:val="0"/>
                <w:color w:val="auto"/>
                <w:kern w:val="0"/>
                <w:sz w:val="21"/>
                <w:szCs w:val="21"/>
                <w:highlight w:val="none"/>
                <w:lang w:val="en-US" w:eastAsia="zh-CN" w:bidi="ar"/>
              </w:rPr>
              <w:t xml:space="preserve">kV,  </w:t>
            </w:r>
            <m:oMath>
              <m:r>
                <m:rPr>
                  <m:sty m:val="p"/>
                </m:rPr>
                <w:rPr>
                  <w:rFonts w:hint="default" w:ascii="DejaVu Math TeX Gyre" w:hAnsi="宋体" w:eastAsia="宋体" w:cs="宋体"/>
                  <w:snapToGrid w:val="0"/>
                  <w:color w:val="auto"/>
                  <w:kern w:val="0"/>
                  <w:sz w:val="21"/>
                  <w:szCs w:val="21"/>
                  <w:highlight w:val="none"/>
                  <w:lang w:val="en-US" w:eastAsia="zh-CN" w:bidi="ar-SA"/>
                </w:rPr>
                <m:t>5/</m:t>
              </m:r>
              <m:rad>
                <m:radPr>
                  <m:degHide m:val="1"/>
                  <m:ctrlPr>
                    <w:rPr>
                      <w:rFonts w:hint="default" w:ascii="DejaVu Math TeX Gyre" w:hAnsi="DejaVu Math TeX Gyre" w:cs="宋体"/>
                      <w:i/>
                      <w:snapToGrid w:val="0"/>
                      <w:color w:val="auto"/>
                      <w:kern w:val="0"/>
                      <w:sz w:val="21"/>
                      <w:szCs w:val="21"/>
                      <w:highlight w:val="none"/>
                      <w:lang w:val="en-US" w:bidi="ar-SA"/>
                    </w:rPr>
                  </m:ctrlPr>
                </m:radPr>
                <m:deg>
                  <m:ctrlPr>
                    <w:rPr>
                      <w:rFonts w:hint="default" w:ascii="DejaVu Math TeX Gyre" w:hAnsi="DejaVu Math TeX Gyre" w:cs="宋体"/>
                      <w:i/>
                      <w:snapToGrid w:val="0"/>
                      <w:color w:val="auto"/>
                      <w:kern w:val="0"/>
                      <w:sz w:val="21"/>
                      <w:szCs w:val="21"/>
                      <w:highlight w:val="none"/>
                      <w:lang w:val="en-US" w:bidi="ar-SA"/>
                    </w:rPr>
                  </m:ctrlPr>
                </m:deg>
                <m:e>
                  <m:r>
                    <m:rPr/>
                    <w:rPr>
                      <w:rFonts w:hint="default" w:ascii="DejaVu Math TeX Gyre" w:hAnsi="DejaVu Math TeX Gyre" w:cs="宋体"/>
                      <w:snapToGrid w:val="0"/>
                      <w:color w:val="auto"/>
                      <w:kern w:val="0"/>
                      <w:sz w:val="21"/>
                      <w:szCs w:val="21"/>
                      <w:highlight w:val="none"/>
                      <w:lang w:val="en-US" w:eastAsia="zh-CN" w:bidi="ar-SA"/>
                    </w:rPr>
                    <m:t>3</m:t>
                  </m:r>
                  <m:ctrlPr>
                    <w:rPr>
                      <w:rFonts w:hint="default" w:ascii="DejaVu Math TeX Gyre" w:hAnsi="DejaVu Math TeX Gyre" w:cs="宋体"/>
                      <w:i/>
                      <w:snapToGrid w:val="0"/>
                      <w:color w:val="auto"/>
                      <w:kern w:val="0"/>
                      <w:sz w:val="21"/>
                      <w:szCs w:val="21"/>
                      <w:highlight w:val="none"/>
                      <w:lang w:val="en-US" w:bidi="ar-SA"/>
                    </w:rPr>
                  </m:ctrlPr>
                </m:e>
              </m:rad>
            </m:oMath>
            <w:r>
              <w:rPr>
                <w:rFonts w:hint="eastAsia" w:ascii="宋体" w:hAnsi="宋体" w:eastAsia="宋体" w:cs="宋体"/>
                <w:snapToGrid w:val="0"/>
                <w:color w:val="auto"/>
                <w:kern w:val="0"/>
                <w:sz w:val="21"/>
                <w:szCs w:val="21"/>
                <w:highlight w:val="none"/>
                <w:lang w:val="en-US" w:eastAsia="zh-CN" w:bidi="ar"/>
              </w:rPr>
              <w:t xml:space="preserve">kV,  </w:t>
            </w:r>
            <m:oMath>
              <m:r>
                <m:rPr>
                  <m:sty m:val="p"/>
                </m:rPr>
                <w:rPr>
                  <w:rFonts w:hint="default" w:ascii="DejaVu Math TeX Gyre" w:hAnsi="宋体" w:eastAsia="宋体" w:cs="宋体"/>
                  <w:snapToGrid w:val="0"/>
                  <w:color w:val="auto"/>
                  <w:kern w:val="0"/>
                  <w:sz w:val="21"/>
                  <w:szCs w:val="21"/>
                  <w:highlight w:val="none"/>
                  <w:lang w:val="en-US" w:eastAsia="zh-CN" w:bidi="ar-SA"/>
                </w:rPr>
                <m:t>6/</m:t>
              </m:r>
              <m:rad>
                <m:radPr>
                  <m:degHide m:val="1"/>
                  <m:ctrlPr>
                    <w:rPr>
                      <w:rFonts w:hint="default" w:ascii="DejaVu Math TeX Gyre" w:hAnsi="DejaVu Math TeX Gyre" w:cs="宋体"/>
                      <w:i/>
                      <w:snapToGrid w:val="0"/>
                      <w:color w:val="auto"/>
                      <w:kern w:val="0"/>
                      <w:sz w:val="21"/>
                      <w:szCs w:val="21"/>
                      <w:highlight w:val="none"/>
                      <w:lang w:val="en-US" w:bidi="ar-SA"/>
                    </w:rPr>
                  </m:ctrlPr>
                </m:radPr>
                <m:deg>
                  <m:ctrlPr>
                    <w:rPr>
                      <w:rFonts w:hint="default" w:ascii="DejaVu Math TeX Gyre" w:hAnsi="DejaVu Math TeX Gyre" w:cs="宋体"/>
                      <w:i/>
                      <w:snapToGrid w:val="0"/>
                      <w:color w:val="auto"/>
                      <w:kern w:val="0"/>
                      <w:sz w:val="21"/>
                      <w:szCs w:val="21"/>
                      <w:highlight w:val="none"/>
                      <w:lang w:val="en-US" w:bidi="ar-SA"/>
                    </w:rPr>
                  </m:ctrlPr>
                </m:deg>
                <m:e>
                  <m:r>
                    <m:rPr/>
                    <w:rPr>
                      <w:rFonts w:hint="default" w:ascii="DejaVu Math TeX Gyre" w:hAnsi="DejaVu Math TeX Gyre" w:cs="宋体"/>
                      <w:snapToGrid w:val="0"/>
                      <w:color w:val="auto"/>
                      <w:kern w:val="0"/>
                      <w:sz w:val="21"/>
                      <w:szCs w:val="21"/>
                      <w:highlight w:val="none"/>
                      <w:lang w:val="en-US" w:eastAsia="zh-CN" w:bidi="ar-SA"/>
                    </w:rPr>
                    <m:t>3</m:t>
                  </m:r>
                  <m:ctrlPr>
                    <w:rPr>
                      <w:rFonts w:hint="default" w:ascii="DejaVu Math TeX Gyre" w:hAnsi="DejaVu Math TeX Gyre" w:cs="宋体"/>
                      <w:i/>
                      <w:snapToGrid w:val="0"/>
                      <w:color w:val="auto"/>
                      <w:kern w:val="0"/>
                      <w:sz w:val="21"/>
                      <w:szCs w:val="21"/>
                      <w:highlight w:val="none"/>
                      <w:lang w:val="en-US" w:bidi="ar-SA"/>
                    </w:rPr>
                  </m:ctrlPr>
                </m:e>
              </m:rad>
            </m:oMath>
            <w:r>
              <w:rPr>
                <w:rFonts w:hint="eastAsia" w:ascii="宋体" w:hAnsi="宋体" w:eastAsia="宋体" w:cs="宋体"/>
                <w:snapToGrid w:val="0"/>
                <w:color w:val="auto"/>
                <w:kern w:val="0"/>
                <w:sz w:val="21"/>
                <w:szCs w:val="21"/>
                <w:highlight w:val="none"/>
                <w:lang w:val="en-US" w:eastAsia="zh-CN" w:bidi="ar"/>
              </w:rPr>
              <w:t xml:space="preserve">kV,  </w:t>
            </w:r>
            <m:oMath>
              <m:r>
                <m:rPr>
                  <m:sty m:val="p"/>
                </m:rPr>
                <w:rPr>
                  <w:rFonts w:hint="default" w:ascii="DejaVu Math TeX Gyre" w:hAnsi="宋体" w:eastAsia="宋体" w:cs="宋体"/>
                  <w:snapToGrid w:val="0"/>
                  <w:color w:val="auto"/>
                  <w:kern w:val="0"/>
                  <w:sz w:val="21"/>
                  <w:szCs w:val="21"/>
                  <w:highlight w:val="none"/>
                  <w:lang w:val="en-US" w:eastAsia="zh-CN" w:bidi="ar-SA"/>
                </w:rPr>
                <m:t>10/</m:t>
              </m:r>
              <m:rad>
                <m:radPr>
                  <m:degHide m:val="1"/>
                  <m:ctrlPr>
                    <w:rPr>
                      <w:rFonts w:hint="default" w:ascii="DejaVu Math TeX Gyre" w:hAnsi="DejaVu Math TeX Gyre" w:cs="宋体"/>
                      <w:i/>
                      <w:snapToGrid w:val="0"/>
                      <w:color w:val="auto"/>
                      <w:kern w:val="0"/>
                      <w:sz w:val="21"/>
                      <w:szCs w:val="21"/>
                      <w:highlight w:val="none"/>
                      <w:lang w:val="en-US" w:bidi="ar-SA"/>
                    </w:rPr>
                  </m:ctrlPr>
                </m:radPr>
                <m:deg>
                  <m:ctrlPr>
                    <w:rPr>
                      <w:rFonts w:hint="default" w:ascii="DejaVu Math TeX Gyre" w:hAnsi="DejaVu Math TeX Gyre" w:cs="宋体"/>
                      <w:i/>
                      <w:snapToGrid w:val="0"/>
                      <w:color w:val="auto"/>
                      <w:kern w:val="0"/>
                      <w:sz w:val="21"/>
                      <w:szCs w:val="21"/>
                      <w:highlight w:val="none"/>
                      <w:lang w:val="en-US" w:bidi="ar-SA"/>
                    </w:rPr>
                  </m:ctrlPr>
                </m:deg>
                <m:e>
                  <m:r>
                    <m:rPr/>
                    <w:rPr>
                      <w:rFonts w:hint="default" w:ascii="DejaVu Math TeX Gyre" w:hAnsi="DejaVu Math TeX Gyre" w:cs="宋体"/>
                      <w:snapToGrid w:val="0"/>
                      <w:color w:val="auto"/>
                      <w:kern w:val="0"/>
                      <w:sz w:val="21"/>
                      <w:szCs w:val="21"/>
                      <w:highlight w:val="none"/>
                      <w:lang w:val="en-US" w:eastAsia="zh-CN" w:bidi="ar-SA"/>
                    </w:rPr>
                    <m:t>3</m:t>
                  </m:r>
                  <m:ctrlPr>
                    <w:rPr>
                      <w:rFonts w:hint="default" w:ascii="DejaVu Math TeX Gyre" w:hAnsi="DejaVu Math TeX Gyre" w:cs="宋体"/>
                      <w:i/>
                      <w:snapToGrid w:val="0"/>
                      <w:color w:val="auto"/>
                      <w:kern w:val="0"/>
                      <w:sz w:val="21"/>
                      <w:szCs w:val="21"/>
                      <w:highlight w:val="none"/>
                      <w:lang w:val="en-US" w:bidi="ar-SA"/>
                    </w:rPr>
                  </m:ctrlPr>
                </m:e>
              </m:rad>
            </m:oMath>
            <w:r>
              <w:rPr>
                <w:rFonts w:hint="eastAsia" w:ascii="宋体" w:hAnsi="宋体" w:eastAsia="宋体" w:cs="宋体"/>
                <w:snapToGrid w:val="0"/>
                <w:color w:val="auto"/>
                <w:kern w:val="0"/>
                <w:sz w:val="21"/>
                <w:szCs w:val="21"/>
                <w:highlight w:val="none"/>
                <w:lang w:val="en-US" w:eastAsia="zh-CN" w:bidi="ar"/>
              </w:rPr>
              <w:t xml:space="preserve">kV </w:t>
            </w:r>
          </w:p>
          <w:p w14:paraId="3AE84821">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额定二次电压： 100V,  </w:t>
            </w:r>
            <m:oMath>
              <m:r>
                <m:rPr>
                  <m:sty m:val="p"/>
                </m:rPr>
                <w:rPr>
                  <w:rFonts w:hint="default" w:ascii="DejaVu Math TeX Gyre" w:hAnsi="宋体" w:eastAsia="宋体" w:cs="宋体"/>
                  <w:snapToGrid w:val="0"/>
                  <w:color w:val="auto"/>
                  <w:kern w:val="0"/>
                  <w:sz w:val="21"/>
                  <w:szCs w:val="21"/>
                  <w:highlight w:val="none"/>
                  <w:lang w:val="en-US" w:eastAsia="zh-CN" w:bidi="ar-SA"/>
                </w:rPr>
                <m:t>100/</m:t>
              </m:r>
              <m:rad>
                <m:radPr>
                  <m:degHide m:val="1"/>
                  <m:ctrlPr>
                    <w:rPr>
                      <w:rFonts w:hint="default" w:ascii="DejaVu Math TeX Gyre" w:hAnsi="DejaVu Math TeX Gyre" w:cs="宋体"/>
                      <w:i/>
                      <w:snapToGrid w:val="0"/>
                      <w:color w:val="auto"/>
                      <w:kern w:val="0"/>
                      <w:sz w:val="21"/>
                      <w:szCs w:val="21"/>
                      <w:highlight w:val="none"/>
                      <w:lang w:val="en-US" w:bidi="ar-SA"/>
                    </w:rPr>
                  </m:ctrlPr>
                </m:radPr>
                <m:deg>
                  <m:ctrlPr>
                    <w:rPr>
                      <w:rFonts w:hint="default" w:ascii="DejaVu Math TeX Gyre" w:hAnsi="DejaVu Math TeX Gyre" w:cs="宋体"/>
                      <w:i/>
                      <w:snapToGrid w:val="0"/>
                      <w:color w:val="auto"/>
                      <w:kern w:val="0"/>
                      <w:sz w:val="21"/>
                      <w:szCs w:val="21"/>
                      <w:highlight w:val="none"/>
                      <w:lang w:val="en-US" w:bidi="ar-SA"/>
                    </w:rPr>
                  </m:ctrlPr>
                </m:deg>
                <m:e>
                  <m:r>
                    <m:rPr/>
                    <w:rPr>
                      <w:rFonts w:hint="default" w:ascii="DejaVu Math TeX Gyre" w:hAnsi="DejaVu Math TeX Gyre" w:cs="宋体"/>
                      <w:snapToGrid w:val="0"/>
                      <w:color w:val="auto"/>
                      <w:kern w:val="0"/>
                      <w:sz w:val="21"/>
                      <w:szCs w:val="21"/>
                      <w:highlight w:val="none"/>
                      <w:lang w:val="en-US" w:eastAsia="zh-CN" w:bidi="ar-SA"/>
                    </w:rPr>
                    <m:t>3</m:t>
                  </m:r>
                  <m:ctrlPr>
                    <w:rPr>
                      <w:rFonts w:hint="default" w:ascii="DejaVu Math TeX Gyre" w:hAnsi="DejaVu Math TeX Gyre" w:cs="宋体"/>
                      <w:i/>
                      <w:snapToGrid w:val="0"/>
                      <w:color w:val="auto"/>
                      <w:kern w:val="0"/>
                      <w:sz w:val="21"/>
                      <w:szCs w:val="21"/>
                      <w:highlight w:val="none"/>
                      <w:lang w:val="en-US" w:bidi="ar-SA"/>
                    </w:rPr>
                  </m:ctrlPr>
                </m:e>
              </m:rad>
            </m:oMath>
            <w:r>
              <w:rPr>
                <w:rFonts w:hint="eastAsia" w:ascii="宋体" w:hAnsi="宋体" w:eastAsia="宋体" w:cs="宋体"/>
                <w:snapToGrid w:val="0"/>
                <w:color w:val="auto"/>
                <w:kern w:val="0"/>
                <w:sz w:val="21"/>
                <w:szCs w:val="21"/>
                <w:highlight w:val="none"/>
                <w:lang w:val="en-US" w:eastAsia="zh-CN" w:bidi="ar"/>
              </w:rPr>
              <w:t xml:space="preserve">V </w:t>
            </w:r>
          </w:p>
          <w:p w14:paraId="507650C3">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额定电压比： </w:t>
            </w:r>
          </w:p>
          <w:p w14:paraId="706857D6">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1kV/100V,  </w:t>
            </w:r>
            <m:oMath>
              <m:r>
                <m:rPr>
                  <m:sty m:val="p"/>
                </m:rPr>
                <w:rPr>
                  <w:rFonts w:hint="default" w:ascii="DejaVu Math TeX Gyre" w:hAnsi="宋体" w:eastAsia="宋体" w:cs="宋体"/>
                  <w:snapToGrid w:val="0"/>
                  <w:color w:val="auto"/>
                  <w:kern w:val="0"/>
                  <w:sz w:val="21"/>
                  <w:szCs w:val="21"/>
                  <w:highlight w:val="none"/>
                  <w:lang w:val="en-US" w:eastAsia="zh-CN" w:bidi="ar-SA"/>
                </w:rPr>
                <m:t>1/</m:t>
              </m:r>
              <m:rad>
                <m:radPr>
                  <m:degHide m:val="1"/>
                  <m:ctrlPr>
                    <w:rPr>
                      <w:rFonts w:hint="default" w:ascii="DejaVu Math TeX Gyre" w:hAnsi="DejaVu Math TeX Gyre" w:cs="宋体"/>
                      <w:i/>
                      <w:snapToGrid w:val="0"/>
                      <w:color w:val="auto"/>
                      <w:kern w:val="0"/>
                      <w:sz w:val="21"/>
                      <w:szCs w:val="21"/>
                      <w:highlight w:val="none"/>
                      <w:lang w:val="en-US" w:bidi="ar-SA"/>
                    </w:rPr>
                  </m:ctrlPr>
                </m:radPr>
                <m:deg>
                  <m:ctrlPr>
                    <w:rPr>
                      <w:rFonts w:hint="default" w:ascii="DejaVu Math TeX Gyre" w:hAnsi="DejaVu Math TeX Gyre" w:cs="宋体"/>
                      <w:i/>
                      <w:snapToGrid w:val="0"/>
                      <w:color w:val="auto"/>
                      <w:kern w:val="0"/>
                      <w:sz w:val="21"/>
                      <w:szCs w:val="21"/>
                      <w:highlight w:val="none"/>
                      <w:lang w:val="en-US" w:bidi="ar-SA"/>
                    </w:rPr>
                  </m:ctrlPr>
                </m:deg>
                <m:e>
                  <m:r>
                    <m:rPr/>
                    <w:rPr>
                      <w:rFonts w:hint="default" w:ascii="DejaVu Math TeX Gyre" w:hAnsi="DejaVu Math TeX Gyre" w:cs="宋体"/>
                      <w:snapToGrid w:val="0"/>
                      <w:color w:val="auto"/>
                      <w:kern w:val="0"/>
                      <w:sz w:val="21"/>
                      <w:szCs w:val="21"/>
                      <w:highlight w:val="none"/>
                      <w:lang w:val="en-US" w:eastAsia="zh-CN" w:bidi="ar-SA"/>
                    </w:rPr>
                    <m:t>3</m:t>
                  </m:r>
                  <m:ctrlPr>
                    <w:rPr>
                      <w:rFonts w:hint="default" w:ascii="DejaVu Math TeX Gyre" w:hAnsi="DejaVu Math TeX Gyre" w:cs="宋体"/>
                      <w:i/>
                      <w:snapToGrid w:val="0"/>
                      <w:color w:val="auto"/>
                      <w:kern w:val="0"/>
                      <w:sz w:val="21"/>
                      <w:szCs w:val="21"/>
                      <w:highlight w:val="none"/>
                      <w:lang w:val="en-US" w:bidi="ar-SA"/>
                    </w:rPr>
                  </m:ctrlPr>
                </m:e>
              </m:rad>
            </m:oMath>
            <w:r>
              <w:rPr>
                <w:rFonts w:hint="eastAsia" w:ascii="宋体" w:hAnsi="宋体" w:eastAsia="宋体" w:cs="宋体"/>
                <w:snapToGrid w:val="0"/>
                <w:color w:val="auto"/>
                <w:kern w:val="0"/>
                <w:sz w:val="21"/>
                <w:szCs w:val="21"/>
                <w:highlight w:val="none"/>
                <w:lang w:val="en-US" w:eastAsia="zh-CN" w:bidi="ar"/>
              </w:rPr>
              <w:t xml:space="preserve">kV/100/ </w:t>
            </w:r>
            <m:oMath>
              <m:rad>
                <m:radPr>
                  <m:degHide m:val="1"/>
                  <m:ctrlPr>
                    <w:rPr>
                      <w:rFonts w:hint="default" w:ascii="DejaVu Math TeX Gyre" w:hAnsi="DejaVu Math TeX Gyre" w:cs="宋体"/>
                      <w:i/>
                      <w:snapToGrid w:val="0"/>
                      <w:color w:val="auto"/>
                      <w:kern w:val="0"/>
                      <w:sz w:val="21"/>
                      <w:szCs w:val="21"/>
                      <w:highlight w:val="none"/>
                      <w:lang w:val="en-US" w:bidi="ar-SA"/>
                    </w:rPr>
                  </m:ctrlPr>
                </m:radPr>
                <m:deg>
                  <m:ctrlPr>
                    <w:rPr>
                      <w:rFonts w:hint="default" w:ascii="DejaVu Math TeX Gyre" w:hAnsi="DejaVu Math TeX Gyre" w:cs="宋体"/>
                      <w:i/>
                      <w:snapToGrid w:val="0"/>
                      <w:color w:val="auto"/>
                      <w:kern w:val="0"/>
                      <w:sz w:val="21"/>
                      <w:szCs w:val="21"/>
                      <w:highlight w:val="none"/>
                      <w:lang w:val="en-US" w:bidi="ar-SA"/>
                    </w:rPr>
                  </m:ctrlPr>
                </m:deg>
                <m:e>
                  <m:r>
                    <m:rPr/>
                    <w:rPr>
                      <w:rFonts w:hint="default" w:ascii="DejaVu Math TeX Gyre" w:hAnsi="DejaVu Math TeX Gyre" w:cs="宋体"/>
                      <w:snapToGrid w:val="0"/>
                      <w:color w:val="auto"/>
                      <w:kern w:val="0"/>
                      <w:sz w:val="21"/>
                      <w:szCs w:val="21"/>
                      <w:highlight w:val="none"/>
                      <w:lang w:val="en-US" w:eastAsia="zh-CN" w:bidi="ar-SA"/>
                    </w:rPr>
                    <m:t>3</m:t>
                  </m:r>
                  <m:ctrlPr>
                    <w:rPr>
                      <w:rFonts w:hint="default" w:ascii="DejaVu Math TeX Gyre" w:hAnsi="DejaVu Math TeX Gyre" w:cs="宋体"/>
                      <w:i/>
                      <w:snapToGrid w:val="0"/>
                      <w:color w:val="auto"/>
                      <w:kern w:val="0"/>
                      <w:sz w:val="21"/>
                      <w:szCs w:val="21"/>
                      <w:highlight w:val="none"/>
                      <w:lang w:val="en-US" w:bidi="ar-SA"/>
                    </w:rPr>
                  </m:ctrlPr>
                </m:e>
              </m:rad>
            </m:oMath>
            <w:r>
              <w:rPr>
                <w:rFonts w:hint="eastAsia" w:ascii="宋体" w:hAnsi="宋体" w:eastAsia="宋体" w:cs="宋体"/>
                <w:snapToGrid w:val="0"/>
                <w:color w:val="auto"/>
                <w:kern w:val="0"/>
                <w:sz w:val="21"/>
                <w:szCs w:val="21"/>
                <w:highlight w:val="none"/>
                <w:lang w:val="en-US" w:eastAsia="zh-CN" w:bidi="ar"/>
              </w:rPr>
              <w:t xml:space="preserve">V </w:t>
            </w:r>
          </w:p>
          <w:p w14:paraId="11B6E95F">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2kV/100V,  </w:t>
            </w:r>
            <m:oMath>
              <m:r>
                <m:rPr>
                  <m:sty m:val="p"/>
                </m:rPr>
                <w:rPr>
                  <w:rFonts w:hint="default" w:ascii="DejaVu Math TeX Gyre" w:hAnsi="宋体" w:eastAsia="宋体" w:cs="宋体"/>
                  <w:snapToGrid w:val="0"/>
                  <w:color w:val="auto"/>
                  <w:kern w:val="0"/>
                  <w:sz w:val="21"/>
                  <w:szCs w:val="21"/>
                  <w:highlight w:val="none"/>
                  <w:lang w:val="en-US" w:eastAsia="zh-CN" w:bidi="ar-SA"/>
                </w:rPr>
                <m:t>2/</m:t>
              </m:r>
              <m:rad>
                <m:radPr>
                  <m:degHide m:val="1"/>
                  <m:ctrlPr>
                    <w:rPr>
                      <w:rFonts w:hint="default" w:ascii="DejaVu Math TeX Gyre" w:hAnsi="DejaVu Math TeX Gyre" w:cs="宋体"/>
                      <w:i/>
                      <w:snapToGrid w:val="0"/>
                      <w:color w:val="auto"/>
                      <w:kern w:val="0"/>
                      <w:sz w:val="21"/>
                      <w:szCs w:val="21"/>
                      <w:highlight w:val="none"/>
                      <w:lang w:val="en-US" w:bidi="ar-SA"/>
                    </w:rPr>
                  </m:ctrlPr>
                </m:radPr>
                <m:deg>
                  <m:ctrlPr>
                    <w:rPr>
                      <w:rFonts w:hint="default" w:ascii="DejaVu Math TeX Gyre" w:hAnsi="DejaVu Math TeX Gyre" w:cs="宋体"/>
                      <w:i/>
                      <w:snapToGrid w:val="0"/>
                      <w:color w:val="auto"/>
                      <w:kern w:val="0"/>
                      <w:sz w:val="21"/>
                      <w:szCs w:val="21"/>
                      <w:highlight w:val="none"/>
                      <w:lang w:val="en-US" w:bidi="ar-SA"/>
                    </w:rPr>
                  </m:ctrlPr>
                </m:deg>
                <m:e>
                  <m:r>
                    <m:rPr/>
                    <w:rPr>
                      <w:rFonts w:hint="default" w:ascii="DejaVu Math TeX Gyre" w:hAnsi="DejaVu Math TeX Gyre" w:cs="宋体"/>
                      <w:snapToGrid w:val="0"/>
                      <w:color w:val="auto"/>
                      <w:kern w:val="0"/>
                      <w:sz w:val="21"/>
                      <w:szCs w:val="21"/>
                      <w:highlight w:val="none"/>
                      <w:lang w:val="en-US" w:eastAsia="zh-CN" w:bidi="ar-SA"/>
                    </w:rPr>
                    <m:t>3</m:t>
                  </m:r>
                  <m:ctrlPr>
                    <w:rPr>
                      <w:rFonts w:hint="default" w:ascii="DejaVu Math TeX Gyre" w:hAnsi="DejaVu Math TeX Gyre" w:cs="宋体"/>
                      <w:i/>
                      <w:snapToGrid w:val="0"/>
                      <w:color w:val="auto"/>
                      <w:kern w:val="0"/>
                      <w:sz w:val="21"/>
                      <w:szCs w:val="21"/>
                      <w:highlight w:val="none"/>
                      <w:lang w:val="en-US" w:bidi="ar-SA"/>
                    </w:rPr>
                  </m:ctrlPr>
                </m:e>
              </m:rad>
            </m:oMath>
            <w:r>
              <w:rPr>
                <w:rFonts w:hint="eastAsia" w:ascii="宋体" w:hAnsi="宋体" w:eastAsia="宋体" w:cs="宋体"/>
                <w:snapToGrid w:val="0"/>
                <w:color w:val="auto"/>
                <w:kern w:val="0"/>
                <w:sz w:val="21"/>
                <w:szCs w:val="21"/>
                <w:highlight w:val="none"/>
                <w:lang w:val="en-US" w:eastAsia="zh-CN" w:bidi="ar"/>
              </w:rPr>
              <w:t xml:space="preserve">kV/100/ </w:t>
            </w:r>
            <m:oMath>
              <m:rad>
                <m:radPr>
                  <m:degHide m:val="1"/>
                  <m:ctrlPr>
                    <w:rPr>
                      <w:rFonts w:hint="default" w:ascii="DejaVu Math TeX Gyre" w:hAnsi="DejaVu Math TeX Gyre" w:cs="宋体"/>
                      <w:i/>
                      <w:snapToGrid w:val="0"/>
                      <w:color w:val="auto"/>
                      <w:kern w:val="0"/>
                      <w:sz w:val="21"/>
                      <w:szCs w:val="21"/>
                      <w:highlight w:val="none"/>
                      <w:lang w:val="en-US" w:bidi="ar-SA"/>
                    </w:rPr>
                  </m:ctrlPr>
                </m:radPr>
                <m:deg>
                  <m:ctrlPr>
                    <w:rPr>
                      <w:rFonts w:hint="default" w:ascii="DejaVu Math TeX Gyre" w:hAnsi="DejaVu Math TeX Gyre" w:cs="宋体"/>
                      <w:i/>
                      <w:snapToGrid w:val="0"/>
                      <w:color w:val="auto"/>
                      <w:kern w:val="0"/>
                      <w:sz w:val="21"/>
                      <w:szCs w:val="21"/>
                      <w:highlight w:val="none"/>
                      <w:lang w:val="en-US" w:bidi="ar-SA"/>
                    </w:rPr>
                  </m:ctrlPr>
                </m:deg>
                <m:e>
                  <m:r>
                    <m:rPr/>
                    <w:rPr>
                      <w:rFonts w:hint="default" w:ascii="DejaVu Math TeX Gyre" w:hAnsi="DejaVu Math TeX Gyre" w:cs="宋体"/>
                      <w:snapToGrid w:val="0"/>
                      <w:color w:val="auto"/>
                      <w:kern w:val="0"/>
                      <w:sz w:val="21"/>
                      <w:szCs w:val="21"/>
                      <w:highlight w:val="none"/>
                      <w:lang w:val="en-US" w:eastAsia="zh-CN" w:bidi="ar-SA"/>
                    </w:rPr>
                    <m:t>3</m:t>
                  </m:r>
                  <m:ctrlPr>
                    <w:rPr>
                      <w:rFonts w:hint="default" w:ascii="DejaVu Math TeX Gyre" w:hAnsi="DejaVu Math TeX Gyre" w:cs="宋体"/>
                      <w:i/>
                      <w:snapToGrid w:val="0"/>
                      <w:color w:val="auto"/>
                      <w:kern w:val="0"/>
                      <w:sz w:val="21"/>
                      <w:szCs w:val="21"/>
                      <w:highlight w:val="none"/>
                      <w:lang w:val="en-US" w:bidi="ar-SA"/>
                    </w:rPr>
                  </m:ctrlPr>
                </m:e>
              </m:rad>
            </m:oMath>
            <w:r>
              <w:rPr>
                <w:rFonts w:hint="eastAsia" w:ascii="宋体" w:hAnsi="宋体" w:eastAsia="宋体" w:cs="宋体"/>
                <w:snapToGrid w:val="0"/>
                <w:color w:val="auto"/>
                <w:kern w:val="0"/>
                <w:sz w:val="21"/>
                <w:szCs w:val="21"/>
                <w:highlight w:val="none"/>
                <w:lang w:val="en-US" w:eastAsia="zh-CN" w:bidi="ar"/>
              </w:rPr>
              <w:t xml:space="preserve">V </w:t>
            </w:r>
          </w:p>
          <w:p w14:paraId="0A28EC37">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3kV/100V,  </w:t>
            </w:r>
            <m:oMath>
              <m:r>
                <m:rPr>
                  <m:sty m:val="p"/>
                </m:rPr>
                <w:rPr>
                  <w:rFonts w:hint="default" w:ascii="DejaVu Math TeX Gyre" w:hAnsi="宋体" w:eastAsia="宋体" w:cs="宋体"/>
                  <w:snapToGrid w:val="0"/>
                  <w:color w:val="auto"/>
                  <w:kern w:val="0"/>
                  <w:sz w:val="21"/>
                  <w:szCs w:val="21"/>
                  <w:highlight w:val="none"/>
                  <w:lang w:val="en-US" w:eastAsia="zh-CN" w:bidi="ar-SA"/>
                </w:rPr>
                <m:t>3/</m:t>
              </m:r>
              <m:rad>
                <m:radPr>
                  <m:degHide m:val="1"/>
                  <m:ctrlPr>
                    <w:rPr>
                      <w:rFonts w:hint="default" w:ascii="DejaVu Math TeX Gyre" w:hAnsi="DejaVu Math TeX Gyre" w:cs="宋体"/>
                      <w:i/>
                      <w:snapToGrid w:val="0"/>
                      <w:color w:val="auto"/>
                      <w:kern w:val="0"/>
                      <w:sz w:val="21"/>
                      <w:szCs w:val="21"/>
                      <w:highlight w:val="none"/>
                      <w:lang w:val="en-US" w:bidi="ar-SA"/>
                    </w:rPr>
                  </m:ctrlPr>
                </m:radPr>
                <m:deg>
                  <m:ctrlPr>
                    <w:rPr>
                      <w:rFonts w:hint="default" w:ascii="DejaVu Math TeX Gyre" w:hAnsi="DejaVu Math TeX Gyre" w:cs="宋体"/>
                      <w:i/>
                      <w:snapToGrid w:val="0"/>
                      <w:color w:val="auto"/>
                      <w:kern w:val="0"/>
                      <w:sz w:val="21"/>
                      <w:szCs w:val="21"/>
                      <w:highlight w:val="none"/>
                      <w:lang w:val="en-US" w:bidi="ar-SA"/>
                    </w:rPr>
                  </m:ctrlPr>
                </m:deg>
                <m:e>
                  <m:r>
                    <m:rPr/>
                    <w:rPr>
                      <w:rFonts w:hint="default" w:ascii="DejaVu Math TeX Gyre" w:hAnsi="DejaVu Math TeX Gyre" w:cs="宋体"/>
                      <w:snapToGrid w:val="0"/>
                      <w:color w:val="auto"/>
                      <w:kern w:val="0"/>
                      <w:sz w:val="21"/>
                      <w:szCs w:val="21"/>
                      <w:highlight w:val="none"/>
                      <w:lang w:val="en-US" w:eastAsia="zh-CN" w:bidi="ar-SA"/>
                    </w:rPr>
                    <m:t>3</m:t>
                  </m:r>
                  <m:ctrlPr>
                    <w:rPr>
                      <w:rFonts w:hint="default" w:ascii="DejaVu Math TeX Gyre" w:hAnsi="DejaVu Math TeX Gyre" w:cs="宋体"/>
                      <w:i/>
                      <w:snapToGrid w:val="0"/>
                      <w:color w:val="auto"/>
                      <w:kern w:val="0"/>
                      <w:sz w:val="21"/>
                      <w:szCs w:val="21"/>
                      <w:highlight w:val="none"/>
                      <w:lang w:val="en-US" w:bidi="ar-SA"/>
                    </w:rPr>
                  </m:ctrlPr>
                </m:e>
              </m:rad>
            </m:oMath>
            <w:r>
              <w:rPr>
                <w:rFonts w:hint="eastAsia" w:ascii="宋体" w:hAnsi="宋体" w:eastAsia="宋体" w:cs="宋体"/>
                <w:snapToGrid w:val="0"/>
                <w:color w:val="auto"/>
                <w:kern w:val="0"/>
                <w:sz w:val="21"/>
                <w:szCs w:val="21"/>
                <w:highlight w:val="none"/>
                <w:lang w:val="en-US" w:eastAsia="zh-CN" w:bidi="ar"/>
              </w:rPr>
              <w:t xml:space="preserve">kV/100/ </w:t>
            </w:r>
            <m:oMath>
              <m:rad>
                <m:radPr>
                  <m:degHide m:val="1"/>
                  <m:ctrlPr>
                    <w:rPr>
                      <w:rFonts w:hint="default" w:ascii="DejaVu Math TeX Gyre" w:hAnsi="DejaVu Math TeX Gyre" w:cs="宋体"/>
                      <w:i/>
                      <w:snapToGrid w:val="0"/>
                      <w:color w:val="auto"/>
                      <w:kern w:val="0"/>
                      <w:sz w:val="21"/>
                      <w:szCs w:val="21"/>
                      <w:highlight w:val="none"/>
                      <w:lang w:val="en-US" w:bidi="ar-SA"/>
                    </w:rPr>
                  </m:ctrlPr>
                </m:radPr>
                <m:deg>
                  <m:ctrlPr>
                    <w:rPr>
                      <w:rFonts w:hint="default" w:ascii="DejaVu Math TeX Gyre" w:hAnsi="DejaVu Math TeX Gyre" w:cs="宋体"/>
                      <w:i/>
                      <w:snapToGrid w:val="0"/>
                      <w:color w:val="auto"/>
                      <w:kern w:val="0"/>
                      <w:sz w:val="21"/>
                      <w:szCs w:val="21"/>
                      <w:highlight w:val="none"/>
                      <w:lang w:val="en-US" w:bidi="ar-SA"/>
                    </w:rPr>
                  </m:ctrlPr>
                </m:deg>
                <m:e>
                  <m:r>
                    <m:rPr/>
                    <w:rPr>
                      <w:rFonts w:hint="default" w:ascii="DejaVu Math TeX Gyre" w:hAnsi="DejaVu Math TeX Gyre" w:cs="宋体"/>
                      <w:snapToGrid w:val="0"/>
                      <w:color w:val="auto"/>
                      <w:kern w:val="0"/>
                      <w:sz w:val="21"/>
                      <w:szCs w:val="21"/>
                      <w:highlight w:val="none"/>
                      <w:lang w:val="en-US" w:eastAsia="zh-CN" w:bidi="ar-SA"/>
                    </w:rPr>
                    <m:t>3</m:t>
                  </m:r>
                  <m:ctrlPr>
                    <w:rPr>
                      <w:rFonts w:hint="default" w:ascii="DejaVu Math TeX Gyre" w:hAnsi="DejaVu Math TeX Gyre" w:cs="宋体"/>
                      <w:i/>
                      <w:snapToGrid w:val="0"/>
                      <w:color w:val="auto"/>
                      <w:kern w:val="0"/>
                      <w:sz w:val="21"/>
                      <w:szCs w:val="21"/>
                      <w:highlight w:val="none"/>
                      <w:lang w:val="en-US" w:bidi="ar-SA"/>
                    </w:rPr>
                  </m:ctrlPr>
                </m:e>
              </m:rad>
            </m:oMath>
            <w:r>
              <w:rPr>
                <w:rFonts w:hint="eastAsia" w:ascii="宋体" w:hAnsi="宋体" w:eastAsia="宋体" w:cs="宋体"/>
                <w:snapToGrid w:val="0"/>
                <w:color w:val="auto"/>
                <w:kern w:val="0"/>
                <w:sz w:val="21"/>
                <w:szCs w:val="21"/>
                <w:highlight w:val="none"/>
                <w:lang w:val="en-US" w:eastAsia="zh-CN" w:bidi="ar"/>
              </w:rPr>
              <w:t xml:space="preserve">V </w:t>
            </w:r>
          </w:p>
          <w:p w14:paraId="0FD2633D">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5kV/100V,  </w:t>
            </w:r>
            <m:oMath>
              <m:r>
                <m:rPr>
                  <m:sty m:val="p"/>
                </m:rPr>
                <w:rPr>
                  <w:rFonts w:hint="default" w:ascii="DejaVu Math TeX Gyre" w:hAnsi="宋体" w:eastAsia="宋体" w:cs="宋体"/>
                  <w:snapToGrid w:val="0"/>
                  <w:color w:val="auto"/>
                  <w:kern w:val="0"/>
                  <w:sz w:val="21"/>
                  <w:szCs w:val="21"/>
                  <w:highlight w:val="none"/>
                  <w:lang w:val="en-US" w:eastAsia="zh-CN" w:bidi="ar-SA"/>
                </w:rPr>
                <m:t>5/</m:t>
              </m:r>
              <m:rad>
                <m:radPr>
                  <m:degHide m:val="1"/>
                  <m:ctrlPr>
                    <w:rPr>
                      <w:rFonts w:hint="default" w:ascii="DejaVu Math TeX Gyre" w:hAnsi="DejaVu Math TeX Gyre" w:cs="宋体"/>
                      <w:i/>
                      <w:snapToGrid w:val="0"/>
                      <w:color w:val="auto"/>
                      <w:kern w:val="0"/>
                      <w:sz w:val="21"/>
                      <w:szCs w:val="21"/>
                      <w:highlight w:val="none"/>
                      <w:lang w:val="en-US" w:bidi="ar-SA"/>
                    </w:rPr>
                  </m:ctrlPr>
                </m:radPr>
                <m:deg>
                  <m:ctrlPr>
                    <w:rPr>
                      <w:rFonts w:hint="default" w:ascii="DejaVu Math TeX Gyre" w:hAnsi="DejaVu Math TeX Gyre" w:cs="宋体"/>
                      <w:i/>
                      <w:snapToGrid w:val="0"/>
                      <w:color w:val="auto"/>
                      <w:kern w:val="0"/>
                      <w:sz w:val="21"/>
                      <w:szCs w:val="21"/>
                      <w:highlight w:val="none"/>
                      <w:lang w:val="en-US" w:bidi="ar-SA"/>
                    </w:rPr>
                  </m:ctrlPr>
                </m:deg>
                <m:e>
                  <m:r>
                    <m:rPr/>
                    <w:rPr>
                      <w:rFonts w:hint="default" w:ascii="DejaVu Math TeX Gyre" w:hAnsi="DejaVu Math TeX Gyre" w:cs="宋体"/>
                      <w:snapToGrid w:val="0"/>
                      <w:color w:val="auto"/>
                      <w:kern w:val="0"/>
                      <w:sz w:val="21"/>
                      <w:szCs w:val="21"/>
                      <w:highlight w:val="none"/>
                      <w:lang w:val="en-US" w:eastAsia="zh-CN" w:bidi="ar-SA"/>
                    </w:rPr>
                    <m:t>3</m:t>
                  </m:r>
                  <m:ctrlPr>
                    <w:rPr>
                      <w:rFonts w:hint="default" w:ascii="DejaVu Math TeX Gyre" w:hAnsi="DejaVu Math TeX Gyre" w:cs="宋体"/>
                      <w:i/>
                      <w:snapToGrid w:val="0"/>
                      <w:color w:val="auto"/>
                      <w:kern w:val="0"/>
                      <w:sz w:val="21"/>
                      <w:szCs w:val="21"/>
                      <w:highlight w:val="none"/>
                      <w:lang w:val="en-US" w:bidi="ar-SA"/>
                    </w:rPr>
                  </m:ctrlPr>
                </m:e>
              </m:rad>
            </m:oMath>
            <w:r>
              <w:rPr>
                <w:rFonts w:hint="eastAsia" w:ascii="宋体" w:hAnsi="宋体" w:eastAsia="宋体" w:cs="宋体"/>
                <w:snapToGrid w:val="0"/>
                <w:color w:val="auto"/>
                <w:kern w:val="0"/>
                <w:sz w:val="21"/>
                <w:szCs w:val="21"/>
                <w:highlight w:val="none"/>
                <w:lang w:val="en-US" w:eastAsia="zh-CN" w:bidi="ar"/>
              </w:rPr>
              <w:t xml:space="preserve">kV/100/ </w:t>
            </w:r>
            <m:oMath>
              <m:rad>
                <m:radPr>
                  <m:degHide m:val="1"/>
                  <m:ctrlPr>
                    <w:rPr>
                      <w:rFonts w:hint="default" w:ascii="DejaVu Math TeX Gyre" w:hAnsi="DejaVu Math TeX Gyre" w:cs="宋体"/>
                      <w:i/>
                      <w:snapToGrid w:val="0"/>
                      <w:color w:val="auto"/>
                      <w:kern w:val="0"/>
                      <w:sz w:val="21"/>
                      <w:szCs w:val="21"/>
                      <w:highlight w:val="none"/>
                      <w:lang w:val="en-US" w:bidi="ar-SA"/>
                    </w:rPr>
                  </m:ctrlPr>
                </m:radPr>
                <m:deg>
                  <m:ctrlPr>
                    <w:rPr>
                      <w:rFonts w:hint="default" w:ascii="DejaVu Math TeX Gyre" w:hAnsi="DejaVu Math TeX Gyre" w:cs="宋体"/>
                      <w:i/>
                      <w:snapToGrid w:val="0"/>
                      <w:color w:val="auto"/>
                      <w:kern w:val="0"/>
                      <w:sz w:val="21"/>
                      <w:szCs w:val="21"/>
                      <w:highlight w:val="none"/>
                      <w:lang w:val="en-US" w:bidi="ar-SA"/>
                    </w:rPr>
                  </m:ctrlPr>
                </m:deg>
                <m:e>
                  <m:r>
                    <m:rPr/>
                    <w:rPr>
                      <w:rFonts w:hint="default" w:ascii="DejaVu Math TeX Gyre" w:hAnsi="DejaVu Math TeX Gyre" w:cs="宋体"/>
                      <w:snapToGrid w:val="0"/>
                      <w:color w:val="auto"/>
                      <w:kern w:val="0"/>
                      <w:sz w:val="21"/>
                      <w:szCs w:val="21"/>
                      <w:highlight w:val="none"/>
                      <w:lang w:val="en-US" w:eastAsia="zh-CN" w:bidi="ar-SA"/>
                    </w:rPr>
                    <m:t>3</m:t>
                  </m:r>
                  <m:ctrlPr>
                    <w:rPr>
                      <w:rFonts w:hint="default" w:ascii="DejaVu Math TeX Gyre" w:hAnsi="DejaVu Math TeX Gyre" w:cs="宋体"/>
                      <w:i/>
                      <w:snapToGrid w:val="0"/>
                      <w:color w:val="auto"/>
                      <w:kern w:val="0"/>
                      <w:sz w:val="21"/>
                      <w:szCs w:val="21"/>
                      <w:highlight w:val="none"/>
                      <w:lang w:val="en-US" w:bidi="ar-SA"/>
                    </w:rPr>
                  </m:ctrlPr>
                </m:e>
              </m:rad>
            </m:oMath>
            <w:r>
              <w:rPr>
                <w:rFonts w:hint="eastAsia" w:ascii="宋体" w:hAnsi="宋体" w:eastAsia="宋体" w:cs="宋体"/>
                <w:snapToGrid w:val="0"/>
                <w:color w:val="auto"/>
                <w:kern w:val="0"/>
                <w:sz w:val="21"/>
                <w:szCs w:val="21"/>
                <w:highlight w:val="none"/>
                <w:lang w:val="en-US" w:eastAsia="zh-CN" w:bidi="ar"/>
              </w:rPr>
              <w:t xml:space="preserve">V </w:t>
            </w:r>
          </w:p>
          <w:p w14:paraId="19E6C6CD">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6kV/100V,  </w:t>
            </w:r>
            <m:oMath>
              <m:r>
                <m:rPr>
                  <m:sty m:val="p"/>
                </m:rPr>
                <w:rPr>
                  <w:rFonts w:hint="default" w:ascii="DejaVu Math TeX Gyre" w:hAnsi="宋体" w:eastAsia="宋体" w:cs="宋体"/>
                  <w:snapToGrid w:val="0"/>
                  <w:color w:val="auto"/>
                  <w:kern w:val="0"/>
                  <w:sz w:val="21"/>
                  <w:szCs w:val="21"/>
                  <w:highlight w:val="none"/>
                  <w:lang w:val="en-US" w:eastAsia="zh-CN" w:bidi="ar-SA"/>
                </w:rPr>
                <m:t>6/</m:t>
              </m:r>
              <m:rad>
                <m:radPr>
                  <m:degHide m:val="1"/>
                  <m:ctrlPr>
                    <w:rPr>
                      <w:rFonts w:hint="default" w:ascii="DejaVu Math TeX Gyre" w:hAnsi="DejaVu Math TeX Gyre" w:cs="宋体"/>
                      <w:i/>
                      <w:snapToGrid w:val="0"/>
                      <w:color w:val="auto"/>
                      <w:kern w:val="0"/>
                      <w:sz w:val="21"/>
                      <w:szCs w:val="21"/>
                      <w:highlight w:val="none"/>
                      <w:lang w:val="en-US" w:bidi="ar-SA"/>
                    </w:rPr>
                  </m:ctrlPr>
                </m:radPr>
                <m:deg>
                  <m:ctrlPr>
                    <w:rPr>
                      <w:rFonts w:hint="default" w:ascii="DejaVu Math TeX Gyre" w:hAnsi="DejaVu Math TeX Gyre" w:cs="宋体"/>
                      <w:i/>
                      <w:snapToGrid w:val="0"/>
                      <w:color w:val="auto"/>
                      <w:kern w:val="0"/>
                      <w:sz w:val="21"/>
                      <w:szCs w:val="21"/>
                      <w:highlight w:val="none"/>
                      <w:lang w:val="en-US" w:bidi="ar-SA"/>
                    </w:rPr>
                  </m:ctrlPr>
                </m:deg>
                <m:e>
                  <m:r>
                    <m:rPr/>
                    <w:rPr>
                      <w:rFonts w:hint="default" w:ascii="DejaVu Math TeX Gyre" w:hAnsi="DejaVu Math TeX Gyre" w:cs="宋体"/>
                      <w:snapToGrid w:val="0"/>
                      <w:color w:val="auto"/>
                      <w:kern w:val="0"/>
                      <w:sz w:val="21"/>
                      <w:szCs w:val="21"/>
                      <w:highlight w:val="none"/>
                      <w:lang w:val="en-US" w:eastAsia="zh-CN" w:bidi="ar-SA"/>
                    </w:rPr>
                    <m:t>3</m:t>
                  </m:r>
                  <m:ctrlPr>
                    <w:rPr>
                      <w:rFonts w:hint="default" w:ascii="DejaVu Math TeX Gyre" w:hAnsi="DejaVu Math TeX Gyre" w:cs="宋体"/>
                      <w:i/>
                      <w:snapToGrid w:val="0"/>
                      <w:color w:val="auto"/>
                      <w:kern w:val="0"/>
                      <w:sz w:val="21"/>
                      <w:szCs w:val="21"/>
                      <w:highlight w:val="none"/>
                      <w:lang w:val="en-US" w:bidi="ar-SA"/>
                    </w:rPr>
                  </m:ctrlPr>
                </m:e>
              </m:rad>
            </m:oMath>
            <w:r>
              <w:rPr>
                <w:rFonts w:hint="eastAsia" w:ascii="宋体" w:hAnsi="宋体" w:eastAsia="宋体" w:cs="宋体"/>
                <w:snapToGrid w:val="0"/>
                <w:color w:val="auto"/>
                <w:kern w:val="0"/>
                <w:sz w:val="21"/>
                <w:szCs w:val="21"/>
                <w:highlight w:val="none"/>
                <w:lang w:val="en-US" w:eastAsia="zh-CN" w:bidi="ar"/>
              </w:rPr>
              <w:t xml:space="preserve">kV/100/ </w:t>
            </w:r>
            <m:oMath>
              <m:rad>
                <m:radPr>
                  <m:degHide m:val="1"/>
                  <m:ctrlPr>
                    <w:rPr>
                      <w:rFonts w:hint="default" w:ascii="DejaVu Math TeX Gyre" w:hAnsi="DejaVu Math TeX Gyre" w:cs="宋体"/>
                      <w:i/>
                      <w:snapToGrid w:val="0"/>
                      <w:color w:val="auto"/>
                      <w:kern w:val="0"/>
                      <w:sz w:val="21"/>
                      <w:szCs w:val="21"/>
                      <w:highlight w:val="none"/>
                      <w:lang w:val="en-US" w:bidi="ar-SA"/>
                    </w:rPr>
                  </m:ctrlPr>
                </m:radPr>
                <m:deg>
                  <m:ctrlPr>
                    <w:rPr>
                      <w:rFonts w:hint="default" w:ascii="DejaVu Math TeX Gyre" w:hAnsi="DejaVu Math TeX Gyre" w:cs="宋体"/>
                      <w:i/>
                      <w:snapToGrid w:val="0"/>
                      <w:color w:val="auto"/>
                      <w:kern w:val="0"/>
                      <w:sz w:val="21"/>
                      <w:szCs w:val="21"/>
                      <w:highlight w:val="none"/>
                      <w:lang w:val="en-US" w:bidi="ar-SA"/>
                    </w:rPr>
                  </m:ctrlPr>
                </m:deg>
                <m:e>
                  <m:r>
                    <m:rPr/>
                    <w:rPr>
                      <w:rFonts w:hint="default" w:ascii="DejaVu Math TeX Gyre" w:hAnsi="DejaVu Math TeX Gyre" w:cs="宋体"/>
                      <w:snapToGrid w:val="0"/>
                      <w:color w:val="auto"/>
                      <w:kern w:val="0"/>
                      <w:sz w:val="21"/>
                      <w:szCs w:val="21"/>
                      <w:highlight w:val="none"/>
                      <w:lang w:val="en-US" w:eastAsia="zh-CN" w:bidi="ar-SA"/>
                    </w:rPr>
                    <m:t>3</m:t>
                  </m:r>
                  <m:ctrlPr>
                    <w:rPr>
                      <w:rFonts w:hint="default" w:ascii="DejaVu Math TeX Gyre" w:hAnsi="DejaVu Math TeX Gyre" w:cs="宋体"/>
                      <w:i/>
                      <w:snapToGrid w:val="0"/>
                      <w:color w:val="auto"/>
                      <w:kern w:val="0"/>
                      <w:sz w:val="21"/>
                      <w:szCs w:val="21"/>
                      <w:highlight w:val="none"/>
                      <w:lang w:val="en-US" w:bidi="ar-SA"/>
                    </w:rPr>
                  </m:ctrlPr>
                </m:e>
              </m:rad>
            </m:oMath>
            <w:r>
              <w:rPr>
                <w:rFonts w:hint="eastAsia" w:ascii="宋体" w:hAnsi="宋体" w:eastAsia="宋体" w:cs="宋体"/>
                <w:snapToGrid w:val="0"/>
                <w:color w:val="auto"/>
                <w:kern w:val="0"/>
                <w:sz w:val="21"/>
                <w:szCs w:val="21"/>
                <w:highlight w:val="none"/>
                <w:lang w:val="en-US" w:eastAsia="zh-CN" w:bidi="ar"/>
              </w:rPr>
              <w:t xml:space="preserve">V </w:t>
            </w:r>
          </w:p>
          <w:p w14:paraId="16E76812">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10kV/100V,  </w:t>
            </w:r>
            <m:oMath>
              <m:r>
                <m:rPr>
                  <m:sty m:val="p"/>
                </m:rPr>
                <w:rPr>
                  <w:rFonts w:hint="default" w:ascii="DejaVu Math TeX Gyre" w:hAnsi="宋体" w:eastAsia="宋体" w:cs="宋体"/>
                  <w:snapToGrid w:val="0"/>
                  <w:color w:val="auto"/>
                  <w:kern w:val="0"/>
                  <w:sz w:val="21"/>
                  <w:szCs w:val="21"/>
                  <w:highlight w:val="none"/>
                  <w:lang w:val="en-US" w:eastAsia="zh-CN" w:bidi="ar-SA"/>
                </w:rPr>
                <m:t>10/</m:t>
              </m:r>
              <m:rad>
                <m:radPr>
                  <m:degHide m:val="1"/>
                  <m:ctrlPr>
                    <w:rPr>
                      <w:rFonts w:hint="default" w:ascii="DejaVu Math TeX Gyre" w:hAnsi="DejaVu Math TeX Gyre" w:cs="宋体"/>
                      <w:i/>
                      <w:snapToGrid w:val="0"/>
                      <w:color w:val="auto"/>
                      <w:kern w:val="0"/>
                      <w:sz w:val="21"/>
                      <w:szCs w:val="21"/>
                      <w:highlight w:val="none"/>
                      <w:lang w:val="en-US" w:bidi="ar-SA"/>
                    </w:rPr>
                  </m:ctrlPr>
                </m:radPr>
                <m:deg>
                  <m:ctrlPr>
                    <w:rPr>
                      <w:rFonts w:hint="default" w:ascii="DejaVu Math TeX Gyre" w:hAnsi="DejaVu Math TeX Gyre" w:cs="宋体"/>
                      <w:i/>
                      <w:snapToGrid w:val="0"/>
                      <w:color w:val="auto"/>
                      <w:kern w:val="0"/>
                      <w:sz w:val="21"/>
                      <w:szCs w:val="21"/>
                      <w:highlight w:val="none"/>
                      <w:lang w:val="en-US" w:bidi="ar-SA"/>
                    </w:rPr>
                  </m:ctrlPr>
                </m:deg>
                <m:e>
                  <m:r>
                    <m:rPr/>
                    <w:rPr>
                      <w:rFonts w:hint="default" w:ascii="DejaVu Math TeX Gyre" w:hAnsi="DejaVu Math TeX Gyre" w:cs="宋体"/>
                      <w:snapToGrid w:val="0"/>
                      <w:color w:val="auto"/>
                      <w:kern w:val="0"/>
                      <w:sz w:val="21"/>
                      <w:szCs w:val="21"/>
                      <w:highlight w:val="none"/>
                      <w:lang w:val="en-US" w:eastAsia="zh-CN" w:bidi="ar-SA"/>
                    </w:rPr>
                    <m:t>3</m:t>
                  </m:r>
                  <m:ctrlPr>
                    <w:rPr>
                      <w:rFonts w:hint="default" w:ascii="DejaVu Math TeX Gyre" w:hAnsi="DejaVu Math TeX Gyre" w:cs="宋体"/>
                      <w:i/>
                      <w:snapToGrid w:val="0"/>
                      <w:color w:val="auto"/>
                      <w:kern w:val="0"/>
                      <w:sz w:val="21"/>
                      <w:szCs w:val="21"/>
                      <w:highlight w:val="none"/>
                      <w:lang w:val="en-US" w:bidi="ar-SA"/>
                    </w:rPr>
                  </m:ctrlPr>
                </m:e>
              </m:rad>
            </m:oMath>
            <w:r>
              <w:rPr>
                <w:rFonts w:hint="eastAsia" w:ascii="宋体" w:hAnsi="宋体" w:eastAsia="宋体" w:cs="宋体"/>
                <w:snapToGrid w:val="0"/>
                <w:color w:val="auto"/>
                <w:kern w:val="0"/>
                <w:sz w:val="21"/>
                <w:szCs w:val="21"/>
                <w:highlight w:val="none"/>
                <w:lang w:val="en-US" w:eastAsia="zh-CN" w:bidi="ar"/>
              </w:rPr>
              <w:t xml:space="preserve">kV/100/ </w:t>
            </w:r>
            <m:oMath>
              <m:rad>
                <m:radPr>
                  <m:degHide m:val="1"/>
                  <m:ctrlPr>
                    <w:rPr>
                      <w:rFonts w:hint="default" w:ascii="DejaVu Math TeX Gyre" w:hAnsi="DejaVu Math TeX Gyre" w:cs="宋体"/>
                      <w:i/>
                      <w:snapToGrid w:val="0"/>
                      <w:color w:val="auto"/>
                      <w:kern w:val="0"/>
                      <w:sz w:val="21"/>
                      <w:szCs w:val="21"/>
                      <w:highlight w:val="none"/>
                      <w:lang w:val="en-US" w:bidi="ar-SA"/>
                    </w:rPr>
                  </m:ctrlPr>
                </m:radPr>
                <m:deg>
                  <m:ctrlPr>
                    <w:rPr>
                      <w:rFonts w:hint="default" w:ascii="DejaVu Math TeX Gyre" w:hAnsi="DejaVu Math TeX Gyre" w:cs="宋体"/>
                      <w:i/>
                      <w:snapToGrid w:val="0"/>
                      <w:color w:val="auto"/>
                      <w:kern w:val="0"/>
                      <w:sz w:val="21"/>
                      <w:szCs w:val="21"/>
                      <w:highlight w:val="none"/>
                      <w:lang w:val="en-US" w:bidi="ar-SA"/>
                    </w:rPr>
                  </m:ctrlPr>
                </m:deg>
                <m:e>
                  <m:r>
                    <m:rPr/>
                    <w:rPr>
                      <w:rFonts w:hint="default" w:ascii="DejaVu Math TeX Gyre" w:hAnsi="DejaVu Math TeX Gyre" w:cs="宋体"/>
                      <w:snapToGrid w:val="0"/>
                      <w:color w:val="auto"/>
                      <w:kern w:val="0"/>
                      <w:sz w:val="21"/>
                      <w:szCs w:val="21"/>
                      <w:highlight w:val="none"/>
                      <w:lang w:val="en-US" w:eastAsia="zh-CN" w:bidi="ar-SA"/>
                    </w:rPr>
                    <m:t>3</m:t>
                  </m:r>
                  <m:ctrlPr>
                    <w:rPr>
                      <w:rFonts w:hint="default" w:ascii="DejaVu Math TeX Gyre" w:hAnsi="DejaVu Math TeX Gyre" w:cs="宋体"/>
                      <w:i/>
                      <w:snapToGrid w:val="0"/>
                      <w:color w:val="auto"/>
                      <w:kern w:val="0"/>
                      <w:sz w:val="21"/>
                      <w:szCs w:val="21"/>
                      <w:highlight w:val="none"/>
                      <w:lang w:val="en-US" w:bidi="ar-SA"/>
                    </w:rPr>
                  </m:ctrlPr>
                </m:e>
              </m:rad>
            </m:oMath>
            <w:r>
              <w:rPr>
                <w:rFonts w:hint="eastAsia" w:ascii="宋体" w:hAnsi="宋体" w:eastAsia="宋体" w:cs="宋体"/>
                <w:snapToGrid w:val="0"/>
                <w:color w:val="auto"/>
                <w:kern w:val="0"/>
                <w:sz w:val="21"/>
                <w:szCs w:val="21"/>
                <w:highlight w:val="none"/>
                <w:lang w:val="en-US" w:eastAsia="zh-CN" w:bidi="ar"/>
              </w:rPr>
              <w:t xml:space="preserve">V </w:t>
            </w:r>
          </w:p>
          <w:p w14:paraId="727E9252">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bidi="ar"/>
              </w:rPr>
              <w:t>★</w:t>
            </w:r>
            <w:r>
              <w:rPr>
                <w:rFonts w:hint="eastAsia" w:ascii="宋体" w:hAnsi="宋体" w:eastAsia="宋体" w:cs="宋体"/>
                <w:snapToGrid w:val="0"/>
                <w:color w:val="auto"/>
                <w:kern w:val="0"/>
                <w:sz w:val="21"/>
                <w:szCs w:val="21"/>
                <w:highlight w:val="none"/>
                <w:lang w:val="en-US" w:eastAsia="zh-CN" w:bidi="ar"/>
              </w:rPr>
              <w:t>精度等级： 0.002 级 (U2n=100V, 100/</w:t>
            </w:r>
            <m:oMath>
              <m:rad>
                <m:radPr>
                  <m:degHide m:val="1"/>
                  <m:ctrlPr>
                    <w:rPr>
                      <w:rFonts w:hint="default" w:ascii="DejaVu Math TeX Gyre" w:hAnsi="DejaVu Math TeX Gyre" w:cs="宋体"/>
                      <w:i/>
                      <w:snapToGrid w:val="0"/>
                      <w:color w:val="auto"/>
                      <w:kern w:val="0"/>
                      <w:sz w:val="21"/>
                      <w:szCs w:val="21"/>
                      <w:highlight w:val="none"/>
                      <w:lang w:val="en-US" w:bidi="ar-SA"/>
                    </w:rPr>
                  </m:ctrlPr>
                </m:radPr>
                <m:deg>
                  <m:ctrlPr>
                    <w:rPr>
                      <w:rFonts w:hint="default" w:ascii="DejaVu Math TeX Gyre" w:hAnsi="DejaVu Math TeX Gyre" w:cs="宋体"/>
                      <w:i/>
                      <w:snapToGrid w:val="0"/>
                      <w:color w:val="auto"/>
                      <w:kern w:val="0"/>
                      <w:sz w:val="21"/>
                      <w:szCs w:val="21"/>
                      <w:highlight w:val="none"/>
                      <w:lang w:val="en-US" w:bidi="ar-SA"/>
                    </w:rPr>
                  </m:ctrlPr>
                </m:deg>
                <m:e>
                  <m:r>
                    <m:rPr/>
                    <w:rPr>
                      <w:rFonts w:hint="default" w:ascii="DejaVu Math TeX Gyre" w:hAnsi="DejaVu Math TeX Gyre" w:cs="宋体"/>
                      <w:snapToGrid w:val="0"/>
                      <w:color w:val="auto"/>
                      <w:kern w:val="0"/>
                      <w:sz w:val="21"/>
                      <w:szCs w:val="21"/>
                      <w:highlight w:val="none"/>
                      <w:lang w:val="en-US" w:eastAsia="zh-CN" w:bidi="ar-SA"/>
                    </w:rPr>
                    <m:t>3</m:t>
                  </m:r>
                  <m:ctrlPr>
                    <w:rPr>
                      <w:rFonts w:hint="default" w:ascii="DejaVu Math TeX Gyre" w:hAnsi="DejaVu Math TeX Gyre" w:cs="宋体"/>
                      <w:i/>
                      <w:snapToGrid w:val="0"/>
                      <w:color w:val="auto"/>
                      <w:kern w:val="0"/>
                      <w:sz w:val="21"/>
                      <w:szCs w:val="21"/>
                      <w:highlight w:val="none"/>
                      <w:lang w:val="en-US" w:bidi="ar-SA"/>
                    </w:rPr>
                  </m:ctrlPr>
                </m:e>
              </m:rad>
            </m:oMath>
            <w:r>
              <w:rPr>
                <w:rFonts w:hint="eastAsia" w:hAnsi="DejaVu Math TeX Gyre" w:cs="宋体"/>
                <w:i w:val="0"/>
                <w:snapToGrid w:val="0"/>
                <w:color w:val="auto"/>
                <w:kern w:val="0"/>
                <w:sz w:val="21"/>
                <w:szCs w:val="21"/>
                <w:highlight w:val="none"/>
                <w:lang w:val="en-US" w:eastAsia="zh-CN" w:bidi="ar"/>
              </w:rPr>
              <w:t xml:space="preserve"> </w:t>
            </w:r>
            <w:r>
              <w:rPr>
                <w:rFonts w:hint="eastAsia" w:ascii="宋体" w:hAnsi="宋体" w:eastAsia="宋体" w:cs="宋体"/>
                <w:snapToGrid w:val="0"/>
                <w:color w:val="auto"/>
                <w:kern w:val="0"/>
                <w:sz w:val="21"/>
                <w:szCs w:val="21"/>
                <w:highlight w:val="none"/>
                <w:lang w:val="en-US" w:eastAsia="zh-CN" w:bidi="ar"/>
              </w:rPr>
              <w:t xml:space="preserve">V) </w:t>
            </w:r>
          </w:p>
          <w:p w14:paraId="286F06E4">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二次容量： 0.2VA (U2n=100V), 0.07VA (U2n=100/</w:t>
            </w:r>
            <m:oMath>
              <m:rad>
                <m:radPr>
                  <m:degHide m:val="1"/>
                  <m:ctrlPr>
                    <w:rPr>
                      <w:rFonts w:hint="default" w:ascii="DejaVu Math TeX Gyre" w:hAnsi="DejaVu Math TeX Gyre" w:cs="宋体"/>
                      <w:i/>
                      <w:snapToGrid w:val="0"/>
                      <w:color w:val="auto"/>
                      <w:kern w:val="0"/>
                      <w:sz w:val="21"/>
                      <w:szCs w:val="21"/>
                      <w:highlight w:val="none"/>
                      <w:lang w:val="en-US" w:bidi="ar-SA"/>
                    </w:rPr>
                  </m:ctrlPr>
                </m:radPr>
                <m:deg>
                  <m:ctrlPr>
                    <w:rPr>
                      <w:rFonts w:hint="default" w:ascii="DejaVu Math TeX Gyre" w:hAnsi="DejaVu Math TeX Gyre" w:cs="宋体"/>
                      <w:i/>
                      <w:snapToGrid w:val="0"/>
                      <w:color w:val="auto"/>
                      <w:kern w:val="0"/>
                      <w:sz w:val="21"/>
                      <w:szCs w:val="21"/>
                      <w:highlight w:val="none"/>
                      <w:lang w:val="en-US" w:bidi="ar-SA"/>
                    </w:rPr>
                  </m:ctrlPr>
                </m:deg>
                <m:e>
                  <m:r>
                    <m:rPr/>
                    <w:rPr>
                      <w:rFonts w:hint="default" w:ascii="DejaVu Math TeX Gyre" w:hAnsi="DejaVu Math TeX Gyre" w:cs="宋体"/>
                      <w:snapToGrid w:val="0"/>
                      <w:color w:val="auto"/>
                      <w:kern w:val="0"/>
                      <w:sz w:val="21"/>
                      <w:szCs w:val="21"/>
                      <w:highlight w:val="none"/>
                      <w:lang w:val="en-US" w:eastAsia="zh-CN" w:bidi="ar-SA"/>
                    </w:rPr>
                    <m:t>3</m:t>
                  </m:r>
                  <m:ctrlPr>
                    <w:rPr>
                      <w:rFonts w:hint="default" w:ascii="DejaVu Math TeX Gyre" w:hAnsi="DejaVu Math TeX Gyre" w:cs="宋体"/>
                      <w:i/>
                      <w:snapToGrid w:val="0"/>
                      <w:color w:val="auto"/>
                      <w:kern w:val="0"/>
                      <w:sz w:val="21"/>
                      <w:szCs w:val="21"/>
                      <w:highlight w:val="none"/>
                      <w:lang w:val="en-US" w:bidi="ar-SA"/>
                    </w:rPr>
                  </m:ctrlPr>
                </m:e>
              </m:rad>
            </m:oMath>
            <w:r>
              <w:rPr>
                <w:rFonts w:hint="eastAsia" w:ascii="宋体" w:hAnsi="宋体" w:eastAsia="宋体" w:cs="宋体"/>
                <w:snapToGrid w:val="0"/>
                <w:color w:val="auto"/>
                <w:kern w:val="0"/>
                <w:sz w:val="21"/>
                <w:szCs w:val="21"/>
                <w:highlight w:val="none"/>
                <w:lang w:val="en-US" w:eastAsia="zh-CN" w:bidi="ar"/>
              </w:rPr>
              <w:t xml:space="preserve">V) </w:t>
            </w:r>
          </w:p>
          <w:p w14:paraId="6E13BD9C">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功率因数： COSΦ=1.0 </w:t>
            </w:r>
          </w:p>
          <w:p w14:paraId="39CAF0EC">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工作范围： (20%-120%). Un </w:t>
            </w:r>
          </w:p>
          <w:p w14:paraId="62CB4F35">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频率： 50Hz/60Hz </w:t>
            </w:r>
          </w:p>
          <w:p w14:paraId="6A0B7625">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产品结构： 双级结构 </w:t>
            </w:r>
          </w:p>
          <w:p w14:paraId="4AF349F0">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jc w:val="left"/>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绝缘方式： 干式绝缘</w:t>
            </w:r>
          </w:p>
        </w:tc>
      </w:tr>
      <w:tr w14:paraId="24D77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4" w:hRule="atLeast"/>
          <w:jc w:val="center"/>
        </w:trPr>
        <w:tc>
          <w:tcPr>
            <w:tcW w:w="757" w:type="dxa"/>
            <w:vAlign w:val="center"/>
          </w:tcPr>
          <w:p w14:paraId="3CAA681F">
            <w:pPr>
              <w:pStyle w:val="6"/>
              <w:pageBreakBefore w:val="0"/>
              <w:wordWrap/>
              <w:overflowPunct/>
              <w:topLinePunct w:val="0"/>
              <w:bidi w:val="0"/>
              <w:spacing w:beforeAutospacing="0" w:after="0" w:afterAutospacing="0" w:line="480" w:lineRule="exact"/>
              <w:ind w:left="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12</w:t>
            </w:r>
          </w:p>
        </w:tc>
        <w:tc>
          <w:tcPr>
            <w:tcW w:w="1605" w:type="dxa"/>
            <w:vAlign w:val="center"/>
          </w:tcPr>
          <w:p w14:paraId="1E590B07">
            <w:pPr>
              <w:pStyle w:val="6"/>
              <w:pageBreakBefore w:val="0"/>
              <w:wordWrap/>
              <w:overflowPunct/>
              <w:topLinePunct w:val="0"/>
              <w:bidi w:val="0"/>
              <w:spacing w:beforeAutospacing="0" w:after="0" w:afterAutospacing="0" w:line="480" w:lineRule="exact"/>
              <w:ind w:left="0" w:firstLine="0" w:firstLineChars="0"/>
              <w:rPr>
                <w:rFonts w:hint="eastAsia" w:ascii="宋体" w:hAnsi="宋体" w:eastAsia="宋体" w:cs="宋体"/>
                <w:color w:val="auto"/>
                <w:sz w:val="21"/>
                <w:szCs w:val="21"/>
                <w:highlight w:val="none"/>
                <w:lang w:eastAsia="zh-CN"/>
              </w:rPr>
            </w:pPr>
            <w:r>
              <w:rPr>
                <w:rStyle w:val="15"/>
                <w:rFonts w:hint="eastAsia" w:ascii="宋体" w:hAnsi="宋体" w:eastAsia="宋体" w:cs="宋体"/>
                <w:color w:val="auto"/>
                <w:sz w:val="21"/>
                <w:szCs w:val="21"/>
                <w:highlight w:val="none"/>
                <w:lang w:eastAsia="zh-CN" w:bidi="ar"/>
              </w:rPr>
              <w:t>三相标准功率电能表</w:t>
            </w:r>
          </w:p>
        </w:tc>
        <w:tc>
          <w:tcPr>
            <w:tcW w:w="12382" w:type="dxa"/>
          </w:tcPr>
          <w:p w14:paraId="042F7E35">
            <w:pPr>
              <w:pStyle w:val="16"/>
              <w:pageBreakBefore w:val="0"/>
              <w:numPr>
                <w:ilvl w:val="0"/>
                <w:numId w:val="0"/>
              </w:numPr>
              <w:wordWrap/>
              <w:overflowPunct/>
              <w:topLinePunct w:val="0"/>
              <w:autoSpaceDE/>
              <w:autoSpaceDN/>
              <w:bidi w:val="0"/>
              <w:snapToGrid w:val="0"/>
              <w:spacing w:beforeAutospacing="0" w:afterAutospacing="0" w:line="480" w:lineRule="exact"/>
              <w:ind w:left="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1、</w:t>
            </w:r>
            <w:r>
              <w:rPr>
                <w:rFonts w:hint="eastAsia" w:ascii="宋体" w:hAnsi="宋体" w:eastAsia="宋体" w:cs="宋体"/>
                <w:b/>
                <w:color w:val="auto"/>
                <w:sz w:val="21"/>
                <w:szCs w:val="21"/>
                <w:highlight w:val="none"/>
              </w:rPr>
              <w:t>用途及应用要求</w:t>
            </w:r>
          </w:p>
          <w:p w14:paraId="52F68A60">
            <w:pPr>
              <w:pStyle w:val="16"/>
              <w:pageBreakBefore w:val="0"/>
              <w:wordWrap/>
              <w:overflowPunct/>
              <w:topLinePunct w:val="0"/>
              <w:autoSpaceDE/>
              <w:autoSpaceDN/>
              <w:bidi w:val="0"/>
              <w:snapToGrid w:val="0"/>
              <w:spacing w:beforeAutospacing="0" w:afterAutospacing="0" w:line="480" w:lineRule="exact"/>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本产品为0.02级三相宽量程标准电能表，属于高精度电学计量标准设备，适用于电力系统、法定计量检定机构、电能表及相关电力设备生产企业，可作为量值传递标准开展电能误差校验、电参量精准测试等工作。</w:t>
            </w:r>
            <w:r>
              <w:rPr>
                <w:rFonts w:hint="eastAsia" w:ascii="宋体" w:hAnsi="宋体" w:eastAsia="宋体" w:cs="宋体"/>
                <w:color w:val="auto"/>
                <w:sz w:val="21"/>
                <w:szCs w:val="21"/>
                <w:highlight w:val="none"/>
                <w:lang w:eastAsia="zh-CN"/>
              </w:rPr>
              <w:t>符合</w:t>
            </w:r>
            <w:r>
              <w:rPr>
                <w:rFonts w:hint="eastAsia" w:ascii="宋体" w:hAnsi="宋体" w:eastAsia="宋体" w:cs="宋体"/>
                <w:color w:val="auto"/>
                <w:sz w:val="21"/>
                <w:szCs w:val="21"/>
                <w:highlight w:val="none"/>
              </w:rPr>
              <w:t>JJG 1085-2013《标准电能表》</w:t>
            </w:r>
            <w:r>
              <w:rPr>
                <w:rFonts w:hint="eastAsia" w:ascii="宋体" w:hAnsi="宋体" w:eastAsia="宋体" w:cs="宋体"/>
                <w:color w:val="auto"/>
                <w:sz w:val="21"/>
                <w:szCs w:val="21"/>
                <w:highlight w:val="none"/>
                <w:lang w:eastAsia="zh-CN"/>
              </w:rPr>
              <w:t>的要求</w:t>
            </w:r>
          </w:p>
          <w:p w14:paraId="26640701">
            <w:pPr>
              <w:pStyle w:val="16"/>
              <w:pageBreakBefore w:val="0"/>
              <w:wordWrap/>
              <w:overflowPunct/>
              <w:topLinePunct w:val="0"/>
              <w:autoSpaceDE/>
              <w:autoSpaceDN/>
              <w:bidi w:val="0"/>
              <w:snapToGrid w:val="0"/>
              <w:spacing w:beforeAutospacing="0" w:afterAutospacing="0" w:line="480" w:lineRule="exact"/>
              <w:ind w:left="0" w:leftChars="0" w:firstLine="0" w:firstLineChars="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2、</w:t>
            </w:r>
            <w:r>
              <w:rPr>
                <w:rFonts w:hint="eastAsia" w:ascii="宋体" w:hAnsi="宋体" w:eastAsia="宋体" w:cs="宋体"/>
                <w:b/>
                <w:color w:val="auto"/>
                <w:sz w:val="21"/>
                <w:szCs w:val="21"/>
                <w:highlight w:val="none"/>
              </w:rPr>
              <w:t>主要参数要求</w:t>
            </w:r>
          </w:p>
          <w:p w14:paraId="47177C91">
            <w:pPr>
              <w:pStyle w:val="7"/>
              <w:pageBreakBefore w:val="0"/>
              <w:wordWrap/>
              <w:overflowPunct/>
              <w:topLinePunct w:val="0"/>
              <w:autoSpaceDE/>
              <w:autoSpaceDN/>
              <w:bidi w:val="0"/>
              <w:snapToGrid w:val="0"/>
              <w:spacing w:beforeAutospacing="0" w:afterAutospacing="0" w:line="480" w:lineRule="exact"/>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rPr>
              <w:t>2.1</w:t>
            </w:r>
            <w:r>
              <w:rPr>
                <w:rFonts w:hint="eastAsia" w:ascii="宋体" w:hAnsi="宋体" w:eastAsia="宋体" w:cs="宋体"/>
                <w:color w:val="auto"/>
                <w:sz w:val="21"/>
                <w:szCs w:val="21"/>
                <w:highlight w:val="none"/>
                <w:lang w:eastAsia="zh-CN"/>
              </w:rPr>
              <w:t>、电压：</w:t>
            </w:r>
            <w:r>
              <w:rPr>
                <w:rFonts w:hint="eastAsia" w:ascii="宋体" w:hAnsi="宋体" w:eastAsia="宋体" w:cs="宋体"/>
                <w:color w:val="auto"/>
                <w:sz w:val="21"/>
                <w:szCs w:val="21"/>
                <w:highlight w:val="none"/>
                <w:lang w:bidi="ar"/>
              </w:rPr>
              <w:t>3×(57.7</w:t>
            </w:r>
            <w:r>
              <w:rPr>
                <w:rStyle w:val="15"/>
                <w:rFonts w:hint="eastAsia" w:ascii="宋体" w:hAnsi="宋体" w:eastAsia="宋体" w:cs="宋体"/>
                <w:color w:val="auto"/>
                <w:sz w:val="21"/>
                <w:szCs w:val="21"/>
                <w:highlight w:val="none"/>
                <w:lang w:bidi="ar"/>
              </w:rPr>
              <w:t>～</w:t>
            </w:r>
            <w:r>
              <w:rPr>
                <w:rFonts w:hint="eastAsia" w:ascii="宋体" w:hAnsi="宋体" w:eastAsia="宋体" w:cs="宋体"/>
                <w:color w:val="auto"/>
                <w:sz w:val="21"/>
                <w:szCs w:val="21"/>
                <w:highlight w:val="none"/>
                <w:lang w:bidi="ar"/>
              </w:rPr>
              <w:t>380)V</w:t>
            </w:r>
            <w:r>
              <w:rPr>
                <w:rStyle w:val="15"/>
                <w:rFonts w:hint="eastAsia" w:ascii="宋体" w:hAnsi="宋体" w:eastAsia="宋体" w:cs="宋体"/>
                <w:color w:val="auto"/>
                <w:sz w:val="21"/>
                <w:szCs w:val="21"/>
                <w:highlight w:val="none"/>
                <w:lang w:bidi="ar"/>
              </w:rPr>
              <w:t>，</w:t>
            </w:r>
            <w:r>
              <w:rPr>
                <w:rStyle w:val="15"/>
                <w:rFonts w:hint="eastAsia" w:ascii="宋体" w:hAnsi="宋体" w:eastAsia="宋体" w:cs="宋体"/>
                <w:color w:val="auto"/>
                <w:sz w:val="21"/>
                <w:szCs w:val="21"/>
                <w:highlight w:val="none"/>
                <w:lang w:eastAsia="zh-CN" w:bidi="ar"/>
              </w:rPr>
              <w:t>电流：</w:t>
            </w:r>
            <w:r>
              <w:rPr>
                <w:rFonts w:hint="eastAsia" w:ascii="宋体" w:hAnsi="宋体" w:eastAsia="宋体" w:cs="宋体"/>
                <w:color w:val="auto"/>
                <w:sz w:val="21"/>
                <w:szCs w:val="21"/>
                <w:highlight w:val="none"/>
                <w:lang w:bidi="ar"/>
              </w:rPr>
              <w:t>3×(0.0003</w:t>
            </w:r>
            <w:r>
              <w:rPr>
                <w:rStyle w:val="15"/>
                <w:rFonts w:hint="eastAsia" w:ascii="宋体" w:hAnsi="宋体" w:eastAsia="宋体" w:cs="宋体"/>
                <w:color w:val="auto"/>
                <w:sz w:val="21"/>
                <w:szCs w:val="21"/>
                <w:highlight w:val="none"/>
                <w:lang w:bidi="ar"/>
              </w:rPr>
              <w:t>～</w:t>
            </w:r>
            <w:r>
              <w:rPr>
                <w:rFonts w:hint="eastAsia" w:ascii="宋体" w:hAnsi="宋体" w:eastAsia="宋体" w:cs="宋体"/>
                <w:color w:val="auto"/>
                <w:sz w:val="21"/>
                <w:szCs w:val="21"/>
                <w:highlight w:val="none"/>
                <w:lang w:bidi="ar"/>
              </w:rPr>
              <w:t>100)A</w:t>
            </w:r>
            <w:r>
              <w:rPr>
                <w:rStyle w:val="15"/>
                <w:rFonts w:hint="eastAsia" w:ascii="宋体" w:hAnsi="宋体" w:eastAsia="宋体" w:cs="宋体"/>
                <w:color w:val="auto"/>
                <w:sz w:val="21"/>
                <w:szCs w:val="21"/>
                <w:highlight w:val="none"/>
                <w:lang w:bidi="ar"/>
              </w:rPr>
              <w:t>；</w:t>
            </w:r>
            <w:r>
              <w:rPr>
                <w:rStyle w:val="15"/>
                <w:rFonts w:hint="eastAsia" w:ascii="宋体" w:hAnsi="宋体" w:eastAsia="宋体" w:cs="宋体"/>
                <w:color w:val="auto"/>
                <w:sz w:val="21"/>
                <w:szCs w:val="21"/>
                <w:highlight w:val="none"/>
                <w:lang w:eastAsia="zh-CN" w:bidi="ar"/>
              </w:rPr>
              <w:t>精度等级：</w:t>
            </w:r>
            <w:r>
              <w:rPr>
                <w:rFonts w:hint="eastAsia" w:ascii="宋体" w:hAnsi="宋体" w:eastAsia="宋体" w:cs="宋体"/>
                <w:color w:val="auto"/>
                <w:sz w:val="21"/>
                <w:szCs w:val="21"/>
                <w:highlight w:val="none"/>
                <w:lang w:bidi="ar"/>
              </w:rPr>
              <w:t>0.02</w:t>
            </w:r>
            <w:r>
              <w:rPr>
                <w:rStyle w:val="15"/>
                <w:rFonts w:hint="eastAsia" w:ascii="宋体" w:hAnsi="宋体" w:eastAsia="宋体" w:cs="宋体"/>
                <w:color w:val="auto"/>
                <w:sz w:val="21"/>
                <w:szCs w:val="21"/>
                <w:highlight w:val="none"/>
                <w:lang w:bidi="ar"/>
              </w:rPr>
              <w:t>级</w:t>
            </w:r>
          </w:p>
          <w:p w14:paraId="78900280">
            <w:pPr>
              <w:pStyle w:val="7"/>
              <w:pageBreakBefore w:val="0"/>
              <w:wordWrap/>
              <w:overflowPunct/>
              <w:topLinePunct w:val="0"/>
              <w:autoSpaceDE/>
              <w:autoSpaceDN/>
              <w:bidi w:val="0"/>
              <w:snapToGrid w:val="0"/>
              <w:spacing w:beforeAutospacing="0" w:afterAutospacing="0" w:line="480" w:lineRule="exact"/>
              <w:ind w:left="0" w:leftChars="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性能参数</w:t>
            </w:r>
          </w:p>
          <w:tbl>
            <w:tblPr>
              <w:tblStyle w:val="11"/>
              <w:tblW w:w="62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2"/>
              <w:gridCol w:w="1733"/>
              <w:gridCol w:w="1395"/>
              <w:gridCol w:w="15"/>
              <w:gridCol w:w="1755"/>
            </w:tblGrid>
            <w:tr w14:paraId="2A9A6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270" w:type="dxa"/>
                  <w:gridSpan w:val="5"/>
                  <w:tcBorders>
                    <w:tl2br w:val="nil"/>
                    <w:tr2bl w:val="nil"/>
                  </w:tcBorders>
                  <w:noWrap/>
                  <w:vAlign w:val="center"/>
                </w:tcPr>
                <w:p w14:paraId="1F3C263D">
                  <w:pPr>
                    <w:pageBreakBefore w:val="0"/>
                    <w:wordWrap/>
                    <w:overflowPunct/>
                    <w:topLinePunct w:val="0"/>
                    <w:autoSpaceDE/>
                    <w:autoSpaceDN/>
                    <w:bidi w:val="0"/>
                    <w:snapToGrid w:val="0"/>
                    <w:spacing w:beforeAutospacing="0" w:afterAutospacing="0" w:line="480" w:lineRule="exact"/>
                    <w:ind w:left="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电压测量</w:t>
                  </w:r>
                </w:p>
              </w:tc>
            </w:tr>
            <w:tr w14:paraId="449DB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72" w:type="dxa"/>
                  <w:tcBorders>
                    <w:tl2br w:val="nil"/>
                    <w:tr2bl w:val="nil"/>
                  </w:tcBorders>
                  <w:noWrap/>
                  <w:vAlign w:val="center"/>
                </w:tcPr>
                <w:p w14:paraId="55F16DC3">
                  <w:pPr>
                    <w:pageBreakBefore w:val="0"/>
                    <w:wordWrap/>
                    <w:overflowPunct/>
                    <w:topLinePunct w:val="0"/>
                    <w:autoSpaceDE/>
                    <w:autoSpaceDN/>
                    <w:bidi w:val="0"/>
                    <w:snapToGrid w:val="0"/>
                    <w:spacing w:beforeAutospacing="0" w:afterAutospacing="0" w:line="480" w:lineRule="exact"/>
                    <w:ind w:left="0" w:lef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电压量程</w:t>
                  </w:r>
                </w:p>
              </w:tc>
              <w:tc>
                <w:tcPr>
                  <w:tcW w:w="4898" w:type="dxa"/>
                  <w:gridSpan w:val="4"/>
                  <w:tcBorders>
                    <w:tl2br w:val="nil"/>
                    <w:tr2bl w:val="nil"/>
                  </w:tcBorders>
                  <w:noWrap/>
                  <w:vAlign w:val="center"/>
                </w:tcPr>
                <w:p w14:paraId="359E040B">
                  <w:pPr>
                    <w:pageBreakBefore w:val="0"/>
                    <w:wordWrap/>
                    <w:overflowPunct/>
                    <w:topLinePunct w:val="0"/>
                    <w:autoSpaceDE/>
                    <w:autoSpaceDN/>
                    <w:bidi w:val="0"/>
                    <w:snapToGrid w:val="0"/>
                    <w:spacing w:beforeAutospacing="0" w:afterAutospacing="0" w:line="480" w:lineRule="exact"/>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30V～500V（相电压），全量程无继电器、无档位切换。</w:t>
                  </w:r>
                </w:p>
              </w:tc>
            </w:tr>
            <w:tr w14:paraId="73F79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72" w:type="dxa"/>
                  <w:tcBorders>
                    <w:tl2br w:val="nil"/>
                    <w:tr2bl w:val="nil"/>
                  </w:tcBorders>
                  <w:noWrap/>
                  <w:vAlign w:val="center"/>
                </w:tcPr>
                <w:p w14:paraId="26DF87D0">
                  <w:pPr>
                    <w:pageBreakBefore w:val="0"/>
                    <w:wordWrap/>
                    <w:overflowPunct/>
                    <w:topLinePunct w:val="0"/>
                    <w:autoSpaceDE/>
                    <w:autoSpaceDN/>
                    <w:bidi w:val="0"/>
                    <w:snapToGrid w:val="0"/>
                    <w:spacing w:beforeAutospacing="0" w:afterAutospacing="0" w:line="480" w:lineRule="exact"/>
                    <w:ind w:left="0" w:lef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电压范围</w:t>
                  </w:r>
                </w:p>
              </w:tc>
              <w:tc>
                <w:tcPr>
                  <w:tcW w:w="1733" w:type="dxa"/>
                  <w:tcBorders>
                    <w:tl2br w:val="nil"/>
                    <w:tr2bl w:val="nil"/>
                  </w:tcBorders>
                  <w:noWrap/>
                  <w:vAlign w:val="center"/>
                </w:tcPr>
                <w:p w14:paraId="71C70626">
                  <w:pPr>
                    <w:pageBreakBefore w:val="0"/>
                    <w:wordWrap/>
                    <w:overflowPunct/>
                    <w:topLinePunct w:val="0"/>
                    <w:autoSpaceDE/>
                    <w:autoSpaceDN/>
                    <w:bidi w:val="0"/>
                    <w:snapToGrid w:val="0"/>
                    <w:spacing w:beforeAutospacing="0" w:afterAutospacing="0" w:line="480" w:lineRule="exact"/>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测量误差*</w:t>
                  </w:r>
                </w:p>
              </w:tc>
              <w:tc>
                <w:tcPr>
                  <w:tcW w:w="1395" w:type="dxa"/>
                  <w:tcBorders>
                    <w:tl2br w:val="nil"/>
                    <w:tr2bl w:val="nil"/>
                  </w:tcBorders>
                  <w:noWrap/>
                  <w:vAlign w:val="center"/>
                </w:tcPr>
                <w:p w14:paraId="0803158C">
                  <w:pPr>
                    <w:pageBreakBefore w:val="0"/>
                    <w:wordWrap/>
                    <w:overflowPunct/>
                    <w:topLinePunct w:val="0"/>
                    <w:autoSpaceDE/>
                    <w:autoSpaceDN/>
                    <w:bidi w:val="0"/>
                    <w:snapToGrid w:val="0"/>
                    <w:spacing w:beforeAutospacing="0" w:afterAutospacing="0" w:line="480" w:lineRule="exact"/>
                    <w:ind w:left="0"/>
                    <w:jc w:val="center"/>
                    <w:rPr>
                      <w:rFonts w:hint="eastAsia" w:ascii="宋体" w:hAnsi="宋体" w:eastAsia="宋体" w:cs="宋体"/>
                      <w:color w:val="auto"/>
                      <w:sz w:val="21"/>
                      <w:szCs w:val="21"/>
                      <w:highlight w:val="none"/>
                    </w:rPr>
                  </w:pPr>
                </w:p>
              </w:tc>
              <w:tc>
                <w:tcPr>
                  <w:tcW w:w="1770" w:type="dxa"/>
                  <w:gridSpan w:val="2"/>
                  <w:tcBorders>
                    <w:tl2br w:val="nil"/>
                    <w:tr2bl w:val="nil"/>
                  </w:tcBorders>
                  <w:noWrap/>
                  <w:vAlign w:val="center"/>
                </w:tcPr>
                <w:p w14:paraId="1D520239">
                  <w:pPr>
                    <w:pageBreakBefore w:val="0"/>
                    <w:wordWrap/>
                    <w:overflowPunct/>
                    <w:topLinePunct w:val="0"/>
                    <w:autoSpaceDE/>
                    <w:autoSpaceDN/>
                    <w:bidi w:val="0"/>
                    <w:snapToGrid w:val="0"/>
                    <w:spacing w:beforeAutospacing="0" w:afterAutospacing="0" w:line="480" w:lineRule="exact"/>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年变差*</w:t>
                  </w:r>
                </w:p>
              </w:tc>
            </w:tr>
            <w:tr w14:paraId="18B23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72" w:type="dxa"/>
                  <w:tcBorders>
                    <w:tl2br w:val="nil"/>
                    <w:tr2bl w:val="nil"/>
                  </w:tcBorders>
                  <w:noWrap/>
                  <w:vAlign w:val="center"/>
                </w:tcPr>
                <w:p w14:paraId="07038FFB">
                  <w:pPr>
                    <w:pageBreakBefore w:val="0"/>
                    <w:wordWrap/>
                    <w:overflowPunct/>
                    <w:topLinePunct w:val="0"/>
                    <w:autoSpaceDE/>
                    <w:autoSpaceDN/>
                    <w:bidi w:val="0"/>
                    <w:snapToGrid w:val="0"/>
                    <w:spacing w:beforeAutospacing="0" w:afterAutospacing="0" w:line="480" w:lineRule="exact"/>
                    <w:ind w:left="0" w:lef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30V～500V</w:t>
                  </w:r>
                </w:p>
              </w:tc>
              <w:tc>
                <w:tcPr>
                  <w:tcW w:w="1733" w:type="dxa"/>
                  <w:tcBorders>
                    <w:tl2br w:val="nil"/>
                    <w:tr2bl w:val="nil"/>
                  </w:tcBorders>
                  <w:noWrap/>
                  <w:vAlign w:val="center"/>
                </w:tcPr>
                <w:p w14:paraId="514216F0">
                  <w:pPr>
                    <w:pageBreakBefore w:val="0"/>
                    <w:wordWrap/>
                    <w:overflowPunct/>
                    <w:topLinePunct w:val="0"/>
                    <w:autoSpaceDE/>
                    <w:autoSpaceDN/>
                    <w:bidi w:val="0"/>
                    <w:snapToGrid w:val="0"/>
                    <w:spacing w:beforeAutospacing="0" w:afterAutospacing="0" w:line="480" w:lineRule="exact"/>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≤100ppm</w:t>
                  </w:r>
                </w:p>
              </w:tc>
              <w:tc>
                <w:tcPr>
                  <w:tcW w:w="1395" w:type="dxa"/>
                  <w:tcBorders>
                    <w:tl2br w:val="nil"/>
                    <w:tr2bl w:val="nil"/>
                  </w:tcBorders>
                  <w:noWrap/>
                  <w:vAlign w:val="center"/>
                </w:tcPr>
                <w:p w14:paraId="5B4E0461">
                  <w:pPr>
                    <w:pageBreakBefore w:val="0"/>
                    <w:wordWrap/>
                    <w:overflowPunct/>
                    <w:topLinePunct w:val="0"/>
                    <w:autoSpaceDE/>
                    <w:autoSpaceDN/>
                    <w:bidi w:val="0"/>
                    <w:snapToGrid w:val="0"/>
                    <w:spacing w:beforeAutospacing="0" w:afterAutospacing="0" w:line="480" w:lineRule="exact"/>
                    <w:ind w:left="0"/>
                    <w:jc w:val="center"/>
                    <w:rPr>
                      <w:rFonts w:hint="eastAsia" w:ascii="宋体" w:hAnsi="宋体" w:eastAsia="宋体" w:cs="宋体"/>
                      <w:color w:val="auto"/>
                      <w:sz w:val="21"/>
                      <w:szCs w:val="21"/>
                      <w:highlight w:val="none"/>
                    </w:rPr>
                  </w:pPr>
                </w:p>
              </w:tc>
              <w:tc>
                <w:tcPr>
                  <w:tcW w:w="1770" w:type="dxa"/>
                  <w:gridSpan w:val="2"/>
                  <w:tcBorders>
                    <w:tl2br w:val="nil"/>
                    <w:tr2bl w:val="nil"/>
                  </w:tcBorders>
                  <w:noWrap/>
                  <w:vAlign w:val="center"/>
                </w:tcPr>
                <w:p w14:paraId="54035DE5">
                  <w:pPr>
                    <w:pageBreakBefore w:val="0"/>
                    <w:wordWrap/>
                    <w:overflowPunct/>
                    <w:topLinePunct w:val="0"/>
                    <w:autoSpaceDE/>
                    <w:autoSpaceDN/>
                    <w:bidi w:val="0"/>
                    <w:snapToGrid w:val="0"/>
                    <w:spacing w:beforeAutospacing="0" w:afterAutospacing="0" w:line="480" w:lineRule="exact"/>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≤50ppm</w:t>
                  </w:r>
                </w:p>
              </w:tc>
            </w:tr>
            <w:tr w14:paraId="117A6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270" w:type="dxa"/>
                  <w:gridSpan w:val="5"/>
                  <w:tcBorders>
                    <w:tl2br w:val="nil"/>
                    <w:tr2bl w:val="nil"/>
                  </w:tcBorders>
                  <w:noWrap/>
                  <w:vAlign w:val="center"/>
                </w:tcPr>
                <w:p w14:paraId="1D377162">
                  <w:pPr>
                    <w:pageBreakBefore w:val="0"/>
                    <w:wordWrap/>
                    <w:overflowPunct/>
                    <w:topLinePunct w:val="0"/>
                    <w:autoSpaceDE/>
                    <w:autoSpaceDN/>
                    <w:bidi w:val="0"/>
                    <w:snapToGrid w:val="0"/>
                    <w:spacing w:beforeAutospacing="0" w:afterAutospacing="0" w:line="480" w:lineRule="exact"/>
                    <w:ind w:left="0" w:leftChars="0" w:firstLine="0" w:firstLineChars="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电流测量</w:t>
                  </w:r>
                </w:p>
              </w:tc>
            </w:tr>
            <w:tr w14:paraId="72A2E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72" w:type="dxa"/>
                  <w:tcBorders>
                    <w:tl2br w:val="nil"/>
                    <w:tr2bl w:val="nil"/>
                  </w:tcBorders>
                  <w:noWrap/>
                  <w:vAlign w:val="center"/>
                </w:tcPr>
                <w:p w14:paraId="393F204B">
                  <w:pPr>
                    <w:pageBreakBefore w:val="0"/>
                    <w:wordWrap/>
                    <w:overflowPunct/>
                    <w:topLinePunct w:val="0"/>
                    <w:autoSpaceDE/>
                    <w:autoSpaceDN/>
                    <w:bidi w:val="0"/>
                    <w:snapToGrid w:val="0"/>
                    <w:spacing w:beforeAutospacing="0" w:afterAutospacing="0" w:line="480" w:lineRule="exact"/>
                    <w:ind w:left="0" w:lef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电流量程</w:t>
                  </w:r>
                </w:p>
              </w:tc>
              <w:tc>
                <w:tcPr>
                  <w:tcW w:w="4898" w:type="dxa"/>
                  <w:gridSpan w:val="4"/>
                  <w:tcBorders>
                    <w:tl2br w:val="nil"/>
                    <w:tr2bl w:val="nil"/>
                  </w:tcBorders>
                  <w:noWrap/>
                  <w:vAlign w:val="center"/>
                </w:tcPr>
                <w:p w14:paraId="0F752C9C">
                  <w:pPr>
                    <w:pageBreakBefore w:val="0"/>
                    <w:wordWrap/>
                    <w:overflowPunct/>
                    <w:topLinePunct w:val="0"/>
                    <w:autoSpaceDE/>
                    <w:autoSpaceDN/>
                    <w:bidi w:val="0"/>
                    <w:snapToGrid w:val="0"/>
                    <w:spacing w:beforeAutospacing="0" w:afterAutospacing="0" w:line="480" w:lineRule="exact"/>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0.3mA～120A，CT电子补偿线性电流互感器原理，档位切换，标准表电流端子每相均为唯一电流端子，不采用大电流端子配合小电流端子扩展量程的方式。</w:t>
                  </w:r>
                </w:p>
              </w:tc>
            </w:tr>
            <w:tr w14:paraId="49057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72" w:type="dxa"/>
                  <w:tcBorders>
                    <w:tl2br w:val="nil"/>
                    <w:tr2bl w:val="nil"/>
                  </w:tcBorders>
                  <w:noWrap/>
                  <w:vAlign w:val="center"/>
                </w:tcPr>
                <w:p w14:paraId="389C6709">
                  <w:pPr>
                    <w:pageBreakBefore w:val="0"/>
                    <w:wordWrap/>
                    <w:overflowPunct/>
                    <w:topLinePunct w:val="0"/>
                    <w:autoSpaceDE/>
                    <w:autoSpaceDN/>
                    <w:bidi w:val="0"/>
                    <w:snapToGrid w:val="0"/>
                    <w:spacing w:beforeAutospacing="0" w:afterAutospacing="0" w:line="480" w:lineRule="exact"/>
                    <w:ind w:left="0" w:lef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电流范围</w:t>
                  </w:r>
                </w:p>
              </w:tc>
              <w:tc>
                <w:tcPr>
                  <w:tcW w:w="1733" w:type="dxa"/>
                  <w:tcBorders>
                    <w:tl2br w:val="nil"/>
                    <w:tr2bl w:val="nil"/>
                  </w:tcBorders>
                  <w:noWrap/>
                  <w:vAlign w:val="center"/>
                </w:tcPr>
                <w:p w14:paraId="1D4BEEB9">
                  <w:pPr>
                    <w:pageBreakBefore w:val="0"/>
                    <w:wordWrap/>
                    <w:overflowPunct/>
                    <w:topLinePunct w:val="0"/>
                    <w:autoSpaceDE/>
                    <w:autoSpaceDN/>
                    <w:bidi w:val="0"/>
                    <w:snapToGrid w:val="0"/>
                    <w:spacing w:beforeAutospacing="0" w:afterAutospacing="0" w:line="480" w:lineRule="exact"/>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测量误差*</w:t>
                  </w:r>
                </w:p>
              </w:tc>
              <w:tc>
                <w:tcPr>
                  <w:tcW w:w="1410" w:type="dxa"/>
                  <w:gridSpan w:val="2"/>
                  <w:tcBorders>
                    <w:tl2br w:val="nil"/>
                    <w:tr2bl w:val="nil"/>
                  </w:tcBorders>
                  <w:noWrap/>
                  <w:vAlign w:val="center"/>
                </w:tcPr>
                <w:p w14:paraId="26F95B27">
                  <w:pPr>
                    <w:pageBreakBefore w:val="0"/>
                    <w:wordWrap/>
                    <w:overflowPunct/>
                    <w:topLinePunct w:val="0"/>
                    <w:autoSpaceDE/>
                    <w:autoSpaceDN/>
                    <w:bidi w:val="0"/>
                    <w:snapToGrid w:val="0"/>
                    <w:spacing w:beforeAutospacing="0" w:afterAutospacing="0" w:line="480" w:lineRule="exact"/>
                    <w:ind w:left="0"/>
                    <w:jc w:val="center"/>
                    <w:rPr>
                      <w:rFonts w:hint="eastAsia" w:ascii="宋体" w:hAnsi="宋体" w:eastAsia="宋体" w:cs="宋体"/>
                      <w:color w:val="auto"/>
                      <w:sz w:val="21"/>
                      <w:szCs w:val="21"/>
                      <w:highlight w:val="none"/>
                    </w:rPr>
                  </w:pPr>
                </w:p>
              </w:tc>
              <w:tc>
                <w:tcPr>
                  <w:tcW w:w="1755" w:type="dxa"/>
                  <w:tcBorders>
                    <w:tl2br w:val="nil"/>
                    <w:tr2bl w:val="nil"/>
                  </w:tcBorders>
                  <w:noWrap/>
                  <w:vAlign w:val="center"/>
                </w:tcPr>
                <w:p w14:paraId="5338C560">
                  <w:pPr>
                    <w:pageBreakBefore w:val="0"/>
                    <w:wordWrap/>
                    <w:overflowPunct/>
                    <w:topLinePunct w:val="0"/>
                    <w:autoSpaceDE/>
                    <w:autoSpaceDN/>
                    <w:bidi w:val="0"/>
                    <w:snapToGrid w:val="0"/>
                    <w:spacing w:beforeAutospacing="0" w:afterAutospacing="0" w:line="480" w:lineRule="exact"/>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年变差*</w:t>
                  </w:r>
                </w:p>
              </w:tc>
            </w:tr>
            <w:tr w14:paraId="03309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372" w:type="dxa"/>
                  <w:tcBorders>
                    <w:tl2br w:val="nil"/>
                    <w:tr2bl w:val="nil"/>
                  </w:tcBorders>
                  <w:noWrap/>
                  <w:vAlign w:val="center"/>
                </w:tcPr>
                <w:p w14:paraId="584618A1">
                  <w:pPr>
                    <w:pageBreakBefore w:val="0"/>
                    <w:wordWrap/>
                    <w:overflowPunct/>
                    <w:topLinePunct w:val="0"/>
                    <w:autoSpaceDE/>
                    <w:autoSpaceDN/>
                    <w:bidi w:val="0"/>
                    <w:snapToGrid w:val="0"/>
                    <w:spacing w:beforeAutospacing="0" w:afterAutospacing="0" w:line="480" w:lineRule="exact"/>
                    <w:ind w:left="0" w:lef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10mA～120A</w:t>
                  </w:r>
                </w:p>
              </w:tc>
              <w:tc>
                <w:tcPr>
                  <w:tcW w:w="1733" w:type="dxa"/>
                  <w:tcBorders>
                    <w:tl2br w:val="nil"/>
                    <w:tr2bl w:val="nil"/>
                  </w:tcBorders>
                  <w:noWrap/>
                  <w:vAlign w:val="center"/>
                </w:tcPr>
                <w:p w14:paraId="5CD9AF45">
                  <w:pPr>
                    <w:pageBreakBefore w:val="0"/>
                    <w:wordWrap/>
                    <w:overflowPunct/>
                    <w:topLinePunct w:val="0"/>
                    <w:autoSpaceDE/>
                    <w:autoSpaceDN/>
                    <w:bidi w:val="0"/>
                    <w:snapToGrid w:val="0"/>
                    <w:spacing w:beforeAutospacing="0" w:afterAutospacing="0" w:line="480" w:lineRule="exact"/>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≤100ppm</w:t>
                  </w:r>
                </w:p>
              </w:tc>
              <w:tc>
                <w:tcPr>
                  <w:tcW w:w="1410" w:type="dxa"/>
                  <w:gridSpan w:val="2"/>
                  <w:tcBorders>
                    <w:tl2br w:val="nil"/>
                    <w:tr2bl w:val="nil"/>
                  </w:tcBorders>
                  <w:noWrap/>
                  <w:vAlign w:val="center"/>
                </w:tcPr>
                <w:p w14:paraId="678C5FB4">
                  <w:pPr>
                    <w:pageBreakBefore w:val="0"/>
                    <w:wordWrap/>
                    <w:overflowPunct/>
                    <w:topLinePunct w:val="0"/>
                    <w:autoSpaceDE/>
                    <w:autoSpaceDN/>
                    <w:bidi w:val="0"/>
                    <w:snapToGrid w:val="0"/>
                    <w:spacing w:beforeAutospacing="0" w:afterAutospacing="0" w:line="480" w:lineRule="exact"/>
                    <w:ind w:left="0"/>
                    <w:jc w:val="center"/>
                    <w:rPr>
                      <w:rFonts w:hint="eastAsia" w:ascii="宋体" w:hAnsi="宋体" w:eastAsia="宋体" w:cs="宋体"/>
                      <w:color w:val="auto"/>
                      <w:sz w:val="21"/>
                      <w:szCs w:val="21"/>
                      <w:highlight w:val="none"/>
                    </w:rPr>
                  </w:pPr>
                </w:p>
              </w:tc>
              <w:tc>
                <w:tcPr>
                  <w:tcW w:w="1755" w:type="dxa"/>
                  <w:tcBorders>
                    <w:tl2br w:val="nil"/>
                    <w:tr2bl w:val="nil"/>
                  </w:tcBorders>
                  <w:noWrap/>
                  <w:vAlign w:val="center"/>
                </w:tcPr>
                <w:p w14:paraId="74A5D924">
                  <w:pPr>
                    <w:pageBreakBefore w:val="0"/>
                    <w:wordWrap/>
                    <w:overflowPunct/>
                    <w:topLinePunct w:val="0"/>
                    <w:autoSpaceDE/>
                    <w:autoSpaceDN/>
                    <w:bidi w:val="0"/>
                    <w:snapToGrid w:val="0"/>
                    <w:spacing w:beforeAutospacing="0" w:afterAutospacing="0" w:line="480" w:lineRule="exact"/>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≤50ppm</w:t>
                  </w:r>
                </w:p>
              </w:tc>
            </w:tr>
            <w:tr w14:paraId="5554E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72" w:type="dxa"/>
                  <w:tcBorders>
                    <w:tl2br w:val="nil"/>
                    <w:tr2bl w:val="nil"/>
                  </w:tcBorders>
                  <w:noWrap/>
                  <w:vAlign w:val="center"/>
                </w:tcPr>
                <w:p w14:paraId="35F648C9">
                  <w:pPr>
                    <w:pageBreakBefore w:val="0"/>
                    <w:wordWrap/>
                    <w:overflowPunct/>
                    <w:topLinePunct w:val="0"/>
                    <w:autoSpaceDE/>
                    <w:autoSpaceDN/>
                    <w:bidi w:val="0"/>
                    <w:snapToGrid w:val="0"/>
                    <w:spacing w:beforeAutospacing="0" w:afterAutospacing="0" w:line="480" w:lineRule="exact"/>
                    <w:ind w:left="0" w:lef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0.3mA～10mA</w:t>
                  </w:r>
                </w:p>
              </w:tc>
              <w:tc>
                <w:tcPr>
                  <w:tcW w:w="1733" w:type="dxa"/>
                  <w:tcBorders>
                    <w:tl2br w:val="nil"/>
                    <w:tr2bl w:val="nil"/>
                  </w:tcBorders>
                  <w:noWrap/>
                  <w:vAlign w:val="center"/>
                </w:tcPr>
                <w:p w14:paraId="76313A06">
                  <w:pPr>
                    <w:pageBreakBefore w:val="0"/>
                    <w:wordWrap/>
                    <w:overflowPunct/>
                    <w:topLinePunct w:val="0"/>
                    <w:autoSpaceDE/>
                    <w:autoSpaceDN/>
                    <w:bidi w:val="0"/>
                    <w:snapToGrid w:val="0"/>
                    <w:spacing w:beforeAutospacing="0" w:afterAutospacing="0" w:line="480" w:lineRule="exact"/>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≤150ppm</w:t>
                  </w:r>
                </w:p>
              </w:tc>
              <w:tc>
                <w:tcPr>
                  <w:tcW w:w="1410" w:type="dxa"/>
                  <w:gridSpan w:val="2"/>
                  <w:tcBorders>
                    <w:tl2br w:val="nil"/>
                    <w:tr2bl w:val="nil"/>
                  </w:tcBorders>
                  <w:noWrap/>
                  <w:vAlign w:val="center"/>
                </w:tcPr>
                <w:p w14:paraId="11861BE5">
                  <w:pPr>
                    <w:pageBreakBefore w:val="0"/>
                    <w:wordWrap/>
                    <w:overflowPunct/>
                    <w:topLinePunct w:val="0"/>
                    <w:autoSpaceDE/>
                    <w:autoSpaceDN/>
                    <w:bidi w:val="0"/>
                    <w:snapToGrid w:val="0"/>
                    <w:spacing w:beforeAutospacing="0" w:afterAutospacing="0" w:line="480" w:lineRule="exact"/>
                    <w:ind w:left="0"/>
                    <w:jc w:val="center"/>
                    <w:rPr>
                      <w:rFonts w:hint="eastAsia" w:ascii="宋体" w:hAnsi="宋体" w:eastAsia="宋体" w:cs="宋体"/>
                      <w:color w:val="auto"/>
                      <w:sz w:val="21"/>
                      <w:szCs w:val="21"/>
                      <w:highlight w:val="none"/>
                    </w:rPr>
                  </w:pPr>
                </w:p>
              </w:tc>
              <w:tc>
                <w:tcPr>
                  <w:tcW w:w="1755" w:type="dxa"/>
                  <w:tcBorders>
                    <w:tl2br w:val="nil"/>
                    <w:tr2bl w:val="nil"/>
                  </w:tcBorders>
                  <w:noWrap/>
                  <w:vAlign w:val="center"/>
                </w:tcPr>
                <w:p w14:paraId="038EF158">
                  <w:pPr>
                    <w:pageBreakBefore w:val="0"/>
                    <w:wordWrap/>
                    <w:overflowPunct/>
                    <w:topLinePunct w:val="0"/>
                    <w:autoSpaceDE/>
                    <w:autoSpaceDN/>
                    <w:bidi w:val="0"/>
                    <w:snapToGrid w:val="0"/>
                    <w:spacing w:beforeAutospacing="0" w:afterAutospacing="0" w:line="480" w:lineRule="exact"/>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≤100ppm</w:t>
                  </w:r>
                </w:p>
              </w:tc>
            </w:tr>
            <w:tr w14:paraId="28457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270" w:type="dxa"/>
                  <w:gridSpan w:val="5"/>
                  <w:tcBorders>
                    <w:tl2br w:val="nil"/>
                    <w:tr2bl w:val="nil"/>
                  </w:tcBorders>
                  <w:noWrap/>
                  <w:vAlign w:val="center"/>
                </w:tcPr>
                <w:p w14:paraId="709322F0">
                  <w:pPr>
                    <w:pageBreakBefore w:val="0"/>
                    <w:wordWrap/>
                    <w:overflowPunct/>
                    <w:topLinePunct w:val="0"/>
                    <w:autoSpaceDE/>
                    <w:autoSpaceDN/>
                    <w:bidi w:val="0"/>
                    <w:snapToGrid w:val="0"/>
                    <w:spacing w:beforeAutospacing="0" w:afterAutospacing="0" w:line="480" w:lineRule="exact"/>
                    <w:ind w:left="0"/>
                    <w:jc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功率、电能测量</w:t>
                  </w:r>
                </w:p>
              </w:tc>
            </w:tr>
          </w:tbl>
          <w:tbl>
            <w:tblPr>
              <w:tblStyle w:val="12"/>
              <w:tblW w:w="63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6"/>
              <w:gridCol w:w="829"/>
              <w:gridCol w:w="435"/>
              <w:gridCol w:w="60"/>
              <w:gridCol w:w="960"/>
              <w:gridCol w:w="255"/>
              <w:gridCol w:w="105"/>
              <w:gridCol w:w="1020"/>
              <w:gridCol w:w="1515"/>
            </w:tblGrid>
            <w:tr w14:paraId="60256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6" w:type="dxa"/>
                  <w:tcBorders>
                    <w:tl2br w:val="nil"/>
                    <w:tr2bl w:val="nil"/>
                  </w:tcBorders>
                </w:tcPr>
                <w:p w14:paraId="175F68D7">
                  <w:pPr>
                    <w:pStyle w:val="5"/>
                    <w:pageBreakBefore w:val="0"/>
                    <w:wordWrap/>
                    <w:overflowPunct/>
                    <w:topLinePunct w:val="0"/>
                    <w:autoSpaceDE/>
                    <w:autoSpaceDN/>
                    <w:bidi w:val="0"/>
                    <w:snapToGrid w:val="0"/>
                    <w:spacing w:beforeAutospacing="0" w:afterAutospacing="0" w:line="480" w:lineRule="exact"/>
                    <w:ind w:left="0" w:firstLine="0" w:firstLineChars="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功率、电能测量</w:t>
                  </w:r>
                </w:p>
              </w:tc>
              <w:tc>
                <w:tcPr>
                  <w:tcW w:w="5179" w:type="dxa"/>
                  <w:gridSpan w:val="8"/>
                  <w:tcBorders>
                    <w:tl2br w:val="nil"/>
                    <w:tr2bl w:val="nil"/>
                  </w:tcBorders>
                </w:tcPr>
                <w:p w14:paraId="04A66780">
                  <w:pPr>
                    <w:pageBreakBefore w:val="0"/>
                    <w:wordWrap/>
                    <w:overflowPunct/>
                    <w:topLinePunct w:val="0"/>
                    <w:autoSpaceDE/>
                    <w:autoSpaceDN/>
                    <w:bidi w:val="0"/>
                    <w:snapToGrid w:val="0"/>
                    <w:spacing w:beforeAutospacing="0" w:afterAutospacing="0" w:line="480" w:lineRule="exact"/>
                    <w:ind w:left="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COS（Φ）=1.0、0.8L、0.8C、0.5L、0.5C条件下测量满足下表要求。</w:t>
                  </w:r>
                </w:p>
              </w:tc>
            </w:tr>
            <w:tr w14:paraId="46F8C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6" w:type="dxa"/>
                  <w:tcBorders>
                    <w:tl2br w:val="nil"/>
                    <w:tr2bl w:val="nil"/>
                  </w:tcBorders>
                  <w:vAlign w:val="center"/>
                </w:tcPr>
                <w:p w14:paraId="4C297539">
                  <w:pPr>
                    <w:pStyle w:val="5"/>
                    <w:pageBreakBefore w:val="0"/>
                    <w:wordWrap/>
                    <w:overflowPunct/>
                    <w:topLinePunct w:val="0"/>
                    <w:autoSpaceDE/>
                    <w:autoSpaceDN/>
                    <w:bidi w:val="0"/>
                    <w:snapToGrid w:val="0"/>
                    <w:spacing w:beforeAutospacing="0" w:afterAutospacing="0" w:line="480" w:lineRule="exact"/>
                    <w:ind w:left="0" w:firstLine="0" w:firstLineChars="0"/>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电压范围</w:t>
                  </w:r>
                </w:p>
              </w:tc>
              <w:tc>
                <w:tcPr>
                  <w:tcW w:w="1324" w:type="dxa"/>
                  <w:gridSpan w:val="3"/>
                  <w:tcBorders>
                    <w:tl2br w:val="nil"/>
                    <w:tr2bl w:val="nil"/>
                  </w:tcBorders>
                  <w:vAlign w:val="center"/>
                </w:tcPr>
                <w:p w14:paraId="034E5B93">
                  <w:pPr>
                    <w:pStyle w:val="5"/>
                    <w:pageBreakBefore w:val="0"/>
                    <w:wordWrap/>
                    <w:overflowPunct/>
                    <w:topLinePunct w:val="0"/>
                    <w:autoSpaceDE/>
                    <w:autoSpaceDN/>
                    <w:bidi w:val="0"/>
                    <w:snapToGrid w:val="0"/>
                    <w:spacing w:beforeAutospacing="0" w:afterAutospacing="0" w:line="480" w:lineRule="exact"/>
                    <w:ind w:left="0" w:firstLine="0" w:firstLineChars="0"/>
                    <w:jc w:val="center"/>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电流范围</w:t>
                  </w:r>
                </w:p>
              </w:tc>
              <w:tc>
                <w:tcPr>
                  <w:tcW w:w="1320" w:type="dxa"/>
                  <w:gridSpan w:val="3"/>
                  <w:tcBorders>
                    <w:tl2br w:val="nil"/>
                    <w:tr2bl w:val="nil"/>
                  </w:tcBorders>
                  <w:vAlign w:val="center"/>
                </w:tcPr>
                <w:p w14:paraId="538ED907">
                  <w:pPr>
                    <w:pageBreakBefore w:val="0"/>
                    <w:wordWrap/>
                    <w:overflowPunct/>
                    <w:topLinePunct w:val="0"/>
                    <w:autoSpaceDE/>
                    <w:autoSpaceDN/>
                    <w:bidi w:val="0"/>
                    <w:snapToGrid w:val="0"/>
                    <w:spacing w:beforeAutospacing="0" w:afterAutospacing="0" w:line="480" w:lineRule="exact"/>
                    <w:ind w:left="0" w:leftChars="0" w:firstLine="0" w:firstLineChars="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测量误差*</w:t>
                  </w:r>
                </w:p>
              </w:tc>
              <w:tc>
                <w:tcPr>
                  <w:tcW w:w="1020" w:type="dxa"/>
                  <w:tcBorders>
                    <w:tl2br w:val="nil"/>
                    <w:tr2bl w:val="nil"/>
                  </w:tcBorders>
                  <w:vAlign w:val="center"/>
                </w:tcPr>
                <w:p w14:paraId="3525E3B8">
                  <w:pPr>
                    <w:pageBreakBefore w:val="0"/>
                    <w:wordWrap/>
                    <w:overflowPunct/>
                    <w:topLinePunct w:val="0"/>
                    <w:autoSpaceDE/>
                    <w:autoSpaceDN/>
                    <w:bidi w:val="0"/>
                    <w:snapToGrid w:val="0"/>
                    <w:spacing w:beforeAutospacing="0" w:afterAutospacing="0" w:line="480" w:lineRule="exact"/>
                    <w:ind w:left="0"/>
                    <w:rPr>
                      <w:rFonts w:hint="eastAsia" w:ascii="宋体" w:hAnsi="宋体" w:eastAsia="宋体" w:cs="宋体"/>
                      <w:color w:val="auto"/>
                      <w:kern w:val="0"/>
                      <w:sz w:val="21"/>
                      <w:szCs w:val="21"/>
                      <w:highlight w:val="none"/>
                    </w:rPr>
                  </w:pPr>
                </w:p>
              </w:tc>
              <w:tc>
                <w:tcPr>
                  <w:tcW w:w="1515" w:type="dxa"/>
                  <w:tcBorders>
                    <w:tl2br w:val="nil"/>
                    <w:tr2bl w:val="nil"/>
                  </w:tcBorders>
                  <w:vAlign w:val="center"/>
                </w:tcPr>
                <w:p w14:paraId="08CB819E">
                  <w:pPr>
                    <w:pageBreakBefore w:val="0"/>
                    <w:wordWrap/>
                    <w:overflowPunct/>
                    <w:topLinePunct w:val="0"/>
                    <w:autoSpaceDE/>
                    <w:autoSpaceDN/>
                    <w:bidi w:val="0"/>
                    <w:snapToGrid w:val="0"/>
                    <w:spacing w:beforeAutospacing="0" w:afterAutospacing="0" w:line="480" w:lineRule="exact"/>
                    <w:ind w:left="0" w:leftChars="0" w:firstLine="279" w:firstLineChars="133"/>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年变差*</w:t>
                  </w:r>
                </w:p>
              </w:tc>
            </w:tr>
            <w:tr w14:paraId="6EB8D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6" w:type="dxa"/>
                  <w:vMerge w:val="restart"/>
                  <w:tcBorders>
                    <w:tl2br w:val="nil"/>
                    <w:tr2bl w:val="nil"/>
                  </w:tcBorders>
                  <w:vAlign w:val="center"/>
                </w:tcPr>
                <w:p w14:paraId="0EB4BF44">
                  <w:pPr>
                    <w:pStyle w:val="5"/>
                    <w:pageBreakBefore w:val="0"/>
                    <w:wordWrap/>
                    <w:overflowPunct/>
                    <w:topLinePunct w:val="0"/>
                    <w:autoSpaceDE/>
                    <w:autoSpaceDN/>
                    <w:bidi w:val="0"/>
                    <w:snapToGrid w:val="0"/>
                    <w:spacing w:beforeAutospacing="0" w:afterAutospacing="0" w:line="480" w:lineRule="exact"/>
                    <w:ind w:left="0" w:firstLine="0" w:firstLineChars="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30V～</w:t>
                  </w:r>
                  <w:r>
                    <w:rPr>
                      <w:rFonts w:hint="eastAsia" w:ascii="宋体" w:hAnsi="宋体" w:eastAsia="宋体" w:cs="宋体"/>
                      <w:color w:val="auto"/>
                      <w:kern w:val="0"/>
                      <w:sz w:val="21"/>
                      <w:szCs w:val="21"/>
                      <w:highlight w:val="none"/>
                      <w:lang w:eastAsia="zh-CN"/>
                    </w:rPr>
                    <w:t>5</w:t>
                  </w:r>
                  <w:r>
                    <w:rPr>
                      <w:rFonts w:hint="eastAsia" w:ascii="宋体" w:hAnsi="宋体" w:eastAsia="宋体" w:cs="宋体"/>
                      <w:color w:val="auto"/>
                      <w:kern w:val="0"/>
                      <w:sz w:val="21"/>
                      <w:szCs w:val="21"/>
                      <w:highlight w:val="none"/>
                    </w:rPr>
                    <w:t>00V</w:t>
                  </w:r>
                </w:p>
              </w:tc>
              <w:tc>
                <w:tcPr>
                  <w:tcW w:w="1324" w:type="dxa"/>
                  <w:gridSpan w:val="3"/>
                  <w:tcBorders>
                    <w:tl2br w:val="nil"/>
                    <w:tr2bl w:val="nil"/>
                  </w:tcBorders>
                </w:tcPr>
                <w:p w14:paraId="1C629919">
                  <w:pPr>
                    <w:pStyle w:val="5"/>
                    <w:pageBreakBefore w:val="0"/>
                    <w:wordWrap/>
                    <w:overflowPunct/>
                    <w:topLinePunct w:val="0"/>
                    <w:autoSpaceDE/>
                    <w:autoSpaceDN/>
                    <w:bidi w:val="0"/>
                    <w:snapToGrid w:val="0"/>
                    <w:spacing w:beforeAutospacing="0" w:afterAutospacing="0" w:line="480" w:lineRule="exact"/>
                    <w:ind w:left="0" w:firstLine="0" w:firstLineChars="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10</w:t>
                  </w:r>
                  <w:r>
                    <w:rPr>
                      <w:rFonts w:hint="eastAsia" w:ascii="宋体" w:hAnsi="宋体" w:eastAsia="宋体" w:cs="宋体"/>
                      <w:color w:val="auto"/>
                      <w:kern w:val="0"/>
                      <w:sz w:val="21"/>
                      <w:szCs w:val="21"/>
                      <w:highlight w:val="none"/>
                    </w:rPr>
                    <w:t>mA～120A</w:t>
                  </w:r>
                </w:p>
              </w:tc>
              <w:tc>
                <w:tcPr>
                  <w:tcW w:w="1320" w:type="dxa"/>
                  <w:gridSpan w:val="3"/>
                  <w:tcBorders>
                    <w:tl2br w:val="nil"/>
                    <w:tr2bl w:val="nil"/>
                  </w:tcBorders>
                  <w:vAlign w:val="center"/>
                </w:tcPr>
                <w:p w14:paraId="6D04A547">
                  <w:pPr>
                    <w:pageBreakBefore w:val="0"/>
                    <w:wordWrap/>
                    <w:overflowPunct/>
                    <w:topLinePunct w:val="0"/>
                    <w:autoSpaceDE/>
                    <w:autoSpaceDN/>
                    <w:bidi w:val="0"/>
                    <w:snapToGrid w:val="0"/>
                    <w:spacing w:beforeAutospacing="0" w:afterAutospacing="0" w:line="480" w:lineRule="exact"/>
                    <w:ind w:left="0" w:leftChars="0" w:firstLine="0" w:firstLineChars="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≤±0.014%</w:t>
                  </w:r>
                </w:p>
              </w:tc>
              <w:tc>
                <w:tcPr>
                  <w:tcW w:w="1020" w:type="dxa"/>
                  <w:tcBorders>
                    <w:tl2br w:val="nil"/>
                    <w:tr2bl w:val="nil"/>
                  </w:tcBorders>
                  <w:vAlign w:val="center"/>
                </w:tcPr>
                <w:p w14:paraId="7B9C1BC4">
                  <w:pPr>
                    <w:pageBreakBefore w:val="0"/>
                    <w:wordWrap/>
                    <w:overflowPunct/>
                    <w:topLinePunct w:val="0"/>
                    <w:autoSpaceDE/>
                    <w:autoSpaceDN/>
                    <w:bidi w:val="0"/>
                    <w:snapToGrid w:val="0"/>
                    <w:spacing w:beforeAutospacing="0" w:afterAutospacing="0" w:line="480" w:lineRule="exact"/>
                    <w:ind w:left="0"/>
                    <w:rPr>
                      <w:rFonts w:hint="eastAsia" w:ascii="宋体" w:hAnsi="宋体" w:eastAsia="宋体" w:cs="宋体"/>
                      <w:color w:val="auto"/>
                      <w:kern w:val="0"/>
                      <w:sz w:val="21"/>
                      <w:szCs w:val="21"/>
                      <w:highlight w:val="none"/>
                    </w:rPr>
                  </w:pPr>
                </w:p>
              </w:tc>
              <w:tc>
                <w:tcPr>
                  <w:tcW w:w="1515" w:type="dxa"/>
                  <w:tcBorders>
                    <w:tl2br w:val="nil"/>
                    <w:tr2bl w:val="nil"/>
                  </w:tcBorders>
                  <w:vAlign w:val="center"/>
                </w:tcPr>
                <w:p w14:paraId="62CAE5B2">
                  <w:pPr>
                    <w:pageBreakBefore w:val="0"/>
                    <w:wordWrap/>
                    <w:overflowPunct/>
                    <w:topLinePunct w:val="0"/>
                    <w:autoSpaceDE/>
                    <w:autoSpaceDN/>
                    <w:bidi w:val="0"/>
                    <w:snapToGrid w:val="0"/>
                    <w:spacing w:beforeAutospacing="0" w:afterAutospacing="0" w:line="480" w:lineRule="exact"/>
                    <w:ind w:left="0" w:leftChars="0" w:firstLine="279" w:firstLineChars="133"/>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≤100ppm</w:t>
                  </w:r>
                </w:p>
              </w:tc>
            </w:tr>
            <w:tr w14:paraId="7CA55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6" w:type="dxa"/>
                  <w:vMerge w:val="continue"/>
                  <w:tcBorders>
                    <w:tl2br w:val="nil"/>
                    <w:tr2bl w:val="nil"/>
                  </w:tcBorders>
                </w:tcPr>
                <w:p w14:paraId="4215201B">
                  <w:pPr>
                    <w:pStyle w:val="5"/>
                    <w:pageBreakBefore w:val="0"/>
                    <w:wordWrap/>
                    <w:overflowPunct/>
                    <w:topLinePunct w:val="0"/>
                    <w:autoSpaceDE/>
                    <w:autoSpaceDN/>
                    <w:bidi w:val="0"/>
                    <w:snapToGrid w:val="0"/>
                    <w:spacing w:beforeAutospacing="0" w:afterAutospacing="0" w:line="480" w:lineRule="exact"/>
                    <w:ind w:left="0" w:firstLine="0" w:firstLineChars="0"/>
                    <w:jc w:val="left"/>
                    <w:rPr>
                      <w:rFonts w:hint="eastAsia" w:ascii="宋体" w:hAnsi="宋体" w:eastAsia="宋体" w:cs="宋体"/>
                      <w:color w:val="auto"/>
                      <w:kern w:val="0"/>
                      <w:sz w:val="21"/>
                      <w:szCs w:val="21"/>
                      <w:highlight w:val="none"/>
                      <w:lang w:eastAsia="zh-CN"/>
                    </w:rPr>
                  </w:pPr>
                </w:p>
              </w:tc>
              <w:tc>
                <w:tcPr>
                  <w:tcW w:w="1324" w:type="dxa"/>
                  <w:gridSpan w:val="3"/>
                  <w:tcBorders>
                    <w:tl2br w:val="nil"/>
                    <w:tr2bl w:val="nil"/>
                  </w:tcBorders>
                </w:tcPr>
                <w:p w14:paraId="37C4B821">
                  <w:pPr>
                    <w:pStyle w:val="5"/>
                    <w:pageBreakBefore w:val="0"/>
                    <w:wordWrap/>
                    <w:overflowPunct/>
                    <w:topLinePunct w:val="0"/>
                    <w:autoSpaceDE/>
                    <w:autoSpaceDN/>
                    <w:bidi w:val="0"/>
                    <w:snapToGrid w:val="0"/>
                    <w:spacing w:beforeAutospacing="0" w:afterAutospacing="0" w:line="480" w:lineRule="exact"/>
                    <w:ind w:left="0" w:firstLine="0" w:firstLineChars="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3mA～</w:t>
                  </w:r>
                  <w:r>
                    <w:rPr>
                      <w:rFonts w:hint="eastAsia" w:ascii="宋体" w:hAnsi="宋体" w:eastAsia="宋体" w:cs="宋体"/>
                      <w:color w:val="auto"/>
                      <w:kern w:val="0"/>
                      <w:sz w:val="21"/>
                      <w:szCs w:val="21"/>
                      <w:highlight w:val="none"/>
                      <w:lang w:eastAsia="zh-CN"/>
                    </w:rPr>
                    <w:t>10</w:t>
                  </w:r>
                  <w:r>
                    <w:rPr>
                      <w:rFonts w:hint="eastAsia" w:ascii="宋体" w:hAnsi="宋体" w:eastAsia="宋体" w:cs="宋体"/>
                      <w:color w:val="auto"/>
                      <w:kern w:val="0"/>
                      <w:sz w:val="21"/>
                      <w:szCs w:val="21"/>
                      <w:highlight w:val="none"/>
                    </w:rPr>
                    <w:t>mA</w:t>
                  </w:r>
                </w:p>
              </w:tc>
              <w:tc>
                <w:tcPr>
                  <w:tcW w:w="1320" w:type="dxa"/>
                  <w:gridSpan w:val="3"/>
                  <w:tcBorders>
                    <w:tl2br w:val="nil"/>
                    <w:tr2bl w:val="nil"/>
                  </w:tcBorders>
                  <w:vAlign w:val="center"/>
                </w:tcPr>
                <w:p w14:paraId="721DC023">
                  <w:pPr>
                    <w:pageBreakBefore w:val="0"/>
                    <w:wordWrap/>
                    <w:overflowPunct/>
                    <w:topLinePunct w:val="0"/>
                    <w:autoSpaceDE/>
                    <w:autoSpaceDN/>
                    <w:bidi w:val="0"/>
                    <w:snapToGrid w:val="0"/>
                    <w:spacing w:beforeAutospacing="0" w:afterAutospacing="0" w:line="480" w:lineRule="exact"/>
                    <w:ind w:left="0" w:leftChars="0" w:firstLine="0" w:firstLineChars="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≤±0.03%</w:t>
                  </w:r>
                </w:p>
              </w:tc>
              <w:tc>
                <w:tcPr>
                  <w:tcW w:w="1020" w:type="dxa"/>
                  <w:tcBorders>
                    <w:tl2br w:val="nil"/>
                    <w:tr2bl w:val="nil"/>
                  </w:tcBorders>
                  <w:vAlign w:val="center"/>
                </w:tcPr>
                <w:p w14:paraId="6129A1C9">
                  <w:pPr>
                    <w:pageBreakBefore w:val="0"/>
                    <w:wordWrap/>
                    <w:overflowPunct/>
                    <w:topLinePunct w:val="0"/>
                    <w:autoSpaceDE/>
                    <w:autoSpaceDN/>
                    <w:bidi w:val="0"/>
                    <w:snapToGrid w:val="0"/>
                    <w:spacing w:beforeAutospacing="0" w:afterAutospacing="0" w:line="480" w:lineRule="exact"/>
                    <w:ind w:left="0"/>
                    <w:rPr>
                      <w:rFonts w:hint="eastAsia" w:ascii="宋体" w:hAnsi="宋体" w:eastAsia="宋体" w:cs="宋体"/>
                      <w:color w:val="auto"/>
                      <w:kern w:val="0"/>
                      <w:sz w:val="21"/>
                      <w:szCs w:val="21"/>
                      <w:highlight w:val="none"/>
                    </w:rPr>
                  </w:pPr>
                </w:p>
              </w:tc>
              <w:tc>
                <w:tcPr>
                  <w:tcW w:w="1515" w:type="dxa"/>
                  <w:tcBorders>
                    <w:tl2br w:val="nil"/>
                    <w:tr2bl w:val="nil"/>
                  </w:tcBorders>
                  <w:vAlign w:val="center"/>
                </w:tcPr>
                <w:p w14:paraId="060A98E8">
                  <w:pPr>
                    <w:pageBreakBefore w:val="0"/>
                    <w:wordWrap/>
                    <w:overflowPunct/>
                    <w:topLinePunct w:val="0"/>
                    <w:autoSpaceDE/>
                    <w:autoSpaceDN/>
                    <w:bidi w:val="0"/>
                    <w:snapToGrid w:val="0"/>
                    <w:spacing w:beforeAutospacing="0" w:afterAutospacing="0" w:line="480" w:lineRule="exact"/>
                    <w:ind w:left="0" w:leftChars="0" w:firstLine="279" w:firstLineChars="133"/>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≤150ppm</w:t>
                  </w:r>
                </w:p>
              </w:tc>
            </w:tr>
            <w:tr w14:paraId="23403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6" w:type="dxa"/>
                  <w:vMerge w:val="continue"/>
                  <w:tcBorders>
                    <w:tl2br w:val="nil"/>
                    <w:tr2bl w:val="nil"/>
                  </w:tcBorders>
                </w:tcPr>
                <w:p w14:paraId="3FF107F5">
                  <w:pPr>
                    <w:pStyle w:val="5"/>
                    <w:pageBreakBefore w:val="0"/>
                    <w:wordWrap/>
                    <w:overflowPunct/>
                    <w:topLinePunct w:val="0"/>
                    <w:autoSpaceDE/>
                    <w:autoSpaceDN/>
                    <w:bidi w:val="0"/>
                    <w:snapToGrid w:val="0"/>
                    <w:spacing w:beforeAutospacing="0" w:afterAutospacing="0" w:line="480" w:lineRule="exact"/>
                    <w:ind w:left="0" w:firstLine="0" w:firstLineChars="0"/>
                    <w:jc w:val="left"/>
                    <w:rPr>
                      <w:rFonts w:hint="eastAsia" w:ascii="宋体" w:hAnsi="宋体" w:eastAsia="宋体" w:cs="宋体"/>
                      <w:color w:val="auto"/>
                      <w:kern w:val="0"/>
                      <w:sz w:val="21"/>
                      <w:szCs w:val="21"/>
                      <w:highlight w:val="none"/>
                      <w:lang w:eastAsia="zh-CN"/>
                    </w:rPr>
                  </w:pPr>
                </w:p>
              </w:tc>
              <w:tc>
                <w:tcPr>
                  <w:tcW w:w="1324" w:type="dxa"/>
                  <w:gridSpan w:val="3"/>
                  <w:tcBorders>
                    <w:tl2br w:val="nil"/>
                    <w:tr2bl w:val="nil"/>
                  </w:tcBorders>
                </w:tcPr>
                <w:p w14:paraId="7A372F61">
                  <w:pPr>
                    <w:pStyle w:val="5"/>
                    <w:pageBreakBefore w:val="0"/>
                    <w:wordWrap/>
                    <w:overflowPunct/>
                    <w:topLinePunct w:val="0"/>
                    <w:autoSpaceDE/>
                    <w:autoSpaceDN/>
                    <w:bidi w:val="0"/>
                    <w:snapToGrid w:val="0"/>
                    <w:spacing w:beforeAutospacing="0" w:afterAutospacing="0" w:line="480" w:lineRule="exact"/>
                    <w:ind w:left="0" w:firstLine="0" w:firstLineChars="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0.3mA～3mA</w:t>
                  </w:r>
                </w:p>
              </w:tc>
              <w:tc>
                <w:tcPr>
                  <w:tcW w:w="3855" w:type="dxa"/>
                  <w:gridSpan w:val="5"/>
                  <w:tcBorders>
                    <w:tl2br w:val="nil"/>
                    <w:tr2bl w:val="nil"/>
                  </w:tcBorders>
                  <w:vAlign w:val="center"/>
                </w:tcPr>
                <w:p w14:paraId="490FE5BE">
                  <w:pPr>
                    <w:pageBreakBefore w:val="0"/>
                    <w:wordWrap/>
                    <w:overflowPunct/>
                    <w:topLinePunct w:val="0"/>
                    <w:autoSpaceDE/>
                    <w:autoSpaceDN/>
                    <w:bidi w:val="0"/>
                    <w:snapToGrid w:val="0"/>
                    <w:spacing w:beforeAutospacing="0" w:afterAutospacing="0" w:line="480" w:lineRule="exact"/>
                    <w:ind w:left="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≤0.04*(3mA/I)         </w:t>
                  </w:r>
                </w:p>
                <w:p w14:paraId="4EDB4DEB">
                  <w:pPr>
                    <w:pageBreakBefore w:val="0"/>
                    <w:wordWrap/>
                    <w:overflowPunct/>
                    <w:topLinePunct w:val="0"/>
                    <w:autoSpaceDE/>
                    <w:autoSpaceDN/>
                    <w:bidi w:val="0"/>
                    <w:snapToGrid w:val="0"/>
                    <w:spacing w:beforeAutospacing="0" w:afterAutospacing="0" w:line="480" w:lineRule="exact"/>
                    <w:ind w:left="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说明：I是当前电流</w:t>
                  </w:r>
                </w:p>
              </w:tc>
            </w:tr>
            <w:tr w14:paraId="29984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6" w:type="dxa"/>
                  <w:tcBorders>
                    <w:tl2br w:val="nil"/>
                    <w:tr2bl w:val="nil"/>
                  </w:tcBorders>
                </w:tcPr>
                <w:p w14:paraId="50DC255E">
                  <w:pPr>
                    <w:pStyle w:val="5"/>
                    <w:pageBreakBefore w:val="0"/>
                    <w:wordWrap/>
                    <w:overflowPunct/>
                    <w:topLinePunct w:val="0"/>
                    <w:autoSpaceDE/>
                    <w:autoSpaceDN/>
                    <w:bidi w:val="0"/>
                    <w:snapToGrid w:val="0"/>
                    <w:spacing w:beforeAutospacing="0" w:afterAutospacing="0" w:line="480" w:lineRule="exact"/>
                    <w:ind w:left="0" w:firstLine="0" w:firstLineChars="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功率、电能测量</w:t>
                  </w:r>
                </w:p>
              </w:tc>
              <w:tc>
                <w:tcPr>
                  <w:tcW w:w="5179" w:type="dxa"/>
                  <w:gridSpan w:val="8"/>
                  <w:tcBorders>
                    <w:tl2br w:val="nil"/>
                    <w:tr2bl w:val="nil"/>
                  </w:tcBorders>
                </w:tcPr>
                <w:p w14:paraId="732978B1">
                  <w:pPr>
                    <w:pStyle w:val="4"/>
                    <w:pageBreakBefore w:val="0"/>
                    <w:wordWrap/>
                    <w:overflowPunct/>
                    <w:topLinePunct w:val="0"/>
                    <w:autoSpaceDE/>
                    <w:autoSpaceDN/>
                    <w:bidi w:val="0"/>
                    <w:snapToGrid w:val="0"/>
                    <w:spacing w:before="0" w:beforeAutospacing="0" w:after="0" w:afterAutospacing="0" w:line="480" w:lineRule="exact"/>
                    <w:ind w:left="0" w:firstLine="0" w:firstLineChars="0"/>
                    <w:jc w:val="left"/>
                    <w:outlineLvl w:val="3"/>
                    <w:rPr>
                      <w:rFonts w:hint="eastAsia" w:ascii="宋体" w:hAnsi="宋体" w:eastAsia="宋体" w:cs="宋体"/>
                      <w:b w:val="0"/>
                      <w:color w:val="auto"/>
                      <w:kern w:val="0"/>
                      <w:sz w:val="21"/>
                      <w:szCs w:val="21"/>
                      <w:highlight w:val="none"/>
                      <w:lang w:eastAsia="zh-CN"/>
                    </w:rPr>
                  </w:pPr>
                  <w:r>
                    <w:rPr>
                      <w:rFonts w:hint="eastAsia" w:ascii="宋体" w:hAnsi="宋体" w:eastAsia="宋体" w:cs="宋体"/>
                      <w:b w:val="0"/>
                      <w:color w:val="auto"/>
                      <w:kern w:val="0"/>
                      <w:sz w:val="21"/>
                      <w:szCs w:val="21"/>
                      <w:highlight w:val="none"/>
                      <w:lang w:eastAsia="zh-CN"/>
                    </w:rPr>
                    <w:t>COS（</w:t>
                  </w:r>
                  <w:r>
                    <w:rPr>
                      <w:rFonts w:hint="eastAsia" w:ascii="宋体" w:hAnsi="宋体" w:eastAsia="宋体" w:cs="宋体"/>
                      <w:b w:val="0"/>
                      <w:color w:val="auto"/>
                      <w:kern w:val="0"/>
                      <w:sz w:val="21"/>
                      <w:szCs w:val="21"/>
                      <w:highlight w:val="none"/>
                    </w:rPr>
                    <w:t>Φ</w:t>
                  </w:r>
                  <w:r>
                    <w:rPr>
                      <w:rFonts w:hint="eastAsia" w:ascii="宋体" w:hAnsi="宋体" w:eastAsia="宋体" w:cs="宋体"/>
                      <w:b w:val="0"/>
                      <w:color w:val="auto"/>
                      <w:kern w:val="0"/>
                      <w:sz w:val="21"/>
                      <w:szCs w:val="21"/>
                      <w:highlight w:val="none"/>
                      <w:lang w:eastAsia="zh-CN"/>
                    </w:rPr>
                    <w:t>）=0.25L、0.25C条件下测量满足下表要求。</w:t>
                  </w:r>
                </w:p>
                <w:p w14:paraId="293DF29A">
                  <w:pPr>
                    <w:pageBreakBefore w:val="0"/>
                    <w:wordWrap/>
                    <w:overflowPunct/>
                    <w:topLinePunct w:val="0"/>
                    <w:autoSpaceDE/>
                    <w:autoSpaceDN/>
                    <w:bidi w:val="0"/>
                    <w:snapToGrid w:val="0"/>
                    <w:spacing w:beforeAutospacing="0" w:afterAutospacing="0" w:line="480" w:lineRule="exact"/>
                    <w:ind w:left="0"/>
                    <w:rPr>
                      <w:rFonts w:hint="eastAsia" w:ascii="宋体" w:hAnsi="宋体" w:eastAsia="宋体" w:cs="宋体"/>
                      <w:color w:val="auto"/>
                      <w:kern w:val="0"/>
                      <w:sz w:val="21"/>
                      <w:szCs w:val="21"/>
                      <w:highlight w:val="none"/>
                    </w:rPr>
                  </w:pPr>
                </w:p>
              </w:tc>
            </w:tr>
            <w:tr w14:paraId="493A9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6" w:type="dxa"/>
                  <w:tcBorders>
                    <w:tl2br w:val="nil"/>
                    <w:tr2bl w:val="nil"/>
                  </w:tcBorders>
                  <w:vAlign w:val="center"/>
                </w:tcPr>
                <w:p w14:paraId="4907C501">
                  <w:pPr>
                    <w:pageBreakBefore w:val="0"/>
                    <w:wordWrap/>
                    <w:overflowPunct/>
                    <w:topLinePunct w:val="0"/>
                    <w:autoSpaceDE/>
                    <w:autoSpaceDN/>
                    <w:bidi w:val="0"/>
                    <w:snapToGrid w:val="0"/>
                    <w:spacing w:beforeAutospacing="0" w:afterAutospacing="0" w:line="480" w:lineRule="exact"/>
                    <w:ind w:left="0" w:leftChars="0" w:firstLine="0" w:firstLineChars="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电压范围</w:t>
                  </w:r>
                </w:p>
              </w:tc>
              <w:tc>
                <w:tcPr>
                  <w:tcW w:w="1264" w:type="dxa"/>
                  <w:gridSpan w:val="2"/>
                  <w:tcBorders>
                    <w:tl2br w:val="nil"/>
                    <w:tr2bl w:val="nil"/>
                  </w:tcBorders>
                  <w:vAlign w:val="center"/>
                </w:tcPr>
                <w:p w14:paraId="17E70122">
                  <w:pPr>
                    <w:pageBreakBefore w:val="0"/>
                    <w:wordWrap/>
                    <w:overflowPunct/>
                    <w:topLinePunct w:val="0"/>
                    <w:autoSpaceDE/>
                    <w:autoSpaceDN/>
                    <w:bidi w:val="0"/>
                    <w:snapToGrid w:val="0"/>
                    <w:spacing w:beforeAutospacing="0" w:afterAutospacing="0" w:line="480" w:lineRule="exact"/>
                    <w:ind w:left="0" w:leftChars="0" w:firstLine="0" w:firstLineChars="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电流范围</w:t>
                  </w:r>
                </w:p>
              </w:tc>
              <w:tc>
                <w:tcPr>
                  <w:tcW w:w="1275" w:type="dxa"/>
                  <w:gridSpan w:val="3"/>
                  <w:tcBorders>
                    <w:tl2br w:val="nil"/>
                    <w:tr2bl w:val="nil"/>
                  </w:tcBorders>
                  <w:vAlign w:val="center"/>
                </w:tcPr>
                <w:p w14:paraId="7166800F">
                  <w:pPr>
                    <w:pageBreakBefore w:val="0"/>
                    <w:wordWrap/>
                    <w:overflowPunct/>
                    <w:topLinePunct w:val="0"/>
                    <w:autoSpaceDE/>
                    <w:autoSpaceDN/>
                    <w:bidi w:val="0"/>
                    <w:snapToGrid w:val="0"/>
                    <w:spacing w:beforeAutospacing="0" w:afterAutospacing="0" w:line="480" w:lineRule="exact"/>
                    <w:ind w:left="0" w:leftChars="0" w:firstLine="0" w:firstLineChars="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测量误差*</w:t>
                  </w:r>
                </w:p>
              </w:tc>
              <w:tc>
                <w:tcPr>
                  <w:tcW w:w="1125" w:type="dxa"/>
                  <w:gridSpan w:val="2"/>
                  <w:tcBorders>
                    <w:tl2br w:val="nil"/>
                    <w:tr2bl w:val="nil"/>
                  </w:tcBorders>
                  <w:vAlign w:val="center"/>
                </w:tcPr>
                <w:p w14:paraId="1EE4AF15">
                  <w:pPr>
                    <w:pageBreakBefore w:val="0"/>
                    <w:wordWrap/>
                    <w:overflowPunct/>
                    <w:topLinePunct w:val="0"/>
                    <w:autoSpaceDE/>
                    <w:autoSpaceDN/>
                    <w:bidi w:val="0"/>
                    <w:snapToGrid w:val="0"/>
                    <w:spacing w:beforeAutospacing="0" w:afterAutospacing="0" w:line="480" w:lineRule="exact"/>
                    <w:ind w:left="0"/>
                    <w:rPr>
                      <w:rFonts w:hint="eastAsia" w:ascii="宋体" w:hAnsi="宋体" w:eastAsia="宋体" w:cs="宋体"/>
                      <w:color w:val="auto"/>
                      <w:kern w:val="0"/>
                      <w:sz w:val="21"/>
                      <w:szCs w:val="21"/>
                      <w:highlight w:val="none"/>
                    </w:rPr>
                  </w:pPr>
                </w:p>
              </w:tc>
              <w:tc>
                <w:tcPr>
                  <w:tcW w:w="1515" w:type="dxa"/>
                  <w:tcBorders>
                    <w:tl2br w:val="nil"/>
                    <w:tr2bl w:val="nil"/>
                  </w:tcBorders>
                  <w:vAlign w:val="center"/>
                </w:tcPr>
                <w:p w14:paraId="628D3232">
                  <w:pPr>
                    <w:pageBreakBefore w:val="0"/>
                    <w:wordWrap/>
                    <w:overflowPunct/>
                    <w:topLinePunct w:val="0"/>
                    <w:autoSpaceDE/>
                    <w:autoSpaceDN/>
                    <w:bidi w:val="0"/>
                    <w:snapToGrid w:val="0"/>
                    <w:spacing w:beforeAutospacing="0" w:afterAutospacing="0" w:line="480" w:lineRule="exact"/>
                    <w:ind w:left="0" w:leftChars="0" w:firstLine="0" w:firstLineChars="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年变差*</w:t>
                  </w:r>
                </w:p>
              </w:tc>
            </w:tr>
            <w:tr w14:paraId="42AEF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6" w:type="dxa"/>
                  <w:tcBorders>
                    <w:tl2br w:val="nil"/>
                    <w:tr2bl w:val="nil"/>
                  </w:tcBorders>
                  <w:vAlign w:val="center"/>
                </w:tcPr>
                <w:p w14:paraId="4E70C1E3">
                  <w:pPr>
                    <w:pageBreakBefore w:val="0"/>
                    <w:wordWrap/>
                    <w:overflowPunct/>
                    <w:topLinePunct w:val="0"/>
                    <w:autoSpaceDE/>
                    <w:autoSpaceDN/>
                    <w:bidi w:val="0"/>
                    <w:snapToGrid w:val="0"/>
                    <w:spacing w:beforeAutospacing="0" w:afterAutospacing="0" w:line="480" w:lineRule="exact"/>
                    <w:ind w:left="0" w:leftChars="0" w:firstLine="0" w:firstLineChars="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30V～380V</w:t>
                  </w:r>
                </w:p>
              </w:tc>
              <w:tc>
                <w:tcPr>
                  <w:tcW w:w="1264" w:type="dxa"/>
                  <w:gridSpan w:val="2"/>
                  <w:tcBorders>
                    <w:tl2br w:val="nil"/>
                    <w:tr2bl w:val="nil"/>
                  </w:tcBorders>
                  <w:vAlign w:val="center"/>
                </w:tcPr>
                <w:p w14:paraId="2080D37D">
                  <w:pPr>
                    <w:pageBreakBefore w:val="0"/>
                    <w:wordWrap/>
                    <w:overflowPunct/>
                    <w:topLinePunct w:val="0"/>
                    <w:autoSpaceDE/>
                    <w:autoSpaceDN/>
                    <w:bidi w:val="0"/>
                    <w:snapToGrid w:val="0"/>
                    <w:spacing w:beforeAutospacing="0" w:afterAutospacing="0" w:line="480" w:lineRule="exact"/>
                    <w:ind w:left="0" w:leftChars="0" w:firstLine="0" w:firstLineChars="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10mA～120A</w:t>
                  </w:r>
                </w:p>
              </w:tc>
              <w:tc>
                <w:tcPr>
                  <w:tcW w:w="1275" w:type="dxa"/>
                  <w:gridSpan w:val="3"/>
                  <w:tcBorders>
                    <w:tl2br w:val="nil"/>
                    <w:tr2bl w:val="nil"/>
                  </w:tcBorders>
                  <w:vAlign w:val="center"/>
                </w:tcPr>
                <w:p w14:paraId="22AB78A8">
                  <w:pPr>
                    <w:pageBreakBefore w:val="0"/>
                    <w:wordWrap/>
                    <w:overflowPunct/>
                    <w:topLinePunct w:val="0"/>
                    <w:autoSpaceDE/>
                    <w:autoSpaceDN/>
                    <w:bidi w:val="0"/>
                    <w:snapToGrid w:val="0"/>
                    <w:spacing w:beforeAutospacing="0" w:afterAutospacing="0" w:line="480" w:lineRule="exact"/>
                    <w:ind w:left="0" w:leftChars="0" w:firstLine="0" w:firstLineChars="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≤500ppm</w:t>
                  </w:r>
                </w:p>
              </w:tc>
              <w:tc>
                <w:tcPr>
                  <w:tcW w:w="1125" w:type="dxa"/>
                  <w:gridSpan w:val="2"/>
                  <w:tcBorders>
                    <w:tl2br w:val="nil"/>
                    <w:tr2bl w:val="nil"/>
                  </w:tcBorders>
                  <w:vAlign w:val="center"/>
                </w:tcPr>
                <w:p w14:paraId="32D08A6E">
                  <w:pPr>
                    <w:pageBreakBefore w:val="0"/>
                    <w:wordWrap/>
                    <w:overflowPunct/>
                    <w:topLinePunct w:val="0"/>
                    <w:autoSpaceDE/>
                    <w:autoSpaceDN/>
                    <w:bidi w:val="0"/>
                    <w:snapToGrid w:val="0"/>
                    <w:spacing w:beforeAutospacing="0" w:afterAutospacing="0" w:line="480" w:lineRule="exact"/>
                    <w:ind w:left="0"/>
                    <w:rPr>
                      <w:rFonts w:hint="eastAsia" w:ascii="宋体" w:hAnsi="宋体" w:eastAsia="宋体" w:cs="宋体"/>
                      <w:color w:val="auto"/>
                      <w:kern w:val="0"/>
                      <w:sz w:val="21"/>
                      <w:szCs w:val="21"/>
                      <w:highlight w:val="none"/>
                    </w:rPr>
                  </w:pPr>
                </w:p>
              </w:tc>
              <w:tc>
                <w:tcPr>
                  <w:tcW w:w="1515" w:type="dxa"/>
                  <w:tcBorders>
                    <w:tl2br w:val="nil"/>
                    <w:tr2bl w:val="nil"/>
                  </w:tcBorders>
                  <w:vAlign w:val="center"/>
                </w:tcPr>
                <w:p w14:paraId="4093BD04">
                  <w:pPr>
                    <w:pageBreakBefore w:val="0"/>
                    <w:wordWrap/>
                    <w:overflowPunct/>
                    <w:topLinePunct w:val="0"/>
                    <w:autoSpaceDE/>
                    <w:autoSpaceDN/>
                    <w:bidi w:val="0"/>
                    <w:snapToGrid w:val="0"/>
                    <w:spacing w:beforeAutospacing="0" w:afterAutospacing="0" w:line="480" w:lineRule="exact"/>
                    <w:ind w:left="0" w:leftChars="0" w:firstLine="0" w:firstLineChars="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≤100ppm</w:t>
                  </w:r>
                </w:p>
              </w:tc>
            </w:tr>
            <w:tr w14:paraId="0E0EC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15" w:type="dxa"/>
                  <w:gridSpan w:val="9"/>
                  <w:tcBorders>
                    <w:tl2br w:val="nil"/>
                    <w:tr2bl w:val="nil"/>
                  </w:tcBorders>
                  <w:vAlign w:val="center"/>
                </w:tcPr>
                <w:p w14:paraId="69057157">
                  <w:pPr>
                    <w:pageBreakBefore w:val="0"/>
                    <w:wordWrap/>
                    <w:overflowPunct/>
                    <w:topLinePunct w:val="0"/>
                    <w:autoSpaceDE/>
                    <w:autoSpaceDN/>
                    <w:bidi w:val="0"/>
                    <w:snapToGrid w:val="0"/>
                    <w:spacing w:beforeAutospacing="0" w:afterAutospacing="0" w:line="480" w:lineRule="exact"/>
                    <w:ind w:left="0"/>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频率测量</w:t>
                  </w:r>
                </w:p>
              </w:tc>
            </w:tr>
            <w:tr w14:paraId="6661E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5" w:type="dxa"/>
                  <w:gridSpan w:val="2"/>
                  <w:tcBorders>
                    <w:tl2br w:val="nil"/>
                    <w:tr2bl w:val="nil"/>
                  </w:tcBorders>
                  <w:vAlign w:val="center"/>
                </w:tcPr>
                <w:p w14:paraId="47083BA5">
                  <w:pPr>
                    <w:pageBreakBefore w:val="0"/>
                    <w:wordWrap/>
                    <w:overflowPunct/>
                    <w:topLinePunct w:val="0"/>
                    <w:autoSpaceDE/>
                    <w:autoSpaceDN/>
                    <w:bidi w:val="0"/>
                    <w:snapToGrid w:val="0"/>
                    <w:spacing w:beforeAutospacing="0" w:afterAutospacing="0" w:line="480" w:lineRule="exact"/>
                    <w:ind w:left="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频率范围</w:t>
                  </w:r>
                </w:p>
              </w:tc>
              <w:tc>
                <w:tcPr>
                  <w:tcW w:w="1455" w:type="dxa"/>
                  <w:gridSpan w:val="3"/>
                  <w:tcBorders>
                    <w:tl2br w:val="nil"/>
                    <w:tr2bl w:val="nil"/>
                  </w:tcBorders>
                  <w:vAlign w:val="center"/>
                </w:tcPr>
                <w:p w14:paraId="213DFAA1">
                  <w:pPr>
                    <w:pageBreakBefore w:val="0"/>
                    <w:wordWrap/>
                    <w:overflowPunct/>
                    <w:topLinePunct w:val="0"/>
                    <w:autoSpaceDE/>
                    <w:autoSpaceDN/>
                    <w:bidi w:val="0"/>
                    <w:snapToGrid w:val="0"/>
                    <w:spacing w:beforeAutospacing="0" w:afterAutospacing="0" w:line="480" w:lineRule="exact"/>
                    <w:ind w:left="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测量误差*</w:t>
                  </w:r>
                </w:p>
              </w:tc>
              <w:tc>
                <w:tcPr>
                  <w:tcW w:w="1380" w:type="dxa"/>
                  <w:gridSpan w:val="3"/>
                  <w:tcBorders>
                    <w:tl2br w:val="nil"/>
                    <w:tr2bl w:val="nil"/>
                  </w:tcBorders>
                  <w:vAlign w:val="center"/>
                </w:tcPr>
                <w:p w14:paraId="77D998F7">
                  <w:pPr>
                    <w:pageBreakBefore w:val="0"/>
                    <w:wordWrap/>
                    <w:overflowPunct/>
                    <w:topLinePunct w:val="0"/>
                    <w:autoSpaceDE/>
                    <w:autoSpaceDN/>
                    <w:bidi w:val="0"/>
                    <w:snapToGrid w:val="0"/>
                    <w:spacing w:beforeAutospacing="0" w:afterAutospacing="0" w:line="480" w:lineRule="exact"/>
                    <w:ind w:left="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月变差*</w:t>
                  </w:r>
                </w:p>
              </w:tc>
              <w:tc>
                <w:tcPr>
                  <w:tcW w:w="1515" w:type="dxa"/>
                  <w:tcBorders>
                    <w:tl2br w:val="nil"/>
                    <w:tr2bl w:val="nil"/>
                  </w:tcBorders>
                  <w:vAlign w:val="center"/>
                </w:tcPr>
                <w:p w14:paraId="7B53E97C">
                  <w:pPr>
                    <w:pageBreakBefore w:val="0"/>
                    <w:wordWrap/>
                    <w:overflowPunct/>
                    <w:topLinePunct w:val="0"/>
                    <w:autoSpaceDE/>
                    <w:autoSpaceDN/>
                    <w:bidi w:val="0"/>
                    <w:snapToGrid w:val="0"/>
                    <w:spacing w:beforeAutospacing="0" w:afterAutospacing="0" w:line="480" w:lineRule="exact"/>
                    <w:ind w:left="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年变差*</w:t>
                  </w:r>
                </w:p>
              </w:tc>
            </w:tr>
            <w:tr w14:paraId="5FAA4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5" w:type="dxa"/>
                  <w:gridSpan w:val="2"/>
                  <w:tcBorders>
                    <w:tl2br w:val="nil"/>
                    <w:tr2bl w:val="nil"/>
                  </w:tcBorders>
                  <w:vAlign w:val="center"/>
                </w:tcPr>
                <w:p w14:paraId="1A4F1CFD">
                  <w:pPr>
                    <w:pageBreakBefore w:val="0"/>
                    <w:wordWrap/>
                    <w:overflowPunct/>
                    <w:topLinePunct w:val="0"/>
                    <w:autoSpaceDE/>
                    <w:autoSpaceDN/>
                    <w:bidi w:val="0"/>
                    <w:snapToGrid w:val="0"/>
                    <w:spacing w:beforeAutospacing="0" w:afterAutospacing="0" w:line="480" w:lineRule="exact"/>
                    <w:ind w:left="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45～70Hz</w:t>
                  </w:r>
                </w:p>
              </w:tc>
              <w:tc>
                <w:tcPr>
                  <w:tcW w:w="1455" w:type="dxa"/>
                  <w:gridSpan w:val="3"/>
                  <w:tcBorders>
                    <w:tl2br w:val="nil"/>
                    <w:tr2bl w:val="nil"/>
                  </w:tcBorders>
                  <w:vAlign w:val="center"/>
                </w:tcPr>
                <w:p w14:paraId="41E24EE1">
                  <w:pPr>
                    <w:pageBreakBefore w:val="0"/>
                    <w:wordWrap/>
                    <w:overflowPunct/>
                    <w:topLinePunct w:val="0"/>
                    <w:autoSpaceDE/>
                    <w:autoSpaceDN/>
                    <w:bidi w:val="0"/>
                    <w:snapToGrid w:val="0"/>
                    <w:spacing w:beforeAutospacing="0" w:afterAutospacing="0" w:line="480" w:lineRule="exact"/>
                    <w:ind w:left="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≤1ppm</w:t>
                  </w:r>
                </w:p>
              </w:tc>
              <w:tc>
                <w:tcPr>
                  <w:tcW w:w="1380" w:type="dxa"/>
                  <w:gridSpan w:val="3"/>
                  <w:tcBorders>
                    <w:tl2br w:val="nil"/>
                    <w:tr2bl w:val="nil"/>
                  </w:tcBorders>
                  <w:vAlign w:val="center"/>
                </w:tcPr>
                <w:p w14:paraId="0F53E5A3">
                  <w:pPr>
                    <w:pageBreakBefore w:val="0"/>
                    <w:wordWrap/>
                    <w:overflowPunct/>
                    <w:topLinePunct w:val="0"/>
                    <w:autoSpaceDE/>
                    <w:autoSpaceDN/>
                    <w:bidi w:val="0"/>
                    <w:snapToGrid w:val="0"/>
                    <w:spacing w:beforeAutospacing="0" w:afterAutospacing="0" w:line="480" w:lineRule="exact"/>
                    <w:ind w:left="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≤0.3ppm</w:t>
                  </w:r>
                </w:p>
              </w:tc>
              <w:tc>
                <w:tcPr>
                  <w:tcW w:w="1515" w:type="dxa"/>
                  <w:tcBorders>
                    <w:tl2br w:val="nil"/>
                    <w:tr2bl w:val="nil"/>
                  </w:tcBorders>
                  <w:vAlign w:val="center"/>
                </w:tcPr>
                <w:p w14:paraId="244EC77E">
                  <w:pPr>
                    <w:pageBreakBefore w:val="0"/>
                    <w:wordWrap/>
                    <w:overflowPunct/>
                    <w:topLinePunct w:val="0"/>
                    <w:autoSpaceDE/>
                    <w:autoSpaceDN/>
                    <w:bidi w:val="0"/>
                    <w:snapToGrid w:val="0"/>
                    <w:spacing w:beforeAutospacing="0" w:afterAutospacing="0" w:line="480" w:lineRule="exact"/>
                    <w:ind w:left="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≤1.5ppm</w:t>
                  </w:r>
                </w:p>
              </w:tc>
            </w:tr>
          </w:tbl>
          <w:tbl>
            <w:tblPr>
              <w:tblStyle w:val="11"/>
              <w:tblW w:w="6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25"/>
              <w:gridCol w:w="3975"/>
            </w:tblGrid>
            <w:tr w14:paraId="5FAE7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325" w:type="dxa"/>
                  <w:tcBorders>
                    <w:tl2br w:val="nil"/>
                    <w:tr2bl w:val="nil"/>
                  </w:tcBorders>
                  <w:vAlign w:val="center"/>
                </w:tcPr>
                <w:p w14:paraId="0600641D">
                  <w:pPr>
                    <w:pStyle w:val="7"/>
                    <w:pageBreakBefore w:val="0"/>
                    <w:wordWrap/>
                    <w:overflowPunct/>
                    <w:topLinePunct w:val="0"/>
                    <w:autoSpaceDE/>
                    <w:autoSpaceDN/>
                    <w:bidi w:val="0"/>
                    <w:snapToGrid w:val="0"/>
                    <w:spacing w:beforeAutospacing="0" w:afterAutospacing="0" w:line="480" w:lineRule="exact"/>
                    <w:ind w:lef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电能脉冲输出</w:t>
                  </w:r>
                </w:p>
              </w:tc>
              <w:tc>
                <w:tcPr>
                  <w:tcW w:w="3975" w:type="dxa"/>
                  <w:tcBorders>
                    <w:tl2br w:val="nil"/>
                    <w:tr2bl w:val="nil"/>
                  </w:tcBorders>
                  <w:vAlign w:val="center"/>
                </w:tcPr>
                <w:p w14:paraId="727AE13B">
                  <w:pPr>
                    <w:pageBreakBefore w:val="0"/>
                    <w:wordWrap/>
                    <w:overflowPunct/>
                    <w:topLinePunct w:val="0"/>
                    <w:autoSpaceDE/>
                    <w:autoSpaceDN/>
                    <w:bidi w:val="0"/>
                    <w:snapToGrid w:val="0"/>
                    <w:spacing w:beforeAutospacing="0" w:afterAutospacing="0" w:line="480" w:lineRule="exact"/>
                    <w:ind w:lef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最高频率：120kHz</w:t>
                  </w:r>
                </w:p>
                <w:p w14:paraId="00D7EC3E">
                  <w:pPr>
                    <w:pageBreakBefore w:val="0"/>
                    <w:wordWrap/>
                    <w:overflowPunct/>
                    <w:topLinePunct w:val="0"/>
                    <w:autoSpaceDE/>
                    <w:autoSpaceDN/>
                    <w:bidi w:val="0"/>
                    <w:snapToGrid w:val="0"/>
                    <w:spacing w:beforeAutospacing="0" w:afterAutospacing="0" w:line="480" w:lineRule="exact"/>
                    <w:ind w:lef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电平：TTL</w:t>
                  </w:r>
                </w:p>
                <w:p w14:paraId="1AB5FD02">
                  <w:pPr>
                    <w:pageBreakBefore w:val="0"/>
                    <w:wordWrap/>
                    <w:overflowPunct/>
                    <w:topLinePunct w:val="0"/>
                    <w:autoSpaceDE/>
                    <w:autoSpaceDN/>
                    <w:bidi w:val="0"/>
                    <w:snapToGrid w:val="0"/>
                    <w:spacing w:beforeAutospacing="0" w:afterAutospacing="0" w:line="480" w:lineRule="exact"/>
                    <w:ind w:lef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负载能力：20mA</w:t>
                  </w:r>
                </w:p>
              </w:tc>
            </w:tr>
            <w:tr w14:paraId="6C3D7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4" w:hRule="atLeast"/>
                <w:jc w:val="center"/>
              </w:trPr>
              <w:tc>
                <w:tcPr>
                  <w:tcW w:w="2325" w:type="dxa"/>
                  <w:tcBorders>
                    <w:tl2br w:val="nil"/>
                    <w:tr2bl w:val="nil"/>
                  </w:tcBorders>
                  <w:vAlign w:val="center"/>
                </w:tcPr>
                <w:p w14:paraId="3BFAFFD0">
                  <w:pPr>
                    <w:pStyle w:val="7"/>
                    <w:pageBreakBefore w:val="0"/>
                    <w:wordWrap/>
                    <w:overflowPunct/>
                    <w:topLinePunct w:val="0"/>
                    <w:autoSpaceDE/>
                    <w:autoSpaceDN/>
                    <w:bidi w:val="0"/>
                    <w:snapToGrid w:val="0"/>
                    <w:spacing w:beforeAutospacing="0" w:afterAutospacing="0" w:line="480" w:lineRule="exact"/>
                    <w:ind w:lef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电能脉冲输入</w:t>
                  </w:r>
                </w:p>
              </w:tc>
              <w:tc>
                <w:tcPr>
                  <w:tcW w:w="3975" w:type="dxa"/>
                  <w:tcBorders>
                    <w:tl2br w:val="nil"/>
                    <w:tr2bl w:val="nil"/>
                  </w:tcBorders>
                  <w:vAlign w:val="center"/>
                </w:tcPr>
                <w:p w14:paraId="03FA6955">
                  <w:pPr>
                    <w:pageBreakBefore w:val="0"/>
                    <w:wordWrap/>
                    <w:overflowPunct/>
                    <w:topLinePunct w:val="0"/>
                    <w:autoSpaceDE/>
                    <w:autoSpaceDN/>
                    <w:bidi w:val="0"/>
                    <w:snapToGrid w:val="0"/>
                    <w:spacing w:beforeAutospacing="0" w:afterAutospacing="0" w:line="480" w:lineRule="exact"/>
                    <w:ind w:lef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最高接收脉冲频率：120kHz</w:t>
                  </w:r>
                </w:p>
              </w:tc>
            </w:tr>
          </w:tbl>
          <w:p w14:paraId="34C55A73">
            <w:pPr>
              <w:pStyle w:val="7"/>
              <w:pageBreakBefore w:val="0"/>
              <w:wordWrap/>
              <w:overflowPunct/>
              <w:topLinePunct w:val="0"/>
              <w:autoSpaceDE/>
              <w:autoSpaceDN/>
              <w:bidi w:val="0"/>
              <w:snapToGrid w:val="0"/>
              <w:spacing w:beforeAutospacing="0" w:afterAutospacing="0" w:line="480" w:lineRule="exact"/>
              <w:ind w:left="0" w:firstLine="420" w:firstLineChars="200"/>
              <w:rPr>
                <w:rFonts w:hint="eastAsia" w:ascii="宋体" w:hAnsi="宋体" w:eastAsia="宋体" w:cs="宋体"/>
                <w:color w:val="auto"/>
                <w:sz w:val="21"/>
                <w:szCs w:val="21"/>
                <w:highlight w:val="none"/>
              </w:rPr>
            </w:pPr>
          </w:p>
          <w:p w14:paraId="6968A4A4">
            <w:pPr>
              <w:pageBreakBefore w:val="0"/>
              <w:wordWrap/>
              <w:overflowPunct/>
              <w:topLinePunct w:val="0"/>
              <w:autoSpaceDE/>
              <w:autoSpaceDN/>
              <w:bidi w:val="0"/>
              <w:snapToGrid w:val="0"/>
              <w:spacing w:beforeAutospacing="0" w:afterAutospacing="0" w:line="480" w:lineRule="exact"/>
              <w:ind w:left="0"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工作环境</w:t>
            </w:r>
          </w:p>
          <w:p w14:paraId="6813A6C6">
            <w:pPr>
              <w:pageBreakBefore w:val="0"/>
              <w:wordWrap/>
              <w:overflowPunct/>
              <w:topLinePunct w:val="0"/>
              <w:autoSpaceDE/>
              <w:autoSpaceDN/>
              <w:bidi w:val="0"/>
              <w:snapToGrid w:val="0"/>
              <w:spacing w:beforeAutospacing="0" w:afterAutospacing="0" w:line="480" w:lineRule="exact"/>
              <w:ind w:lef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使用温度：10℃～ +30℃</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 xml:space="preserve">相对湿度：≤85% </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海拔高度：&lt;2500m</w:t>
            </w:r>
          </w:p>
          <w:p w14:paraId="0EAC17FB">
            <w:pPr>
              <w:pageBreakBefore w:val="0"/>
              <w:wordWrap/>
              <w:overflowPunct/>
              <w:topLinePunct w:val="0"/>
              <w:autoSpaceDE/>
              <w:autoSpaceDN/>
              <w:bidi w:val="0"/>
              <w:snapToGrid w:val="0"/>
              <w:spacing w:beforeAutospacing="0" w:afterAutospacing="0" w:line="480" w:lineRule="exact"/>
              <w:ind w:left="0"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电源和功耗</w:t>
            </w:r>
          </w:p>
          <w:p w14:paraId="6AE8DC62">
            <w:pPr>
              <w:pStyle w:val="7"/>
              <w:pageBreakBefore w:val="0"/>
              <w:wordWrap/>
              <w:overflowPunct/>
              <w:topLinePunct w:val="0"/>
              <w:autoSpaceDE/>
              <w:autoSpaceDN/>
              <w:bidi w:val="0"/>
              <w:snapToGrid w:val="0"/>
              <w:spacing w:beforeAutospacing="0" w:afterAutospacing="0" w:line="480" w:lineRule="exact"/>
              <w:ind w:lef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适配器：直流24V </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功耗：&lt;30W</w:t>
            </w:r>
          </w:p>
          <w:p w14:paraId="70131A47">
            <w:pPr>
              <w:pStyle w:val="7"/>
              <w:pageBreakBefore w:val="0"/>
              <w:wordWrap/>
              <w:overflowPunct/>
              <w:topLinePunct w:val="0"/>
              <w:autoSpaceDE/>
              <w:autoSpaceDN/>
              <w:bidi w:val="0"/>
              <w:snapToGrid w:val="0"/>
              <w:spacing w:beforeAutospacing="0" w:afterAutospacing="0" w:line="480" w:lineRule="exact"/>
              <w:ind w:left="0" w:leftChars="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功能</w:t>
            </w:r>
          </w:p>
          <w:p w14:paraId="71010068">
            <w:pPr>
              <w:pageBreakBefore w:val="0"/>
              <w:wordWrap/>
              <w:overflowPunct/>
              <w:topLinePunct w:val="0"/>
              <w:autoSpaceDE/>
              <w:autoSpaceDN/>
              <w:bidi w:val="0"/>
              <w:adjustRightInd w:val="0"/>
              <w:snapToGrid w:val="0"/>
              <w:spacing w:beforeAutospacing="0" w:afterAutospacing="0" w:line="480" w:lineRule="exact"/>
              <w:ind w:left="0" w:leftChars="0" w:firstLine="0" w:firstLineChars="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电流测量范围：</w:t>
            </w:r>
            <w:r>
              <w:rPr>
                <w:rFonts w:hint="eastAsia" w:ascii="宋体" w:hAnsi="宋体" w:eastAsia="宋体" w:cs="宋体"/>
                <w:b/>
                <w:bCs/>
                <w:color w:val="auto"/>
                <w:sz w:val="21"/>
                <w:szCs w:val="21"/>
                <w:highlight w:val="none"/>
              </w:rPr>
              <w:t>0.3mA～120</w:t>
            </w:r>
            <w:r>
              <w:rPr>
                <w:rFonts w:hint="eastAsia" w:ascii="宋体" w:hAnsi="宋体" w:eastAsia="宋体" w:cs="宋体"/>
                <w:color w:val="auto"/>
                <w:sz w:val="21"/>
                <w:szCs w:val="21"/>
                <w:highlight w:val="none"/>
              </w:rPr>
              <w:t>A。</w:t>
            </w:r>
          </w:p>
          <w:p w14:paraId="405F8756">
            <w:pPr>
              <w:pageBreakBefore w:val="0"/>
              <w:wordWrap/>
              <w:overflowPunct/>
              <w:topLinePunct w:val="0"/>
              <w:autoSpaceDE/>
              <w:autoSpaceDN/>
              <w:bidi w:val="0"/>
              <w:adjustRightInd w:val="0"/>
              <w:snapToGrid w:val="0"/>
              <w:spacing w:beforeAutospacing="0" w:afterAutospacing="0" w:line="480" w:lineRule="exact"/>
              <w:ind w:left="0" w:leftChars="0" w:firstLine="0" w:firstLineChars="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电压测量范围：</w:t>
            </w:r>
            <w:r>
              <w:rPr>
                <w:rFonts w:hint="eastAsia" w:ascii="宋体" w:hAnsi="宋体" w:eastAsia="宋体" w:cs="宋体"/>
                <w:b/>
                <w:bCs/>
                <w:color w:val="auto"/>
                <w:sz w:val="21"/>
                <w:szCs w:val="21"/>
                <w:highlight w:val="none"/>
              </w:rPr>
              <w:t>1V-500V</w:t>
            </w:r>
            <w:r>
              <w:rPr>
                <w:rFonts w:hint="eastAsia" w:ascii="宋体" w:hAnsi="宋体" w:eastAsia="宋体" w:cs="宋体"/>
                <w:color w:val="auto"/>
                <w:sz w:val="21"/>
                <w:szCs w:val="21"/>
                <w:highlight w:val="none"/>
              </w:rPr>
              <w:t>。</w:t>
            </w:r>
          </w:p>
          <w:p w14:paraId="26B8FF5C">
            <w:pPr>
              <w:pageBreakBefore w:val="0"/>
              <w:wordWrap/>
              <w:overflowPunct/>
              <w:topLinePunct w:val="0"/>
              <w:autoSpaceDE/>
              <w:autoSpaceDN/>
              <w:bidi w:val="0"/>
              <w:adjustRightInd w:val="0"/>
              <w:snapToGrid w:val="0"/>
              <w:spacing w:beforeAutospacing="0" w:afterAutospacing="0" w:line="480" w:lineRule="exact"/>
              <w:ind w:left="0" w:leftChars="0" w:firstLine="0" w:firstLineChars="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可对每相电压、电流的失真度进行测量、并对2～64次谐波进行分析处理、显示各次谐波含量（%）、谐波幅度，谐波相位大小及谐波功率测量。</w:t>
            </w:r>
          </w:p>
          <w:p w14:paraId="52BC7BC2">
            <w:pPr>
              <w:pageBreakBefore w:val="0"/>
              <w:wordWrap/>
              <w:overflowPunct/>
              <w:topLinePunct w:val="0"/>
              <w:autoSpaceDE/>
              <w:autoSpaceDN/>
              <w:bidi w:val="0"/>
              <w:adjustRightInd w:val="0"/>
              <w:snapToGrid w:val="0"/>
              <w:spacing w:beforeAutospacing="0" w:afterAutospacing="0" w:line="480" w:lineRule="exact"/>
              <w:ind w:left="0" w:leftChars="0" w:firstLine="0" w:firstLineChars="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能实时测量显示三相四线、三相三线方式下Pt(全波功率)、Pb(基波功率),Ph(谐波功率)等各种电量参数。</w:t>
            </w:r>
          </w:p>
          <w:p w14:paraId="74C13687">
            <w:pPr>
              <w:pageBreakBefore w:val="0"/>
              <w:wordWrap/>
              <w:overflowPunct/>
              <w:topLinePunct w:val="0"/>
              <w:autoSpaceDE/>
              <w:autoSpaceDN/>
              <w:bidi w:val="0"/>
              <w:adjustRightInd w:val="0"/>
              <w:snapToGrid w:val="0"/>
              <w:spacing w:beforeAutospacing="0" w:afterAutospacing="0" w:line="480" w:lineRule="exact"/>
              <w:ind w:left="0" w:leftChars="0" w:firstLine="0" w:firstLineChars="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可实时显示各相电压幅度、电流幅度、电压相位、电流相位、各相功率相角、功率因数、频率、等量。</w:t>
            </w:r>
          </w:p>
          <w:p w14:paraId="2F3591BE">
            <w:pPr>
              <w:pageBreakBefore w:val="0"/>
              <w:wordWrap/>
              <w:overflowPunct/>
              <w:topLinePunct w:val="0"/>
              <w:autoSpaceDE/>
              <w:autoSpaceDN/>
              <w:bidi w:val="0"/>
              <w:adjustRightInd w:val="0"/>
              <w:snapToGrid w:val="0"/>
              <w:spacing w:beforeAutospacing="0" w:afterAutospacing="0" w:line="480" w:lineRule="exact"/>
              <w:ind w:left="0" w:leftChars="0" w:firstLine="0" w:firstLineChars="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能测量三相四线、三相三线接线方式的各相有功功率、无功功率（真无功功率）、及总的有功功率/无功功率等量。</w:t>
            </w:r>
          </w:p>
          <w:p w14:paraId="7B91E61D">
            <w:pPr>
              <w:pageBreakBefore w:val="0"/>
              <w:wordWrap/>
              <w:overflowPunct/>
              <w:topLinePunct w:val="0"/>
              <w:autoSpaceDE/>
              <w:autoSpaceDN/>
              <w:bidi w:val="0"/>
              <w:adjustRightInd w:val="0"/>
              <w:snapToGrid w:val="0"/>
              <w:spacing w:beforeAutospacing="0" w:afterAutospacing="0" w:line="480" w:lineRule="exact"/>
              <w:ind w:left="0" w:leftChars="0" w:firstLine="0" w:firstLineChars="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能设置：三相四线（P4）有功、三相三线（P3）有功，三相四线真无功（Q4），三相三线真无功（Q3）等电能测量方式。</w:t>
            </w:r>
          </w:p>
          <w:p w14:paraId="7E1CE905">
            <w:pPr>
              <w:pageBreakBefore w:val="0"/>
              <w:wordWrap/>
              <w:overflowPunct/>
              <w:topLinePunct w:val="0"/>
              <w:autoSpaceDE/>
              <w:autoSpaceDN/>
              <w:bidi w:val="0"/>
              <w:adjustRightInd w:val="0"/>
              <w:snapToGrid w:val="0"/>
              <w:spacing w:beforeAutospacing="0" w:afterAutospacing="0" w:line="480" w:lineRule="exact"/>
              <w:ind w:left="0" w:leftChars="0" w:firstLine="0" w:firstLineChars="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有标准电能脉冲输出端口。</w:t>
            </w:r>
          </w:p>
          <w:p w14:paraId="1BD9AD40">
            <w:pPr>
              <w:pageBreakBefore w:val="0"/>
              <w:wordWrap/>
              <w:overflowPunct/>
              <w:topLinePunct w:val="0"/>
              <w:autoSpaceDE/>
              <w:autoSpaceDN/>
              <w:bidi w:val="0"/>
              <w:adjustRightInd w:val="0"/>
              <w:snapToGrid w:val="0"/>
              <w:spacing w:beforeAutospacing="0" w:afterAutospacing="0" w:line="480" w:lineRule="exact"/>
              <w:ind w:left="0" w:leftChars="0" w:firstLine="0" w:firstLineChars="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有电能脉冲输入端口，可实时检测各种有功电能表、无功电能表等。</w:t>
            </w:r>
          </w:p>
          <w:p w14:paraId="39EFBEB3">
            <w:pPr>
              <w:pageBreakBefore w:val="0"/>
              <w:wordWrap/>
              <w:overflowPunct/>
              <w:topLinePunct w:val="0"/>
              <w:autoSpaceDE/>
              <w:autoSpaceDN/>
              <w:bidi w:val="0"/>
              <w:adjustRightInd w:val="0"/>
              <w:snapToGrid w:val="0"/>
              <w:spacing w:beforeAutospacing="0" w:afterAutospacing="0" w:line="480" w:lineRule="exact"/>
              <w:ind w:left="0" w:leftChars="0" w:firstLine="0" w:firstLineChars="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配备有RS232接口，可与PC机联机通讯。</w:t>
            </w:r>
          </w:p>
          <w:p w14:paraId="656EE710">
            <w:pPr>
              <w:pStyle w:val="16"/>
              <w:pageBreakBefore w:val="0"/>
              <w:numPr>
                <w:ilvl w:val="0"/>
                <w:numId w:val="0"/>
              </w:numPr>
              <w:wordWrap/>
              <w:overflowPunct/>
              <w:topLinePunct w:val="0"/>
              <w:autoSpaceDE/>
              <w:autoSpaceDN/>
              <w:bidi w:val="0"/>
              <w:snapToGrid w:val="0"/>
              <w:spacing w:beforeAutospacing="0" w:afterAutospacing="0" w:line="480" w:lineRule="exact"/>
              <w:ind w:left="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3、</w:t>
            </w:r>
            <w:r>
              <w:rPr>
                <w:rFonts w:hint="eastAsia" w:ascii="宋体" w:hAnsi="宋体" w:eastAsia="宋体" w:cs="宋体"/>
                <w:b/>
                <w:color w:val="auto"/>
                <w:sz w:val="21"/>
                <w:szCs w:val="21"/>
                <w:highlight w:val="none"/>
              </w:rPr>
              <w:t>配置</w:t>
            </w:r>
          </w:p>
          <w:p w14:paraId="612E73A1">
            <w:pPr>
              <w:pageBreakBefore w:val="0"/>
              <w:wordWrap/>
              <w:overflowPunct/>
              <w:topLinePunct w:val="0"/>
              <w:autoSpaceDE/>
              <w:autoSpaceDN/>
              <w:bidi w:val="0"/>
              <w:snapToGrid w:val="0"/>
              <w:spacing w:beforeAutospacing="0" w:afterAutospacing="0" w:line="480" w:lineRule="exact"/>
              <w:ind w:left="0" w:leftChars="0" w:firstLine="279" w:firstLineChars="13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标准表的出厂时提供以下附件：</w:t>
            </w:r>
          </w:p>
          <w:p w14:paraId="230A4F14">
            <w:pPr>
              <w:pageBreakBefore w:val="0"/>
              <w:numPr>
                <w:ilvl w:val="0"/>
                <w:numId w:val="1"/>
              </w:numPr>
              <w:wordWrap/>
              <w:overflowPunct/>
              <w:topLinePunct w:val="0"/>
              <w:autoSpaceDE/>
              <w:autoSpaceDN/>
              <w:bidi w:val="0"/>
              <w:snapToGrid w:val="0"/>
              <w:spacing w:beforeAutospacing="0" w:afterAutospacing="0" w:line="480" w:lineRule="exact"/>
              <w:ind w:left="0" w:leftChars="0" w:firstLine="279" w:firstLineChars="13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主机便携箱一只</w:t>
            </w:r>
          </w:p>
          <w:p w14:paraId="0A9C6018">
            <w:pPr>
              <w:pageBreakBefore w:val="0"/>
              <w:numPr>
                <w:ilvl w:val="0"/>
                <w:numId w:val="1"/>
              </w:numPr>
              <w:wordWrap/>
              <w:overflowPunct/>
              <w:topLinePunct w:val="0"/>
              <w:autoSpaceDE/>
              <w:autoSpaceDN/>
              <w:bidi w:val="0"/>
              <w:snapToGrid w:val="0"/>
              <w:spacing w:beforeAutospacing="0" w:afterAutospacing="0" w:line="480" w:lineRule="exact"/>
              <w:ind w:left="0" w:leftChars="0" w:firstLine="279" w:firstLineChars="13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附件箱一只</w:t>
            </w:r>
          </w:p>
          <w:p w14:paraId="407E800C">
            <w:pPr>
              <w:pageBreakBefore w:val="0"/>
              <w:numPr>
                <w:ilvl w:val="0"/>
                <w:numId w:val="1"/>
              </w:numPr>
              <w:wordWrap/>
              <w:overflowPunct/>
              <w:topLinePunct w:val="0"/>
              <w:autoSpaceDE/>
              <w:autoSpaceDN/>
              <w:bidi w:val="0"/>
              <w:snapToGrid w:val="0"/>
              <w:spacing w:beforeAutospacing="0" w:afterAutospacing="0" w:line="480" w:lineRule="exact"/>
              <w:ind w:left="0" w:leftChars="0" w:firstLine="279" w:firstLineChars="13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电压、电流测试导线一套</w:t>
            </w:r>
          </w:p>
          <w:p w14:paraId="17494496">
            <w:pPr>
              <w:pageBreakBefore w:val="0"/>
              <w:numPr>
                <w:ilvl w:val="0"/>
                <w:numId w:val="1"/>
              </w:numPr>
              <w:wordWrap/>
              <w:overflowPunct/>
              <w:topLinePunct w:val="0"/>
              <w:autoSpaceDE/>
              <w:autoSpaceDN/>
              <w:bidi w:val="0"/>
              <w:snapToGrid w:val="0"/>
              <w:spacing w:beforeAutospacing="0" w:afterAutospacing="0" w:line="480" w:lineRule="exact"/>
              <w:ind w:left="0" w:leftChars="0" w:firstLine="279" w:firstLineChars="13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通讯线一根</w:t>
            </w:r>
          </w:p>
          <w:p w14:paraId="00FD1578">
            <w:pPr>
              <w:pageBreakBefore w:val="0"/>
              <w:numPr>
                <w:ilvl w:val="0"/>
                <w:numId w:val="1"/>
              </w:numPr>
              <w:wordWrap/>
              <w:overflowPunct/>
              <w:topLinePunct w:val="0"/>
              <w:autoSpaceDE/>
              <w:autoSpaceDN/>
              <w:bidi w:val="0"/>
              <w:snapToGrid w:val="0"/>
              <w:spacing w:beforeAutospacing="0" w:afterAutospacing="0" w:line="480" w:lineRule="exact"/>
              <w:ind w:left="0" w:leftChars="0" w:firstLine="279" w:firstLineChars="13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输入、输出脉冲线两根</w:t>
            </w:r>
          </w:p>
          <w:p w14:paraId="6C55824E">
            <w:pPr>
              <w:pageBreakBefore w:val="0"/>
              <w:numPr>
                <w:ilvl w:val="0"/>
                <w:numId w:val="1"/>
              </w:numPr>
              <w:wordWrap/>
              <w:overflowPunct/>
              <w:topLinePunct w:val="0"/>
              <w:autoSpaceDE/>
              <w:autoSpaceDN/>
              <w:bidi w:val="0"/>
              <w:snapToGrid w:val="0"/>
              <w:spacing w:beforeAutospacing="0" w:afterAutospacing="0" w:line="480" w:lineRule="exact"/>
              <w:ind w:left="0" w:leftChars="0" w:firstLine="279" w:firstLineChars="13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国标电源线一根</w:t>
            </w:r>
          </w:p>
          <w:p w14:paraId="5A52D07C">
            <w:pPr>
              <w:pageBreakBefore w:val="0"/>
              <w:numPr>
                <w:ilvl w:val="0"/>
                <w:numId w:val="1"/>
              </w:numPr>
              <w:wordWrap/>
              <w:overflowPunct/>
              <w:topLinePunct w:val="0"/>
              <w:autoSpaceDE/>
              <w:autoSpaceDN/>
              <w:bidi w:val="0"/>
              <w:snapToGrid w:val="0"/>
              <w:spacing w:beforeAutospacing="0" w:afterAutospacing="0" w:line="480" w:lineRule="exact"/>
              <w:ind w:left="0" w:leftChars="0" w:firstLine="279" w:firstLineChars="13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0.5A保险管五个</w:t>
            </w:r>
          </w:p>
          <w:p w14:paraId="666F986F">
            <w:pPr>
              <w:pageBreakBefore w:val="0"/>
              <w:numPr>
                <w:ilvl w:val="0"/>
                <w:numId w:val="1"/>
              </w:numPr>
              <w:wordWrap/>
              <w:overflowPunct/>
              <w:topLinePunct w:val="0"/>
              <w:autoSpaceDE/>
              <w:autoSpaceDN/>
              <w:bidi w:val="0"/>
              <w:snapToGrid w:val="0"/>
              <w:spacing w:beforeAutospacing="0" w:afterAutospacing="0" w:line="480" w:lineRule="exact"/>
              <w:ind w:left="0" w:leftChars="0" w:firstLine="279" w:firstLineChars="13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使用手册</w:t>
            </w:r>
          </w:p>
          <w:p w14:paraId="4C062644">
            <w:pPr>
              <w:pageBreakBefore w:val="0"/>
              <w:numPr>
                <w:ilvl w:val="0"/>
                <w:numId w:val="0"/>
              </w:numPr>
              <w:wordWrap/>
              <w:overflowPunct/>
              <w:topLinePunct w:val="0"/>
              <w:autoSpaceDE/>
              <w:autoSpaceDN/>
              <w:bidi w:val="0"/>
              <w:snapToGrid w:val="0"/>
              <w:spacing w:beforeAutospacing="0" w:afterAutospacing="0" w:line="480" w:lineRule="exact"/>
              <w:ind w:left="0"/>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b/>
                <w:bCs/>
                <w:color w:val="auto"/>
                <w:sz w:val="21"/>
                <w:szCs w:val="21"/>
                <w:highlight w:val="none"/>
                <w:lang w:val="en-US" w:eastAsia="zh-CN"/>
              </w:rPr>
              <w:t>计算机与软件要求</w:t>
            </w:r>
          </w:p>
          <w:p w14:paraId="6564DF38">
            <w:pPr>
              <w:pageBreakBefore w:val="0"/>
              <w:numPr>
                <w:ilvl w:val="0"/>
                <w:numId w:val="0"/>
              </w:numPr>
              <w:wordWrap/>
              <w:overflowPunct/>
              <w:topLinePunct w:val="0"/>
              <w:autoSpaceDE/>
              <w:autoSpaceDN/>
              <w:bidi w:val="0"/>
              <w:snapToGrid w:val="0"/>
              <w:spacing w:beforeAutospacing="0" w:afterAutospacing="0" w:line="480" w:lineRule="exact"/>
              <w:ind w:left="0" w:firstLine="420" w:firstLineChars="2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品牌手提电脑，配置不低以下：内存≥16G、</w:t>
            </w:r>
            <w:r>
              <w:rPr>
                <w:rFonts w:hint="eastAsia" w:ascii="宋体" w:hAnsi="宋体" w:eastAsia="宋体" w:cs="宋体"/>
                <w:color w:val="auto"/>
                <w:sz w:val="21"/>
                <w:szCs w:val="21"/>
                <w:highlight w:val="none"/>
              </w:rPr>
              <w:t>硬盘≥</w:t>
            </w:r>
            <w:r>
              <w:rPr>
                <w:rFonts w:hint="eastAsia" w:ascii="宋体" w:hAnsi="宋体" w:eastAsia="宋体" w:cs="宋体"/>
                <w:color w:val="auto"/>
                <w:sz w:val="21"/>
                <w:szCs w:val="21"/>
                <w:highlight w:val="none"/>
                <w:lang w:val="en-US" w:eastAsia="zh-CN"/>
              </w:rPr>
              <w:t>512G、win7以上操作系统、现场检定软件。</w:t>
            </w:r>
          </w:p>
          <w:p w14:paraId="12F84498">
            <w:pPr>
              <w:pageBreakBefore w:val="0"/>
              <w:widowControl/>
              <w:kinsoku w:val="0"/>
              <w:wordWrap/>
              <w:overflowPunct/>
              <w:topLinePunct w:val="0"/>
              <w:bidi w:val="0"/>
              <w:adjustRightInd w:val="0"/>
              <w:snapToGrid w:val="0"/>
              <w:spacing w:beforeAutospacing="0" w:afterAutospacing="0" w:line="480" w:lineRule="exact"/>
              <w:ind w:left="0" w:leftChars="0" w:firstLine="0" w:firstLineChars="0"/>
              <w:rPr>
                <w:rFonts w:hint="eastAsia" w:ascii="宋体" w:hAnsi="宋体" w:eastAsia="宋体" w:cs="宋体"/>
                <w:color w:val="auto"/>
                <w:sz w:val="21"/>
                <w:szCs w:val="21"/>
                <w:highlight w:val="none"/>
                <w:lang w:val="en-US" w:eastAsia="zh-CN"/>
              </w:rPr>
            </w:pPr>
          </w:p>
        </w:tc>
      </w:tr>
      <w:tr w14:paraId="1BA6C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7" w:type="dxa"/>
            <w:vAlign w:val="center"/>
          </w:tcPr>
          <w:p w14:paraId="23432EB3">
            <w:pPr>
              <w:pStyle w:val="6"/>
              <w:pageBreakBefore w:val="0"/>
              <w:wordWrap/>
              <w:overflowPunct/>
              <w:topLinePunct w:val="0"/>
              <w:bidi w:val="0"/>
              <w:spacing w:beforeAutospacing="0" w:after="0" w:afterAutospacing="0" w:line="480" w:lineRule="exact"/>
              <w:ind w:left="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13</w:t>
            </w:r>
          </w:p>
        </w:tc>
        <w:tc>
          <w:tcPr>
            <w:tcW w:w="1605" w:type="dxa"/>
            <w:vAlign w:val="center"/>
          </w:tcPr>
          <w:p w14:paraId="3133A980">
            <w:pPr>
              <w:pStyle w:val="6"/>
              <w:pageBreakBefore w:val="0"/>
              <w:wordWrap/>
              <w:overflowPunct/>
              <w:topLinePunct w:val="0"/>
              <w:bidi w:val="0"/>
              <w:spacing w:beforeAutospacing="0" w:after="0" w:afterAutospacing="0" w:line="480" w:lineRule="exact"/>
              <w:ind w:left="0" w:firstLine="0" w:firstLineChars="0"/>
              <w:rPr>
                <w:rFonts w:hint="eastAsia" w:ascii="宋体" w:hAnsi="宋体" w:eastAsia="宋体" w:cs="宋体"/>
                <w:color w:val="auto"/>
                <w:sz w:val="21"/>
                <w:szCs w:val="21"/>
                <w:highlight w:val="none"/>
                <w:lang w:eastAsia="zh-CN"/>
              </w:rPr>
            </w:pPr>
            <w:r>
              <w:rPr>
                <w:rStyle w:val="15"/>
                <w:rFonts w:hint="eastAsia" w:ascii="宋体" w:hAnsi="宋体" w:eastAsia="宋体" w:cs="宋体"/>
                <w:color w:val="auto"/>
                <w:sz w:val="21"/>
                <w:szCs w:val="21"/>
                <w:highlight w:val="none"/>
                <w:lang w:eastAsia="zh-CN" w:bidi="ar"/>
              </w:rPr>
              <w:t>单相电能表检定装置</w:t>
            </w:r>
          </w:p>
        </w:tc>
        <w:tc>
          <w:tcPr>
            <w:tcW w:w="12382" w:type="dxa"/>
          </w:tcPr>
          <w:p w14:paraId="3AB9B2B3">
            <w:pPr>
              <w:pStyle w:val="16"/>
              <w:keepNext w:val="0"/>
              <w:keepLines w:val="0"/>
              <w:pageBreakBefore w:val="0"/>
              <w:numPr>
                <w:ilvl w:val="0"/>
                <w:numId w:val="0"/>
              </w:numPr>
              <w:wordWrap/>
              <w:overflowPunct/>
              <w:topLinePunct w:val="0"/>
              <w:bidi w:val="0"/>
              <w:snapToGrid w:val="0"/>
              <w:spacing w:beforeAutospacing="0" w:afterAutospacing="0" w:line="480" w:lineRule="exact"/>
              <w:ind w:left="0" w:leftChars="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1、</w:t>
            </w:r>
            <w:r>
              <w:rPr>
                <w:rFonts w:hint="eastAsia" w:ascii="宋体" w:hAnsi="宋体" w:eastAsia="宋体" w:cs="宋体"/>
                <w:b/>
                <w:color w:val="auto"/>
                <w:sz w:val="21"/>
                <w:szCs w:val="21"/>
                <w:highlight w:val="none"/>
              </w:rPr>
              <w:t>用途及应用要求</w:t>
            </w:r>
          </w:p>
          <w:p w14:paraId="38AEF12D">
            <w:pPr>
              <w:pStyle w:val="17"/>
              <w:keepNext w:val="0"/>
              <w:keepLines w:val="0"/>
              <w:pageBreakBefore w:val="0"/>
              <w:wordWrap/>
              <w:overflowPunct/>
              <w:topLinePunct w:val="0"/>
              <w:bidi w:val="0"/>
              <w:snapToGrid w:val="0"/>
              <w:spacing w:beforeAutospacing="0" w:afterAutospacing="0" w:line="480" w:lineRule="exact"/>
              <w:ind w:lef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检定系统按照国网公司电能表系列标准和JJG 596-2026《安装式交流电能表检定规程》规定，能自动进行电能表的多功能试验、误差试验、电气要求功能、通信功能、一致性和费控安全等检定项目。</w:t>
            </w:r>
          </w:p>
          <w:p w14:paraId="2EF31B5E">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装置符合Q/GDW 10364-2025《单相智能电能表技术规范》、Q/GDW 10355-2025《单相智能电能表型式规范》单相智能表，兼容20版、13版和09版单相智能电能表检定。可支持DL/T645-2007《多功能电能表通信协议》和DL/T698.45-2017《电能信息采集与管理系统第4-5部分通信协议-面向对象的数据交换协议》的电能表。</w:t>
            </w:r>
          </w:p>
          <w:p w14:paraId="22D882AC">
            <w:pPr>
              <w:pStyle w:val="16"/>
              <w:keepNext w:val="0"/>
              <w:keepLines w:val="0"/>
              <w:pageBreakBefore w:val="0"/>
              <w:numPr>
                <w:ilvl w:val="0"/>
                <w:numId w:val="0"/>
              </w:numPr>
              <w:wordWrap/>
              <w:overflowPunct/>
              <w:topLinePunct w:val="0"/>
              <w:bidi w:val="0"/>
              <w:snapToGrid w:val="0"/>
              <w:spacing w:beforeAutospacing="0" w:afterAutospacing="0" w:line="480" w:lineRule="exact"/>
              <w:ind w:left="0" w:leftChars="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2、</w:t>
            </w:r>
            <w:r>
              <w:rPr>
                <w:rFonts w:hint="eastAsia" w:ascii="宋体" w:hAnsi="宋体" w:eastAsia="宋体" w:cs="宋体"/>
                <w:b/>
                <w:color w:val="auto"/>
                <w:sz w:val="21"/>
                <w:szCs w:val="21"/>
                <w:highlight w:val="none"/>
              </w:rPr>
              <w:t>主要参数要求</w:t>
            </w:r>
          </w:p>
          <w:p w14:paraId="626DAAB0">
            <w:pPr>
              <w:pStyle w:val="16"/>
              <w:keepNext w:val="0"/>
              <w:keepLines w:val="0"/>
              <w:pageBreakBefore w:val="0"/>
              <w:wordWrap/>
              <w:overflowPunct/>
              <w:topLinePunct w:val="0"/>
              <w:bidi w:val="0"/>
              <w:snapToGrid w:val="0"/>
              <w:spacing w:beforeAutospacing="0" w:afterAutospacing="0" w:line="480" w:lineRule="exact"/>
              <w:ind w:lef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2.1单相智能电能表检定装置，其功能、性能指标等各项技术指标，应满足下列规程要求：</w:t>
            </w:r>
          </w:p>
          <w:p w14:paraId="41911DEB">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JJG 597-2025</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《交流电能表检定装置》</w:t>
            </w:r>
          </w:p>
          <w:p w14:paraId="50508E09">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JJG 596-2026</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《安装式交流电能表》</w:t>
            </w:r>
          </w:p>
          <w:p w14:paraId="0C28C36A">
            <w:pPr>
              <w:pStyle w:val="7"/>
              <w:keepNext w:val="0"/>
              <w:keepLines w:val="0"/>
              <w:pageBreakBefore w:val="0"/>
              <w:wordWrap/>
              <w:overflowPunct/>
              <w:topLinePunct w:val="0"/>
              <w:bidi w:val="0"/>
              <w:snapToGrid w:val="0"/>
              <w:spacing w:beforeAutospacing="0" w:afterAutospacing="0" w:line="480" w:lineRule="exact"/>
              <w:ind w:left="0" w:leftChars="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2.2性能参数</w:t>
            </w:r>
          </w:p>
          <w:p w14:paraId="3F02392A">
            <w:pPr>
              <w:keepNext w:val="0"/>
              <w:keepLines w:val="0"/>
              <w:pageBreakBefore w:val="0"/>
              <w:numPr>
                <w:ilvl w:val="1"/>
                <w:numId w:val="0"/>
              </w:numPr>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2.2.1、</w:t>
            </w:r>
            <w:r>
              <w:rPr>
                <w:rFonts w:hint="eastAsia" w:ascii="宋体" w:hAnsi="宋体" w:eastAsia="宋体" w:cs="宋体"/>
                <w:color w:val="auto"/>
                <w:sz w:val="21"/>
                <w:szCs w:val="21"/>
                <w:highlight w:val="none"/>
              </w:rPr>
              <w:t>电源在220V</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时，装置应能正常工作，输入电源的功率消耗</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4000VA．</w:t>
            </w:r>
          </w:p>
          <w:p w14:paraId="099A1717">
            <w:pPr>
              <w:keepNext w:val="0"/>
              <w:keepLines w:val="0"/>
              <w:pageBreakBefore w:val="0"/>
              <w:numPr>
                <w:ilvl w:val="1"/>
                <w:numId w:val="0"/>
              </w:numPr>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2.2.2、</w:t>
            </w:r>
            <w:r>
              <w:rPr>
                <w:rFonts w:hint="eastAsia" w:ascii="宋体" w:hAnsi="宋体" w:eastAsia="宋体" w:cs="宋体"/>
                <w:color w:val="auto"/>
                <w:sz w:val="21"/>
                <w:szCs w:val="21"/>
                <w:highlight w:val="none"/>
              </w:rPr>
              <w:t>电压量程：220V。</w:t>
            </w:r>
          </w:p>
          <w:p w14:paraId="210037C4">
            <w:pPr>
              <w:keepNext w:val="0"/>
              <w:keepLines w:val="0"/>
              <w:pageBreakBefore w:val="0"/>
              <w:numPr>
                <w:ilvl w:val="1"/>
                <w:numId w:val="0"/>
              </w:numPr>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2.2.3、</w:t>
            </w:r>
            <w:r>
              <w:rPr>
                <w:rFonts w:hint="eastAsia" w:ascii="宋体" w:hAnsi="宋体" w:eastAsia="宋体" w:cs="宋体"/>
                <w:color w:val="auto"/>
                <w:sz w:val="21"/>
                <w:szCs w:val="21"/>
                <w:highlight w:val="none"/>
              </w:rPr>
              <w:t>电流量程： 0.01A、0.05A、0.1A、0.25A、 0.5A、1.0A、2.5A、5.0A、10A、25A、50A、120A。</w:t>
            </w:r>
          </w:p>
          <w:p w14:paraId="1AFB366E">
            <w:pPr>
              <w:keepNext w:val="0"/>
              <w:keepLines w:val="0"/>
              <w:pageBreakBefore w:val="0"/>
              <w:numPr>
                <w:ilvl w:val="1"/>
                <w:numId w:val="0"/>
              </w:numPr>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2.2.4、</w:t>
            </w:r>
            <w:r>
              <w:rPr>
                <w:rFonts w:hint="eastAsia" w:ascii="宋体" w:hAnsi="宋体" w:eastAsia="宋体" w:cs="宋体"/>
                <w:color w:val="auto"/>
                <w:sz w:val="21"/>
                <w:szCs w:val="21"/>
                <w:highlight w:val="none"/>
              </w:rPr>
              <w:t>起动电流：</w:t>
            </w:r>
          </w:p>
          <w:p w14:paraId="0CACC56F">
            <w:pPr>
              <w:keepNext w:val="0"/>
              <w:keepLines w:val="0"/>
              <w:pageBreakBefore w:val="0"/>
              <w:numPr>
                <w:ilvl w:val="1"/>
                <w:numId w:val="0"/>
              </w:numPr>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（1）装置应具有起动电流调整、测量功能，应能输出10mA的起动电流</w:t>
            </w:r>
          </w:p>
          <w:p w14:paraId="71B325CE">
            <w:pPr>
              <w:keepNext w:val="0"/>
              <w:keepLines w:val="0"/>
              <w:pageBreakBefore w:val="0"/>
              <w:numPr>
                <w:ilvl w:val="1"/>
                <w:numId w:val="0"/>
              </w:numPr>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（2）起动电流的测量</w:t>
            </w:r>
            <w:r>
              <w:rPr>
                <w:rFonts w:hint="eastAsia" w:ascii="宋体" w:hAnsi="宋体" w:eastAsia="宋体" w:cs="宋体"/>
                <w:color w:val="auto"/>
                <w:sz w:val="21"/>
                <w:szCs w:val="21"/>
                <w:highlight w:val="none"/>
                <w:lang w:eastAsia="zh-CN"/>
              </w:rPr>
              <w:t>最大允许</w:t>
            </w:r>
            <w:r>
              <w:rPr>
                <w:rFonts w:hint="eastAsia" w:ascii="宋体" w:hAnsi="宋体" w:eastAsia="宋体" w:cs="宋体"/>
                <w:color w:val="auto"/>
                <w:sz w:val="21"/>
                <w:szCs w:val="21"/>
                <w:highlight w:val="none"/>
              </w:rPr>
              <w:t>误差</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5%，起动功率的测量</w:t>
            </w:r>
            <w:r>
              <w:rPr>
                <w:rFonts w:hint="eastAsia" w:ascii="宋体" w:hAnsi="宋体" w:eastAsia="宋体" w:cs="宋体"/>
                <w:color w:val="auto"/>
                <w:sz w:val="21"/>
                <w:szCs w:val="21"/>
                <w:highlight w:val="none"/>
                <w:lang w:eastAsia="zh-CN"/>
              </w:rPr>
              <w:t>最大允许</w:t>
            </w:r>
            <w:r>
              <w:rPr>
                <w:rFonts w:hint="eastAsia" w:ascii="宋体" w:hAnsi="宋体" w:eastAsia="宋体" w:cs="宋体"/>
                <w:color w:val="auto"/>
                <w:sz w:val="21"/>
                <w:szCs w:val="21"/>
                <w:highlight w:val="none"/>
              </w:rPr>
              <w:t>误差 ≤</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 xml:space="preserve">10%。    </w:t>
            </w:r>
          </w:p>
          <w:p w14:paraId="37876F2F">
            <w:pPr>
              <w:keepNext w:val="0"/>
              <w:keepLines w:val="0"/>
              <w:pageBreakBefore w:val="0"/>
              <w:numPr>
                <w:ilvl w:val="1"/>
                <w:numId w:val="0"/>
              </w:numPr>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2.2.5、</w:t>
            </w:r>
            <w:r>
              <w:rPr>
                <w:rFonts w:hint="eastAsia" w:ascii="宋体" w:hAnsi="宋体" w:eastAsia="宋体" w:cs="宋体"/>
                <w:color w:val="auto"/>
                <w:sz w:val="21"/>
                <w:szCs w:val="21"/>
                <w:highlight w:val="none"/>
              </w:rPr>
              <w:t>电压、电流的输出范围：0~120％</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最大输出120A</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，调节细度：0.01%。</w:t>
            </w:r>
          </w:p>
          <w:p w14:paraId="7AE8282E">
            <w:pPr>
              <w:keepNext w:val="0"/>
              <w:keepLines w:val="0"/>
              <w:pageBreakBefore w:val="0"/>
              <w:numPr>
                <w:ilvl w:val="1"/>
                <w:numId w:val="0"/>
              </w:numPr>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2.2.6、</w:t>
            </w:r>
            <w:r>
              <w:rPr>
                <w:rFonts w:hint="eastAsia" w:ascii="宋体" w:hAnsi="宋体" w:eastAsia="宋体" w:cs="宋体"/>
                <w:color w:val="auto"/>
                <w:sz w:val="21"/>
                <w:szCs w:val="21"/>
                <w:highlight w:val="none"/>
              </w:rPr>
              <w:t>相位：0.0</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～359.9</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，调节细度： 0.01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sym w:font="Symbol" w:char="F0B0"/>
            </w:r>
          </w:p>
          <w:p w14:paraId="35AA9409">
            <w:pPr>
              <w:keepNext w:val="0"/>
              <w:keepLines w:val="0"/>
              <w:pageBreakBefore w:val="0"/>
              <w:numPr>
                <w:ilvl w:val="1"/>
                <w:numId w:val="0"/>
              </w:numPr>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2.2.7、</w:t>
            </w:r>
            <w:r>
              <w:rPr>
                <w:rFonts w:hint="eastAsia" w:ascii="宋体" w:hAnsi="宋体" w:eastAsia="宋体" w:cs="宋体"/>
                <w:color w:val="auto"/>
                <w:sz w:val="21"/>
                <w:szCs w:val="21"/>
                <w:highlight w:val="none"/>
              </w:rPr>
              <w:t>输出频率范围：45Hz~65Hz,　调节细度：0.01Hz</w:t>
            </w:r>
          </w:p>
          <w:p w14:paraId="6767F888">
            <w:pPr>
              <w:keepNext w:val="0"/>
              <w:keepLines w:val="0"/>
              <w:pageBreakBefore w:val="0"/>
              <w:numPr>
                <w:ilvl w:val="1"/>
                <w:numId w:val="0"/>
              </w:numPr>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2.2.8、</w:t>
            </w:r>
            <w:r>
              <w:rPr>
                <w:rFonts w:hint="eastAsia" w:ascii="宋体" w:hAnsi="宋体" w:eastAsia="宋体" w:cs="宋体"/>
                <w:color w:val="auto"/>
                <w:sz w:val="21"/>
                <w:szCs w:val="21"/>
                <w:highlight w:val="none"/>
              </w:rPr>
              <w:t>输出容量：</w:t>
            </w:r>
          </w:p>
          <w:p w14:paraId="601A9A0C">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电压回路至少600VA、电流回路至少24表位：1000VA，容性1.2uF装置不产生自激，附加误差可以忽略。 </w:t>
            </w:r>
          </w:p>
          <w:p w14:paraId="609A1794">
            <w:pPr>
              <w:keepNext w:val="0"/>
              <w:keepLines w:val="0"/>
              <w:pageBreakBefore w:val="0"/>
              <w:wordWrap/>
              <w:overflowPunct/>
              <w:topLinePunct w:val="0"/>
              <w:bidi w:val="0"/>
              <w:snapToGrid w:val="0"/>
              <w:spacing w:beforeAutospacing="0" w:afterAutospacing="0" w:line="480" w:lineRule="exact"/>
              <w:ind w:left="0" w:leftChars="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2.2.9、</w:t>
            </w:r>
            <w:r>
              <w:rPr>
                <w:rFonts w:hint="eastAsia" w:ascii="宋体" w:hAnsi="宋体" w:eastAsia="宋体" w:cs="宋体"/>
                <w:color w:val="auto"/>
                <w:sz w:val="21"/>
                <w:szCs w:val="21"/>
                <w:highlight w:val="none"/>
              </w:rPr>
              <w:t>输出负载调整率：</w:t>
            </w:r>
          </w:p>
          <w:p w14:paraId="46EAF8E4">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（1）装置电压输出端在最大输出和空载时，其幅值调整率≤ 0.2%。</w:t>
            </w:r>
          </w:p>
          <w:p w14:paraId="1D54F84A">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（2）装置电流输出端在最大输出和短接时，其幅值调整率≤ 0.2%。</w:t>
            </w:r>
          </w:p>
          <w:p w14:paraId="63E41C0F">
            <w:pPr>
              <w:keepNext w:val="0"/>
              <w:keepLines w:val="0"/>
              <w:pageBreakBefore w:val="0"/>
              <w:numPr>
                <w:ilvl w:val="1"/>
                <w:numId w:val="0"/>
              </w:numPr>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▲2.2.10、</w:t>
            </w:r>
            <w:r>
              <w:rPr>
                <w:rFonts w:hint="eastAsia" w:ascii="宋体" w:hAnsi="宋体" w:eastAsia="宋体" w:cs="宋体"/>
                <w:color w:val="auto"/>
                <w:sz w:val="21"/>
                <w:szCs w:val="21"/>
                <w:highlight w:val="none"/>
              </w:rPr>
              <w:t>输出功率稳定度：120秒钟功率稳定度</w:t>
            </w:r>
            <w:r>
              <w:rPr>
                <w:rFonts w:hint="eastAsia" w:ascii="宋体" w:hAnsi="宋体" w:eastAsia="宋体" w:cs="宋体"/>
                <w:color w:val="auto"/>
                <w:sz w:val="21"/>
                <w:szCs w:val="21"/>
                <w:highlight w:val="none"/>
              </w:rPr>
              <w:sym w:font="Symbol" w:char="F0A3"/>
            </w:r>
            <w:r>
              <w:rPr>
                <w:rFonts w:hint="eastAsia" w:ascii="宋体" w:hAnsi="宋体" w:eastAsia="宋体" w:cs="宋体"/>
                <w:color w:val="auto"/>
                <w:sz w:val="21"/>
                <w:szCs w:val="21"/>
                <w:highlight w:val="none"/>
              </w:rPr>
              <w:t>0.05％。</w:t>
            </w:r>
          </w:p>
          <w:p w14:paraId="6472E990">
            <w:pPr>
              <w:keepNext w:val="0"/>
              <w:keepLines w:val="0"/>
              <w:pageBreakBefore w:val="0"/>
              <w:numPr>
                <w:ilvl w:val="1"/>
                <w:numId w:val="0"/>
              </w:numPr>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2.2.11、</w:t>
            </w:r>
            <w:r>
              <w:rPr>
                <w:rFonts w:hint="eastAsia" w:ascii="宋体" w:hAnsi="宋体" w:eastAsia="宋体" w:cs="宋体"/>
                <w:color w:val="auto"/>
                <w:sz w:val="21"/>
                <w:szCs w:val="21"/>
                <w:highlight w:val="none"/>
              </w:rPr>
              <w:t>输出电压、电流波形失真度：</w:t>
            </w:r>
            <w:r>
              <w:rPr>
                <w:rFonts w:hint="eastAsia" w:ascii="宋体" w:hAnsi="宋体" w:eastAsia="宋体" w:cs="宋体"/>
                <w:color w:val="auto"/>
                <w:sz w:val="21"/>
                <w:szCs w:val="21"/>
                <w:highlight w:val="none"/>
              </w:rPr>
              <w:sym w:font="Symbol" w:char="F03C"/>
            </w:r>
            <w:r>
              <w:rPr>
                <w:rFonts w:hint="eastAsia" w:ascii="宋体" w:hAnsi="宋体" w:eastAsia="宋体" w:cs="宋体"/>
                <w:color w:val="auto"/>
                <w:sz w:val="21"/>
                <w:szCs w:val="21"/>
                <w:highlight w:val="none"/>
              </w:rPr>
              <w:t>1％；负载性质：纯阻性、感性或容性负载（1.2uF）。</w:t>
            </w:r>
          </w:p>
          <w:p w14:paraId="13925002">
            <w:pPr>
              <w:keepNext w:val="0"/>
              <w:keepLines w:val="0"/>
              <w:pageBreakBefore w:val="0"/>
              <w:numPr>
                <w:ilvl w:val="1"/>
                <w:numId w:val="0"/>
              </w:numPr>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★2.2.12、</w:t>
            </w:r>
            <w:r>
              <w:rPr>
                <w:rFonts w:hint="eastAsia" w:ascii="宋体" w:hAnsi="宋体" w:eastAsia="宋体" w:cs="宋体"/>
                <w:color w:val="auto"/>
                <w:sz w:val="21"/>
                <w:szCs w:val="21"/>
                <w:highlight w:val="none"/>
              </w:rPr>
              <w:t>标准电能表： 0.05级单相宽量程标准电能表 ，配置防震、防尘送检箱。</w:t>
            </w:r>
          </w:p>
          <w:p w14:paraId="4F74F345">
            <w:pPr>
              <w:keepNext w:val="0"/>
              <w:keepLines w:val="0"/>
              <w:pageBreakBefore w:val="0"/>
              <w:numPr>
                <w:ilvl w:val="1"/>
                <w:numId w:val="0"/>
              </w:numPr>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2.2.13、</w:t>
            </w:r>
            <w:r>
              <w:rPr>
                <w:rFonts w:hint="eastAsia" w:ascii="宋体" w:hAnsi="宋体" w:eastAsia="宋体" w:cs="宋体"/>
                <w:color w:val="auto"/>
                <w:sz w:val="21"/>
                <w:szCs w:val="21"/>
                <w:highlight w:val="none"/>
              </w:rPr>
              <w:t>电压互感器：配与表位数相对应数量输出绕组的电压互感器一台，准确度：0.01级。</w:t>
            </w:r>
          </w:p>
          <w:p w14:paraId="368BD62D">
            <w:pPr>
              <w:keepNext w:val="0"/>
              <w:keepLines w:val="0"/>
              <w:pageBreakBefore w:val="0"/>
              <w:numPr>
                <w:ilvl w:val="1"/>
                <w:numId w:val="0"/>
              </w:numPr>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2.2.14、</w:t>
            </w:r>
            <w:r>
              <w:rPr>
                <w:rFonts w:hint="eastAsia" w:ascii="宋体" w:hAnsi="宋体" w:eastAsia="宋体" w:cs="宋体"/>
                <w:color w:val="auto"/>
                <w:sz w:val="21"/>
                <w:szCs w:val="21"/>
                <w:highlight w:val="none"/>
              </w:rPr>
              <w:t>绝缘与耐压要求</w:t>
            </w:r>
          </w:p>
          <w:p w14:paraId="0799BFCF">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（1）装置绝缘电阻不小于10M</w:t>
            </w:r>
            <w:r>
              <w:rPr>
                <w:rFonts w:hint="eastAsia" w:ascii="宋体" w:hAnsi="宋体" w:eastAsia="宋体" w:cs="宋体"/>
                <w:color w:val="auto"/>
                <w:sz w:val="21"/>
                <w:szCs w:val="21"/>
                <w:highlight w:val="none"/>
              </w:rPr>
              <w:sym w:font="Symbol" w:char="F057"/>
            </w:r>
            <w:r>
              <w:rPr>
                <w:rFonts w:hint="eastAsia" w:ascii="宋体" w:hAnsi="宋体" w:eastAsia="宋体" w:cs="宋体"/>
                <w:color w:val="auto"/>
                <w:sz w:val="21"/>
                <w:szCs w:val="21"/>
                <w:highlight w:val="none"/>
              </w:rPr>
              <w:t>。</w:t>
            </w:r>
          </w:p>
          <w:p w14:paraId="614E2168">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（2）装置耐压符合JJG597</w:t>
            </w:r>
            <w:r>
              <w:rPr>
                <w:rFonts w:hint="eastAsia" w:ascii="宋体" w:hAnsi="宋体" w:eastAsia="宋体" w:cs="宋体"/>
                <w:color w:val="auto"/>
                <w:sz w:val="21"/>
                <w:szCs w:val="21"/>
                <w:highlight w:val="none"/>
                <w:lang w:val="en-US" w:eastAsia="zh-CN"/>
              </w:rPr>
              <w:t>-2025</w:t>
            </w:r>
            <w:r>
              <w:rPr>
                <w:rFonts w:hint="eastAsia" w:ascii="宋体" w:hAnsi="宋体" w:eastAsia="宋体" w:cs="宋体"/>
                <w:color w:val="auto"/>
                <w:sz w:val="21"/>
                <w:szCs w:val="21"/>
                <w:highlight w:val="none"/>
              </w:rPr>
              <w:t>规程要求。</w:t>
            </w:r>
          </w:p>
          <w:p w14:paraId="0A6A012E">
            <w:pPr>
              <w:keepNext w:val="0"/>
              <w:keepLines w:val="0"/>
              <w:pageBreakBefore w:val="0"/>
              <w:numPr>
                <w:ilvl w:val="1"/>
                <w:numId w:val="0"/>
              </w:numPr>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2.2.15、</w:t>
            </w:r>
            <w:r>
              <w:rPr>
                <w:rFonts w:hint="eastAsia" w:ascii="宋体" w:hAnsi="宋体" w:eastAsia="宋体" w:cs="宋体"/>
                <w:color w:val="auto"/>
                <w:sz w:val="21"/>
                <w:szCs w:val="21"/>
                <w:highlight w:val="none"/>
              </w:rPr>
              <w:t>时间校验指标：</w:t>
            </w:r>
          </w:p>
          <w:p w14:paraId="0F7A5F04">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（1）频率测量准确度±0.2PPM</w:t>
            </w:r>
          </w:p>
          <w:p w14:paraId="4B2B2BA4">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（2）GPS内部对时准确度：1×10</w:t>
            </w:r>
            <w:r>
              <w:rPr>
                <w:rFonts w:hint="eastAsia" w:ascii="宋体" w:hAnsi="宋体" w:eastAsia="宋体" w:cs="宋体"/>
                <w:color w:val="auto"/>
                <w:sz w:val="21"/>
                <w:szCs w:val="21"/>
                <w:highlight w:val="none"/>
                <w:vertAlign w:val="superscript"/>
              </w:rPr>
              <w:t>-6</w:t>
            </w:r>
            <w:r>
              <w:rPr>
                <w:rFonts w:hint="eastAsia" w:ascii="宋体" w:hAnsi="宋体" w:eastAsia="宋体" w:cs="宋体"/>
                <w:color w:val="auto"/>
                <w:sz w:val="21"/>
                <w:szCs w:val="21"/>
                <w:highlight w:val="none"/>
              </w:rPr>
              <w:t>s</w:t>
            </w:r>
          </w:p>
          <w:p w14:paraId="7D1D8E05">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（3）日误差准确度：≤10ms/d</w:t>
            </w:r>
          </w:p>
          <w:p w14:paraId="1C68A098">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（4）内部晶振稳定度：≤5×10</w:t>
            </w:r>
            <w:r>
              <w:rPr>
                <w:rFonts w:hint="eastAsia" w:ascii="宋体" w:hAnsi="宋体" w:eastAsia="宋体" w:cs="宋体"/>
                <w:color w:val="auto"/>
                <w:sz w:val="21"/>
                <w:szCs w:val="21"/>
                <w:highlight w:val="none"/>
                <w:vertAlign w:val="superscript"/>
              </w:rPr>
              <w:t>-8</w:t>
            </w:r>
            <w:r>
              <w:rPr>
                <w:rFonts w:hint="eastAsia" w:ascii="宋体" w:hAnsi="宋体" w:eastAsia="宋体" w:cs="宋体"/>
                <w:color w:val="auto"/>
                <w:sz w:val="21"/>
                <w:szCs w:val="21"/>
                <w:highlight w:val="none"/>
              </w:rPr>
              <w:t>/s</w:t>
            </w:r>
          </w:p>
          <w:p w14:paraId="5B8BD6F8">
            <w:pPr>
              <w:keepNext w:val="0"/>
              <w:keepLines w:val="0"/>
              <w:pageBreakBefore w:val="0"/>
              <w:numPr>
                <w:ilvl w:val="1"/>
                <w:numId w:val="0"/>
              </w:numPr>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2.2.16、</w:t>
            </w:r>
            <w:r>
              <w:rPr>
                <w:rFonts w:hint="eastAsia" w:ascii="宋体" w:hAnsi="宋体" w:eastAsia="宋体" w:cs="宋体"/>
                <w:color w:val="auto"/>
                <w:sz w:val="21"/>
                <w:szCs w:val="21"/>
                <w:highlight w:val="none"/>
              </w:rPr>
              <w:t>安全要求：</w:t>
            </w:r>
          </w:p>
          <w:p w14:paraId="610DE561">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（1）输出电压回路没有幅值最大不超出电压量程80%的尖脉冲，电压零位时无尖脉冲。</w:t>
            </w:r>
          </w:p>
          <w:p w14:paraId="3499A7D9">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（2）整机有应急保护措施，装置应在显著位置上装有紧急电源开关，以便紧急切断电源。</w:t>
            </w:r>
          </w:p>
          <w:p w14:paraId="53BBF118">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（3）电压、电流回路保护在故障未排除前，送不上电源，显示故障回路信息，故障时蜂鸣 器 响。</w:t>
            </w:r>
          </w:p>
          <w:p w14:paraId="1749009C">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（4）装设检验工作指示灯。</w:t>
            </w:r>
          </w:p>
          <w:p w14:paraId="015A6EA6">
            <w:pPr>
              <w:keepNext w:val="0"/>
              <w:keepLines w:val="0"/>
              <w:pageBreakBefore w:val="0"/>
              <w:numPr>
                <w:ilvl w:val="1"/>
                <w:numId w:val="0"/>
              </w:numPr>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2.2.17、</w:t>
            </w:r>
            <w:r>
              <w:rPr>
                <w:rFonts w:hint="eastAsia" w:ascii="宋体" w:hAnsi="宋体" w:eastAsia="宋体" w:cs="宋体"/>
                <w:color w:val="auto"/>
                <w:sz w:val="21"/>
                <w:szCs w:val="21"/>
                <w:highlight w:val="none"/>
              </w:rPr>
              <w:t>监视仪表准确度</w:t>
            </w:r>
          </w:p>
          <w:p w14:paraId="18198DCA">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（1）电压回路同名端间的压降、电压、电流、相位，磁感应强度等满足有关标准要求</w:t>
            </w:r>
          </w:p>
          <w:p w14:paraId="081F6F12">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（2）电压：±0.2%</w:t>
            </w:r>
          </w:p>
          <w:p w14:paraId="1D13FDA5">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（3）电流：±0.5%</w:t>
            </w:r>
          </w:p>
          <w:p w14:paraId="4E9133FA">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（4）相位：±0.5°</w:t>
            </w:r>
          </w:p>
          <w:p w14:paraId="623C1F14">
            <w:pPr>
              <w:pStyle w:val="16"/>
              <w:keepNext w:val="0"/>
              <w:keepLines w:val="0"/>
              <w:pageBreakBefore w:val="0"/>
              <w:numPr>
                <w:ilvl w:val="0"/>
                <w:numId w:val="0"/>
              </w:numPr>
              <w:wordWrap/>
              <w:overflowPunct/>
              <w:topLinePunct w:val="0"/>
              <w:bidi w:val="0"/>
              <w:snapToGrid w:val="0"/>
              <w:spacing w:beforeAutospacing="0" w:afterAutospacing="0" w:line="480" w:lineRule="exact"/>
              <w:ind w:left="0" w:leftChars="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3、</w:t>
            </w:r>
            <w:r>
              <w:rPr>
                <w:rFonts w:hint="eastAsia" w:ascii="宋体" w:hAnsi="宋体" w:eastAsia="宋体" w:cs="宋体"/>
                <w:b/>
                <w:color w:val="auto"/>
                <w:sz w:val="21"/>
                <w:szCs w:val="21"/>
                <w:highlight w:val="none"/>
              </w:rPr>
              <w:t>配置及参数要求</w:t>
            </w:r>
          </w:p>
          <w:p w14:paraId="67A5A3AE">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装置由全电子单相程控电源、挂表架、单相标准电能表、总控单元、电压互感器等组成。</w:t>
            </w:r>
          </w:p>
          <w:p w14:paraId="1F46DA04">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装置结构形式</w:t>
            </w:r>
          </w:p>
          <w:p w14:paraId="52D4AB22">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（1）台体结构：采用电子程控源和挂表架一体式结构，表位模块化设计。</w:t>
            </w:r>
          </w:p>
          <w:p w14:paraId="0E17A3EB">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★（2）校表数量：单相表24只。</w:t>
            </w:r>
          </w:p>
          <w:p w14:paraId="5E3C56AE">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（3）基本尺寸要求：</w:t>
            </w:r>
          </w:p>
          <w:p w14:paraId="4BBB2BB3">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挂表架尺寸：按供方标准外形尺寸。</w:t>
            </w:r>
          </w:p>
          <w:p w14:paraId="231DCB54">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（4）表架应装一组电流短接片、检定用接口，以方便接入标准表。</w:t>
            </w:r>
          </w:p>
          <w:p w14:paraId="040873AA">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（5）采用快速接线盒接表，可实现智能电能表电压电流端子、辅助端子一次压接接线。</w:t>
            </w:r>
          </w:p>
          <w:p w14:paraId="5191CFB3">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（6）装置有专用接地端子，内部各单元可靠接地。</w:t>
            </w:r>
          </w:p>
          <w:p w14:paraId="7144D2B3">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附台结构形式</w:t>
            </w:r>
          </w:p>
          <w:p w14:paraId="06A36960">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采用计算机桌，可放置计算机和打印机。</w:t>
            </w:r>
          </w:p>
          <w:p w14:paraId="2C632810">
            <w:pPr>
              <w:pStyle w:val="16"/>
              <w:keepNext w:val="0"/>
              <w:keepLines w:val="0"/>
              <w:pageBreakBefore w:val="0"/>
              <w:wordWrap/>
              <w:overflowPunct/>
              <w:topLinePunct w:val="0"/>
              <w:bidi w:val="0"/>
              <w:snapToGrid w:val="0"/>
              <w:spacing w:beforeAutospacing="0" w:afterAutospacing="0" w:line="480" w:lineRule="exact"/>
              <w:ind w:left="0" w:firstLine="0" w:firstLineChars="0"/>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3.3</w:t>
            </w:r>
            <w:r>
              <w:rPr>
                <w:rFonts w:hint="eastAsia" w:ascii="宋体"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功能</w:t>
            </w:r>
          </w:p>
          <w:p w14:paraId="640D0ACD">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3.3.1、</w:t>
            </w:r>
            <w:r>
              <w:rPr>
                <w:rFonts w:hint="eastAsia" w:ascii="宋体" w:hAnsi="宋体" w:eastAsia="宋体" w:cs="宋体"/>
                <w:color w:val="auto"/>
                <w:sz w:val="21"/>
                <w:szCs w:val="21"/>
                <w:highlight w:val="none"/>
              </w:rPr>
              <w:t>装置可同时对相同电压、电流量程，不同电表常数的国网单相智能电能表进行多种方案的检定或试验。</w:t>
            </w:r>
          </w:p>
          <w:p w14:paraId="779E03AC">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（1）装置软件根据仅输入一次被检表的类别和参数，即可自动生成按照规程要求的检定方案，也可生成由用户自定义的测试方案；检定方案和测试方案可编辑、拷贝、删除、备份并设密码权限保护。</w:t>
            </w:r>
          </w:p>
          <w:p w14:paraId="36C3DB57">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（2）装置支持半自动操作和自动操作，在试验过程中，对异常情况有声音报警提示和弹出对话框显示异常原因，检测结束后弹出对话框显示检测完成。</w:t>
            </w:r>
          </w:p>
          <w:p w14:paraId="2CA8004B">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（3）根据被检表不同的电能常数，按JJG596 规程要求，自动选定各被检表的不同圈数，或人工选定各被检表的不同圈数，以保证检测时间的一致性。</w:t>
            </w:r>
          </w:p>
          <w:p w14:paraId="0D50C650">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3.3.2、</w:t>
            </w:r>
            <w:r>
              <w:rPr>
                <w:rFonts w:hint="eastAsia" w:ascii="宋体" w:hAnsi="宋体" w:eastAsia="宋体" w:cs="宋体"/>
                <w:color w:val="auto"/>
                <w:sz w:val="21"/>
                <w:szCs w:val="21"/>
                <w:highlight w:val="none"/>
              </w:rPr>
              <w:t>有电压短路自动报警、保护和指示功能，具有电流开路保护功能。</w:t>
            </w:r>
          </w:p>
          <w:p w14:paraId="050F725B">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3.3.3、</w:t>
            </w:r>
            <w:r>
              <w:rPr>
                <w:rFonts w:hint="eastAsia" w:ascii="宋体" w:hAnsi="宋体" w:eastAsia="宋体" w:cs="宋体"/>
                <w:color w:val="auto"/>
                <w:sz w:val="21"/>
                <w:szCs w:val="21"/>
                <w:highlight w:val="none"/>
              </w:rPr>
              <w:t>输出电压、电流、功率、相位、频率均为数字显示。</w:t>
            </w:r>
          </w:p>
          <w:p w14:paraId="3A440904">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3.3.4、</w:t>
            </w:r>
            <w:r>
              <w:rPr>
                <w:rFonts w:hint="eastAsia" w:ascii="宋体" w:hAnsi="宋体" w:eastAsia="宋体" w:cs="宋体"/>
                <w:color w:val="auto"/>
                <w:sz w:val="21"/>
                <w:szCs w:val="21"/>
                <w:highlight w:val="none"/>
              </w:rPr>
              <w:t>提取GPS时间作基准，对智能电能表进行广播授时。</w:t>
            </w:r>
          </w:p>
          <w:p w14:paraId="319CAA5D">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3.3.5、</w:t>
            </w:r>
            <w:r>
              <w:rPr>
                <w:rFonts w:hint="eastAsia" w:ascii="宋体" w:hAnsi="宋体" w:eastAsia="宋体" w:cs="宋体"/>
                <w:color w:val="auto"/>
                <w:sz w:val="21"/>
                <w:szCs w:val="21"/>
                <w:highlight w:val="none"/>
              </w:rPr>
              <w:t>有断点再续功能，允许挂起某一表位的试验，允许暂停和继续当前试验。</w:t>
            </w:r>
          </w:p>
          <w:p w14:paraId="660F976A">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3.3.6、</w:t>
            </w:r>
            <w:r>
              <w:rPr>
                <w:rFonts w:hint="eastAsia" w:ascii="宋体" w:hAnsi="宋体" w:eastAsia="宋体" w:cs="宋体"/>
                <w:color w:val="auto"/>
                <w:sz w:val="21"/>
                <w:szCs w:val="21"/>
                <w:highlight w:val="none"/>
              </w:rPr>
              <w:t>对智能电能表进行电压影响、频率影响、谐波影响等影响量试验。</w:t>
            </w:r>
          </w:p>
          <w:p w14:paraId="00C803FF">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3.3.7、</w:t>
            </w:r>
            <w:r>
              <w:rPr>
                <w:rFonts w:hint="eastAsia" w:ascii="宋体" w:hAnsi="宋体" w:eastAsia="宋体" w:cs="宋体"/>
                <w:color w:val="auto"/>
                <w:sz w:val="21"/>
                <w:szCs w:val="21"/>
                <w:highlight w:val="none"/>
              </w:rPr>
              <w:t>检查智能电能表的通讯功能、电能计量功能、电能表清零。</w:t>
            </w:r>
          </w:p>
          <w:p w14:paraId="397FF892">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3.3.8、</w:t>
            </w:r>
            <w:r>
              <w:rPr>
                <w:rFonts w:hint="eastAsia" w:ascii="宋体" w:hAnsi="宋体" w:eastAsia="宋体" w:cs="宋体"/>
                <w:color w:val="auto"/>
                <w:sz w:val="21"/>
                <w:szCs w:val="21"/>
                <w:highlight w:val="none"/>
              </w:rPr>
              <w:t>检查智能电能表的费率和时段功能，日历、计时、闰年切换功能，在24h内是否至少具有可以任意编程的4种费率和8个时段。</w:t>
            </w:r>
          </w:p>
          <w:p w14:paraId="6A3ABBBC">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3.3.9、</w:t>
            </w:r>
            <w:r>
              <w:rPr>
                <w:rFonts w:hint="eastAsia" w:ascii="宋体" w:hAnsi="宋体" w:eastAsia="宋体" w:cs="宋体"/>
                <w:color w:val="auto"/>
                <w:sz w:val="21"/>
                <w:szCs w:val="21"/>
                <w:highlight w:val="none"/>
              </w:rPr>
              <w:t>检查智能电能表的电量寄存器、瞬时寄存器、需量寄存器、状态寄存器、失压寄存器(包括失压次数/失压时间/掉电日期/上电日期)存储功能。</w:t>
            </w:r>
          </w:p>
          <w:p w14:paraId="12DAF6C5">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3.3.10、</w:t>
            </w:r>
            <w:r>
              <w:rPr>
                <w:rFonts w:hint="eastAsia" w:ascii="宋体" w:hAnsi="宋体" w:eastAsia="宋体" w:cs="宋体"/>
                <w:color w:val="auto"/>
                <w:sz w:val="21"/>
                <w:szCs w:val="21"/>
                <w:highlight w:val="none"/>
              </w:rPr>
              <w:t>可检查智能电能表的事件记录功能，寄存器数据存储功能。</w:t>
            </w:r>
          </w:p>
          <w:p w14:paraId="206E99B7">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3.3.11、</w:t>
            </w:r>
            <w:r>
              <w:rPr>
                <w:rFonts w:hint="eastAsia" w:ascii="宋体" w:hAnsi="宋体" w:eastAsia="宋体" w:cs="宋体"/>
                <w:color w:val="auto"/>
                <w:sz w:val="21"/>
                <w:szCs w:val="21"/>
                <w:highlight w:val="none"/>
              </w:rPr>
              <w:t>装置对于检验RS485通信方式的电能表，应具有RS485通信接口。按DL/T 645标准规约，设置不同的通讯波特率，与电能表进行通信，读取各种数据，完成各种多功能试验。</w:t>
            </w:r>
          </w:p>
          <w:p w14:paraId="266EA68E">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3.3.12、</w:t>
            </w:r>
            <w:r>
              <w:rPr>
                <w:rFonts w:hint="eastAsia" w:ascii="宋体" w:hAnsi="宋体" w:eastAsia="宋体" w:cs="宋体"/>
                <w:color w:val="auto"/>
                <w:sz w:val="21"/>
                <w:szCs w:val="21"/>
                <w:highlight w:val="none"/>
              </w:rPr>
              <w:t>装置支持检定载波通信电能表，内置载波通讯转换器，实现载波的通讯匹配。</w:t>
            </w:r>
          </w:p>
          <w:p w14:paraId="20E9E620">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3.3.13、</w:t>
            </w:r>
            <w:r>
              <w:rPr>
                <w:rFonts w:hint="eastAsia" w:ascii="宋体" w:hAnsi="宋体" w:eastAsia="宋体" w:cs="宋体"/>
                <w:color w:val="auto"/>
                <w:sz w:val="21"/>
                <w:szCs w:val="21"/>
                <w:highlight w:val="none"/>
              </w:rPr>
              <w:t>装置具有698协议测试功能，能够依据DL/T 698.45面向对象的互操作性数据交换协议，对符合该协议标准的终端进行各种功能测试。</w:t>
            </w:r>
          </w:p>
          <w:p w14:paraId="76BE81CD">
            <w:pPr>
              <w:keepNext w:val="0"/>
              <w:keepLines w:val="0"/>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3.3.14、</w:t>
            </w:r>
            <w:r>
              <w:rPr>
                <w:rFonts w:hint="eastAsia" w:ascii="宋体" w:hAnsi="宋体" w:eastAsia="宋体" w:cs="宋体"/>
                <w:color w:val="auto"/>
                <w:sz w:val="21"/>
                <w:szCs w:val="21"/>
                <w:highlight w:val="none"/>
              </w:rPr>
              <w:t>支持初始固有误差、起动试验、潜动试验、仪表常数试验、时间（时刻）示值误差、电能示值组合误差、需量误差、剩余电能量（金额）递减准确度等试验项目。</w:t>
            </w:r>
          </w:p>
          <w:p w14:paraId="355E1E02">
            <w:pPr>
              <w:pStyle w:val="16"/>
              <w:keepNext w:val="0"/>
              <w:keepLines w:val="0"/>
              <w:pageBreakBefore w:val="0"/>
              <w:numPr>
                <w:ilvl w:val="0"/>
                <w:numId w:val="0"/>
              </w:numPr>
              <w:wordWrap/>
              <w:overflowPunct/>
              <w:topLinePunct w:val="0"/>
              <w:bidi w:val="0"/>
              <w:snapToGrid w:val="0"/>
              <w:spacing w:beforeAutospacing="0" w:afterAutospacing="0" w:line="480" w:lineRule="exact"/>
              <w:ind w:left="0" w:leftChars="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4、</w:t>
            </w:r>
            <w:r>
              <w:rPr>
                <w:rFonts w:hint="eastAsia" w:ascii="宋体" w:hAnsi="宋体" w:eastAsia="宋体" w:cs="宋体"/>
                <w:b/>
                <w:color w:val="auto"/>
                <w:sz w:val="21"/>
                <w:szCs w:val="21"/>
                <w:highlight w:val="none"/>
              </w:rPr>
              <w:t>计算机及软件要求</w:t>
            </w:r>
          </w:p>
          <w:p w14:paraId="6221AB48">
            <w:pPr>
              <w:keepNext w:val="0"/>
              <w:keepLines w:val="0"/>
              <w:pageBreakBefore w:val="0"/>
              <w:widowControl/>
              <w:numPr>
                <w:ilvl w:val="1"/>
                <w:numId w:val="2"/>
              </w:numPr>
              <w:kinsoku w:val="0"/>
              <w:wordWrap/>
              <w:overflowPunct/>
              <w:topLinePunct w:val="0"/>
              <w:autoSpaceDE w:val="0"/>
              <w:autoSpaceDN w:val="0"/>
              <w:bidi w:val="0"/>
              <w:adjustRightInd w:val="0"/>
              <w:snapToGrid w:val="0"/>
              <w:spacing w:beforeAutospacing="0" w:afterAutospacing="0" w:line="480" w:lineRule="exact"/>
              <w:ind w:left="0" w:firstLine="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软件可运行在Win7及以上环境</w:t>
            </w:r>
            <w:r>
              <w:rPr>
                <w:rFonts w:hint="eastAsia" w:ascii="宋体" w:hAnsi="宋体" w:eastAsia="宋体" w:cs="宋体"/>
                <w:color w:val="auto"/>
                <w:sz w:val="21"/>
                <w:szCs w:val="21"/>
                <w:highlight w:val="none"/>
                <w:lang w:eastAsia="zh-CN"/>
              </w:rPr>
              <w:t>，计算机内存≥</w:t>
            </w:r>
            <w:r>
              <w:rPr>
                <w:rFonts w:hint="eastAsia" w:ascii="宋体" w:hAnsi="宋体" w:eastAsia="宋体" w:cs="宋体"/>
                <w:color w:val="auto"/>
                <w:sz w:val="21"/>
                <w:szCs w:val="21"/>
                <w:highlight w:val="none"/>
                <w:lang w:val="en-US" w:eastAsia="zh-CN"/>
              </w:rPr>
              <w:t>16G</w:t>
            </w:r>
            <w:r>
              <w:rPr>
                <w:rFonts w:hint="eastAsia" w:ascii="宋体" w:hAnsi="宋体" w:eastAsia="宋体" w:cs="宋体"/>
                <w:color w:val="auto"/>
                <w:sz w:val="21"/>
                <w:szCs w:val="21"/>
                <w:highlight w:val="none"/>
              </w:rPr>
              <w:t>。</w:t>
            </w:r>
          </w:p>
          <w:p w14:paraId="20D6D5C4">
            <w:pPr>
              <w:keepNext w:val="0"/>
              <w:keepLines w:val="0"/>
              <w:pageBreakBefore w:val="0"/>
              <w:widowControl/>
              <w:numPr>
                <w:ilvl w:val="1"/>
                <w:numId w:val="2"/>
              </w:numPr>
              <w:kinsoku w:val="0"/>
              <w:wordWrap/>
              <w:overflowPunct/>
              <w:topLinePunct w:val="0"/>
              <w:autoSpaceDE w:val="0"/>
              <w:autoSpaceDN w:val="0"/>
              <w:bidi w:val="0"/>
              <w:adjustRightInd w:val="0"/>
              <w:snapToGrid w:val="0"/>
              <w:spacing w:beforeAutospacing="0" w:afterAutospacing="0" w:line="480" w:lineRule="exact"/>
              <w:ind w:left="0" w:firstLine="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可方便、快捷、多方式进行被检表参数、条形码、检定方案等数据输入。 </w:t>
            </w:r>
          </w:p>
          <w:p w14:paraId="62212D98">
            <w:pPr>
              <w:keepNext w:val="0"/>
              <w:keepLines w:val="0"/>
              <w:pageBreakBefore w:val="0"/>
              <w:widowControl/>
              <w:numPr>
                <w:ilvl w:val="1"/>
                <w:numId w:val="2"/>
              </w:numPr>
              <w:kinsoku w:val="0"/>
              <w:wordWrap/>
              <w:overflowPunct/>
              <w:topLinePunct w:val="0"/>
              <w:autoSpaceDE w:val="0"/>
              <w:autoSpaceDN w:val="0"/>
              <w:bidi w:val="0"/>
              <w:adjustRightInd w:val="0"/>
              <w:snapToGrid w:val="0"/>
              <w:spacing w:beforeAutospacing="0" w:afterAutospacing="0" w:line="480" w:lineRule="exact"/>
              <w:ind w:left="0" w:firstLine="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可进行条形码解析、检定数据修约与判别等数据处理，部分项目可人工手动判别（例如潜动、起动试验等）。</w:t>
            </w:r>
          </w:p>
          <w:p w14:paraId="205105B4">
            <w:pPr>
              <w:keepNext w:val="0"/>
              <w:keepLines w:val="0"/>
              <w:pageBreakBefore w:val="0"/>
              <w:widowControl/>
              <w:numPr>
                <w:ilvl w:val="1"/>
                <w:numId w:val="2"/>
              </w:numPr>
              <w:kinsoku w:val="0"/>
              <w:wordWrap/>
              <w:overflowPunct/>
              <w:topLinePunct w:val="0"/>
              <w:autoSpaceDE w:val="0"/>
              <w:autoSpaceDN w:val="0"/>
              <w:bidi w:val="0"/>
              <w:adjustRightInd w:val="0"/>
              <w:snapToGrid w:val="0"/>
              <w:spacing w:beforeAutospacing="0" w:afterAutospacing="0" w:line="480" w:lineRule="exact"/>
              <w:ind w:left="0" w:firstLine="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数据检索方便、管理安全，具有数据自动备份功能。</w:t>
            </w:r>
          </w:p>
          <w:p w14:paraId="241EAE98">
            <w:pPr>
              <w:keepNext w:val="0"/>
              <w:keepLines w:val="0"/>
              <w:pageBreakBefore w:val="0"/>
              <w:widowControl/>
              <w:numPr>
                <w:ilvl w:val="1"/>
                <w:numId w:val="2"/>
              </w:numPr>
              <w:kinsoku w:val="0"/>
              <w:wordWrap/>
              <w:overflowPunct/>
              <w:topLinePunct w:val="0"/>
              <w:autoSpaceDE w:val="0"/>
              <w:autoSpaceDN w:val="0"/>
              <w:bidi w:val="0"/>
              <w:adjustRightInd w:val="0"/>
              <w:snapToGrid w:val="0"/>
              <w:spacing w:beforeAutospacing="0" w:afterAutospacing="0" w:line="480" w:lineRule="exact"/>
              <w:ind w:left="0" w:firstLine="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输出检定证书、校准证书、测试证书、检定（校准、检测）记录、检定（校准、检测）情况统计报表，报表可导出，利用装置以外设备测试项目可手动输入证书及记录（例如工频耐压试验、外观检查等），检定证书等及检定（校准、检测）记录可导出为EXCEL或WORD文档保存，并可直接上传MIS系统。</w:t>
            </w:r>
          </w:p>
          <w:p w14:paraId="65AE0ECC">
            <w:pPr>
              <w:keepNext w:val="0"/>
              <w:keepLines w:val="0"/>
              <w:pageBreakBefore w:val="0"/>
              <w:widowControl/>
              <w:numPr>
                <w:ilvl w:val="1"/>
                <w:numId w:val="2"/>
              </w:numPr>
              <w:kinsoku w:val="0"/>
              <w:wordWrap/>
              <w:overflowPunct/>
              <w:topLinePunct w:val="0"/>
              <w:autoSpaceDE w:val="0"/>
              <w:autoSpaceDN w:val="0"/>
              <w:bidi w:val="0"/>
              <w:adjustRightInd w:val="0"/>
              <w:snapToGrid w:val="0"/>
              <w:spacing w:beforeAutospacing="0" w:afterAutospacing="0" w:line="480" w:lineRule="exact"/>
              <w:ind w:left="0" w:firstLine="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检定误差数据可以上传到本单位的MIS系统并可免费进行MIS系统升级后检定数据上传的配合工作。</w:t>
            </w:r>
          </w:p>
          <w:p w14:paraId="7B6DCA61">
            <w:pPr>
              <w:keepNext w:val="0"/>
              <w:keepLines w:val="0"/>
              <w:pageBreakBefore w:val="0"/>
              <w:widowControl/>
              <w:numPr>
                <w:ilvl w:val="1"/>
                <w:numId w:val="2"/>
              </w:numPr>
              <w:kinsoku w:val="0"/>
              <w:wordWrap/>
              <w:overflowPunct/>
              <w:topLinePunct w:val="0"/>
              <w:autoSpaceDE w:val="0"/>
              <w:autoSpaceDN w:val="0"/>
              <w:bidi w:val="0"/>
              <w:adjustRightInd w:val="0"/>
              <w:snapToGrid w:val="0"/>
              <w:spacing w:beforeAutospacing="0" w:afterAutospacing="0" w:line="480" w:lineRule="exact"/>
              <w:ind w:left="0" w:firstLine="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试验完毕后，可授权对被检表的电量底数、需量以及事件记录清零。</w:t>
            </w:r>
          </w:p>
          <w:p w14:paraId="44D47709">
            <w:pPr>
              <w:keepNext w:val="0"/>
              <w:keepLines w:val="0"/>
              <w:pageBreakBefore w:val="0"/>
              <w:widowControl/>
              <w:numPr>
                <w:ilvl w:val="1"/>
                <w:numId w:val="2"/>
              </w:numPr>
              <w:kinsoku w:val="0"/>
              <w:wordWrap/>
              <w:overflowPunct/>
              <w:topLinePunct w:val="0"/>
              <w:autoSpaceDE w:val="0"/>
              <w:autoSpaceDN w:val="0"/>
              <w:bidi w:val="0"/>
              <w:adjustRightInd w:val="0"/>
              <w:snapToGrid w:val="0"/>
              <w:spacing w:beforeAutospacing="0" w:afterAutospacing="0" w:line="480" w:lineRule="exact"/>
              <w:ind w:left="0" w:firstLine="0"/>
              <w:jc w:val="left"/>
              <w:textAlignment w:val="baseline"/>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能够实时显示电压、电流、功率及功率因数和向量图。</w:t>
            </w:r>
          </w:p>
          <w:p w14:paraId="75E69358">
            <w:pPr>
              <w:pStyle w:val="16"/>
              <w:keepNext w:val="0"/>
              <w:keepLines w:val="0"/>
              <w:pageBreakBefore w:val="0"/>
              <w:numPr>
                <w:ilvl w:val="0"/>
                <w:numId w:val="0"/>
              </w:numPr>
              <w:wordWrap/>
              <w:overflowPunct/>
              <w:topLinePunct w:val="0"/>
              <w:bidi w:val="0"/>
              <w:snapToGrid w:val="0"/>
              <w:spacing w:beforeAutospacing="0" w:afterAutospacing="0" w:line="480" w:lineRule="exact"/>
              <w:ind w:left="0" w:leftChars="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5、</w:t>
            </w:r>
            <w:r>
              <w:rPr>
                <w:rFonts w:hint="eastAsia" w:ascii="宋体" w:hAnsi="宋体" w:eastAsia="宋体" w:cs="宋体"/>
                <w:b/>
                <w:color w:val="auto"/>
                <w:sz w:val="21"/>
                <w:szCs w:val="21"/>
                <w:highlight w:val="none"/>
              </w:rPr>
              <w:t>其他要求</w:t>
            </w:r>
          </w:p>
          <w:p w14:paraId="7F577B41">
            <w:pPr>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480" w:lineRule="exact"/>
              <w:ind w:left="0" w:leftChars="0"/>
              <w:jc w:val="left"/>
              <w:textAlignment w:val="baseline"/>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5.1、</w:t>
            </w:r>
            <w:r>
              <w:rPr>
                <w:rFonts w:hint="eastAsia" w:ascii="宋体" w:hAnsi="宋体" w:eastAsia="宋体" w:cs="宋体"/>
                <w:bCs/>
                <w:color w:val="auto"/>
                <w:sz w:val="21"/>
                <w:szCs w:val="21"/>
                <w:highlight w:val="none"/>
              </w:rPr>
              <w:t>配套详细的装置使用说明书及校表软件使用说明书各1套、成套出厂检定证书;包括本协议所要求的其它功能指标的测试数据;</w:t>
            </w:r>
          </w:p>
          <w:p w14:paraId="3C10A4AA">
            <w:pPr>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480" w:lineRule="exact"/>
              <w:ind w:left="0" w:leftChars="0"/>
              <w:jc w:val="left"/>
              <w:textAlignment w:val="baseline"/>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5.2、</w:t>
            </w:r>
            <w:r>
              <w:rPr>
                <w:rFonts w:hint="eastAsia" w:ascii="宋体" w:hAnsi="宋体" w:eastAsia="宋体" w:cs="宋体"/>
                <w:bCs/>
                <w:color w:val="auto"/>
                <w:sz w:val="21"/>
                <w:szCs w:val="21"/>
                <w:highlight w:val="none"/>
              </w:rPr>
              <w:t>装置使用手册及供货设备清单。</w:t>
            </w:r>
          </w:p>
          <w:p w14:paraId="17082E10">
            <w:pPr>
              <w:pageBreakBefore w:val="0"/>
              <w:widowControl/>
              <w:numPr>
                <w:ilvl w:val="0"/>
                <w:numId w:val="0"/>
              </w:numPr>
              <w:tabs>
                <w:tab w:val="left" w:pos="280"/>
              </w:tabs>
              <w:kinsoku w:val="0"/>
              <w:wordWrap/>
              <w:overflowPunct/>
              <w:topLinePunct w:val="0"/>
              <w:autoSpaceDE w:val="0"/>
              <w:autoSpaceDN w:val="0"/>
              <w:bidi w:val="0"/>
              <w:adjustRightInd w:val="0"/>
              <w:snapToGrid w:val="0"/>
              <w:spacing w:beforeAutospacing="0" w:afterAutospacing="0" w:line="480" w:lineRule="exact"/>
              <w:ind w:left="0" w:leftChars="0"/>
              <w:textAlignment w:val="baseline"/>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5.3、</w:t>
            </w:r>
            <w:r>
              <w:rPr>
                <w:rFonts w:hint="eastAsia" w:ascii="宋体" w:hAnsi="宋体" w:eastAsia="宋体" w:cs="宋体"/>
                <w:bCs/>
                <w:color w:val="auto"/>
                <w:sz w:val="21"/>
                <w:szCs w:val="21"/>
                <w:highlight w:val="none"/>
              </w:rPr>
              <w:t>附件：电脑、打印机、电脑桌椅、电动螺丝刀、专用工具各1套。</w:t>
            </w:r>
            <w:r>
              <w:rPr>
                <w:rFonts w:hint="eastAsia" w:ascii="宋体" w:hAnsi="宋体" w:eastAsia="宋体" w:cs="宋体"/>
                <w:color w:val="auto"/>
                <w:sz w:val="21"/>
                <w:szCs w:val="21"/>
                <w:highlight w:val="none"/>
              </w:rPr>
              <w:t>。</w:t>
            </w:r>
          </w:p>
        </w:tc>
      </w:tr>
      <w:tr w14:paraId="1310B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7" w:type="dxa"/>
            <w:vAlign w:val="center"/>
          </w:tcPr>
          <w:p w14:paraId="707BD1DB">
            <w:pPr>
              <w:pStyle w:val="6"/>
              <w:pageBreakBefore w:val="0"/>
              <w:wordWrap/>
              <w:overflowPunct/>
              <w:topLinePunct w:val="0"/>
              <w:bidi w:val="0"/>
              <w:spacing w:beforeAutospacing="0" w:after="0" w:afterAutospacing="0" w:line="480" w:lineRule="exact"/>
              <w:ind w:left="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14</w:t>
            </w:r>
          </w:p>
        </w:tc>
        <w:tc>
          <w:tcPr>
            <w:tcW w:w="1605" w:type="dxa"/>
            <w:vAlign w:val="center"/>
          </w:tcPr>
          <w:p w14:paraId="3F867067">
            <w:pPr>
              <w:pStyle w:val="6"/>
              <w:pageBreakBefore w:val="0"/>
              <w:wordWrap/>
              <w:overflowPunct/>
              <w:topLinePunct w:val="0"/>
              <w:bidi w:val="0"/>
              <w:spacing w:beforeAutospacing="0" w:after="0" w:afterAutospacing="0" w:line="480" w:lineRule="exact"/>
              <w:ind w:left="0" w:firstLine="0" w:firstLineChars="0"/>
              <w:rPr>
                <w:rFonts w:hint="eastAsia" w:ascii="宋体" w:hAnsi="宋体" w:eastAsia="宋体" w:cs="宋体"/>
                <w:color w:val="auto"/>
                <w:sz w:val="21"/>
                <w:szCs w:val="21"/>
                <w:highlight w:val="none"/>
                <w:lang w:eastAsia="zh-CN"/>
              </w:rPr>
            </w:pPr>
            <w:r>
              <w:rPr>
                <w:rStyle w:val="15"/>
                <w:rFonts w:hint="eastAsia" w:ascii="宋体" w:hAnsi="宋体" w:eastAsia="宋体" w:cs="宋体"/>
                <w:color w:val="auto"/>
                <w:sz w:val="21"/>
                <w:szCs w:val="21"/>
                <w:highlight w:val="none"/>
                <w:lang w:eastAsia="zh-CN" w:bidi="ar"/>
              </w:rPr>
              <w:t>三相电能表检定装置（或校验装置）</w:t>
            </w:r>
          </w:p>
        </w:tc>
        <w:tc>
          <w:tcPr>
            <w:tcW w:w="12382" w:type="dxa"/>
          </w:tcPr>
          <w:p w14:paraId="0B3711B2">
            <w:pPr>
              <w:pStyle w:val="16"/>
              <w:pageBreakBefore w:val="0"/>
              <w:numPr>
                <w:ilvl w:val="0"/>
                <w:numId w:val="0"/>
              </w:numPr>
              <w:wordWrap/>
              <w:overflowPunct/>
              <w:topLinePunct w:val="0"/>
              <w:bidi w:val="0"/>
              <w:snapToGrid w:val="0"/>
              <w:spacing w:beforeAutospacing="0" w:afterAutospacing="0" w:line="480" w:lineRule="exact"/>
              <w:ind w:left="0" w:leftChars="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1、</w:t>
            </w:r>
            <w:r>
              <w:rPr>
                <w:rFonts w:hint="eastAsia" w:ascii="宋体" w:hAnsi="宋体" w:eastAsia="宋体" w:cs="宋体"/>
                <w:b/>
                <w:color w:val="auto"/>
                <w:sz w:val="21"/>
                <w:szCs w:val="21"/>
                <w:highlight w:val="none"/>
              </w:rPr>
              <w:t>用途及应用要求</w:t>
            </w:r>
          </w:p>
          <w:p w14:paraId="31B93F74">
            <w:pPr>
              <w:pStyle w:val="17"/>
              <w:pageBreakBefore w:val="0"/>
              <w:wordWrap/>
              <w:overflowPunct/>
              <w:topLinePunct w:val="0"/>
              <w:bidi w:val="0"/>
              <w:snapToGrid w:val="0"/>
              <w:spacing w:beforeAutospacing="0" w:afterAutospacing="0" w:line="480" w:lineRule="exact"/>
              <w:ind w:lef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检定装置按照国网公司电能表系列标准和JJG 596-2026《安装式交流电能表检定规程》规定，应能自动进行电能表的多功能试验、误差试验、电气要求功能、通信功能、一致性和费控安全等检定项目。</w:t>
            </w:r>
          </w:p>
          <w:p w14:paraId="02CA3696">
            <w:pPr>
              <w:pStyle w:val="17"/>
              <w:pageBreakBefore w:val="0"/>
              <w:wordWrap/>
              <w:overflowPunct/>
              <w:topLinePunct w:val="0"/>
              <w:bidi w:val="0"/>
              <w:snapToGrid w:val="0"/>
              <w:spacing w:beforeAutospacing="0" w:afterAutospacing="0" w:line="480" w:lineRule="exact"/>
              <w:ind w:lef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符合Q/GDW 10827-2025《三相智能电能表技术规范》、Q/GDW 10356-2025《三相智能电能表型式规范》三相智能表，兼容20版、13版和09版三相智能电能表检定。检定装置需要同时满足对直接接入式电能表和经互感器接入式电能表的检定，可支持DL/T645-2007《多功能电能表通信协议》和DL/T698.45-2017《电能信息采集与管理系统第4-5部分通信协议-面向对象的数据交换协议》的电能表。</w:t>
            </w:r>
          </w:p>
          <w:p w14:paraId="3BB9E5A2">
            <w:pPr>
              <w:pStyle w:val="16"/>
              <w:pageBreakBefore w:val="0"/>
              <w:numPr>
                <w:ilvl w:val="0"/>
                <w:numId w:val="0"/>
              </w:numPr>
              <w:wordWrap/>
              <w:overflowPunct/>
              <w:topLinePunct w:val="0"/>
              <w:bidi w:val="0"/>
              <w:snapToGrid w:val="0"/>
              <w:spacing w:beforeAutospacing="0" w:afterAutospacing="0" w:line="480" w:lineRule="exact"/>
              <w:ind w:left="0" w:leftChars="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2、</w:t>
            </w:r>
            <w:r>
              <w:rPr>
                <w:rFonts w:hint="eastAsia" w:ascii="宋体" w:hAnsi="宋体" w:eastAsia="宋体" w:cs="宋体"/>
                <w:b/>
                <w:color w:val="auto"/>
                <w:sz w:val="21"/>
                <w:szCs w:val="21"/>
                <w:highlight w:val="none"/>
              </w:rPr>
              <w:t>主要参数要求</w:t>
            </w:r>
          </w:p>
          <w:p w14:paraId="7430372D">
            <w:pPr>
              <w:pStyle w:val="16"/>
              <w:pageBreakBefore w:val="0"/>
              <w:wordWrap/>
              <w:overflowPunct/>
              <w:topLinePunct w:val="0"/>
              <w:bidi w:val="0"/>
              <w:snapToGrid w:val="0"/>
              <w:spacing w:beforeAutospacing="0" w:afterAutospacing="0" w:line="480" w:lineRule="exact"/>
              <w:ind w:lef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0.05级三相电能表检定装置，其功能、性能指标等各项技术指标，满足下列规程要求：</w:t>
            </w:r>
          </w:p>
          <w:p w14:paraId="57B5A48E">
            <w:pPr>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JJG 597-2025         《交流电能表检定装置》</w:t>
            </w:r>
          </w:p>
          <w:p w14:paraId="504FFE92">
            <w:pPr>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JJG 596-2026        《安装式交流电能表》</w:t>
            </w:r>
          </w:p>
          <w:p w14:paraId="0DDA9F29">
            <w:pPr>
              <w:pStyle w:val="7"/>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性能参数</w:t>
            </w:r>
          </w:p>
          <w:p w14:paraId="23545B10">
            <w:pPr>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480" w:lineRule="exact"/>
              <w:ind w:left="0" w:left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2.2.1、</w:t>
            </w:r>
            <w:r>
              <w:rPr>
                <w:rFonts w:hint="eastAsia" w:ascii="宋体" w:hAnsi="宋体" w:eastAsia="宋体" w:cs="宋体"/>
                <w:color w:val="auto"/>
                <w:sz w:val="21"/>
                <w:szCs w:val="21"/>
                <w:highlight w:val="none"/>
              </w:rPr>
              <w:t>装置表位数量≥</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表位</w:t>
            </w:r>
          </w:p>
          <w:p w14:paraId="628BE46F">
            <w:pPr>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480" w:lineRule="exact"/>
              <w:ind w:left="0" w:left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★2.2.2、</w:t>
            </w:r>
            <w:r>
              <w:rPr>
                <w:rFonts w:hint="eastAsia" w:ascii="宋体" w:hAnsi="宋体" w:eastAsia="宋体" w:cs="宋体"/>
                <w:color w:val="auto"/>
                <w:sz w:val="21"/>
                <w:szCs w:val="21"/>
                <w:highlight w:val="none"/>
              </w:rPr>
              <w:t>装置准确度等级：0.05级；</w:t>
            </w:r>
          </w:p>
          <w:p w14:paraId="4A826441">
            <w:pPr>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各电流量限下的误差： ±0.05% 10mA~120A</w:t>
            </w:r>
          </w:p>
          <w:p w14:paraId="5FF2760F">
            <w:pPr>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±0.1% 3mA~10mA </w:t>
            </w:r>
          </w:p>
          <w:p w14:paraId="7191ED6F">
            <w:pPr>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±0.1%X3mA/I 0.3mA~3mA</w:t>
            </w:r>
          </w:p>
          <w:p w14:paraId="562A8F2B">
            <w:pPr>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480" w:lineRule="exact"/>
              <w:ind w:left="0" w:left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2.2.3、</w:t>
            </w:r>
            <w:r>
              <w:rPr>
                <w:rFonts w:hint="eastAsia" w:ascii="宋体" w:hAnsi="宋体" w:eastAsia="宋体" w:cs="宋体"/>
                <w:color w:val="auto"/>
                <w:sz w:val="21"/>
                <w:szCs w:val="21"/>
                <w:highlight w:val="none"/>
              </w:rPr>
              <w:t>电源在220V</w:t>
            </w:r>
            <w:r>
              <w:rPr>
                <w:rFonts w:hint="eastAsia" w:ascii="宋体" w:hAnsi="宋体" w:eastAsia="宋体" w:cs="宋体"/>
                <w:color w:val="auto"/>
                <w:sz w:val="21"/>
                <w:szCs w:val="21"/>
                <w:highlight w:val="none"/>
              </w:rPr>
              <w:sym w:font="Symbol" w:char="F0B1"/>
            </w: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rPr>
              <w:sym w:font="Symbol" w:char="F025"/>
            </w:r>
            <w:r>
              <w:rPr>
                <w:rFonts w:hint="eastAsia" w:ascii="宋体" w:hAnsi="宋体" w:eastAsia="宋体" w:cs="宋体"/>
                <w:color w:val="auto"/>
                <w:sz w:val="21"/>
                <w:szCs w:val="21"/>
                <w:highlight w:val="none"/>
              </w:rPr>
              <w:t>时,装置能正常工作，输入电源的功率消耗</w:t>
            </w:r>
            <w:r>
              <w:rPr>
                <w:rFonts w:hint="eastAsia" w:ascii="宋体" w:hAnsi="宋体" w:eastAsia="宋体" w:cs="宋体"/>
                <w:color w:val="auto"/>
                <w:sz w:val="21"/>
                <w:szCs w:val="21"/>
                <w:highlight w:val="none"/>
              </w:rPr>
              <w:sym w:font="Symbol" w:char="F03C"/>
            </w:r>
            <w:r>
              <w:rPr>
                <w:rFonts w:hint="eastAsia" w:ascii="宋体" w:hAnsi="宋体" w:eastAsia="宋体" w:cs="宋体"/>
                <w:color w:val="auto"/>
                <w:sz w:val="21"/>
                <w:szCs w:val="21"/>
                <w:highlight w:val="none"/>
              </w:rPr>
              <w:t>4000VA．</w:t>
            </w:r>
          </w:p>
          <w:p w14:paraId="2ACA93CD">
            <w:pPr>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480" w:lineRule="exact"/>
              <w:ind w:left="0" w:left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2.2.4、</w:t>
            </w:r>
            <w:r>
              <w:rPr>
                <w:rFonts w:hint="eastAsia" w:ascii="宋体" w:hAnsi="宋体" w:eastAsia="宋体" w:cs="宋体"/>
                <w:color w:val="auto"/>
                <w:sz w:val="21"/>
                <w:szCs w:val="21"/>
                <w:highlight w:val="none"/>
              </w:rPr>
              <w:t xml:space="preserve">电压量程：3×100/57.7VY，3×100VΔ，3×380V/220V，3×380VΔ  </w:t>
            </w:r>
          </w:p>
          <w:p w14:paraId="1FAEA494">
            <w:pPr>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三相三线有功电压V形接线，UB相接地。</w:t>
            </w:r>
          </w:p>
          <w:p w14:paraId="30334A99">
            <w:pPr>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480" w:lineRule="exact"/>
              <w:ind w:left="0" w:left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2.2.5、</w:t>
            </w:r>
            <w:r>
              <w:rPr>
                <w:rFonts w:hint="eastAsia" w:ascii="宋体" w:hAnsi="宋体" w:eastAsia="宋体" w:cs="宋体"/>
                <w:color w:val="auto"/>
                <w:sz w:val="21"/>
                <w:szCs w:val="21"/>
                <w:highlight w:val="none"/>
              </w:rPr>
              <w:t>电流量程：0.001A 、0.005A 、0.010A、0.050A、0.1A、0.25A、 0.5A、1.0A、2.5A、5.0A、10A、25A、50A、120A。</w:t>
            </w:r>
          </w:p>
          <w:p w14:paraId="54CD178D">
            <w:pPr>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480" w:lineRule="exact"/>
              <w:ind w:left="0" w:left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2.2.6、</w:t>
            </w:r>
            <w:r>
              <w:rPr>
                <w:rFonts w:hint="eastAsia" w:ascii="宋体" w:hAnsi="宋体" w:eastAsia="宋体" w:cs="宋体"/>
                <w:color w:val="auto"/>
                <w:sz w:val="21"/>
                <w:szCs w:val="21"/>
                <w:highlight w:val="none"/>
              </w:rPr>
              <w:t xml:space="preserve">起动电流： 最小至0.3mA，输出准确度：±5%；功率测量准确度：±0.5%。 </w:t>
            </w:r>
          </w:p>
          <w:p w14:paraId="06FC8369">
            <w:pPr>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480" w:lineRule="exact"/>
              <w:ind w:left="0" w:left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2.2.7、</w:t>
            </w:r>
            <w:r>
              <w:rPr>
                <w:rFonts w:hint="eastAsia" w:ascii="宋体" w:hAnsi="宋体" w:eastAsia="宋体" w:cs="宋体"/>
                <w:color w:val="auto"/>
                <w:sz w:val="21"/>
                <w:szCs w:val="21"/>
                <w:highlight w:val="none"/>
              </w:rPr>
              <w:t>电压、电流的输出调节范围：0~120％</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最大输出120A</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，调节细度优于0.01%。</w:t>
            </w:r>
          </w:p>
          <w:p w14:paraId="1F0A639A">
            <w:pPr>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480" w:lineRule="exact"/>
              <w:ind w:left="0" w:left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2.2.8、</w:t>
            </w:r>
            <w:r>
              <w:rPr>
                <w:rFonts w:hint="eastAsia" w:ascii="宋体" w:hAnsi="宋体" w:eastAsia="宋体" w:cs="宋体"/>
                <w:color w:val="auto"/>
                <w:sz w:val="21"/>
                <w:szCs w:val="21"/>
                <w:highlight w:val="none"/>
              </w:rPr>
              <w:t>相位：0.0</w:t>
            </w:r>
            <w:r>
              <w:rPr>
                <w:rFonts w:hint="eastAsia" w:ascii="宋体" w:hAnsi="宋体" w:eastAsia="宋体" w:cs="宋体"/>
                <w:color w:val="auto"/>
                <w:sz w:val="21"/>
                <w:szCs w:val="21"/>
                <w:highlight w:val="none"/>
              </w:rPr>
              <w:sym w:font="Symbol" w:char="F0B0"/>
            </w:r>
            <w:r>
              <w:rPr>
                <w:rFonts w:hint="eastAsia" w:ascii="宋体" w:hAnsi="宋体" w:eastAsia="宋体" w:cs="宋体"/>
                <w:color w:val="auto"/>
                <w:sz w:val="21"/>
                <w:szCs w:val="21"/>
                <w:highlight w:val="none"/>
              </w:rPr>
              <w:t>～359.99</w:t>
            </w:r>
            <w:r>
              <w:rPr>
                <w:rFonts w:hint="eastAsia" w:ascii="宋体" w:hAnsi="宋体" w:eastAsia="宋体" w:cs="宋体"/>
                <w:color w:val="auto"/>
                <w:sz w:val="21"/>
                <w:szCs w:val="21"/>
                <w:highlight w:val="none"/>
              </w:rPr>
              <w:sym w:font="Symbol" w:char="F0B0"/>
            </w:r>
            <w:r>
              <w:rPr>
                <w:rFonts w:hint="eastAsia" w:ascii="宋体" w:hAnsi="宋体" w:eastAsia="宋体" w:cs="宋体"/>
                <w:color w:val="auto"/>
                <w:sz w:val="21"/>
                <w:szCs w:val="21"/>
                <w:highlight w:val="none"/>
              </w:rPr>
              <w:t>，调节细度： 0.01</w:t>
            </w:r>
            <w:r>
              <w:rPr>
                <w:rFonts w:hint="eastAsia" w:ascii="宋体" w:hAnsi="宋体" w:eastAsia="宋体" w:cs="宋体"/>
                <w:color w:val="auto"/>
                <w:sz w:val="21"/>
                <w:szCs w:val="21"/>
                <w:highlight w:val="none"/>
              </w:rPr>
              <w:sym w:font="Symbol" w:char="F0B0"/>
            </w:r>
          </w:p>
          <w:p w14:paraId="6C51BB4A">
            <w:pPr>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480" w:lineRule="exact"/>
              <w:ind w:left="0" w:left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2.2.9、</w:t>
            </w:r>
            <w:r>
              <w:rPr>
                <w:rFonts w:hint="eastAsia" w:ascii="宋体" w:hAnsi="宋体" w:eastAsia="宋体" w:cs="宋体"/>
                <w:color w:val="auto"/>
                <w:sz w:val="21"/>
                <w:szCs w:val="21"/>
                <w:highlight w:val="none"/>
              </w:rPr>
              <w:t>输出频率范围：45.00~65.00Hz,　调节细度： 0.01Hz</w:t>
            </w:r>
          </w:p>
          <w:p w14:paraId="2B576AA3">
            <w:pPr>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480" w:lineRule="exact"/>
              <w:ind w:left="0" w:left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2.2.10、</w:t>
            </w:r>
            <w:r>
              <w:rPr>
                <w:rFonts w:hint="eastAsia" w:ascii="宋体" w:hAnsi="宋体" w:eastAsia="宋体" w:cs="宋体"/>
                <w:color w:val="auto"/>
                <w:sz w:val="21"/>
                <w:szCs w:val="21"/>
                <w:highlight w:val="none"/>
              </w:rPr>
              <w:t xml:space="preserve">输出容量：电压回路每相最大600ＶＡ、电流回路每相至最大1000ＶＡ。 </w:t>
            </w:r>
          </w:p>
          <w:p w14:paraId="63717102">
            <w:pPr>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480" w:lineRule="exact"/>
              <w:ind w:left="0" w:left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2.2.11、</w:t>
            </w:r>
            <w:r>
              <w:rPr>
                <w:rFonts w:hint="eastAsia" w:ascii="宋体" w:hAnsi="宋体" w:eastAsia="宋体" w:cs="宋体"/>
                <w:color w:val="auto"/>
                <w:sz w:val="21"/>
                <w:szCs w:val="21"/>
                <w:highlight w:val="none"/>
              </w:rPr>
              <w:t>输出负载调整率：</w:t>
            </w:r>
          </w:p>
          <w:p w14:paraId="500FF44B">
            <w:pPr>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装置电压输出端在最大输出和空载时，其幅值调整率≤ 0.2%。</w:t>
            </w:r>
          </w:p>
          <w:p w14:paraId="5157D0B6">
            <w:pPr>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装置电流输出端在最大输出和短接时，其幅值调整率≤ 0.2%。</w:t>
            </w:r>
          </w:p>
          <w:p w14:paraId="6C313E7D">
            <w:pPr>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480" w:lineRule="exact"/>
              <w:ind w:left="0" w:left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2.2.12、</w:t>
            </w:r>
            <w:r>
              <w:rPr>
                <w:rFonts w:hint="eastAsia" w:ascii="宋体" w:hAnsi="宋体" w:eastAsia="宋体" w:cs="宋体"/>
                <w:color w:val="auto"/>
                <w:sz w:val="21"/>
                <w:szCs w:val="21"/>
                <w:highlight w:val="none"/>
              </w:rPr>
              <w:t>输出功率稳定度：120秒钟功率稳定度</w:t>
            </w:r>
            <w:r>
              <w:rPr>
                <w:rFonts w:hint="eastAsia" w:ascii="宋体" w:hAnsi="宋体" w:eastAsia="宋体" w:cs="宋体"/>
                <w:color w:val="auto"/>
                <w:sz w:val="21"/>
                <w:szCs w:val="21"/>
                <w:highlight w:val="none"/>
              </w:rPr>
              <w:sym w:font="Symbol" w:char="F0A3"/>
            </w:r>
            <w:r>
              <w:rPr>
                <w:rFonts w:hint="eastAsia" w:ascii="宋体" w:hAnsi="宋体" w:eastAsia="宋体" w:cs="宋体"/>
                <w:color w:val="auto"/>
                <w:sz w:val="21"/>
                <w:szCs w:val="21"/>
                <w:highlight w:val="none"/>
              </w:rPr>
              <w:t>0.05％。</w:t>
            </w:r>
          </w:p>
          <w:p w14:paraId="5542CF76">
            <w:pPr>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480" w:lineRule="exact"/>
              <w:ind w:left="0" w:left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2.2.13、</w:t>
            </w:r>
            <w:r>
              <w:rPr>
                <w:rFonts w:hint="eastAsia" w:ascii="宋体" w:hAnsi="宋体" w:eastAsia="宋体" w:cs="宋体"/>
                <w:color w:val="auto"/>
                <w:sz w:val="21"/>
                <w:szCs w:val="21"/>
                <w:highlight w:val="none"/>
              </w:rPr>
              <w:t>输出电压、电流波形失真度：</w:t>
            </w:r>
            <w:r>
              <w:rPr>
                <w:rFonts w:hint="eastAsia" w:ascii="宋体" w:hAnsi="宋体" w:eastAsia="宋体" w:cs="宋体"/>
                <w:color w:val="auto"/>
                <w:sz w:val="21"/>
                <w:szCs w:val="21"/>
                <w:highlight w:val="none"/>
              </w:rPr>
              <w:sym w:font="Symbol" w:char="F03C"/>
            </w:r>
            <w:r>
              <w:rPr>
                <w:rFonts w:hint="eastAsia" w:ascii="宋体" w:hAnsi="宋体" w:eastAsia="宋体" w:cs="宋体"/>
                <w:color w:val="auto"/>
                <w:sz w:val="21"/>
                <w:szCs w:val="21"/>
                <w:highlight w:val="none"/>
              </w:rPr>
              <w:t xml:space="preserve">0.5％； </w:t>
            </w:r>
          </w:p>
          <w:p w14:paraId="42E83CE1">
            <w:pPr>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480" w:lineRule="exact"/>
              <w:ind w:left="0" w:left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2.2.14、</w:t>
            </w:r>
            <w:r>
              <w:rPr>
                <w:rFonts w:hint="eastAsia" w:ascii="宋体" w:hAnsi="宋体" w:eastAsia="宋体" w:cs="宋体"/>
                <w:color w:val="auto"/>
                <w:sz w:val="21"/>
                <w:szCs w:val="21"/>
                <w:highlight w:val="none"/>
              </w:rPr>
              <w:t>标准电能表： 0.02级宽量程三相标准电能表。</w:t>
            </w:r>
          </w:p>
          <w:p w14:paraId="3070A5BD">
            <w:pPr>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480" w:lineRule="exact"/>
              <w:ind w:left="0" w:left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2.2.15、</w:t>
            </w:r>
            <w:r>
              <w:rPr>
                <w:rFonts w:hint="eastAsia" w:ascii="宋体" w:hAnsi="宋体" w:eastAsia="宋体" w:cs="宋体"/>
                <w:color w:val="auto"/>
                <w:sz w:val="21"/>
                <w:szCs w:val="21"/>
                <w:highlight w:val="none"/>
              </w:rPr>
              <w:t>装置绝缘电阻不小于10M</w:t>
            </w:r>
            <w:r>
              <w:rPr>
                <w:rFonts w:hint="eastAsia" w:ascii="宋体" w:hAnsi="宋体" w:eastAsia="宋体" w:cs="宋体"/>
                <w:color w:val="auto"/>
                <w:sz w:val="21"/>
                <w:szCs w:val="21"/>
                <w:highlight w:val="none"/>
              </w:rPr>
              <w:sym w:font="Symbol" w:char="F057"/>
            </w:r>
            <w:r>
              <w:rPr>
                <w:rFonts w:hint="eastAsia" w:ascii="宋体" w:hAnsi="宋体" w:eastAsia="宋体" w:cs="宋体"/>
                <w:color w:val="auto"/>
                <w:sz w:val="21"/>
                <w:szCs w:val="21"/>
                <w:highlight w:val="none"/>
              </w:rPr>
              <w:t>。</w:t>
            </w:r>
          </w:p>
          <w:p w14:paraId="5017BE9D">
            <w:pPr>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480" w:lineRule="exact"/>
              <w:ind w:left="0" w:left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2.2.16、</w:t>
            </w:r>
            <w:r>
              <w:rPr>
                <w:rFonts w:hint="eastAsia" w:ascii="宋体" w:hAnsi="宋体" w:eastAsia="宋体" w:cs="宋体"/>
                <w:color w:val="auto"/>
                <w:sz w:val="21"/>
                <w:szCs w:val="21"/>
                <w:highlight w:val="none"/>
              </w:rPr>
              <w:t>时间校验仪指标：</w:t>
            </w:r>
          </w:p>
          <w:p w14:paraId="36271D68">
            <w:pPr>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频率测量准确度±0.2PPM</w:t>
            </w:r>
          </w:p>
          <w:p w14:paraId="7EAFC639">
            <w:pPr>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内部晶振稳定度：≤5×10</w:t>
            </w:r>
            <w:r>
              <w:rPr>
                <w:rFonts w:hint="eastAsia" w:ascii="宋体" w:hAnsi="宋体" w:eastAsia="宋体" w:cs="宋体"/>
                <w:color w:val="auto"/>
                <w:sz w:val="21"/>
                <w:szCs w:val="21"/>
                <w:highlight w:val="none"/>
                <w:vertAlign w:val="superscript"/>
              </w:rPr>
              <w:t>-8</w:t>
            </w:r>
          </w:p>
          <w:p w14:paraId="40500C9D">
            <w:pPr>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480" w:lineRule="exact"/>
              <w:ind w:left="0" w:left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2.2.17、</w:t>
            </w:r>
            <w:r>
              <w:rPr>
                <w:rFonts w:hint="eastAsia" w:ascii="宋体" w:hAnsi="宋体" w:eastAsia="宋体" w:cs="宋体"/>
                <w:color w:val="auto"/>
                <w:sz w:val="21"/>
                <w:szCs w:val="21"/>
                <w:highlight w:val="none"/>
              </w:rPr>
              <w:t>监视仪表准确度:电压、电流、功率为0.05级，相位0.1</w:t>
            </w:r>
            <w:r>
              <w:rPr>
                <w:rFonts w:hint="eastAsia" w:ascii="宋体" w:hAnsi="宋体" w:eastAsia="宋体" w:cs="宋体"/>
                <w:color w:val="auto"/>
                <w:sz w:val="21"/>
                <w:szCs w:val="21"/>
                <w:highlight w:val="none"/>
              </w:rPr>
              <w:sym w:font="Symbol" w:char="F0B0"/>
            </w:r>
          </w:p>
          <w:p w14:paraId="45067814">
            <w:pPr>
              <w:pStyle w:val="16"/>
              <w:pageBreakBefore w:val="0"/>
              <w:numPr>
                <w:ilvl w:val="0"/>
                <w:numId w:val="0"/>
              </w:numPr>
              <w:wordWrap/>
              <w:overflowPunct/>
              <w:topLinePunct w:val="0"/>
              <w:bidi w:val="0"/>
              <w:snapToGrid w:val="0"/>
              <w:spacing w:beforeAutospacing="0" w:afterAutospacing="0" w:line="480" w:lineRule="exact"/>
              <w:ind w:left="0" w:leftChars="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3、</w:t>
            </w:r>
            <w:r>
              <w:rPr>
                <w:rFonts w:hint="eastAsia" w:ascii="宋体" w:hAnsi="宋体" w:eastAsia="宋体" w:cs="宋体"/>
                <w:b/>
                <w:color w:val="auto"/>
                <w:sz w:val="21"/>
                <w:szCs w:val="21"/>
                <w:highlight w:val="none"/>
              </w:rPr>
              <w:t>配置及参数要求</w:t>
            </w:r>
          </w:p>
          <w:p w14:paraId="68322645">
            <w:pPr>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装置由全电子三相程控电源、挂表架、三相标准电能表、总控单元等组成。</w:t>
            </w:r>
          </w:p>
          <w:p w14:paraId="0B0D66FD">
            <w:pPr>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装置结构形式</w:t>
            </w:r>
          </w:p>
          <w:p w14:paraId="1E1F7DA6">
            <w:pPr>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（1）台体结构：采用电子程控源和挂表架一体式结构，表位模块化设计。</w:t>
            </w:r>
          </w:p>
          <w:p w14:paraId="67BD8702">
            <w:pPr>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（2）校表数量：三相表≥</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只。</w:t>
            </w:r>
          </w:p>
          <w:p w14:paraId="4AC91E2C">
            <w:pPr>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（3）基本尺寸要求：</w:t>
            </w:r>
          </w:p>
          <w:p w14:paraId="65A1EE12">
            <w:pPr>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挂表架尺寸：按供方标准外形尺寸。</w:t>
            </w:r>
          </w:p>
          <w:p w14:paraId="2964A82D">
            <w:pPr>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（4）表架应装一组电流短接片、检定用接口，以方便接入标准表。</w:t>
            </w:r>
          </w:p>
          <w:p w14:paraId="7D42D201">
            <w:pPr>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（5）采用快速接线盒接表，可实现智能电能表电压电流端子、辅助端子一次压接接线。</w:t>
            </w:r>
          </w:p>
          <w:p w14:paraId="43E47445">
            <w:pPr>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（6）装置有专用接地端子，内部各单元可靠接地。</w:t>
            </w:r>
          </w:p>
          <w:p w14:paraId="6FE1FEF9">
            <w:pPr>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附台结构形式</w:t>
            </w:r>
          </w:p>
          <w:p w14:paraId="47E7CF65">
            <w:pPr>
              <w:pageBreakBefore w:val="0"/>
              <w:wordWrap/>
              <w:overflowPunct/>
              <w:topLinePunct w:val="0"/>
              <w:bidi w:val="0"/>
              <w:snapToGrid w:val="0"/>
              <w:spacing w:beforeAutospacing="0" w:afterAutospacing="0" w:line="480" w:lineRule="exact"/>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采用计算机桌，可放置计算机和打印机。</w:t>
            </w:r>
          </w:p>
          <w:p w14:paraId="1B8BD5C2">
            <w:pPr>
              <w:pStyle w:val="16"/>
              <w:pageBreakBefore w:val="0"/>
              <w:wordWrap/>
              <w:overflowPunct/>
              <w:topLinePunct w:val="0"/>
              <w:bidi w:val="0"/>
              <w:snapToGrid w:val="0"/>
              <w:spacing w:beforeAutospacing="0" w:afterAutospacing="0" w:line="480" w:lineRule="exact"/>
              <w:ind w:left="0" w:firstLine="0" w:firstLineChars="0"/>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3.3</w:t>
            </w:r>
            <w:r>
              <w:rPr>
                <w:rFonts w:hint="eastAsia" w:ascii="宋体"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功能</w:t>
            </w:r>
          </w:p>
          <w:p w14:paraId="22B345C6">
            <w:pPr>
              <w:pageBreakBefore w:val="0"/>
              <w:numPr>
                <w:ilvl w:val="0"/>
                <w:numId w:val="0"/>
              </w:numPr>
              <w:wordWrap/>
              <w:overflowPunct/>
              <w:topLinePunct w:val="0"/>
              <w:bidi w:val="0"/>
              <w:adjustRightInd w:val="0"/>
              <w:snapToGrid w:val="0"/>
              <w:spacing w:beforeAutospacing="0" w:afterAutospacing="0" w:line="48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3.3.1、</w:t>
            </w:r>
            <w:r>
              <w:rPr>
                <w:rFonts w:hint="eastAsia" w:ascii="宋体" w:hAnsi="宋体" w:eastAsia="宋体" w:cs="宋体"/>
                <w:color w:val="auto"/>
                <w:sz w:val="21"/>
                <w:szCs w:val="21"/>
                <w:highlight w:val="none"/>
              </w:rPr>
              <w:t>装置可同时对相同电压、电流量程，不同电表常数的电能表进行多种方案的检定或试验；</w:t>
            </w:r>
          </w:p>
          <w:p w14:paraId="66B94099">
            <w:pPr>
              <w:pageBreakBefore w:val="0"/>
              <w:numPr>
                <w:ilvl w:val="0"/>
                <w:numId w:val="0"/>
              </w:numPr>
              <w:wordWrap/>
              <w:overflowPunct/>
              <w:topLinePunct w:val="0"/>
              <w:bidi w:val="0"/>
              <w:adjustRightInd w:val="0"/>
              <w:snapToGrid w:val="0"/>
              <w:spacing w:beforeAutospacing="0" w:afterAutospacing="0" w:line="48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3.3.2、</w:t>
            </w:r>
            <w:r>
              <w:rPr>
                <w:rFonts w:hint="eastAsia" w:ascii="宋体" w:hAnsi="宋体" w:eastAsia="宋体" w:cs="宋体"/>
                <w:color w:val="auto"/>
                <w:sz w:val="21"/>
                <w:szCs w:val="21"/>
                <w:highlight w:val="none"/>
              </w:rPr>
              <w:t>装置软件根据仅输入一次的被检表的类别和参数，即可自动生成按照规程要求的检定方案，也可生成由用户自定义的测试方案。检定方案和测试方案可编辑、拷贝、删除、备份并设密码权限保护。</w:t>
            </w:r>
          </w:p>
          <w:p w14:paraId="569BE0F3">
            <w:pPr>
              <w:pageBreakBefore w:val="0"/>
              <w:numPr>
                <w:ilvl w:val="0"/>
                <w:numId w:val="0"/>
              </w:numPr>
              <w:wordWrap/>
              <w:overflowPunct/>
              <w:topLinePunct w:val="0"/>
              <w:bidi w:val="0"/>
              <w:adjustRightInd w:val="0"/>
              <w:snapToGrid w:val="0"/>
              <w:spacing w:beforeAutospacing="0" w:afterAutospacing="0" w:line="48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3.3.3、</w:t>
            </w:r>
            <w:r>
              <w:rPr>
                <w:rFonts w:hint="eastAsia" w:ascii="宋体" w:hAnsi="宋体" w:eastAsia="宋体" w:cs="宋体"/>
                <w:color w:val="auto"/>
                <w:sz w:val="21"/>
                <w:szCs w:val="21"/>
                <w:highlight w:val="none"/>
              </w:rPr>
              <w:t>自动计算起动时间，并判别起动是否合格，并可在起动试验时进行误差测试。自动计算电子表潜动时间，并判别是否合格。自动计算化整误差，方便地对被校电能表任意进行检定工作。</w:t>
            </w:r>
          </w:p>
          <w:p w14:paraId="3DE26C1B">
            <w:pPr>
              <w:pageBreakBefore w:val="0"/>
              <w:numPr>
                <w:ilvl w:val="0"/>
                <w:numId w:val="0"/>
              </w:numPr>
              <w:wordWrap/>
              <w:overflowPunct/>
              <w:topLinePunct w:val="0"/>
              <w:bidi w:val="0"/>
              <w:adjustRightInd w:val="0"/>
              <w:snapToGrid w:val="0"/>
              <w:spacing w:beforeAutospacing="0" w:afterAutospacing="0" w:line="48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3.3.4、</w:t>
            </w:r>
            <w:r>
              <w:rPr>
                <w:rFonts w:hint="eastAsia" w:ascii="宋体" w:hAnsi="宋体" w:eastAsia="宋体" w:cs="宋体"/>
                <w:color w:val="auto"/>
                <w:sz w:val="21"/>
                <w:szCs w:val="21"/>
                <w:highlight w:val="none"/>
              </w:rPr>
              <w:t>按照相关标准要求检测多功能电能表的计度器总电能示值误差、计度器示值组合误差。</w:t>
            </w:r>
          </w:p>
          <w:p w14:paraId="1C509C78">
            <w:pPr>
              <w:pageBreakBefore w:val="0"/>
              <w:numPr>
                <w:ilvl w:val="0"/>
                <w:numId w:val="0"/>
              </w:numPr>
              <w:wordWrap/>
              <w:overflowPunct/>
              <w:topLinePunct w:val="0"/>
              <w:bidi w:val="0"/>
              <w:adjustRightInd w:val="0"/>
              <w:snapToGrid w:val="0"/>
              <w:spacing w:beforeAutospacing="0" w:afterAutospacing="0" w:line="48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3.3.5、</w:t>
            </w:r>
            <w:r>
              <w:rPr>
                <w:rFonts w:hint="eastAsia" w:ascii="宋体" w:hAnsi="宋体" w:eastAsia="宋体" w:cs="宋体"/>
                <w:color w:val="auto"/>
                <w:sz w:val="21"/>
                <w:szCs w:val="21"/>
                <w:highlight w:val="none"/>
              </w:rPr>
              <w:t>按照相关标准要求，进行校核计度器示数试验。</w:t>
            </w:r>
          </w:p>
          <w:p w14:paraId="38AF47EE">
            <w:pPr>
              <w:pageBreakBefore w:val="0"/>
              <w:numPr>
                <w:ilvl w:val="0"/>
                <w:numId w:val="0"/>
              </w:numPr>
              <w:wordWrap/>
              <w:overflowPunct/>
              <w:topLinePunct w:val="0"/>
              <w:bidi w:val="0"/>
              <w:adjustRightInd w:val="0"/>
              <w:snapToGrid w:val="0"/>
              <w:spacing w:beforeAutospacing="0" w:afterAutospacing="0" w:line="48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3.3.6、</w:t>
            </w:r>
            <w:r>
              <w:rPr>
                <w:rFonts w:hint="eastAsia" w:ascii="宋体" w:hAnsi="宋体" w:eastAsia="宋体" w:cs="宋体"/>
                <w:color w:val="auto"/>
                <w:sz w:val="21"/>
                <w:szCs w:val="21"/>
                <w:highlight w:val="none"/>
              </w:rPr>
              <w:t>按照相关标准要求，进行需量示值误判试验。</w:t>
            </w:r>
          </w:p>
          <w:p w14:paraId="32F3E7C8">
            <w:pPr>
              <w:pageBreakBefore w:val="0"/>
              <w:numPr>
                <w:ilvl w:val="0"/>
                <w:numId w:val="0"/>
              </w:numPr>
              <w:wordWrap/>
              <w:overflowPunct/>
              <w:topLinePunct w:val="0"/>
              <w:bidi w:val="0"/>
              <w:adjustRightInd w:val="0"/>
              <w:snapToGrid w:val="0"/>
              <w:spacing w:beforeAutospacing="0" w:afterAutospacing="0" w:line="48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3.3.7、</w:t>
            </w:r>
            <w:r>
              <w:rPr>
                <w:rFonts w:hint="eastAsia" w:ascii="宋体" w:hAnsi="宋体" w:eastAsia="宋体" w:cs="宋体"/>
                <w:color w:val="auto"/>
                <w:sz w:val="21"/>
                <w:szCs w:val="21"/>
                <w:highlight w:val="none"/>
              </w:rPr>
              <w:t>能够接收智能电能表的电脉冲输出，检定多功能电能表的电能误差、日计时误差、时段投切误差等。</w:t>
            </w:r>
          </w:p>
          <w:p w14:paraId="51FCBE4C">
            <w:pPr>
              <w:pageBreakBefore w:val="0"/>
              <w:numPr>
                <w:ilvl w:val="0"/>
                <w:numId w:val="0"/>
              </w:numPr>
              <w:wordWrap/>
              <w:overflowPunct/>
              <w:topLinePunct w:val="0"/>
              <w:bidi w:val="0"/>
              <w:adjustRightInd w:val="0"/>
              <w:snapToGrid w:val="0"/>
              <w:spacing w:beforeAutospacing="0" w:afterAutospacing="0" w:line="48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3.3.8、</w:t>
            </w:r>
            <w:r>
              <w:rPr>
                <w:rFonts w:hint="eastAsia" w:ascii="宋体" w:hAnsi="宋体" w:eastAsia="宋体" w:cs="宋体"/>
                <w:color w:val="auto"/>
                <w:sz w:val="21"/>
                <w:szCs w:val="21"/>
                <w:highlight w:val="none"/>
              </w:rPr>
              <w:t>有断点再续功能，允许挂起某一表位的试验，允许暂停和继续当前试验。</w:t>
            </w:r>
          </w:p>
          <w:p w14:paraId="37A6A9F9">
            <w:pPr>
              <w:pageBreakBefore w:val="0"/>
              <w:numPr>
                <w:ilvl w:val="0"/>
                <w:numId w:val="0"/>
              </w:numPr>
              <w:wordWrap/>
              <w:overflowPunct/>
              <w:topLinePunct w:val="0"/>
              <w:bidi w:val="0"/>
              <w:adjustRightInd w:val="0"/>
              <w:snapToGrid w:val="0"/>
              <w:spacing w:beforeAutospacing="0" w:afterAutospacing="0" w:line="48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3.3.9、</w:t>
            </w:r>
            <w:r>
              <w:rPr>
                <w:rFonts w:hint="eastAsia" w:ascii="宋体" w:hAnsi="宋体" w:eastAsia="宋体" w:cs="宋体"/>
                <w:color w:val="auto"/>
                <w:sz w:val="21"/>
                <w:szCs w:val="21"/>
                <w:highlight w:val="none"/>
              </w:rPr>
              <w:t>对各种电能表进行电压影响、频率影响等影响量试验。</w:t>
            </w:r>
          </w:p>
          <w:p w14:paraId="488B6854">
            <w:pPr>
              <w:pageBreakBefore w:val="0"/>
              <w:numPr>
                <w:ilvl w:val="0"/>
                <w:numId w:val="0"/>
              </w:numPr>
              <w:wordWrap/>
              <w:overflowPunct/>
              <w:topLinePunct w:val="0"/>
              <w:bidi w:val="0"/>
              <w:adjustRightInd w:val="0"/>
              <w:snapToGrid w:val="0"/>
              <w:spacing w:beforeAutospacing="0" w:afterAutospacing="0" w:line="48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3.3.10、</w:t>
            </w:r>
            <w:r>
              <w:rPr>
                <w:rFonts w:hint="eastAsia" w:ascii="宋体" w:hAnsi="宋体" w:eastAsia="宋体" w:cs="宋体"/>
                <w:color w:val="auto"/>
                <w:sz w:val="21"/>
                <w:szCs w:val="21"/>
                <w:highlight w:val="none"/>
              </w:rPr>
              <w:t>可检查多功能电能表的通讯功能、电能计量功能、电能表清零、最大需量功能和需量复零功能。</w:t>
            </w:r>
          </w:p>
          <w:p w14:paraId="263998A7">
            <w:pPr>
              <w:pageBreakBefore w:val="0"/>
              <w:numPr>
                <w:ilvl w:val="0"/>
                <w:numId w:val="0"/>
              </w:numPr>
              <w:wordWrap/>
              <w:overflowPunct/>
              <w:topLinePunct w:val="0"/>
              <w:bidi w:val="0"/>
              <w:adjustRightInd w:val="0"/>
              <w:snapToGrid w:val="0"/>
              <w:spacing w:beforeAutospacing="0" w:afterAutospacing="0" w:line="48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3.3.11、</w:t>
            </w:r>
            <w:r>
              <w:rPr>
                <w:rFonts w:hint="eastAsia" w:ascii="宋体" w:hAnsi="宋体" w:eastAsia="宋体" w:cs="宋体"/>
                <w:color w:val="auto"/>
                <w:sz w:val="21"/>
                <w:szCs w:val="21"/>
                <w:highlight w:val="none"/>
              </w:rPr>
              <w:t>检查多功能表的费率和时段功能，日历、计时、闰年切换功能，在24h内是否至少具有可以任意编程的14种费率和10个时段。</w:t>
            </w:r>
          </w:p>
          <w:p w14:paraId="1E679C4B">
            <w:pPr>
              <w:pageBreakBefore w:val="0"/>
              <w:numPr>
                <w:ilvl w:val="0"/>
                <w:numId w:val="0"/>
              </w:numPr>
              <w:wordWrap/>
              <w:overflowPunct/>
              <w:topLinePunct w:val="0"/>
              <w:bidi w:val="0"/>
              <w:adjustRightInd w:val="0"/>
              <w:snapToGrid w:val="0"/>
              <w:spacing w:beforeAutospacing="0" w:afterAutospacing="0" w:line="48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3.3.12、</w:t>
            </w:r>
            <w:r>
              <w:rPr>
                <w:rFonts w:hint="eastAsia" w:ascii="宋体" w:hAnsi="宋体" w:eastAsia="宋体" w:cs="宋体"/>
                <w:color w:val="auto"/>
                <w:sz w:val="21"/>
                <w:szCs w:val="21"/>
                <w:highlight w:val="none"/>
              </w:rPr>
              <w:t>检查多功能表的电量寄存器、瞬时寄存器、需量寄存器、状态寄存器、失压寄存器(包括失压次数/失压时间/掉电日期/上电日期)存储功能。</w:t>
            </w:r>
          </w:p>
          <w:p w14:paraId="7861533B">
            <w:pPr>
              <w:pageBreakBefore w:val="0"/>
              <w:numPr>
                <w:ilvl w:val="0"/>
                <w:numId w:val="0"/>
              </w:numPr>
              <w:wordWrap/>
              <w:overflowPunct/>
              <w:topLinePunct w:val="0"/>
              <w:bidi w:val="0"/>
              <w:adjustRightInd w:val="0"/>
              <w:snapToGrid w:val="0"/>
              <w:spacing w:beforeAutospacing="0" w:afterAutospacing="0" w:line="48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3.3.13、</w:t>
            </w:r>
            <w:r>
              <w:rPr>
                <w:rFonts w:hint="eastAsia" w:ascii="宋体" w:hAnsi="宋体" w:eastAsia="宋体" w:cs="宋体"/>
                <w:color w:val="auto"/>
                <w:sz w:val="21"/>
                <w:szCs w:val="21"/>
                <w:highlight w:val="none"/>
              </w:rPr>
              <w:t>可检查多功能表的事件记录功能，寄存器数据存储功能。</w:t>
            </w:r>
          </w:p>
          <w:p w14:paraId="2B870014">
            <w:pPr>
              <w:pageBreakBefore w:val="0"/>
              <w:numPr>
                <w:ilvl w:val="0"/>
                <w:numId w:val="0"/>
              </w:numPr>
              <w:wordWrap/>
              <w:overflowPunct/>
              <w:topLinePunct w:val="0"/>
              <w:bidi w:val="0"/>
              <w:adjustRightInd w:val="0"/>
              <w:snapToGrid w:val="0"/>
              <w:spacing w:beforeAutospacing="0" w:afterAutospacing="0" w:line="48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3.3.14、</w:t>
            </w:r>
            <w:r>
              <w:rPr>
                <w:rFonts w:hint="eastAsia" w:ascii="宋体" w:hAnsi="宋体" w:eastAsia="宋体" w:cs="宋体"/>
                <w:color w:val="auto"/>
                <w:sz w:val="21"/>
                <w:szCs w:val="21"/>
                <w:highlight w:val="none"/>
              </w:rPr>
              <w:t>可校验多功能表的需量周期误差。</w:t>
            </w:r>
          </w:p>
          <w:p w14:paraId="2851CD4F">
            <w:pPr>
              <w:pageBreakBefore w:val="0"/>
              <w:numPr>
                <w:ilvl w:val="0"/>
                <w:numId w:val="0"/>
              </w:numPr>
              <w:wordWrap/>
              <w:overflowPunct/>
              <w:topLinePunct w:val="0"/>
              <w:bidi w:val="0"/>
              <w:adjustRightInd w:val="0"/>
              <w:snapToGrid w:val="0"/>
              <w:spacing w:beforeAutospacing="0" w:afterAutospacing="0" w:line="48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3.3.15、</w:t>
            </w:r>
            <w:r>
              <w:rPr>
                <w:rFonts w:hint="eastAsia" w:ascii="宋体" w:hAnsi="宋体" w:eastAsia="宋体" w:cs="宋体"/>
                <w:color w:val="auto"/>
                <w:sz w:val="21"/>
                <w:szCs w:val="21"/>
                <w:highlight w:val="none"/>
              </w:rPr>
              <w:t>装置具有698协议测试功能，能够依据DL/T698.45面向对象的互操作性数据交换协议，对符合该协议标准的终端进行各种功能测试，自带测试软件能够在645通讯协议和698协议间切换。</w:t>
            </w:r>
          </w:p>
          <w:p w14:paraId="3E28C8E5">
            <w:pPr>
              <w:pStyle w:val="16"/>
              <w:pageBreakBefore w:val="0"/>
              <w:wordWrap/>
              <w:overflowPunct/>
              <w:topLinePunct w:val="0"/>
              <w:bidi w:val="0"/>
              <w:snapToGrid w:val="0"/>
              <w:spacing w:beforeAutospacing="0" w:afterAutospacing="0" w:line="480" w:lineRule="exact"/>
              <w:ind w:left="0" w:firstLine="0" w:firstLineChars="0"/>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支持初始固有误差、电能表常数试验、起动试验、无负载条件(潜动)、电能示值组合误差、测量重复性试验、误差变差试验、误差一致性试验、负载电流升降变差试验、电压改变试验、频率改变试验、自热试验、日计时误差、储能器件放电试验、不平衡、逆相序、日计时误差、接地故障试验、密钥更新试验、参数更新度验、安全认证试验、功能检查等试验项目。</w:t>
            </w:r>
          </w:p>
          <w:p w14:paraId="0DBA478C">
            <w:pPr>
              <w:pageBreakBefore w:val="0"/>
              <w:wordWrap/>
              <w:overflowPunct/>
              <w:topLinePunct w:val="0"/>
              <w:bidi w:val="0"/>
              <w:snapToGrid w:val="0"/>
              <w:spacing w:beforeAutospacing="0" w:afterAutospacing="0" w:line="480" w:lineRule="exact"/>
              <w:ind w:left="0" w:leftChars="0" w:firstLine="0" w:firstLineChars="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4、</w:t>
            </w:r>
            <w:r>
              <w:rPr>
                <w:rFonts w:hint="eastAsia" w:ascii="宋体" w:hAnsi="宋体" w:eastAsia="宋体" w:cs="宋体"/>
                <w:b/>
                <w:color w:val="auto"/>
                <w:sz w:val="21"/>
                <w:szCs w:val="21"/>
                <w:highlight w:val="none"/>
              </w:rPr>
              <w:t>计算机及软件要求</w:t>
            </w:r>
          </w:p>
          <w:p w14:paraId="4AD6F398">
            <w:pPr>
              <w:pageBreakBefore w:val="0"/>
              <w:widowControl/>
              <w:numPr>
                <w:ilvl w:val="0"/>
                <w:numId w:val="0"/>
              </w:numPr>
              <w:tabs>
                <w:tab w:val="left" w:pos="280"/>
              </w:tabs>
              <w:kinsoku w:val="0"/>
              <w:wordWrap/>
              <w:overflowPunct/>
              <w:topLinePunct w:val="0"/>
              <w:autoSpaceDE w:val="0"/>
              <w:autoSpaceDN w:val="0"/>
              <w:bidi w:val="0"/>
              <w:adjustRightInd w:val="0"/>
              <w:snapToGrid w:val="0"/>
              <w:spacing w:beforeAutospacing="0" w:afterAutospacing="0" w:line="480" w:lineRule="exact"/>
              <w:ind w:left="0" w:left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4.1、</w:t>
            </w:r>
            <w:r>
              <w:rPr>
                <w:rFonts w:hint="eastAsia" w:ascii="宋体" w:hAnsi="宋体" w:eastAsia="宋体" w:cs="宋体"/>
                <w:color w:val="auto"/>
                <w:sz w:val="21"/>
                <w:szCs w:val="21"/>
                <w:highlight w:val="none"/>
              </w:rPr>
              <w:t>软件可运行在Windows 7及以上版本</w:t>
            </w:r>
            <w:r>
              <w:rPr>
                <w:rFonts w:hint="eastAsia" w:ascii="宋体" w:hAnsi="宋体" w:eastAsia="宋体" w:cs="宋体"/>
                <w:color w:val="auto"/>
                <w:sz w:val="21"/>
                <w:szCs w:val="21"/>
                <w:highlight w:val="none"/>
                <w:lang w:eastAsia="zh-CN"/>
              </w:rPr>
              <w:t>，计算机内存≥</w:t>
            </w:r>
            <w:r>
              <w:rPr>
                <w:rFonts w:hint="eastAsia" w:ascii="宋体" w:hAnsi="宋体" w:eastAsia="宋体" w:cs="宋体"/>
                <w:color w:val="auto"/>
                <w:sz w:val="21"/>
                <w:szCs w:val="21"/>
                <w:highlight w:val="none"/>
                <w:lang w:val="en-US" w:eastAsia="zh-CN"/>
              </w:rPr>
              <w:t>16G</w:t>
            </w:r>
            <w:r>
              <w:rPr>
                <w:rFonts w:hint="eastAsia" w:ascii="宋体" w:hAnsi="宋体" w:eastAsia="宋体" w:cs="宋体"/>
                <w:color w:val="auto"/>
                <w:sz w:val="21"/>
                <w:szCs w:val="21"/>
                <w:highlight w:val="none"/>
              </w:rPr>
              <w:t>。</w:t>
            </w:r>
          </w:p>
          <w:p w14:paraId="2118D620">
            <w:pPr>
              <w:pageBreakBefore w:val="0"/>
              <w:widowControl/>
              <w:numPr>
                <w:ilvl w:val="0"/>
                <w:numId w:val="0"/>
              </w:numPr>
              <w:tabs>
                <w:tab w:val="left" w:pos="280"/>
              </w:tabs>
              <w:kinsoku w:val="0"/>
              <w:wordWrap/>
              <w:overflowPunct/>
              <w:topLinePunct w:val="0"/>
              <w:autoSpaceDE w:val="0"/>
              <w:autoSpaceDN w:val="0"/>
              <w:bidi w:val="0"/>
              <w:adjustRightInd w:val="0"/>
              <w:snapToGrid w:val="0"/>
              <w:spacing w:beforeAutospacing="0" w:afterAutospacing="0" w:line="480" w:lineRule="exact"/>
              <w:ind w:left="0" w:left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4.2、</w:t>
            </w:r>
            <w:r>
              <w:rPr>
                <w:rFonts w:hint="eastAsia" w:ascii="宋体" w:hAnsi="宋体" w:eastAsia="宋体" w:cs="宋体"/>
                <w:color w:val="auto"/>
                <w:sz w:val="21"/>
                <w:szCs w:val="21"/>
                <w:highlight w:val="none"/>
              </w:rPr>
              <w:t>可方便、快捷、多方式进行被检表参数、条形码、检定方案等数据输入。</w:t>
            </w:r>
          </w:p>
          <w:p w14:paraId="73C25F8D">
            <w:pPr>
              <w:pageBreakBefore w:val="0"/>
              <w:widowControl/>
              <w:numPr>
                <w:ilvl w:val="0"/>
                <w:numId w:val="0"/>
              </w:numPr>
              <w:tabs>
                <w:tab w:val="left" w:pos="280"/>
              </w:tabs>
              <w:kinsoku w:val="0"/>
              <w:wordWrap/>
              <w:overflowPunct/>
              <w:topLinePunct w:val="0"/>
              <w:autoSpaceDE w:val="0"/>
              <w:autoSpaceDN w:val="0"/>
              <w:bidi w:val="0"/>
              <w:adjustRightInd w:val="0"/>
              <w:snapToGrid w:val="0"/>
              <w:spacing w:beforeAutospacing="0" w:afterAutospacing="0" w:line="480" w:lineRule="exact"/>
              <w:ind w:left="0" w:left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4.3、</w:t>
            </w:r>
            <w:r>
              <w:rPr>
                <w:rFonts w:hint="eastAsia" w:ascii="宋体" w:hAnsi="宋体" w:eastAsia="宋体" w:cs="宋体"/>
                <w:color w:val="auto"/>
                <w:sz w:val="21"/>
                <w:szCs w:val="21"/>
                <w:highlight w:val="none"/>
              </w:rPr>
              <w:t>数据检索方便、管理安全，具有数据自动备份功能。</w:t>
            </w:r>
          </w:p>
          <w:p w14:paraId="23F722AD">
            <w:pPr>
              <w:pageBreakBefore w:val="0"/>
              <w:widowControl/>
              <w:numPr>
                <w:ilvl w:val="0"/>
                <w:numId w:val="0"/>
              </w:numPr>
              <w:tabs>
                <w:tab w:val="left" w:pos="280"/>
              </w:tabs>
              <w:kinsoku w:val="0"/>
              <w:wordWrap/>
              <w:overflowPunct/>
              <w:topLinePunct w:val="0"/>
              <w:autoSpaceDE w:val="0"/>
              <w:autoSpaceDN w:val="0"/>
              <w:bidi w:val="0"/>
              <w:adjustRightInd w:val="0"/>
              <w:snapToGrid w:val="0"/>
              <w:spacing w:beforeAutospacing="0" w:afterAutospacing="0" w:line="480" w:lineRule="exact"/>
              <w:ind w:left="0" w:left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4.4、</w:t>
            </w:r>
            <w:r>
              <w:rPr>
                <w:rFonts w:hint="eastAsia" w:ascii="宋体" w:hAnsi="宋体" w:eastAsia="宋体" w:cs="宋体"/>
                <w:color w:val="auto"/>
                <w:sz w:val="21"/>
                <w:szCs w:val="21"/>
                <w:highlight w:val="none"/>
              </w:rPr>
              <w:t>可输出检定证书、校准证书、测试证书、检定（校准、检测）记录、检定（校准、检测）情况统计报表，报表可导出，检定证书等及检定（校准、检测）记录可导出为EXCEL或WORD文档保存。</w:t>
            </w:r>
          </w:p>
          <w:p w14:paraId="1EBE4F7A">
            <w:pPr>
              <w:pageBreakBefore w:val="0"/>
              <w:widowControl/>
              <w:numPr>
                <w:ilvl w:val="0"/>
                <w:numId w:val="0"/>
              </w:numPr>
              <w:tabs>
                <w:tab w:val="left" w:pos="280"/>
              </w:tabs>
              <w:kinsoku w:val="0"/>
              <w:wordWrap/>
              <w:overflowPunct/>
              <w:topLinePunct w:val="0"/>
              <w:autoSpaceDE w:val="0"/>
              <w:autoSpaceDN w:val="0"/>
              <w:bidi w:val="0"/>
              <w:adjustRightInd w:val="0"/>
              <w:snapToGrid w:val="0"/>
              <w:spacing w:beforeAutospacing="0" w:afterAutospacing="0" w:line="480" w:lineRule="exact"/>
              <w:ind w:left="0" w:left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4.5、</w:t>
            </w:r>
            <w:r>
              <w:rPr>
                <w:rFonts w:hint="eastAsia" w:ascii="宋体" w:hAnsi="宋体" w:eastAsia="宋体" w:cs="宋体"/>
                <w:color w:val="auto"/>
                <w:sz w:val="21"/>
                <w:szCs w:val="21"/>
                <w:highlight w:val="none"/>
              </w:rPr>
              <w:t>检定误差数据可以上传到MIS系统、MDS平台等上层平台。</w:t>
            </w:r>
          </w:p>
          <w:p w14:paraId="18BBAA81">
            <w:pPr>
              <w:pageBreakBefore w:val="0"/>
              <w:widowControl/>
              <w:numPr>
                <w:ilvl w:val="0"/>
                <w:numId w:val="0"/>
              </w:numPr>
              <w:tabs>
                <w:tab w:val="left" w:pos="280"/>
              </w:tabs>
              <w:kinsoku w:val="0"/>
              <w:wordWrap/>
              <w:overflowPunct/>
              <w:topLinePunct w:val="0"/>
              <w:autoSpaceDE w:val="0"/>
              <w:autoSpaceDN w:val="0"/>
              <w:bidi w:val="0"/>
              <w:adjustRightInd w:val="0"/>
              <w:snapToGrid w:val="0"/>
              <w:spacing w:beforeAutospacing="0" w:afterAutospacing="0" w:line="480" w:lineRule="exact"/>
              <w:ind w:left="0" w:left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4.6、</w:t>
            </w:r>
            <w:r>
              <w:rPr>
                <w:rFonts w:hint="eastAsia" w:ascii="宋体" w:hAnsi="宋体" w:eastAsia="宋体" w:cs="宋体"/>
                <w:color w:val="auto"/>
                <w:sz w:val="21"/>
                <w:szCs w:val="21"/>
                <w:highlight w:val="none"/>
              </w:rPr>
              <w:t>试验完毕后，可通过加密机对被检表的电量底数、需量以及事件记录清零；</w:t>
            </w:r>
          </w:p>
          <w:p w14:paraId="2E9AC288">
            <w:pPr>
              <w:pageBreakBefore w:val="0"/>
              <w:widowControl/>
              <w:numPr>
                <w:ilvl w:val="0"/>
                <w:numId w:val="0"/>
              </w:numPr>
              <w:tabs>
                <w:tab w:val="left" w:pos="280"/>
              </w:tabs>
              <w:kinsoku w:val="0"/>
              <w:wordWrap/>
              <w:overflowPunct/>
              <w:topLinePunct w:val="0"/>
              <w:autoSpaceDE w:val="0"/>
              <w:autoSpaceDN w:val="0"/>
              <w:bidi w:val="0"/>
              <w:adjustRightInd w:val="0"/>
              <w:snapToGrid w:val="0"/>
              <w:spacing w:beforeAutospacing="0" w:afterAutospacing="0" w:line="480" w:lineRule="exact"/>
              <w:ind w:left="0" w:left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4.7、</w:t>
            </w:r>
            <w:r>
              <w:rPr>
                <w:rFonts w:hint="eastAsia" w:ascii="宋体" w:hAnsi="宋体" w:eastAsia="宋体" w:cs="宋体"/>
                <w:color w:val="auto"/>
                <w:sz w:val="21"/>
                <w:szCs w:val="21"/>
                <w:highlight w:val="none"/>
              </w:rPr>
              <w:t>软件兼容新旧两套标准检定方案：针对现有国标的电能表试验方案、针对新标准IR46的多芯模组化智能电能表检定方案。</w:t>
            </w:r>
          </w:p>
          <w:p w14:paraId="4CC27481">
            <w:pPr>
              <w:pageBreakBefore w:val="0"/>
              <w:widowControl/>
              <w:numPr>
                <w:ilvl w:val="0"/>
                <w:numId w:val="0"/>
              </w:numPr>
              <w:tabs>
                <w:tab w:val="left" w:pos="280"/>
              </w:tabs>
              <w:kinsoku w:val="0"/>
              <w:wordWrap/>
              <w:overflowPunct/>
              <w:topLinePunct w:val="0"/>
              <w:autoSpaceDE w:val="0"/>
              <w:autoSpaceDN w:val="0"/>
              <w:bidi w:val="0"/>
              <w:adjustRightInd w:val="0"/>
              <w:snapToGrid w:val="0"/>
              <w:spacing w:beforeAutospacing="0" w:afterAutospacing="0" w:line="480" w:lineRule="exact"/>
              <w:ind w:left="0" w:left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4.8、</w:t>
            </w:r>
            <w:r>
              <w:rPr>
                <w:rFonts w:hint="eastAsia" w:ascii="宋体" w:hAnsi="宋体" w:eastAsia="宋体" w:cs="宋体"/>
                <w:color w:val="auto"/>
                <w:sz w:val="21"/>
                <w:szCs w:val="21"/>
                <w:highlight w:val="none"/>
              </w:rPr>
              <w:t>软件符合IML R46及多芯模组化智能电能表相关标准中要求的试验方法进行配套试验的设置，包括电能表等级、负载电流点的设置、组合误差的计算。</w:t>
            </w:r>
          </w:p>
          <w:p w14:paraId="43AB9E05">
            <w:pPr>
              <w:pStyle w:val="16"/>
              <w:pageBreakBefore w:val="0"/>
              <w:numPr>
                <w:ilvl w:val="0"/>
                <w:numId w:val="0"/>
              </w:numPr>
              <w:wordWrap/>
              <w:overflowPunct/>
              <w:topLinePunct w:val="0"/>
              <w:bidi w:val="0"/>
              <w:snapToGrid w:val="0"/>
              <w:spacing w:beforeAutospacing="0" w:afterAutospacing="0" w:line="480" w:lineRule="exact"/>
              <w:ind w:left="0" w:leftChars="0"/>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lang w:val="en-US" w:eastAsia="zh-CN"/>
              </w:rPr>
              <w:t>4.9、</w:t>
            </w:r>
            <w:r>
              <w:rPr>
                <w:rFonts w:hint="eastAsia" w:ascii="宋体" w:hAnsi="宋体" w:eastAsia="宋体" w:cs="宋体"/>
                <w:color w:val="auto"/>
                <w:sz w:val="21"/>
                <w:szCs w:val="21"/>
                <w:highlight w:val="none"/>
              </w:rPr>
              <w:t>试验项目包含初始固有误差、电能表常数试验、起动试验、无负载条件(潜动)、电能示值组合误差、测量重复性试验、误差变差试验、误差一致性试验、负载电流升降变差试验、电压改变试验、频率改变试验、自热试验、日计时误差、不平衡、逆相序、日计时误差、密钥更新试验、参数更新度验、安全认证试验、功能检查等试验项目。</w:t>
            </w:r>
          </w:p>
          <w:p w14:paraId="0EC1AC2A">
            <w:pPr>
              <w:pageBreakBefore w:val="0"/>
              <w:wordWrap/>
              <w:overflowPunct/>
              <w:topLinePunct w:val="0"/>
              <w:bidi w:val="0"/>
              <w:snapToGrid w:val="0"/>
              <w:spacing w:beforeAutospacing="0" w:afterAutospacing="0" w:line="480" w:lineRule="exact"/>
              <w:ind w:left="0" w:leftChars="0" w:firstLine="0" w:firstLineChars="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5</w:t>
            </w: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rPr>
              <w:t>其他要求</w:t>
            </w:r>
          </w:p>
          <w:p w14:paraId="5E424E80">
            <w:pPr>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480" w:lineRule="exact"/>
              <w:ind w:left="0" w:leftChars="0"/>
              <w:jc w:val="left"/>
              <w:textAlignment w:val="baseline"/>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5.1、</w:t>
            </w:r>
            <w:r>
              <w:rPr>
                <w:rFonts w:hint="eastAsia" w:ascii="宋体" w:hAnsi="宋体" w:eastAsia="宋体" w:cs="宋体"/>
                <w:bCs/>
                <w:color w:val="auto"/>
                <w:sz w:val="21"/>
                <w:szCs w:val="21"/>
                <w:highlight w:val="none"/>
              </w:rPr>
              <w:t>配套详细的装置使用说明书及校表软件使用说明书各1套、成套出厂检定证书;包括本协议所要求的其它功能指标的测试数据;</w:t>
            </w:r>
          </w:p>
          <w:p w14:paraId="37A08139">
            <w:pPr>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480" w:lineRule="exact"/>
              <w:ind w:left="0" w:leftChars="0"/>
              <w:jc w:val="left"/>
              <w:textAlignment w:val="baseline"/>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5.2、</w:t>
            </w:r>
            <w:r>
              <w:rPr>
                <w:rFonts w:hint="eastAsia" w:ascii="宋体" w:hAnsi="宋体" w:eastAsia="宋体" w:cs="宋体"/>
                <w:bCs/>
                <w:color w:val="auto"/>
                <w:sz w:val="21"/>
                <w:szCs w:val="21"/>
                <w:highlight w:val="none"/>
              </w:rPr>
              <w:t>装置使用手册及供货设备清单。</w:t>
            </w:r>
          </w:p>
          <w:p w14:paraId="55B9EAFC">
            <w:pPr>
              <w:pageBreakBefore w:val="0"/>
              <w:widowControl/>
              <w:numPr>
                <w:ilvl w:val="0"/>
                <w:numId w:val="0"/>
              </w:numPr>
              <w:tabs>
                <w:tab w:val="left" w:pos="280"/>
              </w:tabs>
              <w:kinsoku w:val="0"/>
              <w:wordWrap/>
              <w:overflowPunct/>
              <w:topLinePunct w:val="0"/>
              <w:autoSpaceDE w:val="0"/>
              <w:autoSpaceDN w:val="0"/>
              <w:bidi w:val="0"/>
              <w:adjustRightInd w:val="0"/>
              <w:snapToGrid w:val="0"/>
              <w:spacing w:beforeAutospacing="0" w:afterAutospacing="0" w:line="480" w:lineRule="exact"/>
              <w:ind w:left="0" w:leftChars="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lang w:val="en-US" w:eastAsia="zh-CN"/>
              </w:rPr>
              <w:t>5.3、</w:t>
            </w:r>
            <w:r>
              <w:rPr>
                <w:rFonts w:hint="eastAsia" w:ascii="宋体" w:hAnsi="宋体" w:eastAsia="宋体" w:cs="宋体"/>
                <w:bCs/>
                <w:color w:val="auto"/>
                <w:sz w:val="21"/>
                <w:szCs w:val="21"/>
                <w:highlight w:val="none"/>
              </w:rPr>
              <w:t>附件：电脑、打印机、电脑桌椅、电动螺丝刀、专用工具各1套。</w:t>
            </w:r>
            <w:r>
              <w:rPr>
                <w:rFonts w:hint="eastAsia" w:ascii="宋体" w:hAnsi="宋体" w:eastAsia="宋体" w:cs="宋体"/>
                <w:color w:val="auto"/>
                <w:sz w:val="21"/>
                <w:szCs w:val="21"/>
                <w:highlight w:val="none"/>
              </w:rPr>
              <w:t>。</w:t>
            </w:r>
          </w:p>
        </w:tc>
      </w:tr>
      <w:tr w14:paraId="716D0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7" w:type="dxa"/>
            <w:vAlign w:val="center"/>
          </w:tcPr>
          <w:p w14:paraId="2B499A6B">
            <w:pPr>
              <w:pStyle w:val="6"/>
              <w:pageBreakBefore w:val="0"/>
              <w:wordWrap/>
              <w:overflowPunct/>
              <w:topLinePunct w:val="0"/>
              <w:bidi w:val="0"/>
              <w:spacing w:beforeAutospacing="0" w:after="0" w:afterAutospacing="0" w:line="480" w:lineRule="exact"/>
              <w:ind w:left="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15</w:t>
            </w:r>
          </w:p>
        </w:tc>
        <w:tc>
          <w:tcPr>
            <w:tcW w:w="1605" w:type="dxa"/>
            <w:vAlign w:val="center"/>
          </w:tcPr>
          <w:p w14:paraId="3E98FB33">
            <w:pPr>
              <w:pStyle w:val="6"/>
              <w:pageBreakBefore w:val="0"/>
              <w:wordWrap/>
              <w:overflowPunct/>
              <w:topLinePunct w:val="0"/>
              <w:bidi w:val="0"/>
              <w:spacing w:beforeAutospacing="0" w:after="0" w:afterAutospacing="0" w:line="480" w:lineRule="exact"/>
              <w:ind w:left="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出租汽车计价器检定装置</w:t>
            </w:r>
          </w:p>
        </w:tc>
        <w:tc>
          <w:tcPr>
            <w:tcW w:w="12382" w:type="dxa"/>
          </w:tcPr>
          <w:p w14:paraId="63509161">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1、用途及应用要求：</w:t>
            </w:r>
          </w:p>
          <w:p w14:paraId="389C386E">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该装置的技术指标</w:t>
            </w:r>
            <w:r>
              <w:rPr>
                <w:rFonts w:hint="eastAsia" w:ascii="宋体" w:hAnsi="宋体" w:eastAsia="宋体" w:cs="宋体"/>
                <w:color w:val="auto"/>
                <w:sz w:val="21"/>
                <w:szCs w:val="21"/>
                <w:highlight w:val="none"/>
                <w:lang w:val="en-US" w:eastAsia="zh-CN" w:bidi="ar"/>
              </w:rPr>
              <w:t>必须</w:t>
            </w:r>
            <w:r>
              <w:rPr>
                <w:rFonts w:hint="eastAsia" w:ascii="宋体" w:hAnsi="宋体" w:eastAsia="宋体" w:cs="宋体"/>
                <w:color w:val="auto"/>
                <w:sz w:val="21"/>
                <w:szCs w:val="21"/>
                <w:highlight w:val="none"/>
                <w:lang w:eastAsia="zh-CN" w:bidi="ar"/>
              </w:rPr>
              <w:t>符合《JJG738-2024</w:t>
            </w:r>
            <w:r>
              <w:rPr>
                <w:rFonts w:hint="eastAsia" w:ascii="宋体" w:hAnsi="宋体" w:eastAsia="宋体" w:cs="宋体"/>
                <w:color w:val="auto"/>
                <w:sz w:val="21"/>
                <w:szCs w:val="21"/>
                <w:highlight w:val="none"/>
                <w:lang w:val="en-US" w:eastAsia="zh-CN" w:bidi="ar"/>
              </w:rPr>
              <w:t xml:space="preserve"> </w:t>
            </w:r>
            <w:r>
              <w:rPr>
                <w:rFonts w:hint="eastAsia" w:ascii="宋体" w:hAnsi="宋体" w:eastAsia="宋体" w:cs="宋体"/>
                <w:color w:val="auto"/>
                <w:sz w:val="21"/>
                <w:szCs w:val="21"/>
                <w:highlight w:val="none"/>
                <w:lang w:eastAsia="zh-CN" w:bidi="ar"/>
              </w:rPr>
              <w:t>出租汽车计价器标准装置检定规程》以及《JJG517-2016</w:t>
            </w:r>
            <w:r>
              <w:rPr>
                <w:rFonts w:hint="eastAsia" w:ascii="宋体" w:hAnsi="宋体" w:eastAsia="宋体" w:cs="宋体"/>
                <w:color w:val="auto"/>
                <w:sz w:val="21"/>
                <w:szCs w:val="21"/>
                <w:highlight w:val="none"/>
                <w:lang w:val="en-US" w:eastAsia="zh-CN" w:bidi="ar"/>
              </w:rPr>
              <w:t xml:space="preserve"> </w:t>
            </w:r>
            <w:r>
              <w:rPr>
                <w:rFonts w:hint="eastAsia" w:ascii="宋体" w:hAnsi="宋体" w:eastAsia="宋体" w:cs="宋体"/>
                <w:color w:val="auto"/>
                <w:sz w:val="21"/>
                <w:szCs w:val="21"/>
                <w:highlight w:val="none"/>
                <w:lang w:eastAsia="zh-CN" w:bidi="ar"/>
              </w:rPr>
              <w:t>出租车计价器》的要求；系统的机械装置具备新能源车、电动汽车、120救护车等重型车辆的适检能力。</w:t>
            </w:r>
          </w:p>
          <w:p w14:paraId="4E5BC910">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2、主要技术参数要求：</w:t>
            </w:r>
          </w:p>
          <w:p w14:paraId="0525ABB1">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bookmarkStart w:id="2" w:name="_Toc7851"/>
            <w:r>
              <w:rPr>
                <w:rFonts w:hint="eastAsia" w:ascii="宋体" w:hAnsi="宋体" w:eastAsia="宋体" w:cs="宋体"/>
                <w:color w:val="auto"/>
                <w:sz w:val="21"/>
                <w:szCs w:val="21"/>
                <w:highlight w:val="none"/>
                <w:lang w:val="en-US" w:eastAsia="zh-CN" w:bidi="ar"/>
              </w:rPr>
              <w:t>2.</w:t>
            </w:r>
            <w:r>
              <w:rPr>
                <w:rFonts w:hint="eastAsia" w:ascii="宋体" w:hAnsi="宋体" w:eastAsia="宋体" w:cs="宋体"/>
                <w:color w:val="auto"/>
                <w:sz w:val="21"/>
                <w:szCs w:val="21"/>
                <w:highlight w:val="none"/>
                <w:lang w:eastAsia="zh-CN" w:bidi="ar"/>
              </w:rPr>
              <w:t>1、主滚轮</w:t>
            </w:r>
            <w:bookmarkEnd w:id="2"/>
            <w:r>
              <w:rPr>
                <w:rFonts w:hint="eastAsia" w:ascii="宋体" w:hAnsi="宋体" w:eastAsia="宋体" w:cs="宋体"/>
                <w:color w:val="auto"/>
                <w:sz w:val="21"/>
                <w:szCs w:val="21"/>
                <w:highlight w:val="none"/>
                <w:lang w:eastAsia="zh-CN" w:bidi="ar"/>
              </w:rPr>
              <w:t>周长</w:t>
            </w:r>
          </w:p>
          <w:p w14:paraId="554CC4B7">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标称周长：1000 mm；</w:t>
            </w:r>
          </w:p>
          <w:p w14:paraId="3B6EB008">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主滚轮直径允许误差：±0.2%（周长误差上限）；</w:t>
            </w:r>
          </w:p>
          <w:p w14:paraId="30562B2C">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bookmarkStart w:id="3" w:name="_Toc10459"/>
            <w:r>
              <w:rPr>
                <w:rFonts w:hint="eastAsia" w:ascii="宋体" w:hAnsi="宋体" w:eastAsia="宋体" w:cs="宋体"/>
                <w:color w:val="auto"/>
                <w:sz w:val="21"/>
                <w:szCs w:val="21"/>
                <w:highlight w:val="none"/>
                <w:lang w:eastAsia="zh-CN" w:bidi="ar"/>
              </w:rPr>
              <w:t>★2</w:t>
            </w:r>
            <w:r>
              <w:rPr>
                <w:rFonts w:hint="eastAsia" w:ascii="宋体" w:hAnsi="宋体" w:eastAsia="宋体" w:cs="宋体"/>
                <w:color w:val="auto"/>
                <w:sz w:val="21"/>
                <w:szCs w:val="21"/>
                <w:highlight w:val="none"/>
                <w:lang w:val="en-US" w:eastAsia="zh-CN" w:bidi="ar"/>
              </w:rPr>
              <w:t>.2</w:t>
            </w:r>
            <w:r>
              <w:rPr>
                <w:rFonts w:hint="eastAsia" w:ascii="宋体" w:hAnsi="宋体" w:eastAsia="宋体" w:cs="宋体"/>
                <w:color w:val="auto"/>
                <w:sz w:val="21"/>
                <w:szCs w:val="21"/>
                <w:highlight w:val="none"/>
                <w:lang w:eastAsia="zh-CN" w:bidi="ar"/>
              </w:rPr>
              <w:t>、主滚轮</w:t>
            </w:r>
            <w:bookmarkEnd w:id="3"/>
            <w:r>
              <w:rPr>
                <w:rFonts w:hint="eastAsia" w:ascii="宋体" w:hAnsi="宋体" w:eastAsia="宋体" w:cs="宋体"/>
                <w:color w:val="auto"/>
                <w:sz w:val="21"/>
                <w:szCs w:val="21"/>
                <w:highlight w:val="none"/>
                <w:lang w:eastAsia="zh-CN" w:bidi="ar"/>
              </w:rPr>
              <w:t>转数</w:t>
            </w:r>
          </w:p>
          <w:p w14:paraId="66174829">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（1）测量范围：0～9999</w:t>
            </w:r>
          </w:p>
          <w:p w14:paraId="60F3FC08">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 xml:space="preserve">（2）分辨率：1 </w:t>
            </w:r>
          </w:p>
          <w:p w14:paraId="6B38AEA8">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（3）最大允许误差：±0.1%</w:t>
            </w:r>
          </w:p>
          <w:p w14:paraId="34D34FA7">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（4）重复性：0.5</w:t>
            </w:r>
          </w:p>
          <w:p w14:paraId="4E89FE04">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bookmarkStart w:id="4" w:name="_Toc22777"/>
            <w:r>
              <w:rPr>
                <w:rFonts w:hint="eastAsia" w:ascii="宋体" w:hAnsi="宋体" w:eastAsia="宋体" w:cs="宋体"/>
                <w:color w:val="auto"/>
                <w:sz w:val="21"/>
                <w:szCs w:val="21"/>
                <w:highlight w:val="none"/>
                <w:lang w:val="en-US" w:eastAsia="zh-CN" w:bidi="ar"/>
              </w:rPr>
              <w:t>2.</w:t>
            </w:r>
            <w:r>
              <w:rPr>
                <w:rFonts w:hint="eastAsia" w:ascii="宋体" w:hAnsi="宋体" w:eastAsia="宋体" w:cs="宋体"/>
                <w:color w:val="auto"/>
                <w:sz w:val="21"/>
                <w:szCs w:val="21"/>
                <w:highlight w:val="none"/>
                <w:lang w:eastAsia="zh-CN" w:bidi="ar"/>
              </w:rPr>
              <w:t>3、主滚轮速度</w:t>
            </w:r>
            <w:bookmarkEnd w:id="4"/>
          </w:p>
          <w:p w14:paraId="295B44F1">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（1）测量范围：0-60km/h</w:t>
            </w:r>
          </w:p>
          <w:p w14:paraId="514706AF">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（2）最大允许误差：±2km/h</w:t>
            </w:r>
          </w:p>
          <w:p w14:paraId="2760A539">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bookmarkStart w:id="5" w:name="_Toc31361"/>
            <w:r>
              <w:rPr>
                <w:rFonts w:hint="eastAsia" w:ascii="宋体" w:hAnsi="宋体" w:eastAsia="宋体" w:cs="宋体"/>
                <w:color w:val="auto"/>
                <w:sz w:val="21"/>
                <w:szCs w:val="21"/>
                <w:highlight w:val="none"/>
                <w:lang w:val="en-US" w:eastAsia="zh-CN" w:bidi="ar"/>
              </w:rPr>
              <w:t>2.</w:t>
            </w:r>
            <w:r>
              <w:rPr>
                <w:rFonts w:hint="eastAsia" w:ascii="宋体" w:hAnsi="宋体" w:eastAsia="宋体" w:cs="宋体"/>
                <w:color w:val="auto"/>
                <w:sz w:val="21"/>
                <w:szCs w:val="21"/>
                <w:highlight w:val="none"/>
                <w:lang w:eastAsia="zh-CN" w:bidi="ar"/>
              </w:rPr>
              <w:t>4、环境适应性</w:t>
            </w:r>
            <w:bookmarkEnd w:id="5"/>
          </w:p>
          <w:p w14:paraId="7AB3BA36">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（1）工作温度：-15℃～50℃</w:t>
            </w:r>
          </w:p>
          <w:p w14:paraId="710DC1CB">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（2）相对湿度：≤90%RH</w:t>
            </w:r>
          </w:p>
          <w:p w14:paraId="1235A722">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（3）储存温度：-30℃～60℃</w:t>
            </w:r>
            <w:bookmarkStart w:id="6" w:name="_Toc26222"/>
          </w:p>
          <w:p w14:paraId="30BA7E4E">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（4）负载能力</w:t>
            </w:r>
            <w:bookmarkEnd w:id="6"/>
            <w:r>
              <w:rPr>
                <w:rFonts w:hint="eastAsia" w:ascii="宋体" w:hAnsi="宋体" w:eastAsia="宋体" w:cs="宋体"/>
                <w:color w:val="auto"/>
                <w:sz w:val="21"/>
                <w:szCs w:val="21"/>
                <w:highlight w:val="none"/>
                <w:lang w:eastAsia="zh-CN" w:bidi="ar"/>
              </w:rPr>
              <w:t>：</w:t>
            </w:r>
          </w:p>
          <w:p w14:paraId="7690BF75">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 xml:space="preserve">主滚轮：≥3500kg </w:t>
            </w:r>
          </w:p>
          <w:p w14:paraId="7E38C038">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起落架：≥5000kg</w:t>
            </w:r>
            <w:bookmarkStart w:id="7" w:name="_Toc16008"/>
          </w:p>
          <w:bookmarkEnd w:id="7"/>
          <w:p w14:paraId="23985B51">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b/>
                <w:bCs/>
                <w:color w:val="auto"/>
                <w:sz w:val="21"/>
                <w:szCs w:val="21"/>
                <w:highlight w:val="none"/>
                <w:lang w:eastAsia="zh-CN" w:bidi="ar"/>
              </w:rPr>
            </w:pPr>
            <w:bookmarkStart w:id="8" w:name="_Toc31300"/>
            <w:r>
              <w:rPr>
                <w:rFonts w:hint="eastAsia" w:ascii="宋体" w:hAnsi="宋体" w:eastAsia="宋体" w:cs="宋体"/>
                <w:b/>
                <w:bCs/>
                <w:color w:val="auto"/>
                <w:sz w:val="21"/>
                <w:szCs w:val="21"/>
                <w:highlight w:val="none"/>
                <w:lang w:eastAsia="zh-CN" w:bidi="ar"/>
              </w:rPr>
              <w:t>3、配置及参数要求：</w:t>
            </w:r>
          </w:p>
          <w:p w14:paraId="3225E5A1">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b w:val="0"/>
                <w:bCs w:val="0"/>
                <w:color w:val="auto"/>
                <w:sz w:val="21"/>
                <w:szCs w:val="21"/>
                <w:highlight w:val="none"/>
                <w:lang w:eastAsia="zh-CN" w:bidi="ar"/>
              </w:rPr>
            </w:pPr>
            <w:r>
              <w:rPr>
                <w:rFonts w:hint="eastAsia" w:ascii="宋体" w:hAnsi="宋体" w:eastAsia="宋体" w:cs="宋体"/>
                <w:b w:val="0"/>
                <w:bCs w:val="0"/>
                <w:color w:val="auto"/>
                <w:sz w:val="21"/>
                <w:szCs w:val="21"/>
                <w:highlight w:val="none"/>
                <w:lang w:val="en-US" w:eastAsia="zh-CN" w:bidi="ar"/>
              </w:rPr>
              <w:t>3.1、</w:t>
            </w:r>
            <w:r>
              <w:rPr>
                <w:rFonts w:hint="eastAsia" w:ascii="宋体" w:hAnsi="宋体" w:eastAsia="宋体" w:cs="宋体"/>
                <w:b w:val="0"/>
                <w:bCs w:val="0"/>
                <w:color w:val="auto"/>
                <w:sz w:val="21"/>
                <w:szCs w:val="21"/>
                <w:highlight w:val="none"/>
                <w:lang w:eastAsia="zh-CN" w:bidi="ar"/>
              </w:rPr>
              <w:t>机械部分</w:t>
            </w:r>
            <w:bookmarkEnd w:id="8"/>
            <w:r>
              <w:rPr>
                <w:rFonts w:hint="eastAsia" w:ascii="宋体" w:hAnsi="宋体" w:eastAsia="宋体" w:cs="宋体"/>
                <w:b w:val="0"/>
                <w:bCs w:val="0"/>
                <w:color w:val="auto"/>
                <w:sz w:val="21"/>
                <w:szCs w:val="21"/>
                <w:highlight w:val="none"/>
                <w:lang w:eastAsia="zh-CN" w:bidi="ar"/>
              </w:rPr>
              <w:t>：</w:t>
            </w:r>
          </w:p>
          <w:p w14:paraId="0CFF7A87">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装置机械部分采用整体框架加钢板结构，结构稳定、强度高。</w:t>
            </w:r>
          </w:p>
          <w:p w14:paraId="0835B7C1">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主机架规格：</w:t>
            </w:r>
          </w:p>
          <w:p w14:paraId="43F38638">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长/宽/高：2660*790*530mm</w:t>
            </w:r>
          </w:p>
          <w:p w14:paraId="68E7526E">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主、副滚轮长度660mm，有效检测轮距宽度1000-2200mm。满足目前所有出租车型。</w:t>
            </w:r>
          </w:p>
          <w:p w14:paraId="15016CF5">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主、副滚轮选用优质无缝钢管加工，表面经过耐磨硬铬电镀工艺。</w:t>
            </w:r>
          </w:p>
          <w:p w14:paraId="00864B66">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主、副滚轮经过高精度动平衡校正，确保装置运转时平稳。</w:t>
            </w:r>
          </w:p>
          <w:p w14:paraId="18A5D3DD">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自动起落架装置，采用封闭式双升降机，单升降机举升力≥5000kg，具有响应速度快，抗瞬间冲击力强度高的优点；当设备启动时，起落架自动落下；停止时，起落架自动顶起，方便车辆驶离。（封闭式升降机采用机电原理，性能稳定可靠；由于轮胎易夹带灰沙，有效避免采用丝杆结构，丝杆易磨损且反应较慢的特点。）</w:t>
            </w:r>
          </w:p>
          <w:p w14:paraId="4A97AE5D">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检定设备具有防侧滑自动保护装置。采用电动推杆自动根据车型的宽度调节保护杆的距离，以防车辆侧滑。</w:t>
            </w:r>
          </w:p>
          <w:p w14:paraId="7C9B49BF">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 xml:space="preserve">★装置具有全自动刹车系统，采用三组失电式电磁刹车装置，快速可靠，能够瞬间≤3s，实现紧急状态下制动功能。断电状态下，立即制动，确保被检车辆可安全驶出；          </w:t>
            </w:r>
          </w:p>
          <w:p w14:paraId="625D7D1C">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检定设备采用内置电机，并通过联轴器驱动主滚轮。电机功率11KW，完全满足所有出租车辆的检测需求。</w:t>
            </w:r>
          </w:p>
          <w:p w14:paraId="2F223518">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b/>
                <w:bCs/>
                <w:color w:val="auto"/>
                <w:sz w:val="21"/>
                <w:szCs w:val="21"/>
                <w:highlight w:val="none"/>
              </w:rPr>
              <w:t>▲</w:t>
            </w:r>
            <w:r>
              <w:rPr>
                <w:rFonts w:hint="eastAsia" w:ascii="宋体" w:hAnsi="宋体" w:eastAsia="宋体" w:cs="宋体"/>
                <w:color w:val="auto"/>
                <w:sz w:val="21"/>
                <w:szCs w:val="21"/>
                <w:highlight w:val="none"/>
                <w:lang w:eastAsia="zh-CN" w:bidi="ar"/>
              </w:rPr>
              <w:t>整套装置均采用机电原理，机架部分可进行整体安装，确保被检车辆无论正转、反转，在无须把握方向自由状态下必须达到平稳、无侧滑、侧偏现象。</w:t>
            </w:r>
          </w:p>
          <w:p w14:paraId="3E4D3054">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b w:val="0"/>
                <w:bCs w:val="0"/>
                <w:color w:val="auto"/>
                <w:sz w:val="21"/>
                <w:szCs w:val="21"/>
                <w:highlight w:val="none"/>
                <w:lang w:eastAsia="zh-CN" w:bidi="ar"/>
              </w:rPr>
            </w:pPr>
            <w:bookmarkStart w:id="9" w:name="_Toc29670"/>
            <w:r>
              <w:rPr>
                <w:rFonts w:hint="eastAsia" w:ascii="宋体" w:hAnsi="宋体" w:eastAsia="宋体" w:cs="宋体"/>
                <w:b w:val="0"/>
                <w:bCs w:val="0"/>
                <w:color w:val="auto"/>
                <w:sz w:val="21"/>
                <w:szCs w:val="21"/>
                <w:highlight w:val="none"/>
                <w:lang w:val="en-US" w:eastAsia="zh-CN" w:bidi="ar"/>
              </w:rPr>
              <w:t>3.2、</w:t>
            </w:r>
            <w:r>
              <w:rPr>
                <w:rFonts w:hint="eastAsia" w:ascii="宋体" w:hAnsi="宋体" w:eastAsia="宋体" w:cs="宋体"/>
                <w:b w:val="0"/>
                <w:bCs w:val="0"/>
                <w:color w:val="auto"/>
                <w:sz w:val="21"/>
                <w:szCs w:val="21"/>
                <w:highlight w:val="none"/>
                <w:lang w:eastAsia="zh-CN" w:bidi="ar"/>
              </w:rPr>
              <w:t>控制部分</w:t>
            </w:r>
            <w:bookmarkEnd w:id="9"/>
            <w:r>
              <w:rPr>
                <w:rFonts w:hint="eastAsia" w:ascii="宋体" w:hAnsi="宋体" w:eastAsia="宋体" w:cs="宋体"/>
                <w:b w:val="0"/>
                <w:bCs w:val="0"/>
                <w:color w:val="auto"/>
                <w:sz w:val="21"/>
                <w:szCs w:val="21"/>
                <w:highlight w:val="none"/>
                <w:lang w:eastAsia="zh-CN" w:bidi="ar"/>
              </w:rPr>
              <w:t>：</w:t>
            </w:r>
          </w:p>
          <w:p w14:paraId="56BC2D4E">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val="en-US" w:eastAsia="zh-CN" w:bidi="ar"/>
              </w:rPr>
              <w:t>3.2.</w:t>
            </w:r>
            <w:r>
              <w:rPr>
                <w:rFonts w:hint="eastAsia" w:ascii="宋体" w:hAnsi="宋体" w:eastAsia="宋体" w:cs="宋体"/>
                <w:color w:val="auto"/>
                <w:sz w:val="21"/>
                <w:szCs w:val="21"/>
                <w:highlight w:val="none"/>
                <w:lang w:eastAsia="zh-CN" w:bidi="ar"/>
              </w:rPr>
              <w:t>1、检定设备配有专用集成控制柜。</w:t>
            </w:r>
          </w:p>
          <w:p w14:paraId="17C19433">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集测量/采集/显示/传输/计算/调速等功能于一体，内含主控制器、11KW日本三菱品牌变频器、强电控制单元等；</w:t>
            </w:r>
          </w:p>
          <w:p w14:paraId="16D852FB">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val="en-US" w:eastAsia="zh-CN" w:bidi="ar"/>
              </w:rPr>
              <w:t>3.2.</w:t>
            </w:r>
            <w:r>
              <w:rPr>
                <w:rFonts w:hint="eastAsia" w:ascii="宋体" w:hAnsi="宋体" w:eastAsia="宋体" w:cs="宋体"/>
                <w:color w:val="auto"/>
                <w:sz w:val="21"/>
                <w:szCs w:val="21"/>
                <w:highlight w:val="none"/>
                <w:lang w:eastAsia="zh-CN" w:bidi="ar"/>
              </w:rPr>
              <w:t>2、检定设备具有车牌号自动识别系统，车辆停稳后自动识别车牌号：</w:t>
            </w:r>
          </w:p>
          <w:p w14:paraId="40B3DAB3">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装置配有车牌号信息自动录入系统，识别率高、识别速度快、性能稳定。可以识别8位新能源电动车牌号、普通7位蓝牌车牌号等任意车牌号。车牌识别后可自动调取车辆检定需要的相关信息，无需手动输入。</w:t>
            </w:r>
          </w:p>
          <w:p w14:paraId="53A05E16">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3.2.</w:t>
            </w:r>
            <w:r>
              <w:rPr>
                <w:rFonts w:hint="eastAsia" w:ascii="宋体" w:hAnsi="宋体" w:eastAsia="宋体" w:cs="宋体"/>
                <w:color w:val="auto"/>
                <w:sz w:val="21"/>
                <w:szCs w:val="21"/>
                <w:highlight w:val="none"/>
                <w:lang w:eastAsia="zh-CN" w:bidi="ar"/>
              </w:rPr>
              <w:t>3、 装置配有43英寸LCD彩色显示屏，能够实时显示被检车辆的调度状态，实时显示相关提示和指令，被检车辆信息、检定状态、检定结果。</w:t>
            </w:r>
          </w:p>
          <w:p w14:paraId="6C62D7DE">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3.2.</w:t>
            </w:r>
            <w:r>
              <w:rPr>
                <w:rFonts w:hint="eastAsia" w:ascii="宋体" w:hAnsi="宋体" w:eastAsia="宋体" w:cs="宋体"/>
                <w:color w:val="auto"/>
                <w:sz w:val="21"/>
                <w:szCs w:val="21"/>
                <w:highlight w:val="none"/>
                <w:lang w:eastAsia="zh-CN" w:bidi="ar"/>
              </w:rPr>
              <w:t>4、 配套安装手机用APP检测工具，可以轻松实现手机上操作检测全流程。</w:t>
            </w:r>
          </w:p>
          <w:p w14:paraId="0DD265C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80" w:lineRule="exact"/>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val="en-US" w:eastAsia="zh-CN"/>
              </w:rPr>
              <w:t>▲3.2.</w:t>
            </w:r>
            <w:r>
              <w:rPr>
                <w:rFonts w:hint="eastAsia" w:ascii="宋体" w:hAnsi="宋体" w:eastAsia="宋体" w:cs="宋体"/>
                <w:bCs/>
                <w:color w:val="auto"/>
                <w:sz w:val="21"/>
                <w:szCs w:val="21"/>
                <w:highlight w:val="none"/>
                <w:lang w:val="en-US" w:eastAsia="zh-CN"/>
              </w:rPr>
              <w:t>5、</w:t>
            </w:r>
            <w:r>
              <w:rPr>
                <w:rFonts w:hint="eastAsia" w:ascii="宋体" w:hAnsi="宋体" w:eastAsia="宋体" w:cs="宋体"/>
                <w:bCs/>
                <w:color w:val="auto"/>
                <w:sz w:val="21"/>
                <w:szCs w:val="21"/>
                <w:highlight w:val="none"/>
              </w:rPr>
              <w:t>装置具有自动生成K值功能，并通过IC卡直接调整计价器K值（需计价器配合）。</w:t>
            </w:r>
          </w:p>
          <w:p w14:paraId="6AF40B5E">
            <w:pPr>
              <w:pageBreakBefore w:val="0"/>
              <w:wordWrap/>
              <w:overflowPunct/>
              <w:topLinePunct w:val="0"/>
              <w:bidi w:val="0"/>
              <w:spacing w:beforeAutospacing="0" w:afterAutospacing="0" w:line="480" w:lineRule="exact"/>
              <w:ind w:left="0" w:leftChars="0" w:firstLine="210" w:firstLineChars="10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val="en-US" w:eastAsia="zh-CN" w:bidi="ar"/>
              </w:rPr>
              <w:t>3.2.6</w:t>
            </w:r>
            <w:r>
              <w:rPr>
                <w:rFonts w:hint="eastAsia" w:ascii="宋体" w:hAnsi="宋体" w:eastAsia="宋体" w:cs="宋体"/>
                <w:color w:val="auto"/>
                <w:sz w:val="21"/>
                <w:szCs w:val="21"/>
                <w:highlight w:val="none"/>
                <w:lang w:eastAsia="zh-CN" w:bidi="ar"/>
              </w:rPr>
              <w:t>、装置必须配有全自动采样系统。通过AI智能视频采集系统对计价器实现自动采样检测的功能。</w:t>
            </w:r>
          </w:p>
          <w:p w14:paraId="17DEA620">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bookmarkStart w:id="10" w:name="_Toc21941"/>
            <w:r>
              <w:rPr>
                <w:rFonts w:hint="eastAsia" w:ascii="宋体" w:hAnsi="宋体" w:eastAsia="宋体" w:cs="宋体"/>
                <w:color w:val="auto"/>
                <w:sz w:val="21"/>
                <w:szCs w:val="21"/>
                <w:highlight w:val="none"/>
                <w:lang w:eastAsia="zh-CN" w:bidi="ar"/>
              </w:rPr>
              <w:t>检定管理软件</w:t>
            </w:r>
            <w:bookmarkEnd w:id="10"/>
            <w:r>
              <w:rPr>
                <w:rFonts w:hint="eastAsia" w:ascii="宋体" w:hAnsi="宋体" w:eastAsia="宋体" w:cs="宋体"/>
                <w:color w:val="auto"/>
                <w:sz w:val="21"/>
                <w:szCs w:val="21"/>
                <w:highlight w:val="none"/>
                <w:lang w:eastAsia="zh-CN" w:bidi="ar"/>
              </w:rPr>
              <w:t>系统</w:t>
            </w:r>
          </w:p>
          <w:p w14:paraId="338F9070">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登录功能：检定人员能按照各自权限进行设置、修改和注销。</w:t>
            </w:r>
          </w:p>
          <w:p w14:paraId="3615F70A">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设置功能：设置和修改基本数据（公司、车型、计价器）、系统参数（检定依据、标准器型号和器号、有效期）等各项参数。</w:t>
            </w:r>
          </w:p>
          <w:p w14:paraId="7247C07A">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迁移原来检定系统的历史数据；</w:t>
            </w:r>
          </w:p>
          <w:p w14:paraId="7F2D11E3">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具有生成二维码检定合格证的功能，合格证信息涵盖车辆信息、检定信息及结果等，用户通过手机扫一扫，即可查看检定证书。</w:t>
            </w:r>
          </w:p>
          <w:p w14:paraId="4A1457B0">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检定设备配有专用APP软件，通过手机可以完成整个操作过程。</w:t>
            </w:r>
          </w:p>
          <w:p w14:paraId="56C10490">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系统工作模式配置：可以延时启动、间隙启动等模式。检定速度可以配置。</w:t>
            </w:r>
          </w:p>
          <w:p w14:paraId="5D7373D7">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管理参数设置功能：用户管理、出租车公司、个体出租、车辆信息、计价器信息、修改、注销人员（如检定员、管理员）的工号、姓名、权限、密码。</w:t>
            </w:r>
          </w:p>
          <w:p w14:paraId="2B78F629">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对检定结果和修正系数等进行系统分析；能自动进行数据处理、判断检测结果、打印检定证书和使用误差记录报表。</w:t>
            </w:r>
          </w:p>
          <w:p w14:paraId="6A5591D8">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档案功能：六年内所有的计价器检定数据、情况、原始记录；并能把数据导出为Excel或word文档。</w:t>
            </w:r>
          </w:p>
          <w:p w14:paraId="2DD5E02C">
            <w:pPr>
              <w:pageBreakBefore w:val="0"/>
              <w:wordWrap/>
              <w:overflowPunct/>
              <w:topLinePunct w:val="0"/>
              <w:bidi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查询和统计功能：查询公司信息、车辆信息、计价器信息、所有车辆的检测记录；对未检车辆、检定不合格车辆、各公司的检定情况、周检计划、车辆信息、不合格率、K值调整率等进行统计 。</w:t>
            </w:r>
          </w:p>
          <w:p w14:paraId="48BC9D73">
            <w:pPr>
              <w:pageBreakBefore w:val="0"/>
              <w:wordWrap/>
              <w:overflowPunct/>
              <w:topLinePunct w:val="0"/>
              <w:bidi w:val="0"/>
              <w:spacing w:beforeAutospacing="0" w:afterAutospacing="0" w:line="480" w:lineRule="exact"/>
              <w:ind w:left="0" w:leftChars="0" w:firstLine="279" w:firstLineChars="133"/>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检定系统数据库管理，采用客户端和服务端并轨机制。多机版本，客户端定义为不同检测台号，通过服务端数据库。共享检定数据。</w:t>
            </w:r>
          </w:p>
          <w:p w14:paraId="53BA6FC9">
            <w:pPr>
              <w:pStyle w:val="6"/>
              <w:pageBreakBefore w:val="0"/>
              <w:wordWrap/>
              <w:overflowPunct/>
              <w:topLinePunct w:val="0"/>
              <w:bidi w:val="0"/>
              <w:spacing w:beforeAutospacing="0" w:after="0" w:afterAutospacing="0" w:line="480" w:lineRule="exact"/>
              <w:ind w:left="0" w:leftChars="0" w:firstLine="279" w:firstLineChars="133"/>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服务端可以开放数据表结构，也可以根据第三方业务需要，开发相应的接口，并可以和院中心管理系统实现数据共享；</w:t>
            </w:r>
          </w:p>
          <w:p w14:paraId="57249DD7">
            <w:pPr>
              <w:pStyle w:val="6"/>
              <w:pageBreakBefore w:val="0"/>
              <w:numPr>
                <w:ilvl w:val="0"/>
                <w:numId w:val="0"/>
              </w:numPr>
              <w:wordWrap/>
              <w:overflowPunct/>
              <w:topLinePunct w:val="0"/>
              <w:bidi w:val="0"/>
              <w:spacing w:beforeAutospacing="0" w:after="0" w:afterAutospacing="0" w:line="480" w:lineRule="exact"/>
              <w:ind w:left="0" w:leftChars="0"/>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val="en-US" w:eastAsia="zh-CN" w:bidi="ar"/>
              </w:rPr>
              <w:t>4、</w:t>
            </w:r>
            <w:r>
              <w:rPr>
                <w:rFonts w:hint="eastAsia" w:ascii="宋体" w:hAnsi="宋体" w:eastAsia="宋体" w:cs="宋体"/>
                <w:color w:val="auto"/>
                <w:sz w:val="21"/>
                <w:szCs w:val="21"/>
                <w:highlight w:val="none"/>
                <w:lang w:eastAsia="zh-CN" w:bidi="ar"/>
              </w:rPr>
              <w:t>计算机与软件要求：</w:t>
            </w:r>
          </w:p>
          <w:p w14:paraId="252E5D9E">
            <w:pPr>
              <w:pStyle w:val="6"/>
              <w:pageBreakBefore w:val="0"/>
              <w:numPr>
                <w:ilvl w:val="0"/>
                <w:numId w:val="0"/>
              </w:numPr>
              <w:wordWrap/>
              <w:overflowPunct/>
              <w:topLinePunct w:val="0"/>
              <w:bidi w:val="0"/>
              <w:spacing w:beforeAutospacing="0" w:after="0" w:afterAutospacing="0" w:line="480" w:lineRule="exact"/>
              <w:ind w:left="0"/>
              <w:rPr>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bidi="ar"/>
              </w:rPr>
              <w:t>4.1、品牌台式机不低于以下配置：16G</w:t>
            </w:r>
            <w:r>
              <w:rPr>
                <w:rFonts w:hint="eastAsia" w:ascii="宋体" w:hAnsi="宋体" w:eastAsia="宋体" w:cs="宋体"/>
                <w:color w:val="auto"/>
                <w:sz w:val="21"/>
                <w:szCs w:val="21"/>
                <w:highlight w:val="none"/>
                <w:lang w:eastAsia="zh-CN" w:bidi="ar"/>
              </w:rPr>
              <w:t>内存、512G固态硬盘、27寸显示器，windows10</w:t>
            </w:r>
            <w:r>
              <w:rPr>
                <w:rFonts w:hint="eastAsia" w:ascii="宋体" w:hAnsi="宋体" w:eastAsia="宋体" w:cs="宋体"/>
                <w:color w:val="auto"/>
                <w:sz w:val="21"/>
                <w:szCs w:val="21"/>
                <w:highlight w:val="none"/>
                <w:lang w:val="en-US" w:eastAsia="zh-CN" w:bidi="ar"/>
              </w:rPr>
              <w:t>系统。</w:t>
            </w:r>
          </w:p>
          <w:p w14:paraId="57CA73F9">
            <w:pPr>
              <w:pStyle w:val="6"/>
              <w:pageBreakBefore w:val="0"/>
              <w:numPr>
                <w:ilvl w:val="0"/>
                <w:numId w:val="0"/>
              </w:numPr>
              <w:wordWrap/>
              <w:overflowPunct/>
              <w:topLinePunct w:val="0"/>
              <w:bidi w:val="0"/>
              <w:spacing w:beforeAutospacing="0" w:after="0" w:afterAutospacing="0" w:line="480" w:lineRule="exact"/>
              <w:ind w:left="0"/>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val="en-US" w:eastAsia="zh-CN" w:bidi="ar"/>
              </w:rPr>
              <w:t>4.2、品牌激光打印机</w:t>
            </w:r>
          </w:p>
        </w:tc>
      </w:tr>
      <w:tr w14:paraId="68F9B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7" w:type="dxa"/>
            <w:vAlign w:val="center"/>
          </w:tcPr>
          <w:p w14:paraId="048DABA8">
            <w:pPr>
              <w:pStyle w:val="6"/>
              <w:pageBreakBefore w:val="0"/>
              <w:wordWrap/>
              <w:overflowPunct/>
              <w:topLinePunct w:val="0"/>
              <w:bidi w:val="0"/>
              <w:spacing w:beforeAutospacing="0" w:after="0" w:afterAutospacing="0" w:line="480" w:lineRule="exact"/>
              <w:ind w:left="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16</w:t>
            </w:r>
          </w:p>
        </w:tc>
        <w:tc>
          <w:tcPr>
            <w:tcW w:w="1605" w:type="dxa"/>
            <w:vAlign w:val="center"/>
          </w:tcPr>
          <w:p w14:paraId="451AC0FC">
            <w:pPr>
              <w:pStyle w:val="6"/>
              <w:pageBreakBefore w:val="0"/>
              <w:wordWrap/>
              <w:overflowPunct/>
              <w:topLinePunct w:val="0"/>
              <w:bidi w:val="0"/>
              <w:spacing w:beforeAutospacing="0" w:after="0" w:afterAutospacing="0" w:line="480" w:lineRule="exact"/>
              <w:ind w:left="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燃气表检定装置（含膜式）</w:t>
            </w:r>
          </w:p>
        </w:tc>
        <w:tc>
          <w:tcPr>
            <w:tcW w:w="12382" w:type="dxa"/>
          </w:tcPr>
          <w:p w14:paraId="558C4C3A">
            <w:pPr>
              <w:keepNext w:val="0"/>
              <w:keepLines w:val="0"/>
              <w:pageBreakBefore w:val="0"/>
              <w:numPr>
                <w:ilvl w:val="0"/>
                <w:numId w:val="0"/>
              </w:numPr>
              <w:wordWrap/>
              <w:overflowPunct/>
              <w:topLinePunct w:val="0"/>
              <w:bidi w:val="0"/>
              <w:spacing w:beforeAutospacing="0" w:afterAutospacing="0" w:line="480" w:lineRule="exact"/>
              <w:ind w:left="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1、用途及应用要求：</w:t>
            </w:r>
          </w:p>
          <w:p w14:paraId="7DE360BA">
            <w:pPr>
              <w:keepNext w:val="0"/>
              <w:keepLines w:val="0"/>
              <w:pageBreakBefore w:val="0"/>
              <w:wordWrap/>
              <w:overflowPunct/>
              <w:topLinePunct w:val="0"/>
              <w:bidi w:val="0"/>
              <w:spacing w:beforeAutospacing="0" w:afterAutospacing="0" w:line="48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bidi="ar"/>
              </w:rPr>
              <w:t>燃气表检定装置</w:t>
            </w:r>
            <w:r>
              <w:rPr>
                <w:rFonts w:hint="eastAsia" w:ascii="宋体" w:hAnsi="宋体" w:eastAsia="宋体" w:cs="宋体"/>
                <w:color w:val="auto"/>
                <w:sz w:val="21"/>
                <w:szCs w:val="21"/>
                <w:highlight w:val="none"/>
              </w:rPr>
              <w:t>是采用音速喷嘴作为标准表的负压法气体流量标准装置</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用该装置可完成流量范围在0.016m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 xml:space="preserve"> /h～6m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 xml:space="preserve"> /h的家用膜式燃气表的检定和测试。</w:t>
            </w:r>
            <w:r>
              <w:rPr>
                <w:rFonts w:hint="eastAsia" w:ascii="宋体" w:hAnsi="宋体" w:eastAsia="宋体" w:cs="宋体"/>
                <w:color w:val="auto"/>
                <w:sz w:val="21"/>
                <w:szCs w:val="21"/>
                <w:highlight w:val="none"/>
                <w:lang w:val="en-US" w:eastAsia="zh-CN"/>
              </w:rPr>
              <w:t>须满足</w:t>
            </w:r>
            <w:r>
              <w:rPr>
                <w:rFonts w:hint="eastAsia" w:ascii="宋体" w:hAnsi="宋体" w:eastAsia="宋体" w:cs="宋体"/>
                <w:color w:val="auto"/>
                <w:sz w:val="21"/>
                <w:szCs w:val="21"/>
                <w:highlight w:val="none"/>
              </w:rPr>
              <w:t>JJG643-2003《标准表法流量标准装置检定规程》、JJG620-2008《临界流文丘里喷嘴检定规程》 、《JJG577-20</w:t>
            </w: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膜式燃气表检定规程》</w:t>
            </w:r>
            <w:r>
              <w:rPr>
                <w:rFonts w:hint="eastAsia" w:ascii="宋体" w:hAnsi="宋体" w:eastAsia="宋体" w:cs="宋体"/>
                <w:color w:val="auto"/>
                <w:sz w:val="21"/>
                <w:szCs w:val="21"/>
                <w:highlight w:val="none"/>
                <w:lang w:val="en-US" w:eastAsia="zh-CN"/>
              </w:rPr>
              <w:t>要求</w:t>
            </w:r>
            <w:r>
              <w:rPr>
                <w:rFonts w:hint="eastAsia" w:ascii="宋体" w:hAnsi="宋体" w:eastAsia="宋体" w:cs="宋体"/>
                <w:color w:val="auto"/>
                <w:sz w:val="21"/>
                <w:szCs w:val="21"/>
                <w:highlight w:val="none"/>
              </w:rPr>
              <w:t>。装置中的音速喷嘴</w:t>
            </w:r>
            <w:r>
              <w:rPr>
                <w:rFonts w:hint="eastAsia" w:ascii="宋体" w:hAnsi="宋体" w:eastAsia="宋体" w:cs="宋体"/>
                <w:color w:val="auto"/>
                <w:sz w:val="21"/>
                <w:szCs w:val="21"/>
                <w:highlight w:val="none"/>
                <w:lang w:val="en-US" w:eastAsia="zh-CN"/>
              </w:rPr>
              <w:t>必须满足</w:t>
            </w:r>
            <w:r>
              <w:rPr>
                <w:rFonts w:hint="eastAsia" w:ascii="宋体" w:hAnsi="宋体" w:eastAsia="宋体" w:cs="宋体"/>
                <w:color w:val="auto"/>
                <w:sz w:val="21"/>
                <w:szCs w:val="21"/>
                <w:highlight w:val="none"/>
              </w:rPr>
              <w:t>ISO9300-2005（E）《用临界流文丘利喷嘴测量气体流量》、JJF1240-2010《临界流文丘里喷嘴法气体流量标准装置校准规范》要求。</w:t>
            </w:r>
          </w:p>
          <w:p w14:paraId="451F5FF5">
            <w:pPr>
              <w:keepNext w:val="0"/>
              <w:keepLines w:val="0"/>
              <w:pageBreakBefore w:val="0"/>
              <w:numPr>
                <w:ilvl w:val="0"/>
                <w:numId w:val="0"/>
              </w:numPr>
              <w:wordWrap/>
              <w:overflowPunct/>
              <w:topLinePunct w:val="0"/>
              <w:bidi w:val="0"/>
              <w:spacing w:beforeAutospacing="0" w:afterAutospacing="0" w:line="480" w:lineRule="exact"/>
              <w:ind w:left="0" w:left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2、主要技术参数要求：</w:t>
            </w:r>
          </w:p>
          <w:p w14:paraId="58CAC255">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2.1、</w:t>
            </w:r>
            <w:r>
              <w:rPr>
                <w:rFonts w:hint="eastAsia" w:ascii="宋体" w:hAnsi="宋体" w:eastAsia="宋体" w:cs="宋体"/>
                <w:color w:val="auto"/>
                <w:sz w:val="21"/>
                <w:szCs w:val="21"/>
                <w:highlight w:val="none"/>
              </w:rPr>
              <w:t>整套装置的扩展不确定度≤0.5%，一次性检表数量：12台。</w:t>
            </w:r>
          </w:p>
          <w:p w14:paraId="4BF16FE5">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2、测量用的绝压传感器测量范围</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0～110</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kPa，准确度 ≤0.2%。</w:t>
            </w:r>
          </w:p>
          <w:p w14:paraId="7D79A7A3">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3、微差压传感器测量范围-1000Pa～1000Pa，准确度 ≤0.5%。</w:t>
            </w:r>
          </w:p>
          <w:p w14:paraId="3D05F486">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4、温度传感器测量范围</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0～50</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℃，准确度≤±0.2℃。</w:t>
            </w:r>
          </w:p>
          <w:p w14:paraId="216F818C">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5、用于计时的晶振频率日稳定度＜10</w:t>
            </w:r>
            <w:r>
              <w:rPr>
                <w:rFonts w:hint="eastAsia" w:ascii="宋体" w:hAnsi="宋体" w:eastAsia="宋体" w:cs="宋体"/>
                <w:color w:val="auto"/>
                <w:sz w:val="21"/>
                <w:szCs w:val="21"/>
                <w:highlight w:val="none"/>
                <w:vertAlign w:val="superscript"/>
              </w:rPr>
              <w:t>-5</w:t>
            </w:r>
            <w:r>
              <w:rPr>
                <w:rFonts w:hint="eastAsia" w:ascii="宋体" w:hAnsi="宋体" w:eastAsia="宋体" w:cs="宋体"/>
                <w:color w:val="auto"/>
                <w:sz w:val="21"/>
                <w:szCs w:val="21"/>
                <w:highlight w:val="none"/>
              </w:rPr>
              <w:t>。</w:t>
            </w:r>
          </w:p>
          <w:p w14:paraId="41E6C78C">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2.6</w:t>
            </w:r>
            <w:r>
              <w:rPr>
                <w:rFonts w:hint="eastAsia" w:ascii="宋体" w:hAnsi="宋体" w:eastAsia="宋体" w:cs="宋体"/>
                <w:color w:val="auto"/>
                <w:sz w:val="21"/>
                <w:szCs w:val="21"/>
                <w:highlight w:val="none"/>
              </w:rPr>
              <w:t>、流量点：0.016m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/h、0.025m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/h、0.04m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/h、0.5 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/h、0. 8 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/h、1.2 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/h、2.5m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/h、4m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/h、6m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/h流量点偏差≤5%。</w:t>
            </w:r>
          </w:p>
          <w:p w14:paraId="03520B01">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3、配置及参数要求：</w:t>
            </w:r>
          </w:p>
          <w:p w14:paraId="115555E1">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1、装置配置7个音速喷嘴，可组合0.016m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/h、0.025m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/h、0.04m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/h、0.5m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/h、0.8m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/h、1.2m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/h、2.5m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/h、4m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/h、6m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/h共9个流量点，满足G1.6、G2.5、G4三个规格家用膜式燃气表Qmxa、0.2Qmxa、Qmin点的检定。</w:t>
            </w:r>
          </w:p>
          <w:p w14:paraId="58E4E3FC">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2、检定装置的管路系统中取压和测温的压力变送器和温度变送器均采用高品质产品，要具有优良的长期稳定性和准确度。</w:t>
            </w:r>
          </w:p>
          <w:p w14:paraId="6792FB72">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3、装置需进行湿度补偿，配置湿度变送器，准确度 ≤±3%</w:t>
            </w:r>
            <w:r>
              <w:rPr>
                <w:rFonts w:hint="eastAsia" w:ascii="宋体" w:hAnsi="宋体" w:eastAsia="宋体" w:cs="宋体"/>
                <w:color w:val="auto"/>
                <w:sz w:val="21"/>
                <w:szCs w:val="21"/>
                <w:highlight w:val="none"/>
                <w:lang w:val="en-US" w:eastAsia="zh-CN"/>
              </w:rPr>
              <w:t>RH</w:t>
            </w:r>
            <w:r>
              <w:rPr>
                <w:rFonts w:hint="eastAsia" w:ascii="宋体" w:hAnsi="宋体" w:eastAsia="宋体" w:cs="宋体"/>
                <w:color w:val="auto"/>
                <w:sz w:val="21"/>
                <w:szCs w:val="21"/>
                <w:highlight w:val="none"/>
              </w:rPr>
              <w:t>。</w:t>
            </w:r>
          </w:p>
          <w:p w14:paraId="715F7A13">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4、被检表的装夹采用高可靠性气缓冲夹表系统，气垫压力小于0.1bar，夹表器的中心距不小于在90mm至160mm范围内调节，放置被检表的平面高度也可以在一定范围内调节，具有灵活的工装，以适应不同厂家生产的不同外型尺寸的燃气表的检定，夹表器的气缸要求向下运动控制。</w:t>
            </w:r>
          </w:p>
          <w:p w14:paraId="2EB4470C">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、对被检表示值的读数采用视频采集系统，不需单个调焦，能自动捕捉燃气表字轮，每个表位的采样器具有集中升降和单个微调装置，提高对光效率，根据被检表示值和标准表的流量由装置自动计算示值误差。</w:t>
            </w:r>
          </w:p>
          <w:p w14:paraId="2965BE6E">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3.6</w:t>
            </w:r>
            <w:r>
              <w:rPr>
                <w:rFonts w:hint="eastAsia" w:ascii="宋体" w:hAnsi="宋体" w:eastAsia="宋体" w:cs="宋体"/>
                <w:color w:val="auto"/>
                <w:sz w:val="21"/>
                <w:szCs w:val="21"/>
                <w:highlight w:val="none"/>
              </w:rPr>
              <w:t>、被检表压损的测试采用微差变送器测量方式、由PC机采集测试结果并保存在被检表数据库中。</w:t>
            </w:r>
          </w:p>
          <w:p w14:paraId="5697DB1A">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3.7</w:t>
            </w:r>
            <w:r>
              <w:rPr>
                <w:rFonts w:hint="eastAsia" w:ascii="宋体" w:hAnsi="宋体" w:eastAsia="宋体" w:cs="宋体"/>
                <w:color w:val="auto"/>
                <w:sz w:val="21"/>
                <w:szCs w:val="21"/>
                <w:highlight w:val="none"/>
              </w:rPr>
              <w:t>、装置由PC机控制，实现包括左右进气换向、压损测试、大中小三个流量点示值误差测试等的测试过程的自动化。</w:t>
            </w:r>
          </w:p>
          <w:p w14:paraId="18EE51ED">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3.8</w:t>
            </w:r>
            <w:r>
              <w:rPr>
                <w:rFonts w:hint="eastAsia" w:ascii="宋体" w:hAnsi="宋体" w:eastAsia="宋体" w:cs="宋体"/>
                <w:color w:val="auto"/>
                <w:sz w:val="21"/>
                <w:szCs w:val="21"/>
                <w:highlight w:val="none"/>
              </w:rPr>
              <w:t>、装置采用负压法，检定介质(大气)的运动由真空泵提供动力，保证检定气路压力的稳定性。（装置配置优质无油干式真空泵）</w:t>
            </w:r>
          </w:p>
          <w:p w14:paraId="09CE8993">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3.9</w:t>
            </w:r>
            <w:r>
              <w:rPr>
                <w:rFonts w:hint="eastAsia" w:ascii="宋体" w:hAnsi="宋体" w:eastAsia="宋体" w:cs="宋体"/>
                <w:color w:val="auto"/>
                <w:sz w:val="21"/>
                <w:szCs w:val="21"/>
                <w:highlight w:val="none"/>
              </w:rPr>
              <w:t>、测控系统的组态软件具有界面清晰美观、操作简便等特点，能在Windows 7以上平台下运行，具有数据存盘、报表打印、分析统计、数据上网等功能；PC机软件的检定记录格式和证书格式符合国家检定规程要求，能够自动打印，对检定数据具有免修改的保护功能。</w:t>
            </w:r>
          </w:p>
          <w:p w14:paraId="0BB1E2EC">
            <w:pPr>
              <w:pageBreakBefore w:val="0"/>
              <w:numPr>
                <w:ilvl w:val="0"/>
                <w:numId w:val="0"/>
              </w:numPr>
              <w:wordWrap/>
              <w:overflowPunct/>
              <w:topLinePunct w:val="0"/>
              <w:bidi w:val="0"/>
              <w:spacing w:beforeAutospacing="0" w:afterAutospacing="0" w:line="480" w:lineRule="exact"/>
              <w:ind w:left="0" w:leftChars="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4、计算机与软件要求：</w:t>
            </w:r>
          </w:p>
          <w:p w14:paraId="547F1C2E">
            <w:pPr>
              <w:pageBreakBefore w:val="0"/>
              <w:numPr>
                <w:ilvl w:val="0"/>
                <w:numId w:val="0"/>
              </w:numPr>
              <w:wordWrap/>
              <w:overflowPunct/>
              <w:topLinePunct w:val="0"/>
              <w:bidi w:val="0"/>
              <w:spacing w:beforeAutospacing="0" w:afterAutospacing="0" w:line="480" w:lineRule="exact"/>
              <w:ind w:left="0" w:leftChars="0"/>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sz w:val="21"/>
                <w:szCs w:val="21"/>
                <w:highlight w:val="none"/>
              </w:rPr>
              <w:t>电脑配置采用主流品牌电脑</w:t>
            </w:r>
            <w:r>
              <w:rPr>
                <w:rFonts w:hint="eastAsia" w:ascii="宋体" w:hAnsi="宋体" w:eastAsia="宋体" w:cs="宋体"/>
                <w:color w:val="auto"/>
                <w:sz w:val="21"/>
                <w:szCs w:val="21"/>
                <w:highlight w:val="none"/>
                <w:lang w:eastAsia="zh-CN"/>
              </w:rPr>
              <w:t>，不低于以下配置：四</w:t>
            </w:r>
            <w:r>
              <w:rPr>
                <w:rFonts w:hint="eastAsia" w:ascii="宋体" w:hAnsi="宋体" w:eastAsia="宋体" w:cs="宋体"/>
                <w:color w:val="auto"/>
                <w:sz w:val="21"/>
                <w:szCs w:val="21"/>
                <w:highlight w:val="none"/>
              </w:rPr>
              <w:t>核CPU，内存</w:t>
            </w:r>
            <w:r>
              <w:rPr>
                <w:rFonts w:hint="eastAsia" w:ascii="宋体" w:hAnsi="宋体" w:eastAsia="宋体" w:cs="宋体"/>
                <w:color w:val="auto"/>
                <w:sz w:val="21"/>
                <w:szCs w:val="21"/>
                <w:highlight w:val="none"/>
                <w:lang w:val="en-US" w:eastAsia="zh-CN"/>
              </w:rPr>
              <w:t>16</w:t>
            </w:r>
            <w:r>
              <w:rPr>
                <w:rFonts w:hint="eastAsia" w:ascii="宋体" w:hAnsi="宋体" w:eastAsia="宋体" w:cs="宋体"/>
                <w:color w:val="auto"/>
                <w:sz w:val="21"/>
                <w:szCs w:val="21"/>
                <w:highlight w:val="none"/>
              </w:rPr>
              <w:t>G，硬盘</w:t>
            </w:r>
            <w:r>
              <w:rPr>
                <w:rFonts w:hint="eastAsia" w:ascii="宋体" w:hAnsi="宋体" w:eastAsia="宋体" w:cs="宋体"/>
                <w:color w:val="auto"/>
                <w:sz w:val="21"/>
                <w:szCs w:val="21"/>
                <w:highlight w:val="none"/>
                <w:lang w:val="en-US" w:eastAsia="zh-CN"/>
              </w:rPr>
              <w:t>1T</w:t>
            </w:r>
            <w:r>
              <w:rPr>
                <w:rFonts w:hint="eastAsia" w:ascii="宋体" w:hAnsi="宋体" w:eastAsia="宋体" w:cs="宋体"/>
                <w:color w:val="auto"/>
                <w:sz w:val="21"/>
                <w:szCs w:val="21"/>
                <w:highlight w:val="none"/>
              </w:rPr>
              <w:t>，液晶显示器不小于21英吋。</w:t>
            </w:r>
            <w:r>
              <w:rPr>
                <w:rFonts w:hint="eastAsia" w:ascii="宋体" w:hAnsi="宋体" w:eastAsia="宋体" w:cs="宋体"/>
                <w:color w:val="auto"/>
                <w:sz w:val="21"/>
                <w:szCs w:val="21"/>
                <w:highlight w:val="none"/>
                <w:lang w:eastAsia="zh-CN"/>
              </w:rPr>
              <w:t>搭配</w:t>
            </w:r>
            <w:r>
              <w:rPr>
                <w:rFonts w:hint="eastAsia" w:ascii="宋体" w:hAnsi="宋体" w:eastAsia="宋体" w:cs="宋体"/>
                <w:color w:val="auto"/>
                <w:sz w:val="21"/>
                <w:szCs w:val="21"/>
                <w:highlight w:val="none"/>
              </w:rPr>
              <w:t>激光A4打印机。</w:t>
            </w:r>
          </w:p>
          <w:p w14:paraId="7E95DB40">
            <w:pPr>
              <w:pageBreakBefore w:val="0"/>
              <w:numPr>
                <w:ilvl w:val="0"/>
                <w:numId w:val="0"/>
              </w:numPr>
              <w:wordWrap/>
              <w:overflowPunct/>
              <w:topLinePunct w:val="0"/>
              <w:bidi w:val="0"/>
              <w:spacing w:beforeAutospacing="0" w:afterAutospacing="0" w:line="480" w:lineRule="exact"/>
              <w:ind w:left="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5、配置要求</w:t>
            </w:r>
          </w:p>
          <w:p w14:paraId="2F8B48FC">
            <w:pPr>
              <w:pageBreakBefore w:val="0"/>
              <w:numPr>
                <w:ilvl w:val="0"/>
                <w:numId w:val="0"/>
              </w:numPr>
              <w:wordWrap/>
              <w:overflowPunct/>
              <w:topLinePunct w:val="0"/>
              <w:bidi w:val="0"/>
              <w:spacing w:beforeAutospacing="0" w:afterAutospacing="0" w:line="480" w:lineRule="exact"/>
              <w:ind w:left="0"/>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val="en-US" w:eastAsia="zh-CN"/>
              </w:rPr>
              <w:t>扫码枪2把，</w:t>
            </w:r>
            <w:r>
              <w:rPr>
                <w:rFonts w:hint="eastAsia" w:ascii="宋体" w:hAnsi="宋体" w:eastAsia="宋体" w:cs="宋体"/>
                <w:color w:val="auto"/>
                <w:kern w:val="0"/>
                <w:sz w:val="21"/>
                <w:szCs w:val="21"/>
                <w:highlight w:val="none"/>
              </w:rPr>
              <w:t>视频采样器</w:t>
            </w:r>
            <w:r>
              <w:rPr>
                <w:rFonts w:hint="eastAsia" w:ascii="宋体" w:hAnsi="宋体" w:eastAsia="宋体" w:cs="宋体"/>
                <w:color w:val="auto"/>
                <w:kern w:val="0"/>
                <w:sz w:val="21"/>
                <w:szCs w:val="21"/>
                <w:highlight w:val="none"/>
                <w:lang w:val="en-US" w:eastAsia="zh-CN"/>
              </w:rPr>
              <w:t>1个（备用）。</w:t>
            </w:r>
          </w:p>
        </w:tc>
      </w:tr>
      <w:tr w14:paraId="5622D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7" w:type="dxa"/>
            <w:vAlign w:val="center"/>
          </w:tcPr>
          <w:p w14:paraId="1C00E5A4">
            <w:pPr>
              <w:pStyle w:val="6"/>
              <w:pageBreakBefore w:val="0"/>
              <w:wordWrap/>
              <w:overflowPunct/>
              <w:topLinePunct w:val="0"/>
              <w:bidi w:val="0"/>
              <w:spacing w:beforeAutospacing="0" w:after="0" w:afterAutospacing="0" w:line="480" w:lineRule="exact"/>
              <w:ind w:left="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17</w:t>
            </w:r>
          </w:p>
        </w:tc>
        <w:tc>
          <w:tcPr>
            <w:tcW w:w="1605" w:type="dxa"/>
            <w:vAlign w:val="center"/>
          </w:tcPr>
          <w:p w14:paraId="170BE73B">
            <w:pPr>
              <w:pStyle w:val="6"/>
              <w:pageBreakBefore w:val="0"/>
              <w:wordWrap/>
              <w:overflowPunct/>
              <w:topLinePunct w:val="0"/>
              <w:bidi w:val="0"/>
              <w:spacing w:beforeAutospacing="0" w:after="0" w:afterAutospacing="0" w:line="480" w:lineRule="exact"/>
              <w:ind w:lef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bidi="ar"/>
              </w:rPr>
              <w:t>燃气表检定装置（含膜式）</w:t>
            </w:r>
          </w:p>
        </w:tc>
        <w:tc>
          <w:tcPr>
            <w:tcW w:w="12382" w:type="dxa"/>
            <w:vAlign w:val="top"/>
          </w:tcPr>
          <w:p w14:paraId="51FAB9F1">
            <w:pPr>
              <w:keepNext w:val="0"/>
              <w:keepLines w:val="0"/>
              <w:pageBreakBefore w:val="0"/>
              <w:numPr>
                <w:ilvl w:val="0"/>
                <w:numId w:val="0"/>
              </w:numPr>
              <w:wordWrap/>
              <w:overflowPunct/>
              <w:topLinePunct w:val="0"/>
              <w:bidi w:val="0"/>
              <w:spacing w:beforeAutospacing="0" w:afterAutospacing="0" w:line="480" w:lineRule="exact"/>
              <w:ind w:left="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1、用途及应用要求：</w:t>
            </w:r>
          </w:p>
          <w:p w14:paraId="106E72E1">
            <w:pPr>
              <w:keepNext w:val="0"/>
              <w:keepLines w:val="0"/>
              <w:pageBreakBefore w:val="0"/>
              <w:wordWrap/>
              <w:overflowPunct/>
              <w:topLinePunct w:val="0"/>
              <w:bidi w:val="0"/>
              <w:spacing w:beforeAutospacing="0" w:afterAutospacing="0" w:line="48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bidi="ar"/>
              </w:rPr>
              <w:t>燃气表检定装置</w:t>
            </w:r>
            <w:r>
              <w:rPr>
                <w:rFonts w:hint="eastAsia" w:ascii="宋体" w:hAnsi="宋体" w:eastAsia="宋体" w:cs="宋体"/>
                <w:color w:val="auto"/>
                <w:sz w:val="21"/>
                <w:szCs w:val="21"/>
                <w:highlight w:val="none"/>
              </w:rPr>
              <w:t>是采用音速喷嘴作为标准表的负压法气体流量标准装置</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用该装置可完成流量范围在0.016m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 xml:space="preserve"> /h～6m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 xml:space="preserve"> /h的家用膜式燃气表的检定和测试。</w:t>
            </w:r>
            <w:r>
              <w:rPr>
                <w:rFonts w:hint="eastAsia" w:ascii="宋体" w:hAnsi="宋体" w:eastAsia="宋体" w:cs="宋体"/>
                <w:color w:val="auto"/>
                <w:sz w:val="21"/>
                <w:szCs w:val="21"/>
                <w:highlight w:val="none"/>
                <w:lang w:val="en-US" w:eastAsia="zh-CN"/>
              </w:rPr>
              <w:t>须满足</w:t>
            </w:r>
            <w:r>
              <w:rPr>
                <w:rFonts w:hint="eastAsia" w:ascii="宋体" w:hAnsi="宋体" w:eastAsia="宋体" w:cs="宋体"/>
                <w:color w:val="auto"/>
                <w:sz w:val="21"/>
                <w:szCs w:val="21"/>
                <w:highlight w:val="none"/>
              </w:rPr>
              <w:t>JJG643-2003《标准表法流量标准装置检定规程》、JJG620-2008《临界流文丘里喷嘴检定规程》 、《JJG577-20</w:t>
            </w: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膜式燃气表检定规程》</w:t>
            </w:r>
            <w:r>
              <w:rPr>
                <w:rFonts w:hint="eastAsia" w:ascii="宋体" w:hAnsi="宋体" w:eastAsia="宋体" w:cs="宋体"/>
                <w:color w:val="auto"/>
                <w:sz w:val="21"/>
                <w:szCs w:val="21"/>
                <w:highlight w:val="none"/>
                <w:lang w:val="en-US" w:eastAsia="zh-CN"/>
              </w:rPr>
              <w:t>要求</w:t>
            </w:r>
            <w:r>
              <w:rPr>
                <w:rFonts w:hint="eastAsia" w:ascii="宋体" w:hAnsi="宋体" w:eastAsia="宋体" w:cs="宋体"/>
                <w:color w:val="auto"/>
                <w:sz w:val="21"/>
                <w:szCs w:val="21"/>
                <w:highlight w:val="none"/>
              </w:rPr>
              <w:t>。装置中的音速喷嘴</w:t>
            </w:r>
            <w:r>
              <w:rPr>
                <w:rFonts w:hint="eastAsia" w:ascii="宋体" w:hAnsi="宋体" w:eastAsia="宋体" w:cs="宋体"/>
                <w:color w:val="auto"/>
                <w:sz w:val="21"/>
                <w:szCs w:val="21"/>
                <w:highlight w:val="none"/>
                <w:lang w:val="en-US" w:eastAsia="zh-CN"/>
              </w:rPr>
              <w:t>必须满足</w:t>
            </w:r>
            <w:r>
              <w:rPr>
                <w:rFonts w:hint="eastAsia" w:ascii="宋体" w:hAnsi="宋体" w:eastAsia="宋体" w:cs="宋体"/>
                <w:color w:val="auto"/>
                <w:sz w:val="21"/>
                <w:szCs w:val="21"/>
                <w:highlight w:val="none"/>
              </w:rPr>
              <w:t>ISO9300-2005（E）《用临界流文丘利喷嘴测量气体流量》、JJF1240-2010《临界流文丘里喷嘴法气体流量标准装置校准规范》要求。</w:t>
            </w:r>
          </w:p>
          <w:p w14:paraId="395EB3A9">
            <w:pPr>
              <w:keepNext w:val="0"/>
              <w:keepLines w:val="0"/>
              <w:pageBreakBefore w:val="0"/>
              <w:numPr>
                <w:ilvl w:val="0"/>
                <w:numId w:val="0"/>
              </w:numPr>
              <w:wordWrap/>
              <w:overflowPunct/>
              <w:topLinePunct w:val="0"/>
              <w:bidi w:val="0"/>
              <w:spacing w:beforeAutospacing="0" w:afterAutospacing="0" w:line="480" w:lineRule="exact"/>
              <w:ind w:left="0" w:left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2、主要技术参数要求：</w:t>
            </w:r>
          </w:p>
          <w:p w14:paraId="23F6E576">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2.1、</w:t>
            </w:r>
            <w:r>
              <w:rPr>
                <w:rFonts w:hint="eastAsia" w:ascii="宋体" w:hAnsi="宋体" w:eastAsia="宋体" w:cs="宋体"/>
                <w:color w:val="auto"/>
                <w:sz w:val="21"/>
                <w:szCs w:val="21"/>
                <w:highlight w:val="none"/>
              </w:rPr>
              <w:t>整套装置的扩展不确定度≤0.5%，一次性检表数量：12台。</w:t>
            </w:r>
          </w:p>
          <w:p w14:paraId="4A37AA91">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2、测量用的绝压传感器测量范围</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0～110</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kPa，准确度 ≤0.2%。</w:t>
            </w:r>
          </w:p>
          <w:p w14:paraId="07625222">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3、微差压传感器测量范围-1000Pa～1000Pa，准确度 ≤0.5%。</w:t>
            </w:r>
          </w:p>
          <w:p w14:paraId="7720CAE3">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4、温度传感器测量范围</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0～50</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℃，准确度≤±0.2℃。</w:t>
            </w:r>
          </w:p>
          <w:p w14:paraId="1A7DCA60">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5、用于计时的晶振频率日稳定度＜10</w:t>
            </w:r>
            <w:r>
              <w:rPr>
                <w:rFonts w:hint="eastAsia" w:ascii="宋体" w:hAnsi="宋体" w:eastAsia="宋体" w:cs="宋体"/>
                <w:color w:val="auto"/>
                <w:sz w:val="21"/>
                <w:szCs w:val="21"/>
                <w:highlight w:val="none"/>
                <w:vertAlign w:val="superscript"/>
              </w:rPr>
              <w:t>-5</w:t>
            </w:r>
            <w:r>
              <w:rPr>
                <w:rFonts w:hint="eastAsia" w:ascii="宋体" w:hAnsi="宋体" w:eastAsia="宋体" w:cs="宋体"/>
                <w:color w:val="auto"/>
                <w:sz w:val="21"/>
                <w:szCs w:val="21"/>
                <w:highlight w:val="none"/>
              </w:rPr>
              <w:t>。</w:t>
            </w:r>
          </w:p>
          <w:p w14:paraId="12170479">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2.6</w:t>
            </w:r>
            <w:r>
              <w:rPr>
                <w:rFonts w:hint="eastAsia" w:ascii="宋体" w:hAnsi="宋体" w:eastAsia="宋体" w:cs="宋体"/>
                <w:color w:val="auto"/>
                <w:sz w:val="21"/>
                <w:szCs w:val="21"/>
                <w:highlight w:val="none"/>
              </w:rPr>
              <w:t>、流量点：0.016m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/h、0.025m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/h、0.04m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/h、0.5 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/h、0. 8 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/h、1.2 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/h、2.5m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/h、4m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/h、6m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/h流量点偏差≤5%。</w:t>
            </w:r>
          </w:p>
          <w:p w14:paraId="4CDA13A1">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3、配置及参数要求：</w:t>
            </w:r>
          </w:p>
          <w:p w14:paraId="5E6C66E9">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1、装置配置7个音速喷嘴，可组合0.016m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/h、0.025m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/h、0.04m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/h、0.5m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/h、0.8m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/h、1.2m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/h、2.5m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/h、4m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/h、6m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/h共9个流量点，满足G1.6、G2.5、G4三个规格家用膜式燃气表Qmxa、0.2Qmxa、Qmin点的检定。</w:t>
            </w:r>
          </w:p>
          <w:p w14:paraId="639F106F">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2、检定装置的管路系统中取压和测温的压力变送器和温度变送器均采用高品质产品，要具有优良的长期稳定性和准确度。</w:t>
            </w:r>
          </w:p>
          <w:p w14:paraId="036F4D09">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3、装置需进行湿度补偿，配置湿度变送器，准确度 ≤±3%</w:t>
            </w:r>
            <w:r>
              <w:rPr>
                <w:rFonts w:hint="eastAsia" w:ascii="宋体" w:hAnsi="宋体" w:eastAsia="宋体" w:cs="宋体"/>
                <w:color w:val="auto"/>
                <w:sz w:val="21"/>
                <w:szCs w:val="21"/>
                <w:highlight w:val="none"/>
                <w:lang w:val="en-US" w:eastAsia="zh-CN"/>
              </w:rPr>
              <w:t>RH</w:t>
            </w:r>
            <w:r>
              <w:rPr>
                <w:rFonts w:hint="eastAsia" w:ascii="宋体" w:hAnsi="宋体" w:eastAsia="宋体" w:cs="宋体"/>
                <w:color w:val="auto"/>
                <w:sz w:val="21"/>
                <w:szCs w:val="21"/>
                <w:highlight w:val="none"/>
              </w:rPr>
              <w:t>。</w:t>
            </w:r>
          </w:p>
          <w:p w14:paraId="4AE87504">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4、被检表的装夹采用高可靠性气缓冲夹表系统，气垫压力小于0.1bar，夹表器的中心距不小于在90mm至160mm范围内调节，放置被检表的平面高度也可以在一定范围内调节，具有灵活的工装，以适应不同厂家生产的不同外型尺寸的燃气表的检定，夹表器的气缸要求向下运动控制。</w:t>
            </w:r>
          </w:p>
          <w:p w14:paraId="542DB6E3">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、对被检表示值的读数采用视频采集系统，不需单个调焦，能自动捕捉燃气表字轮，每个表位的采样器具有集中升降和单个微调装置，提高对光效率，根据被检表示值和标准表的流量由装置自动计算示值误差。</w:t>
            </w:r>
          </w:p>
          <w:p w14:paraId="2C10200A">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3.6</w:t>
            </w:r>
            <w:r>
              <w:rPr>
                <w:rFonts w:hint="eastAsia" w:ascii="宋体" w:hAnsi="宋体" w:eastAsia="宋体" w:cs="宋体"/>
                <w:color w:val="auto"/>
                <w:sz w:val="21"/>
                <w:szCs w:val="21"/>
                <w:highlight w:val="none"/>
              </w:rPr>
              <w:t>、被检表压损的测试采用微差变送器测量方式、由PC机采集测试结果并保存在被检表数据库中。</w:t>
            </w:r>
          </w:p>
          <w:p w14:paraId="7BD082C0">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3.7</w:t>
            </w:r>
            <w:r>
              <w:rPr>
                <w:rFonts w:hint="eastAsia" w:ascii="宋体" w:hAnsi="宋体" w:eastAsia="宋体" w:cs="宋体"/>
                <w:color w:val="auto"/>
                <w:sz w:val="21"/>
                <w:szCs w:val="21"/>
                <w:highlight w:val="none"/>
              </w:rPr>
              <w:t>、装置由PC机控制，实现包括左右进气换向、压损测试、大中小三个流量点示值误差测试等的测试过程的自动化。</w:t>
            </w:r>
          </w:p>
          <w:p w14:paraId="16657F8B">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3.8</w:t>
            </w:r>
            <w:r>
              <w:rPr>
                <w:rFonts w:hint="eastAsia" w:ascii="宋体" w:hAnsi="宋体" w:eastAsia="宋体" w:cs="宋体"/>
                <w:color w:val="auto"/>
                <w:sz w:val="21"/>
                <w:szCs w:val="21"/>
                <w:highlight w:val="none"/>
              </w:rPr>
              <w:t>、装置采用负压法，检定介质(大气)的运动由真空泵提供动力，保证检定气路压力的稳定性。（装置配置优质无油干式真空泵）</w:t>
            </w:r>
          </w:p>
          <w:p w14:paraId="06EE5978">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3.9</w:t>
            </w:r>
            <w:r>
              <w:rPr>
                <w:rFonts w:hint="eastAsia" w:ascii="宋体" w:hAnsi="宋体" w:eastAsia="宋体" w:cs="宋体"/>
                <w:color w:val="auto"/>
                <w:sz w:val="21"/>
                <w:szCs w:val="21"/>
                <w:highlight w:val="none"/>
              </w:rPr>
              <w:t>、测控系统的组态软件具有界面清晰美观、操作简便等特点，能在Windows 7以上平台下运行，具有数据存盘、报表打印、分析统计、数据上网等功能；PC机软件的检定记录格式和证书格式符合国家检定规程要求，能够自动打印，对检定数据具有免修改的保护功能。</w:t>
            </w:r>
          </w:p>
          <w:p w14:paraId="649E7A6C">
            <w:pPr>
              <w:pageBreakBefore w:val="0"/>
              <w:numPr>
                <w:ilvl w:val="0"/>
                <w:numId w:val="0"/>
              </w:numPr>
              <w:wordWrap/>
              <w:overflowPunct/>
              <w:topLinePunct w:val="0"/>
              <w:bidi w:val="0"/>
              <w:spacing w:beforeAutospacing="0" w:afterAutospacing="0" w:line="480" w:lineRule="exact"/>
              <w:ind w:left="0" w:leftChars="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4、计算机与软件要求：</w:t>
            </w:r>
          </w:p>
          <w:p w14:paraId="20AAD55C">
            <w:pPr>
              <w:pageBreakBefore w:val="0"/>
              <w:numPr>
                <w:ilvl w:val="0"/>
                <w:numId w:val="0"/>
              </w:numPr>
              <w:wordWrap/>
              <w:overflowPunct/>
              <w:topLinePunct w:val="0"/>
              <w:bidi w:val="0"/>
              <w:spacing w:beforeAutospacing="0" w:afterAutospacing="0" w:line="480" w:lineRule="exact"/>
              <w:ind w:left="0" w:leftChars="0"/>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sz w:val="21"/>
                <w:szCs w:val="21"/>
                <w:highlight w:val="none"/>
              </w:rPr>
              <w:t>电脑配置采用主流品牌电脑</w:t>
            </w:r>
            <w:r>
              <w:rPr>
                <w:rFonts w:hint="eastAsia" w:ascii="宋体" w:hAnsi="宋体" w:eastAsia="宋体" w:cs="宋体"/>
                <w:color w:val="auto"/>
                <w:sz w:val="21"/>
                <w:szCs w:val="21"/>
                <w:highlight w:val="none"/>
                <w:lang w:eastAsia="zh-CN"/>
              </w:rPr>
              <w:t>，不低于以下配置：四</w:t>
            </w:r>
            <w:r>
              <w:rPr>
                <w:rFonts w:hint="eastAsia" w:ascii="宋体" w:hAnsi="宋体" w:eastAsia="宋体" w:cs="宋体"/>
                <w:color w:val="auto"/>
                <w:sz w:val="21"/>
                <w:szCs w:val="21"/>
                <w:highlight w:val="none"/>
              </w:rPr>
              <w:t>核CPU，内存</w:t>
            </w:r>
            <w:r>
              <w:rPr>
                <w:rFonts w:hint="eastAsia" w:ascii="宋体" w:hAnsi="宋体" w:eastAsia="宋体" w:cs="宋体"/>
                <w:color w:val="auto"/>
                <w:sz w:val="21"/>
                <w:szCs w:val="21"/>
                <w:highlight w:val="none"/>
                <w:lang w:val="en-US" w:eastAsia="zh-CN"/>
              </w:rPr>
              <w:t>16</w:t>
            </w:r>
            <w:r>
              <w:rPr>
                <w:rFonts w:hint="eastAsia" w:ascii="宋体" w:hAnsi="宋体" w:eastAsia="宋体" w:cs="宋体"/>
                <w:color w:val="auto"/>
                <w:sz w:val="21"/>
                <w:szCs w:val="21"/>
                <w:highlight w:val="none"/>
              </w:rPr>
              <w:t>G，硬盘</w:t>
            </w:r>
            <w:r>
              <w:rPr>
                <w:rFonts w:hint="eastAsia" w:ascii="宋体" w:hAnsi="宋体" w:eastAsia="宋体" w:cs="宋体"/>
                <w:color w:val="auto"/>
                <w:sz w:val="21"/>
                <w:szCs w:val="21"/>
                <w:highlight w:val="none"/>
                <w:lang w:val="en-US" w:eastAsia="zh-CN"/>
              </w:rPr>
              <w:t>1T</w:t>
            </w:r>
            <w:r>
              <w:rPr>
                <w:rFonts w:hint="eastAsia" w:ascii="宋体" w:hAnsi="宋体" w:eastAsia="宋体" w:cs="宋体"/>
                <w:color w:val="auto"/>
                <w:sz w:val="21"/>
                <w:szCs w:val="21"/>
                <w:highlight w:val="none"/>
              </w:rPr>
              <w:t>，液晶显示器不小于21英吋。</w:t>
            </w:r>
            <w:r>
              <w:rPr>
                <w:rFonts w:hint="eastAsia" w:ascii="宋体" w:hAnsi="宋体" w:eastAsia="宋体" w:cs="宋体"/>
                <w:color w:val="auto"/>
                <w:sz w:val="21"/>
                <w:szCs w:val="21"/>
                <w:highlight w:val="none"/>
                <w:lang w:eastAsia="zh-CN"/>
              </w:rPr>
              <w:t>搭配</w:t>
            </w:r>
            <w:r>
              <w:rPr>
                <w:rFonts w:hint="eastAsia" w:ascii="宋体" w:hAnsi="宋体" w:eastAsia="宋体" w:cs="宋体"/>
                <w:color w:val="auto"/>
                <w:sz w:val="21"/>
                <w:szCs w:val="21"/>
                <w:highlight w:val="none"/>
              </w:rPr>
              <w:t>激光A4打印机。</w:t>
            </w:r>
          </w:p>
          <w:p w14:paraId="43D5CF90">
            <w:pPr>
              <w:pageBreakBefore w:val="0"/>
              <w:numPr>
                <w:ilvl w:val="0"/>
                <w:numId w:val="0"/>
              </w:numPr>
              <w:wordWrap/>
              <w:overflowPunct/>
              <w:topLinePunct w:val="0"/>
              <w:bidi w:val="0"/>
              <w:spacing w:beforeAutospacing="0" w:afterAutospacing="0" w:line="480" w:lineRule="exact"/>
              <w:ind w:left="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5、配置要求</w:t>
            </w:r>
          </w:p>
          <w:p w14:paraId="08AD7E26">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val="en-US" w:eastAsia="zh-CN"/>
              </w:rPr>
              <w:t>扫码枪2把，</w:t>
            </w:r>
            <w:r>
              <w:rPr>
                <w:rFonts w:hint="eastAsia" w:ascii="宋体" w:hAnsi="宋体" w:eastAsia="宋体" w:cs="宋体"/>
                <w:color w:val="auto"/>
                <w:kern w:val="0"/>
                <w:sz w:val="21"/>
                <w:szCs w:val="21"/>
                <w:highlight w:val="none"/>
              </w:rPr>
              <w:t>视频采样器</w:t>
            </w:r>
            <w:r>
              <w:rPr>
                <w:rFonts w:hint="eastAsia" w:ascii="宋体" w:hAnsi="宋体" w:eastAsia="宋体" w:cs="宋体"/>
                <w:color w:val="auto"/>
                <w:kern w:val="0"/>
                <w:sz w:val="21"/>
                <w:szCs w:val="21"/>
                <w:highlight w:val="none"/>
                <w:lang w:val="en-US" w:eastAsia="zh-CN"/>
              </w:rPr>
              <w:t>1个（备用）。</w:t>
            </w:r>
          </w:p>
        </w:tc>
      </w:tr>
      <w:tr w14:paraId="4C1BA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3" w:hRule="atLeast"/>
          <w:jc w:val="center"/>
        </w:trPr>
        <w:tc>
          <w:tcPr>
            <w:tcW w:w="757" w:type="dxa"/>
            <w:vAlign w:val="center"/>
          </w:tcPr>
          <w:p w14:paraId="46E5FE65">
            <w:pPr>
              <w:pStyle w:val="6"/>
              <w:pageBreakBefore w:val="0"/>
              <w:wordWrap/>
              <w:overflowPunct/>
              <w:topLinePunct w:val="0"/>
              <w:bidi w:val="0"/>
              <w:spacing w:beforeAutospacing="0" w:after="0" w:afterAutospacing="0" w:line="480" w:lineRule="exact"/>
              <w:ind w:left="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18</w:t>
            </w:r>
          </w:p>
        </w:tc>
        <w:tc>
          <w:tcPr>
            <w:tcW w:w="1605" w:type="dxa"/>
            <w:vAlign w:val="center"/>
          </w:tcPr>
          <w:p w14:paraId="4DB03ECC">
            <w:pPr>
              <w:pStyle w:val="6"/>
              <w:pageBreakBefore w:val="0"/>
              <w:wordWrap/>
              <w:overflowPunct/>
              <w:topLinePunct w:val="0"/>
              <w:bidi w:val="0"/>
              <w:spacing w:beforeAutospacing="0" w:after="0" w:afterAutospacing="0" w:line="480" w:lineRule="exact"/>
              <w:ind w:left="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水表检定装置</w:t>
            </w:r>
          </w:p>
        </w:tc>
        <w:tc>
          <w:tcPr>
            <w:tcW w:w="12382" w:type="dxa"/>
          </w:tcPr>
          <w:p w14:paraId="18CD0B91">
            <w:pPr>
              <w:pageBreakBefore w:val="0"/>
              <w:numPr>
                <w:ilvl w:val="0"/>
                <w:numId w:val="0"/>
              </w:numPr>
              <w:wordWrap/>
              <w:overflowPunct/>
              <w:topLinePunct w:val="0"/>
              <w:bidi w:val="0"/>
              <w:spacing w:beforeAutospacing="0" w:afterAutospacing="0" w:line="480" w:lineRule="exact"/>
              <w:ind w:left="0" w:leftChars="0"/>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lang w:eastAsia="zh-CN"/>
              </w:rPr>
              <w:t>用途及应用要求</w:t>
            </w:r>
          </w:p>
          <w:p w14:paraId="4BAC3F26">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设备可自动检定带梅花指针机械水表，带脉冲数据输出的电磁、超声水表，符合JJG 1113-2015 《水表检定装置》和JJG162-2019《饮用冷水水表检定规程》相关要求。</w:t>
            </w:r>
          </w:p>
          <w:p w14:paraId="560CFFC2">
            <w:pPr>
              <w:pageBreakBefore w:val="0"/>
              <w:numPr>
                <w:ilvl w:val="0"/>
                <w:numId w:val="0"/>
              </w:numPr>
              <w:wordWrap/>
              <w:overflowPunct/>
              <w:topLinePunct w:val="0"/>
              <w:bidi w:val="0"/>
              <w:spacing w:beforeAutospacing="0" w:afterAutospacing="0" w:line="480" w:lineRule="exact"/>
              <w:ind w:left="0" w:leftChars="0"/>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lang w:eastAsia="zh-CN"/>
              </w:rPr>
              <w:t>主要技术参数要求</w:t>
            </w:r>
          </w:p>
          <w:p w14:paraId="46F9E547">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2.1、适用口径：DN</w:t>
            </w:r>
            <w:r>
              <w:rPr>
                <w:rFonts w:hint="eastAsia" w:ascii="宋体" w:hAnsi="宋体" w:eastAsia="宋体" w:cs="宋体"/>
                <w:color w:val="auto"/>
                <w:sz w:val="21"/>
                <w:szCs w:val="21"/>
                <w:highlight w:val="none"/>
              </w:rPr>
              <w:t>15、</w:t>
            </w:r>
            <w:r>
              <w:rPr>
                <w:rFonts w:hint="eastAsia" w:ascii="宋体" w:hAnsi="宋体" w:eastAsia="宋体" w:cs="宋体"/>
                <w:color w:val="auto"/>
                <w:sz w:val="21"/>
                <w:szCs w:val="21"/>
                <w:highlight w:val="none"/>
                <w:lang w:eastAsia="zh-CN"/>
              </w:rPr>
              <w:t>DN</w:t>
            </w:r>
            <w:r>
              <w:rPr>
                <w:rFonts w:hint="eastAsia" w:ascii="宋体" w:hAnsi="宋体" w:eastAsia="宋体" w:cs="宋体"/>
                <w:color w:val="auto"/>
                <w:sz w:val="21"/>
                <w:szCs w:val="21"/>
                <w:highlight w:val="none"/>
              </w:rPr>
              <w:t xml:space="preserve"> 20、</w:t>
            </w:r>
            <w:r>
              <w:rPr>
                <w:rFonts w:hint="eastAsia" w:ascii="宋体" w:hAnsi="宋体" w:eastAsia="宋体" w:cs="宋体"/>
                <w:color w:val="auto"/>
                <w:sz w:val="21"/>
                <w:szCs w:val="21"/>
                <w:highlight w:val="none"/>
                <w:lang w:eastAsia="zh-CN"/>
              </w:rPr>
              <w:t>DN</w:t>
            </w:r>
            <w:r>
              <w:rPr>
                <w:rFonts w:hint="eastAsia" w:ascii="宋体" w:hAnsi="宋体" w:eastAsia="宋体" w:cs="宋体"/>
                <w:color w:val="auto"/>
                <w:sz w:val="21"/>
                <w:szCs w:val="21"/>
                <w:highlight w:val="none"/>
              </w:rPr>
              <w:t xml:space="preserve"> 25、</w:t>
            </w:r>
            <w:r>
              <w:rPr>
                <w:rFonts w:hint="eastAsia" w:ascii="宋体" w:hAnsi="宋体" w:eastAsia="宋体" w:cs="宋体"/>
                <w:color w:val="auto"/>
                <w:sz w:val="21"/>
                <w:szCs w:val="21"/>
                <w:highlight w:val="none"/>
                <w:lang w:eastAsia="zh-CN"/>
              </w:rPr>
              <w:t>DN</w:t>
            </w:r>
            <w:r>
              <w:rPr>
                <w:rFonts w:hint="eastAsia" w:ascii="宋体" w:hAnsi="宋体" w:eastAsia="宋体" w:cs="宋体"/>
                <w:color w:val="auto"/>
                <w:sz w:val="21"/>
                <w:szCs w:val="21"/>
                <w:highlight w:val="none"/>
              </w:rPr>
              <w:t xml:space="preserve"> 40、</w:t>
            </w:r>
            <w:r>
              <w:rPr>
                <w:rFonts w:hint="eastAsia" w:ascii="宋体" w:hAnsi="宋体" w:eastAsia="宋体" w:cs="宋体"/>
                <w:color w:val="auto"/>
                <w:sz w:val="21"/>
                <w:szCs w:val="21"/>
                <w:highlight w:val="none"/>
                <w:lang w:eastAsia="zh-CN"/>
              </w:rPr>
              <w:t>DN</w:t>
            </w:r>
            <w:r>
              <w:rPr>
                <w:rFonts w:hint="eastAsia" w:ascii="宋体" w:hAnsi="宋体" w:eastAsia="宋体" w:cs="宋体"/>
                <w:color w:val="auto"/>
                <w:sz w:val="21"/>
                <w:szCs w:val="21"/>
                <w:highlight w:val="none"/>
              </w:rPr>
              <w:t xml:space="preserve"> 50；</w:t>
            </w:r>
          </w:p>
          <w:p w14:paraId="4A3E918B">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★2.2、准确度等级：0.2级；</w:t>
            </w:r>
          </w:p>
          <w:p w14:paraId="7BDA60C4">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2.3、流量范围：0.004 m³/h-40 m³/h；</w:t>
            </w:r>
          </w:p>
          <w:p w14:paraId="2D3C1B33">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2.4、流量检定压力：大于0.2MPa；</w:t>
            </w:r>
          </w:p>
          <w:p w14:paraId="74479050">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2.5、密封性试验最大压力：大于2.5MPa；</w:t>
            </w:r>
          </w:p>
          <w:p w14:paraId="09BBCC17">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2.6、设备主体结构采用304不锈钢；</w:t>
            </w:r>
          </w:p>
          <w:p w14:paraId="2DC3E944">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lang w:eastAsia="zh-CN"/>
              </w:rPr>
              <w:t>、支持流量时间法和启停法检定；</w:t>
            </w:r>
          </w:p>
          <w:p w14:paraId="618CCB03">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2.8</w:t>
            </w:r>
            <w:r>
              <w:rPr>
                <w:rFonts w:hint="eastAsia" w:ascii="宋体" w:hAnsi="宋体" w:eastAsia="宋体" w:cs="宋体"/>
                <w:color w:val="auto"/>
                <w:sz w:val="21"/>
                <w:szCs w:val="21"/>
                <w:highlight w:val="none"/>
                <w:lang w:eastAsia="zh-CN"/>
              </w:rPr>
              <w:t>、采用质量法检定，电子秤精度优于1/6000；</w:t>
            </w:r>
          </w:p>
          <w:p w14:paraId="23A319C3">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2.9</w:t>
            </w:r>
            <w:r>
              <w:rPr>
                <w:rFonts w:hint="eastAsia" w:ascii="宋体" w:hAnsi="宋体" w:eastAsia="宋体" w:cs="宋体"/>
                <w:color w:val="auto"/>
                <w:sz w:val="21"/>
                <w:szCs w:val="21"/>
                <w:highlight w:val="none"/>
                <w:lang w:eastAsia="zh-CN"/>
              </w:rPr>
              <w:t>、采用换向器换向，且换向行程差小于10ms；</w:t>
            </w:r>
          </w:p>
          <w:p w14:paraId="42EBC59A">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2.10</w:t>
            </w:r>
            <w:r>
              <w:rPr>
                <w:rFonts w:hint="eastAsia" w:ascii="宋体" w:hAnsi="宋体" w:eastAsia="宋体" w:cs="宋体"/>
                <w:color w:val="auto"/>
                <w:sz w:val="21"/>
                <w:szCs w:val="21"/>
                <w:highlight w:val="none"/>
                <w:lang w:eastAsia="zh-CN"/>
              </w:rPr>
              <w:t>、稳压容器大于500L；</w:t>
            </w:r>
          </w:p>
          <w:p w14:paraId="2FF0899F">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2.11</w:t>
            </w:r>
            <w:r>
              <w:rPr>
                <w:rFonts w:hint="eastAsia" w:ascii="宋体" w:hAnsi="宋体" w:eastAsia="宋体" w:cs="宋体"/>
                <w:color w:val="auto"/>
                <w:sz w:val="21"/>
                <w:szCs w:val="21"/>
                <w:highlight w:val="none"/>
                <w:lang w:eastAsia="zh-CN"/>
              </w:rPr>
              <w:t>、水箱不小于1500L；</w:t>
            </w:r>
          </w:p>
          <w:p w14:paraId="5B687AF0">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2.12</w:t>
            </w:r>
            <w:r>
              <w:rPr>
                <w:rFonts w:hint="eastAsia" w:ascii="宋体" w:hAnsi="宋体" w:eastAsia="宋体" w:cs="宋体"/>
                <w:color w:val="auto"/>
                <w:sz w:val="21"/>
                <w:szCs w:val="21"/>
                <w:highlight w:val="none"/>
                <w:lang w:eastAsia="zh-CN"/>
              </w:rPr>
              <w:t>、扫码系统支持一维码和二维码。</w:t>
            </w:r>
          </w:p>
          <w:p w14:paraId="406A18FE">
            <w:pPr>
              <w:pageBreakBefore w:val="0"/>
              <w:numPr>
                <w:ilvl w:val="0"/>
                <w:numId w:val="0"/>
              </w:numPr>
              <w:wordWrap/>
              <w:overflowPunct/>
              <w:topLinePunct w:val="0"/>
              <w:bidi w:val="0"/>
              <w:spacing w:beforeAutospacing="0" w:afterAutospacing="0" w:line="480" w:lineRule="exact"/>
              <w:ind w:left="0" w:leftChars="0"/>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lang w:eastAsia="zh-CN"/>
              </w:rPr>
              <w:t>配置及参数要求</w:t>
            </w:r>
          </w:p>
          <w:tbl>
            <w:tblPr>
              <w:tblStyle w:val="11"/>
              <w:tblW w:w="6988" w:type="dxa"/>
              <w:tblInd w:w="0" w:type="dxa"/>
              <w:tblLayout w:type="fixed"/>
              <w:tblCellMar>
                <w:top w:w="0" w:type="dxa"/>
                <w:left w:w="108" w:type="dxa"/>
                <w:bottom w:w="0" w:type="dxa"/>
                <w:right w:w="108" w:type="dxa"/>
              </w:tblCellMar>
            </w:tblPr>
            <w:tblGrid>
              <w:gridCol w:w="581"/>
              <w:gridCol w:w="709"/>
              <w:gridCol w:w="1746"/>
              <w:gridCol w:w="3200"/>
              <w:gridCol w:w="752"/>
            </w:tblGrid>
            <w:tr w14:paraId="528CE369">
              <w:tblPrEx>
                <w:tblCellMar>
                  <w:top w:w="0" w:type="dxa"/>
                  <w:left w:w="108" w:type="dxa"/>
                  <w:bottom w:w="0" w:type="dxa"/>
                  <w:right w:w="108" w:type="dxa"/>
                </w:tblCellMar>
              </w:tblPrEx>
              <w:trPr>
                <w:trHeight w:val="312" w:hRule="atLeast"/>
              </w:trPr>
              <w:tc>
                <w:tcPr>
                  <w:tcW w:w="581" w:type="dxa"/>
                  <w:vMerge w:val="restart"/>
                  <w:tcBorders>
                    <w:top w:val="single" w:color="auto" w:sz="4" w:space="0"/>
                    <w:left w:val="single" w:color="auto" w:sz="4" w:space="0"/>
                    <w:bottom w:val="single" w:color="auto" w:sz="4" w:space="0"/>
                    <w:right w:val="single" w:color="auto" w:sz="4" w:space="0"/>
                  </w:tcBorders>
                  <w:vAlign w:val="center"/>
                </w:tcPr>
                <w:p w14:paraId="1602E975">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078A29CB">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分类</w:t>
                  </w:r>
                </w:p>
              </w:tc>
              <w:tc>
                <w:tcPr>
                  <w:tcW w:w="1746" w:type="dxa"/>
                  <w:vMerge w:val="restart"/>
                  <w:tcBorders>
                    <w:top w:val="single" w:color="auto" w:sz="4" w:space="0"/>
                    <w:left w:val="single" w:color="auto" w:sz="4" w:space="0"/>
                    <w:bottom w:val="single" w:color="auto" w:sz="4" w:space="0"/>
                    <w:right w:val="single" w:color="auto" w:sz="4" w:space="0"/>
                  </w:tcBorders>
                  <w:vAlign w:val="center"/>
                </w:tcPr>
                <w:p w14:paraId="70070298">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产品名称</w:t>
                  </w:r>
                </w:p>
              </w:tc>
              <w:tc>
                <w:tcPr>
                  <w:tcW w:w="3200" w:type="dxa"/>
                  <w:vMerge w:val="restart"/>
                  <w:tcBorders>
                    <w:top w:val="single" w:color="auto" w:sz="4" w:space="0"/>
                    <w:left w:val="single" w:color="auto" w:sz="4" w:space="0"/>
                    <w:bottom w:val="single" w:color="auto" w:sz="4" w:space="0"/>
                    <w:right w:val="single" w:color="auto" w:sz="4" w:space="0"/>
                  </w:tcBorders>
                  <w:vAlign w:val="center"/>
                </w:tcPr>
                <w:p w14:paraId="0BC897AF">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技术参数</w:t>
                  </w:r>
                </w:p>
              </w:tc>
              <w:tc>
                <w:tcPr>
                  <w:tcW w:w="752" w:type="dxa"/>
                  <w:vMerge w:val="restart"/>
                  <w:tcBorders>
                    <w:top w:val="single" w:color="auto" w:sz="4" w:space="0"/>
                    <w:left w:val="single" w:color="auto" w:sz="4" w:space="0"/>
                    <w:bottom w:val="single" w:color="auto" w:sz="4" w:space="0"/>
                    <w:right w:val="single" w:color="auto" w:sz="4" w:space="0"/>
                  </w:tcBorders>
                  <w:vAlign w:val="center"/>
                </w:tcPr>
                <w:p w14:paraId="27521031">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w:t>
                  </w:r>
                </w:p>
              </w:tc>
            </w:tr>
            <w:tr w14:paraId="684B2AE3">
              <w:tblPrEx>
                <w:tblCellMar>
                  <w:top w:w="0" w:type="dxa"/>
                  <w:left w:w="108" w:type="dxa"/>
                  <w:bottom w:w="0" w:type="dxa"/>
                  <w:right w:w="108" w:type="dxa"/>
                </w:tblCellMar>
              </w:tblPrEx>
              <w:trPr>
                <w:trHeight w:val="312" w:hRule="atLeast"/>
              </w:trPr>
              <w:tc>
                <w:tcPr>
                  <w:tcW w:w="581" w:type="dxa"/>
                  <w:vMerge w:val="continue"/>
                  <w:tcBorders>
                    <w:top w:val="single" w:color="auto" w:sz="4" w:space="0"/>
                    <w:left w:val="single" w:color="auto" w:sz="4" w:space="0"/>
                    <w:bottom w:val="single" w:color="auto" w:sz="4" w:space="0"/>
                    <w:right w:val="single" w:color="auto" w:sz="4" w:space="0"/>
                  </w:tcBorders>
                  <w:vAlign w:val="center"/>
                </w:tcPr>
                <w:p w14:paraId="25606CE5">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5B799595">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p>
              </w:tc>
              <w:tc>
                <w:tcPr>
                  <w:tcW w:w="1746" w:type="dxa"/>
                  <w:vMerge w:val="continue"/>
                  <w:tcBorders>
                    <w:top w:val="single" w:color="auto" w:sz="4" w:space="0"/>
                    <w:left w:val="single" w:color="auto" w:sz="4" w:space="0"/>
                    <w:bottom w:val="single" w:color="auto" w:sz="4" w:space="0"/>
                    <w:right w:val="single" w:color="auto" w:sz="4" w:space="0"/>
                  </w:tcBorders>
                  <w:vAlign w:val="center"/>
                </w:tcPr>
                <w:p w14:paraId="00E1909C">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p>
              </w:tc>
              <w:tc>
                <w:tcPr>
                  <w:tcW w:w="3200" w:type="dxa"/>
                  <w:vMerge w:val="continue"/>
                  <w:tcBorders>
                    <w:top w:val="single" w:color="auto" w:sz="4" w:space="0"/>
                    <w:left w:val="single" w:color="auto" w:sz="4" w:space="0"/>
                    <w:bottom w:val="single" w:color="auto" w:sz="4" w:space="0"/>
                    <w:right w:val="single" w:color="auto" w:sz="4" w:space="0"/>
                  </w:tcBorders>
                  <w:vAlign w:val="center"/>
                </w:tcPr>
                <w:p w14:paraId="3111DBE2">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left"/>
                    <w:textAlignment w:val="auto"/>
                    <w:rPr>
                      <w:rFonts w:hint="eastAsia" w:ascii="宋体" w:hAnsi="宋体" w:eastAsia="宋体" w:cs="宋体"/>
                      <w:color w:val="auto"/>
                      <w:sz w:val="21"/>
                      <w:szCs w:val="21"/>
                      <w:highlight w:val="none"/>
                    </w:rPr>
                  </w:pPr>
                </w:p>
              </w:tc>
              <w:tc>
                <w:tcPr>
                  <w:tcW w:w="752" w:type="dxa"/>
                  <w:vMerge w:val="continue"/>
                  <w:tcBorders>
                    <w:top w:val="single" w:color="auto" w:sz="4" w:space="0"/>
                    <w:left w:val="single" w:color="auto" w:sz="4" w:space="0"/>
                    <w:bottom w:val="single" w:color="auto" w:sz="4" w:space="0"/>
                    <w:right w:val="single" w:color="auto" w:sz="4" w:space="0"/>
                  </w:tcBorders>
                  <w:vAlign w:val="center"/>
                </w:tcPr>
                <w:p w14:paraId="592E15EA">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p>
              </w:tc>
            </w:tr>
            <w:tr w14:paraId="348AD0BB">
              <w:tblPrEx>
                <w:tblCellMar>
                  <w:top w:w="0" w:type="dxa"/>
                  <w:left w:w="108" w:type="dxa"/>
                  <w:bottom w:w="0" w:type="dxa"/>
                  <w:right w:w="108" w:type="dxa"/>
                </w:tblCellMar>
              </w:tblPrEx>
              <w:trPr>
                <w:trHeight w:val="23" w:hRule="atLeast"/>
              </w:trPr>
              <w:tc>
                <w:tcPr>
                  <w:tcW w:w="581" w:type="dxa"/>
                  <w:tcBorders>
                    <w:top w:val="single" w:color="auto" w:sz="4" w:space="0"/>
                    <w:left w:val="single" w:color="auto" w:sz="4" w:space="0"/>
                    <w:bottom w:val="single" w:color="auto" w:sz="4" w:space="0"/>
                    <w:right w:val="single" w:color="auto" w:sz="4" w:space="0"/>
                  </w:tcBorders>
                  <w:vAlign w:val="center"/>
                </w:tcPr>
                <w:p w14:paraId="198C3708">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709" w:type="dxa"/>
                  <w:vMerge w:val="restart"/>
                  <w:tcBorders>
                    <w:top w:val="nil"/>
                    <w:left w:val="single" w:color="auto" w:sz="4" w:space="0"/>
                    <w:bottom w:val="single" w:color="auto" w:sz="4" w:space="0"/>
                    <w:right w:val="single" w:color="auto" w:sz="4" w:space="0"/>
                  </w:tcBorders>
                  <w:vAlign w:val="center"/>
                </w:tcPr>
                <w:p w14:paraId="1BB86E78">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水源系统</w:t>
                  </w:r>
                </w:p>
              </w:tc>
              <w:tc>
                <w:tcPr>
                  <w:tcW w:w="1746" w:type="dxa"/>
                  <w:tcBorders>
                    <w:top w:val="nil"/>
                    <w:left w:val="nil"/>
                    <w:bottom w:val="single" w:color="auto" w:sz="4" w:space="0"/>
                    <w:right w:val="single" w:color="auto" w:sz="4" w:space="0"/>
                  </w:tcBorders>
                  <w:vAlign w:val="center"/>
                </w:tcPr>
                <w:p w14:paraId="3BB92ABC">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水泵</w:t>
                  </w:r>
                </w:p>
              </w:tc>
              <w:tc>
                <w:tcPr>
                  <w:tcW w:w="3200" w:type="dxa"/>
                  <w:tcBorders>
                    <w:top w:val="nil"/>
                    <w:left w:val="nil"/>
                    <w:bottom w:val="single" w:color="auto" w:sz="4" w:space="0"/>
                    <w:right w:val="single" w:color="auto" w:sz="4" w:space="0"/>
                  </w:tcBorders>
                  <w:vAlign w:val="center"/>
                </w:tcPr>
                <w:p w14:paraId="1EE840AD">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扬程40m，最大流量40m3/h</w:t>
                  </w:r>
                </w:p>
              </w:tc>
              <w:tc>
                <w:tcPr>
                  <w:tcW w:w="752" w:type="dxa"/>
                  <w:tcBorders>
                    <w:top w:val="nil"/>
                    <w:left w:val="nil"/>
                    <w:bottom w:val="single" w:color="auto" w:sz="4" w:space="0"/>
                    <w:right w:val="single" w:color="auto" w:sz="4" w:space="0"/>
                  </w:tcBorders>
                  <w:vAlign w:val="center"/>
                </w:tcPr>
                <w:p w14:paraId="005B243E">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1台</w:t>
                  </w:r>
                </w:p>
              </w:tc>
            </w:tr>
            <w:tr w14:paraId="542E1B83">
              <w:tblPrEx>
                <w:tblCellMar>
                  <w:top w:w="0" w:type="dxa"/>
                  <w:left w:w="108" w:type="dxa"/>
                  <w:bottom w:w="0" w:type="dxa"/>
                  <w:right w:w="108" w:type="dxa"/>
                </w:tblCellMar>
              </w:tblPrEx>
              <w:trPr>
                <w:trHeight w:val="23" w:hRule="atLeast"/>
              </w:trPr>
              <w:tc>
                <w:tcPr>
                  <w:tcW w:w="581" w:type="dxa"/>
                  <w:tcBorders>
                    <w:top w:val="single" w:color="auto" w:sz="4" w:space="0"/>
                    <w:left w:val="single" w:color="auto" w:sz="4" w:space="0"/>
                    <w:bottom w:val="single" w:color="auto" w:sz="4" w:space="0"/>
                    <w:right w:val="single" w:color="auto" w:sz="4" w:space="0"/>
                  </w:tcBorders>
                  <w:vAlign w:val="center"/>
                </w:tcPr>
                <w:p w14:paraId="4C2BFFFB">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709" w:type="dxa"/>
                  <w:vMerge w:val="continue"/>
                  <w:tcBorders>
                    <w:top w:val="nil"/>
                    <w:left w:val="single" w:color="auto" w:sz="4" w:space="0"/>
                    <w:bottom w:val="single" w:color="auto" w:sz="4" w:space="0"/>
                    <w:right w:val="single" w:color="auto" w:sz="4" w:space="0"/>
                  </w:tcBorders>
                  <w:vAlign w:val="center"/>
                </w:tcPr>
                <w:p w14:paraId="2B102DA7">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p>
              </w:tc>
              <w:tc>
                <w:tcPr>
                  <w:tcW w:w="1746" w:type="dxa"/>
                  <w:tcBorders>
                    <w:top w:val="nil"/>
                    <w:left w:val="nil"/>
                    <w:bottom w:val="single" w:color="auto" w:sz="4" w:space="0"/>
                    <w:right w:val="single" w:color="auto" w:sz="4" w:space="0"/>
                  </w:tcBorders>
                  <w:vAlign w:val="center"/>
                </w:tcPr>
                <w:p w14:paraId="4CC72636">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稳压装置</w:t>
                  </w:r>
                </w:p>
              </w:tc>
              <w:tc>
                <w:tcPr>
                  <w:tcW w:w="3200" w:type="dxa"/>
                  <w:tcBorders>
                    <w:top w:val="nil"/>
                    <w:left w:val="nil"/>
                    <w:bottom w:val="single" w:color="auto" w:sz="4" w:space="0"/>
                    <w:right w:val="single" w:color="auto" w:sz="4" w:space="0"/>
                  </w:tcBorders>
                  <w:vAlign w:val="center"/>
                </w:tcPr>
                <w:p w14:paraId="53FF68FE">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SUS304不锈钢，厚3mm，不低于800L</w:t>
                  </w:r>
                </w:p>
              </w:tc>
              <w:tc>
                <w:tcPr>
                  <w:tcW w:w="752" w:type="dxa"/>
                  <w:tcBorders>
                    <w:top w:val="nil"/>
                    <w:left w:val="nil"/>
                    <w:bottom w:val="single" w:color="auto" w:sz="4" w:space="0"/>
                    <w:right w:val="single" w:color="auto" w:sz="4" w:space="0"/>
                  </w:tcBorders>
                  <w:vAlign w:val="center"/>
                </w:tcPr>
                <w:p w14:paraId="5A9350DC">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1台</w:t>
                  </w:r>
                </w:p>
              </w:tc>
            </w:tr>
            <w:tr w14:paraId="0F90ECDC">
              <w:tblPrEx>
                <w:tblCellMar>
                  <w:top w:w="0" w:type="dxa"/>
                  <w:left w:w="108" w:type="dxa"/>
                  <w:bottom w:w="0" w:type="dxa"/>
                  <w:right w:w="108" w:type="dxa"/>
                </w:tblCellMar>
              </w:tblPrEx>
              <w:trPr>
                <w:trHeight w:val="23" w:hRule="atLeast"/>
              </w:trPr>
              <w:tc>
                <w:tcPr>
                  <w:tcW w:w="581" w:type="dxa"/>
                  <w:tcBorders>
                    <w:top w:val="single" w:color="auto" w:sz="4" w:space="0"/>
                    <w:left w:val="single" w:color="auto" w:sz="4" w:space="0"/>
                    <w:bottom w:val="single" w:color="auto" w:sz="4" w:space="0"/>
                    <w:right w:val="single" w:color="auto" w:sz="4" w:space="0"/>
                  </w:tcBorders>
                  <w:vAlign w:val="center"/>
                </w:tcPr>
                <w:p w14:paraId="1BA6802B">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709" w:type="dxa"/>
                  <w:vMerge w:val="continue"/>
                  <w:tcBorders>
                    <w:top w:val="nil"/>
                    <w:left w:val="single" w:color="auto" w:sz="4" w:space="0"/>
                    <w:bottom w:val="single" w:color="auto" w:sz="4" w:space="0"/>
                    <w:right w:val="single" w:color="auto" w:sz="4" w:space="0"/>
                  </w:tcBorders>
                  <w:vAlign w:val="center"/>
                </w:tcPr>
                <w:p w14:paraId="54DBA9EF">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p>
              </w:tc>
              <w:tc>
                <w:tcPr>
                  <w:tcW w:w="1746" w:type="dxa"/>
                  <w:tcBorders>
                    <w:top w:val="nil"/>
                    <w:left w:val="nil"/>
                    <w:bottom w:val="single" w:color="auto" w:sz="4" w:space="0"/>
                    <w:right w:val="single" w:color="auto" w:sz="4" w:space="0"/>
                  </w:tcBorders>
                  <w:vAlign w:val="center"/>
                </w:tcPr>
                <w:p w14:paraId="72E1755F">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变频器</w:t>
                  </w:r>
                </w:p>
              </w:tc>
              <w:tc>
                <w:tcPr>
                  <w:tcW w:w="3200" w:type="dxa"/>
                  <w:tcBorders>
                    <w:top w:val="nil"/>
                    <w:left w:val="nil"/>
                    <w:bottom w:val="single" w:color="auto" w:sz="4" w:space="0"/>
                    <w:right w:val="single" w:color="auto" w:sz="4" w:space="0"/>
                  </w:tcBorders>
                  <w:vAlign w:val="center"/>
                </w:tcPr>
                <w:p w14:paraId="678FA8FC">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7.5kW</w:t>
                  </w:r>
                </w:p>
              </w:tc>
              <w:tc>
                <w:tcPr>
                  <w:tcW w:w="752" w:type="dxa"/>
                  <w:tcBorders>
                    <w:top w:val="nil"/>
                    <w:left w:val="nil"/>
                    <w:bottom w:val="single" w:color="auto" w:sz="4" w:space="0"/>
                    <w:right w:val="single" w:color="auto" w:sz="4" w:space="0"/>
                  </w:tcBorders>
                  <w:vAlign w:val="center"/>
                </w:tcPr>
                <w:p w14:paraId="39735765">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1台</w:t>
                  </w:r>
                </w:p>
              </w:tc>
            </w:tr>
            <w:tr w14:paraId="0DA559A3">
              <w:tblPrEx>
                <w:tblCellMar>
                  <w:top w:w="0" w:type="dxa"/>
                  <w:left w:w="108" w:type="dxa"/>
                  <w:bottom w:w="0" w:type="dxa"/>
                  <w:right w:w="108" w:type="dxa"/>
                </w:tblCellMar>
              </w:tblPrEx>
              <w:trPr>
                <w:trHeight w:val="23" w:hRule="atLeast"/>
              </w:trPr>
              <w:tc>
                <w:tcPr>
                  <w:tcW w:w="581" w:type="dxa"/>
                  <w:tcBorders>
                    <w:top w:val="nil"/>
                    <w:left w:val="single" w:color="auto" w:sz="4" w:space="0"/>
                    <w:bottom w:val="single" w:color="auto" w:sz="4" w:space="0"/>
                    <w:right w:val="single" w:color="auto" w:sz="4" w:space="0"/>
                  </w:tcBorders>
                  <w:vAlign w:val="center"/>
                </w:tcPr>
                <w:p w14:paraId="31FAB74B">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709" w:type="dxa"/>
                  <w:vMerge w:val="continue"/>
                  <w:tcBorders>
                    <w:top w:val="nil"/>
                    <w:left w:val="single" w:color="auto" w:sz="4" w:space="0"/>
                    <w:bottom w:val="single" w:color="auto" w:sz="4" w:space="0"/>
                    <w:right w:val="single" w:color="auto" w:sz="4" w:space="0"/>
                  </w:tcBorders>
                  <w:vAlign w:val="center"/>
                </w:tcPr>
                <w:p w14:paraId="16164484">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p>
              </w:tc>
              <w:tc>
                <w:tcPr>
                  <w:tcW w:w="1746" w:type="dxa"/>
                  <w:tcBorders>
                    <w:top w:val="nil"/>
                    <w:left w:val="nil"/>
                    <w:bottom w:val="single" w:color="auto" w:sz="4" w:space="0"/>
                    <w:right w:val="single" w:color="auto" w:sz="4" w:space="0"/>
                  </w:tcBorders>
                  <w:vAlign w:val="center"/>
                </w:tcPr>
                <w:p w14:paraId="375A245D">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水箱</w:t>
                  </w:r>
                </w:p>
              </w:tc>
              <w:tc>
                <w:tcPr>
                  <w:tcW w:w="3200" w:type="dxa"/>
                  <w:tcBorders>
                    <w:top w:val="nil"/>
                    <w:left w:val="nil"/>
                    <w:bottom w:val="single" w:color="auto" w:sz="4" w:space="0"/>
                    <w:right w:val="single" w:color="auto" w:sz="4" w:space="0"/>
                  </w:tcBorders>
                  <w:vAlign w:val="center"/>
                </w:tcPr>
                <w:p w14:paraId="40BEA11A">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SUS304不锈钢，厚2mm，不低于2000L</w:t>
                  </w:r>
                </w:p>
              </w:tc>
              <w:tc>
                <w:tcPr>
                  <w:tcW w:w="752" w:type="dxa"/>
                  <w:tcBorders>
                    <w:top w:val="nil"/>
                    <w:left w:val="nil"/>
                    <w:bottom w:val="single" w:color="auto" w:sz="4" w:space="0"/>
                    <w:right w:val="single" w:color="auto" w:sz="4" w:space="0"/>
                  </w:tcBorders>
                  <w:vAlign w:val="center"/>
                </w:tcPr>
                <w:p w14:paraId="337F7092">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1个</w:t>
                  </w:r>
                </w:p>
              </w:tc>
            </w:tr>
            <w:tr w14:paraId="112A807C">
              <w:tblPrEx>
                <w:tblCellMar>
                  <w:top w:w="0" w:type="dxa"/>
                  <w:left w:w="108" w:type="dxa"/>
                  <w:bottom w:w="0" w:type="dxa"/>
                  <w:right w:w="108" w:type="dxa"/>
                </w:tblCellMar>
              </w:tblPrEx>
              <w:trPr>
                <w:trHeight w:val="23" w:hRule="atLeast"/>
              </w:trPr>
              <w:tc>
                <w:tcPr>
                  <w:tcW w:w="581" w:type="dxa"/>
                  <w:tcBorders>
                    <w:top w:val="nil"/>
                    <w:left w:val="single" w:color="auto" w:sz="4" w:space="0"/>
                    <w:bottom w:val="single" w:color="auto" w:sz="4" w:space="0"/>
                    <w:right w:val="single" w:color="auto" w:sz="4" w:space="0"/>
                  </w:tcBorders>
                  <w:vAlign w:val="center"/>
                </w:tcPr>
                <w:p w14:paraId="3E7E9337">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709" w:type="dxa"/>
                  <w:vMerge w:val="restart"/>
                  <w:tcBorders>
                    <w:top w:val="nil"/>
                    <w:left w:val="single" w:color="auto" w:sz="4" w:space="0"/>
                    <w:bottom w:val="single" w:color="auto" w:sz="4" w:space="0"/>
                    <w:right w:val="single" w:color="auto" w:sz="4" w:space="0"/>
                  </w:tcBorders>
                  <w:vAlign w:val="center"/>
                </w:tcPr>
                <w:p w14:paraId="2CFACB66">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工作台位</w:t>
                  </w:r>
                </w:p>
              </w:tc>
              <w:tc>
                <w:tcPr>
                  <w:tcW w:w="1746" w:type="dxa"/>
                  <w:tcBorders>
                    <w:top w:val="nil"/>
                    <w:left w:val="nil"/>
                    <w:bottom w:val="single" w:color="auto" w:sz="4" w:space="0"/>
                    <w:right w:val="single" w:color="auto" w:sz="4" w:space="0"/>
                  </w:tcBorders>
                  <w:vAlign w:val="center"/>
                </w:tcPr>
                <w:p w14:paraId="4E36883C">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水表检定装置工作台</w:t>
                  </w:r>
                </w:p>
              </w:tc>
              <w:tc>
                <w:tcPr>
                  <w:tcW w:w="3200" w:type="dxa"/>
                  <w:tcBorders>
                    <w:top w:val="nil"/>
                    <w:left w:val="nil"/>
                    <w:bottom w:val="single" w:color="auto" w:sz="4" w:space="0"/>
                    <w:right w:val="single" w:color="auto" w:sz="4" w:space="0"/>
                  </w:tcBorders>
                  <w:vAlign w:val="center"/>
                </w:tcPr>
                <w:p w14:paraId="380F3998">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单排6表位，SUS304不锈钢，</w:t>
                  </w:r>
                </w:p>
              </w:tc>
              <w:tc>
                <w:tcPr>
                  <w:tcW w:w="752" w:type="dxa"/>
                  <w:tcBorders>
                    <w:top w:val="nil"/>
                    <w:left w:val="nil"/>
                    <w:bottom w:val="single" w:color="auto" w:sz="4" w:space="0"/>
                    <w:right w:val="single" w:color="auto" w:sz="4" w:space="0"/>
                  </w:tcBorders>
                  <w:vAlign w:val="center"/>
                </w:tcPr>
                <w:p w14:paraId="41B16E45">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1套</w:t>
                  </w:r>
                </w:p>
              </w:tc>
            </w:tr>
            <w:tr w14:paraId="4F3222F6">
              <w:tblPrEx>
                <w:tblCellMar>
                  <w:top w:w="0" w:type="dxa"/>
                  <w:left w:w="108" w:type="dxa"/>
                  <w:bottom w:w="0" w:type="dxa"/>
                  <w:right w:w="108" w:type="dxa"/>
                </w:tblCellMar>
              </w:tblPrEx>
              <w:trPr>
                <w:trHeight w:val="23" w:hRule="atLeast"/>
              </w:trPr>
              <w:tc>
                <w:tcPr>
                  <w:tcW w:w="581" w:type="dxa"/>
                  <w:tcBorders>
                    <w:top w:val="nil"/>
                    <w:left w:val="single" w:color="auto" w:sz="4" w:space="0"/>
                    <w:bottom w:val="single" w:color="auto" w:sz="4" w:space="0"/>
                    <w:right w:val="single" w:color="auto" w:sz="4" w:space="0"/>
                  </w:tcBorders>
                  <w:vAlign w:val="center"/>
                </w:tcPr>
                <w:p w14:paraId="2B362888">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709" w:type="dxa"/>
                  <w:vMerge w:val="continue"/>
                  <w:tcBorders>
                    <w:top w:val="nil"/>
                    <w:left w:val="single" w:color="auto" w:sz="4" w:space="0"/>
                    <w:bottom w:val="single" w:color="auto" w:sz="4" w:space="0"/>
                    <w:right w:val="single" w:color="auto" w:sz="4" w:space="0"/>
                  </w:tcBorders>
                  <w:vAlign w:val="center"/>
                </w:tcPr>
                <w:p w14:paraId="150E6C39">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p>
              </w:tc>
              <w:tc>
                <w:tcPr>
                  <w:tcW w:w="1746" w:type="dxa"/>
                  <w:tcBorders>
                    <w:top w:val="nil"/>
                    <w:left w:val="nil"/>
                    <w:bottom w:val="single" w:color="auto" w:sz="4" w:space="0"/>
                    <w:right w:val="single" w:color="auto" w:sz="4" w:space="0"/>
                  </w:tcBorders>
                  <w:vAlign w:val="center"/>
                </w:tcPr>
                <w:p w14:paraId="542F0A3A">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升压缸及其管道</w:t>
                  </w:r>
                </w:p>
              </w:tc>
              <w:tc>
                <w:tcPr>
                  <w:tcW w:w="3200" w:type="dxa"/>
                  <w:tcBorders>
                    <w:top w:val="nil"/>
                    <w:left w:val="nil"/>
                    <w:bottom w:val="single" w:color="auto" w:sz="4" w:space="0"/>
                    <w:right w:val="single" w:color="auto" w:sz="4" w:space="0"/>
                  </w:tcBorders>
                  <w:vAlign w:val="center"/>
                </w:tcPr>
                <w:p w14:paraId="205D46DB">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提供密封性测试压力&lt;3MPa,SUS304不锈钢，</w:t>
                  </w:r>
                </w:p>
              </w:tc>
              <w:tc>
                <w:tcPr>
                  <w:tcW w:w="752" w:type="dxa"/>
                  <w:tcBorders>
                    <w:top w:val="nil"/>
                    <w:left w:val="nil"/>
                    <w:bottom w:val="single" w:color="auto" w:sz="4" w:space="0"/>
                    <w:right w:val="single" w:color="auto" w:sz="4" w:space="0"/>
                  </w:tcBorders>
                  <w:vAlign w:val="center"/>
                </w:tcPr>
                <w:p w14:paraId="63837EC8">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1套</w:t>
                  </w:r>
                </w:p>
              </w:tc>
            </w:tr>
            <w:tr w14:paraId="6CE291A1">
              <w:tblPrEx>
                <w:tblCellMar>
                  <w:top w:w="0" w:type="dxa"/>
                  <w:left w:w="108" w:type="dxa"/>
                  <w:bottom w:w="0" w:type="dxa"/>
                  <w:right w:w="108" w:type="dxa"/>
                </w:tblCellMar>
              </w:tblPrEx>
              <w:trPr>
                <w:trHeight w:val="23" w:hRule="atLeast"/>
              </w:trPr>
              <w:tc>
                <w:tcPr>
                  <w:tcW w:w="581" w:type="dxa"/>
                  <w:tcBorders>
                    <w:top w:val="nil"/>
                    <w:left w:val="single" w:color="auto" w:sz="4" w:space="0"/>
                    <w:bottom w:val="single" w:color="auto" w:sz="4" w:space="0"/>
                    <w:right w:val="single" w:color="auto" w:sz="4" w:space="0"/>
                  </w:tcBorders>
                  <w:vAlign w:val="center"/>
                </w:tcPr>
                <w:p w14:paraId="740C6CCC">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709" w:type="dxa"/>
                  <w:vMerge w:val="continue"/>
                  <w:tcBorders>
                    <w:top w:val="nil"/>
                    <w:left w:val="single" w:color="auto" w:sz="4" w:space="0"/>
                    <w:bottom w:val="single" w:color="auto" w:sz="4" w:space="0"/>
                    <w:right w:val="single" w:color="auto" w:sz="4" w:space="0"/>
                  </w:tcBorders>
                  <w:vAlign w:val="center"/>
                </w:tcPr>
                <w:p w14:paraId="1E500E49">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p>
              </w:tc>
              <w:tc>
                <w:tcPr>
                  <w:tcW w:w="1746" w:type="dxa"/>
                  <w:tcBorders>
                    <w:top w:val="nil"/>
                    <w:left w:val="nil"/>
                    <w:bottom w:val="single" w:color="auto" w:sz="4" w:space="0"/>
                    <w:right w:val="single" w:color="auto" w:sz="4" w:space="0"/>
                  </w:tcBorders>
                  <w:vAlign w:val="center"/>
                </w:tcPr>
                <w:p w14:paraId="708D46B8">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试验管道</w:t>
                  </w:r>
                </w:p>
              </w:tc>
              <w:tc>
                <w:tcPr>
                  <w:tcW w:w="3200" w:type="dxa"/>
                  <w:tcBorders>
                    <w:top w:val="nil"/>
                    <w:left w:val="nil"/>
                    <w:bottom w:val="single" w:color="auto" w:sz="4" w:space="0"/>
                    <w:right w:val="single" w:color="auto" w:sz="4" w:space="0"/>
                  </w:tcBorders>
                  <w:vAlign w:val="center"/>
                </w:tcPr>
                <w:p w14:paraId="07C306AE">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DN15~25不低于6、5、4台（能单检一台）</w:t>
                  </w:r>
                </w:p>
              </w:tc>
              <w:tc>
                <w:tcPr>
                  <w:tcW w:w="752" w:type="dxa"/>
                  <w:tcBorders>
                    <w:top w:val="nil"/>
                    <w:left w:val="nil"/>
                    <w:bottom w:val="single" w:color="auto" w:sz="4" w:space="0"/>
                    <w:right w:val="single" w:color="auto" w:sz="4" w:space="0"/>
                  </w:tcBorders>
                  <w:vAlign w:val="center"/>
                </w:tcPr>
                <w:p w14:paraId="53B5FDCD">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1套</w:t>
                  </w:r>
                </w:p>
              </w:tc>
            </w:tr>
            <w:tr w14:paraId="73399C20">
              <w:tblPrEx>
                <w:tblCellMar>
                  <w:top w:w="0" w:type="dxa"/>
                  <w:left w:w="108" w:type="dxa"/>
                  <w:bottom w:w="0" w:type="dxa"/>
                  <w:right w:w="108" w:type="dxa"/>
                </w:tblCellMar>
              </w:tblPrEx>
              <w:trPr>
                <w:trHeight w:val="23" w:hRule="atLeast"/>
              </w:trPr>
              <w:tc>
                <w:tcPr>
                  <w:tcW w:w="581" w:type="dxa"/>
                  <w:tcBorders>
                    <w:top w:val="single" w:color="auto" w:sz="4" w:space="0"/>
                    <w:left w:val="single" w:color="auto" w:sz="4" w:space="0"/>
                    <w:bottom w:val="single" w:color="auto" w:sz="4" w:space="0"/>
                    <w:right w:val="single" w:color="auto" w:sz="4" w:space="0"/>
                  </w:tcBorders>
                  <w:vAlign w:val="center"/>
                </w:tcPr>
                <w:p w14:paraId="02E6854E">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709" w:type="dxa"/>
                  <w:tcBorders>
                    <w:top w:val="nil"/>
                    <w:left w:val="single" w:color="auto" w:sz="4" w:space="0"/>
                    <w:bottom w:val="single" w:color="auto" w:sz="4" w:space="0"/>
                    <w:right w:val="single" w:color="auto" w:sz="4" w:space="0"/>
                  </w:tcBorders>
                  <w:vAlign w:val="center"/>
                </w:tcPr>
                <w:p w14:paraId="4312CF49">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流量调节和指示装置</w:t>
                  </w:r>
                </w:p>
              </w:tc>
              <w:tc>
                <w:tcPr>
                  <w:tcW w:w="1746" w:type="dxa"/>
                  <w:tcBorders>
                    <w:top w:val="nil"/>
                    <w:left w:val="single" w:color="auto" w:sz="4" w:space="0"/>
                    <w:bottom w:val="single" w:color="auto" w:sz="4" w:space="0"/>
                    <w:right w:val="single" w:color="auto" w:sz="4" w:space="0"/>
                  </w:tcBorders>
                  <w:vAlign w:val="center"/>
                </w:tcPr>
                <w:p w14:paraId="5AB2FFA9">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玻璃转子流量计</w:t>
                  </w:r>
                </w:p>
              </w:tc>
              <w:tc>
                <w:tcPr>
                  <w:tcW w:w="3200" w:type="dxa"/>
                  <w:tcBorders>
                    <w:top w:val="nil"/>
                    <w:left w:val="nil"/>
                    <w:bottom w:val="single" w:color="auto" w:sz="4" w:space="0"/>
                    <w:right w:val="single" w:color="auto" w:sz="4" w:space="0"/>
                  </w:tcBorders>
                  <w:vAlign w:val="center"/>
                </w:tcPr>
                <w:p w14:paraId="3BD0807C">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LZB-15玻璃转子流量计</w:t>
                  </w:r>
                </w:p>
                <w:p w14:paraId="7449A0B5">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LZB-25玻璃转子流量计（2只）</w:t>
                  </w:r>
                </w:p>
                <w:p w14:paraId="2A4AC52F">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LZB-50玻璃转子流量计</w:t>
                  </w:r>
                </w:p>
                <w:p w14:paraId="2C1BACF3">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LZB-80玻璃转子流量计</w:t>
                  </w:r>
                </w:p>
              </w:tc>
              <w:tc>
                <w:tcPr>
                  <w:tcW w:w="752" w:type="dxa"/>
                  <w:tcBorders>
                    <w:top w:val="nil"/>
                    <w:left w:val="nil"/>
                    <w:bottom w:val="single" w:color="auto" w:sz="4" w:space="0"/>
                    <w:right w:val="single" w:color="auto" w:sz="4" w:space="0"/>
                  </w:tcBorders>
                  <w:vAlign w:val="center"/>
                </w:tcPr>
                <w:p w14:paraId="31F3EAE8">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5台</w:t>
                  </w:r>
                </w:p>
              </w:tc>
            </w:tr>
            <w:tr w14:paraId="2C8C31E7">
              <w:tblPrEx>
                <w:tblCellMar>
                  <w:top w:w="0" w:type="dxa"/>
                  <w:left w:w="108" w:type="dxa"/>
                  <w:bottom w:w="0" w:type="dxa"/>
                  <w:right w:w="108" w:type="dxa"/>
                </w:tblCellMar>
              </w:tblPrEx>
              <w:trPr>
                <w:trHeight w:val="23" w:hRule="atLeast"/>
              </w:trPr>
              <w:tc>
                <w:tcPr>
                  <w:tcW w:w="581" w:type="dxa"/>
                  <w:tcBorders>
                    <w:top w:val="single" w:color="auto" w:sz="4" w:space="0"/>
                    <w:left w:val="single" w:color="auto" w:sz="4" w:space="0"/>
                    <w:bottom w:val="single" w:color="auto" w:sz="4" w:space="0"/>
                    <w:right w:val="single" w:color="auto" w:sz="4" w:space="0"/>
                  </w:tcBorders>
                  <w:vAlign w:val="center"/>
                </w:tcPr>
                <w:p w14:paraId="6AF6F546">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709" w:type="dxa"/>
                  <w:vMerge w:val="restart"/>
                  <w:tcBorders>
                    <w:top w:val="nil"/>
                    <w:left w:val="single" w:color="auto" w:sz="4" w:space="0"/>
                    <w:bottom w:val="single" w:color="auto" w:sz="4" w:space="0"/>
                    <w:right w:val="single" w:color="auto" w:sz="4" w:space="0"/>
                  </w:tcBorders>
                  <w:vAlign w:val="center"/>
                </w:tcPr>
                <w:p w14:paraId="2843C26F">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计量系统</w:t>
                  </w:r>
                </w:p>
              </w:tc>
              <w:tc>
                <w:tcPr>
                  <w:tcW w:w="1746" w:type="dxa"/>
                  <w:tcBorders>
                    <w:top w:val="nil"/>
                    <w:left w:val="nil"/>
                    <w:bottom w:val="single" w:color="auto" w:sz="4" w:space="0"/>
                    <w:right w:val="single" w:color="auto" w:sz="4" w:space="0"/>
                  </w:tcBorders>
                  <w:vAlign w:val="center"/>
                </w:tcPr>
                <w:p w14:paraId="7FB45DA2">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工作容器</w:t>
                  </w:r>
                </w:p>
              </w:tc>
              <w:tc>
                <w:tcPr>
                  <w:tcW w:w="3200" w:type="dxa"/>
                  <w:tcBorders>
                    <w:top w:val="single" w:color="auto" w:sz="4" w:space="0"/>
                    <w:left w:val="nil"/>
                    <w:bottom w:val="single" w:color="auto" w:sz="4" w:space="0"/>
                    <w:right w:val="single" w:color="auto" w:sz="4" w:space="0"/>
                  </w:tcBorders>
                  <w:vAlign w:val="center"/>
                </w:tcPr>
                <w:p w14:paraId="36CEDBE3">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60L,SUS304不锈钢</w:t>
                  </w:r>
                </w:p>
              </w:tc>
              <w:tc>
                <w:tcPr>
                  <w:tcW w:w="752" w:type="dxa"/>
                  <w:tcBorders>
                    <w:top w:val="single" w:color="auto" w:sz="4" w:space="0"/>
                    <w:left w:val="nil"/>
                    <w:bottom w:val="single" w:color="auto" w:sz="4" w:space="0"/>
                    <w:right w:val="single" w:color="auto" w:sz="4" w:space="0"/>
                  </w:tcBorders>
                  <w:vAlign w:val="center"/>
                </w:tcPr>
                <w:p w14:paraId="30675771">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1套</w:t>
                  </w:r>
                </w:p>
              </w:tc>
            </w:tr>
            <w:tr w14:paraId="43B5FE9D">
              <w:tblPrEx>
                <w:tblCellMar>
                  <w:top w:w="0" w:type="dxa"/>
                  <w:left w:w="108" w:type="dxa"/>
                  <w:bottom w:w="0" w:type="dxa"/>
                  <w:right w:w="108" w:type="dxa"/>
                </w:tblCellMar>
              </w:tblPrEx>
              <w:trPr>
                <w:trHeight w:val="23" w:hRule="atLeast"/>
              </w:trPr>
              <w:tc>
                <w:tcPr>
                  <w:tcW w:w="581" w:type="dxa"/>
                  <w:tcBorders>
                    <w:top w:val="single" w:color="auto" w:sz="4" w:space="0"/>
                    <w:left w:val="single" w:color="auto" w:sz="4" w:space="0"/>
                    <w:bottom w:val="single" w:color="auto" w:sz="4" w:space="0"/>
                    <w:right w:val="single" w:color="auto" w:sz="4" w:space="0"/>
                  </w:tcBorders>
                  <w:vAlign w:val="center"/>
                </w:tcPr>
                <w:p w14:paraId="504E3BEB">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709" w:type="dxa"/>
                  <w:vMerge w:val="continue"/>
                  <w:tcBorders>
                    <w:top w:val="nil"/>
                    <w:left w:val="single" w:color="auto" w:sz="4" w:space="0"/>
                    <w:bottom w:val="single" w:color="auto" w:sz="4" w:space="0"/>
                    <w:right w:val="single" w:color="auto" w:sz="4" w:space="0"/>
                  </w:tcBorders>
                  <w:vAlign w:val="center"/>
                </w:tcPr>
                <w:p w14:paraId="622290CB">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p>
              </w:tc>
              <w:tc>
                <w:tcPr>
                  <w:tcW w:w="1746" w:type="dxa"/>
                  <w:tcBorders>
                    <w:top w:val="nil"/>
                    <w:left w:val="nil"/>
                    <w:bottom w:val="single" w:color="auto" w:sz="4" w:space="0"/>
                    <w:right w:val="single" w:color="auto" w:sz="4" w:space="0"/>
                  </w:tcBorders>
                  <w:vAlign w:val="center"/>
                </w:tcPr>
                <w:p w14:paraId="2B470BEE">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工作容器</w:t>
                  </w:r>
                </w:p>
              </w:tc>
              <w:tc>
                <w:tcPr>
                  <w:tcW w:w="3200" w:type="dxa"/>
                  <w:tcBorders>
                    <w:top w:val="nil"/>
                    <w:left w:val="nil"/>
                    <w:bottom w:val="single" w:color="auto" w:sz="4" w:space="0"/>
                    <w:right w:val="single" w:color="auto" w:sz="4" w:space="0"/>
                  </w:tcBorders>
                  <w:vAlign w:val="center"/>
                </w:tcPr>
                <w:p w14:paraId="6F29D36E">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600L,SUS304不锈钢</w:t>
                  </w:r>
                </w:p>
              </w:tc>
              <w:tc>
                <w:tcPr>
                  <w:tcW w:w="752" w:type="dxa"/>
                  <w:tcBorders>
                    <w:top w:val="nil"/>
                    <w:left w:val="nil"/>
                    <w:bottom w:val="single" w:color="auto" w:sz="4" w:space="0"/>
                    <w:right w:val="single" w:color="auto" w:sz="4" w:space="0"/>
                  </w:tcBorders>
                  <w:vAlign w:val="center"/>
                </w:tcPr>
                <w:p w14:paraId="502F5C3E">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1套</w:t>
                  </w:r>
                </w:p>
              </w:tc>
            </w:tr>
            <w:tr w14:paraId="179E8333">
              <w:tblPrEx>
                <w:tblCellMar>
                  <w:top w:w="0" w:type="dxa"/>
                  <w:left w:w="108" w:type="dxa"/>
                  <w:bottom w:w="0" w:type="dxa"/>
                  <w:right w:w="108" w:type="dxa"/>
                </w:tblCellMar>
              </w:tblPrEx>
              <w:trPr>
                <w:trHeight w:val="23" w:hRule="atLeast"/>
              </w:trPr>
              <w:tc>
                <w:tcPr>
                  <w:tcW w:w="581" w:type="dxa"/>
                  <w:vMerge w:val="restart"/>
                  <w:tcBorders>
                    <w:top w:val="nil"/>
                    <w:left w:val="single" w:color="auto" w:sz="4" w:space="0"/>
                    <w:right w:val="single" w:color="auto" w:sz="4" w:space="0"/>
                  </w:tcBorders>
                  <w:vAlign w:val="center"/>
                </w:tcPr>
                <w:p w14:paraId="3BBD80D8">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709" w:type="dxa"/>
                  <w:vMerge w:val="continue"/>
                  <w:tcBorders>
                    <w:top w:val="nil"/>
                    <w:left w:val="single" w:color="auto" w:sz="4" w:space="0"/>
                    <w:bottom w:val="single" w:color="auto" w:sz="4" w:space="0"/>
                    <w:right w:val="single" w:color="auto" w:sz="4" w:space="0"/>
                  </w:tcBorders>
                  <w:vAlign w:val="center"/>
                </w:tcPr>
                <w:p w14:paraId="57D9985C">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p>
              </w:tc>
              <w:tc>
                <w:tcPr>
                  <w:tcW w:w="1746" w:type="dxa"/>
                  <w:tcBorders>
                    <w:top w:val="nil"/>
                    <w:left w:val="nil"/>
                    <w:bottom w:val="single" w:color="auto" w:sz="4" w:space="0"/>
                    <w:right w:val="single" w:color="auto" w:sz="4" w:space="0"/>
                  </w:tcBorders>
                  <w:vAlign w:val="center"/>
                </w:tcPr>
                <w:p w14:paraId="10487AF2">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气动换向器</w:t>
                  </w:r>
                </w:p>
              </w:tc>
              <w:tc>
                <w:tcPr>
                  <w:tcW w:w="3200" w:type="dxa"/>
                  <w:tcBorders>
                    <w:top w:val="nil"/>
                    <w:left w:val="nil"/>
                    <w:bottom w:val="single" w:color="auto" w:sz="4" w:space="0"/>
                    <w:right w:val="single" w:color="auto" w:sz="4" w:space="0"/>
                  </w:tcBorders>
                  <w:vAlign w:val="center"/>
                </w:tcPr>
                <w:p w14:paraId="130F4426">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DN50,304不锈钢，换入换出行程差不大于10ms</w:t>
                  </w:r>
                </w:p>
              </w:tc>
              <w:tc>
                <w:tcPr>
                  <w:tcW w:w="752" w:type="dxa"/>
                  <w:tcBorders>
                    <w:top w:val="nil"/>
                    <w:left w:val="nil"/>
                    <w:bottom w:val="single" w:color="auto" w:sz="4" w:space="0"/>
                    <w:right w:val="single" w:color="auto" w:sz="4" w:space="0"/>
                  </w:tcBorders>
                  <w:vAlign w:val="center"/>
                </w:tcPr>
                <w:p w14:paraId="24C2B533">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1台</w:t>
                  </w:r>
                </w:p>
              </w:tc>
            </w:tr>
            <w:tr w14:paraId="034B87ED">
              <w:tblPrEx>
                <w:tblCellMar>
                  <w:top w:w="0" w:type="dxa"/>
                  <w:left w:w="108" w:type="dxa"/>
                  <w:bottom w:w="0" w:type="dxa"/>
                  <w:right w:w="108" w:type="dxa"/>
                </w:tblCellMar>
              </w:tblPrEx>
              <w:trPr>
                <w:trHeight w:val="23" w:hRule="atLeast"/>
              </w:trPr>
              <w:tc>
                <w:tcPr>
                  <w:tcW w:w="581" w:type="dxa"/>
                  <w:vMerge w:val="continue"/>
                  <w:tcBorders>
                    <w:left w:val="single" w:color="auto" w:sz="4" w:space="0"/>
                    <w:bottom w:val="single" w:color="auto" w:sz="4" w:space="0"/>
                    <w:right w:val="single" w:color="auto" w:sz="4" w:space="0"/>
                  </w:tcBorders>
                  <w:vAlign w:val="center"/>
                </w:tcPr>
                <w:p w14:paraId="0B8E4E5D">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p>
              </w:tc>
              <w:tc>
                <w:tcPr>
                  <w:tcW w:w="709" w:type="dxa"/>
                  <w:vMerge w:val="continue"/>
                  <w:tcBorders>
                    <w:top w:val="nil"/>
                    <w:left w:val="single" w:color="auto" w:sz="4" w:space="0"/>
                    <w:bottom w:val="single" w:color="auto" w:sz="4" w:space="0"/>
                    <w:right w:val="single" w:color="auto" w:sz="4" w:space="0"/>
                  </w:tcBorders>
                  <w:vAlign w:val="center"/>
                </w:tcPr>
                <w:p w14:paraId="6B355922">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p>
              </w:tc>
              <w:tc>
                <w:tcPr>
                  <w:tcW w:w="1746" w:type="dxa"/>
                  <w:tcBorders>
                    <w:top w:val="nil"/>
                    <w:left w:val="nil"/>
                    <w:bottom w:val="single" w:color="auto" w:sz="4" w:space="0"/>
                    <w:right w:val="single" w:color="auto" w:sz="4" w:space="0"/>
                  </w:tcBorders>
                  <w:vAlign w:val="center"/>
                </w:tcPr>
                <w:p w14:paraId="5384FCC7">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气动换向器</w:t>
                  </w:r>
                </w:p>
              </w:tc>
              <w:tc>
                <w:tcPr>
                  <w:tcW w:w="3200" w:type="dxa"/>
                  <w:tcBorders>
                    <w:top w:val="nil"/>
                    <w:left w:val="nil"/>
                    <w:bottom w:val="single" w:color="auto" w:sz="4" w:space="0"/>
                    <w:right w:val="single" w:color="auto" w:sz="4" w:space="0"/>
                  </w:tcBorders>
                  <w:vAlign w:val="center"/>
                </w:tcPr>
                <w:p w14:paraId="5D41EBB7">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DN25,304不锈钢，换入换出行程差不大于10ms</w:t>
                  </w:r>
                </w:p>
              </w:tc>
              <w:tc>
                <w:tcPr>
                  <w:tcW w:w="752" w:type="dxa"/>
                  <w:tcBorders>
                    <w:top w:val="nil"/>
                    <w:left w:val="nil"/>
                    <w:bottom w:val="single" w:color="auto" w:sz="4" w:space="0"/>
                    <w:right w:val="single" w:color="auto" w:sz="4" w:space="0"/>
                  </w:tcBorders>
                  <w:vAlign w:val="center"/>
                </w:tcPr>
                <w:p w14:paraId="00C95764">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1台</w:t>
                  </w:r>
                </w:p>
              </w:tc>
            </w:tr>
            <w:tr w14:paraId="577618FE">
              <w:tblPrEx>
                <w:tblCellMar>
                  <w:top w:w="0" w:type="dxa"/>
                  <w:left w:w="108" w:type="dxa"/>
                  <w:bottom w:w="0" w:type="dxa"/>
                  <w:right w:w="108" w:type="dxa"/>
                </w:tblCellMar>
              </w:tblPrEx>
              <w:trPr>
                <w:trHeight w:val="23" w:hRule="atLeast"/>
              </w:trPr>
              <w:tc>
                <w:tcPr>
                  <w:tcW w:w="581" w:type="dxa"/>
                  <w:vMerge w:val="restart"/>
                  <w:tcBorders>
                    <w:top w:val="nil"/>
                    <w:left w:val="single" w:color="auto" w:sz="4" w:space="0"/>
                    <w:bottom w:val="single" w:color="auto" w:sz="4" w:space="0"/>
                    <w:right w:val="single" w:color="auto" w:sz="4" w:space="0"/>
                  </w:tcBorders>
                  <w:vAlign w:val="center"/>
                </w:tcPr>
                <w:p w14:paraId="0C7375C3">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leftChars="0" w:firstLine="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709" w:type="dxa"/>
                  <w:vMerge w:val="continue"/>
                  <w:tcBorders>
                    <w:top w:val="nil"/>
                    <w:left w:val="single" w:color="auto" w:sz="4" w:space="0"/>
                    <w:bottom w:val="single" w:color="auto" w:sz="4" w:space="0"/>
                    <w:right w:val="single" w:color="auto" w:sz="4" w:space="0"/>
                  </w:tcBorders>
                  <w:vAlign w:val="center"/>
                </w:tcPr>
                <w:p w14:paraId="502844C1">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p>
              </w:tc>
              <w:tc>
                <w:tcPr>
                  <w:tcW w:w="1746" w:type="dxa"/>
                  <w:vMerge w:val="restart"/>
                  <w:tcBorders>
                    <w:top w:val="nil"/>
                    <w:left w:val="single" w:color="auto" w:sz="4" w:space="0"/>
                    <w:bottom w:val="single" w:color="auto" w:sz="4" w:space="0"/>
                    <w:right w:val="single" w:color="auto" w:sz="4" w:space="0"/>
                  </w:tcBorders>
                  <w:vAlign w:val="center"/>
                </w:tcPr>
                <w:p w14:paraId="3302BD92">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电子天平</w:t>
                  </w:r>
                </w:p>
              </w:tc>
              <w:tc>
                <w:tcPr>
                  <w:tcW w:w="3200" w:type="dxa"/>
                  <w:tcBorders>
                    <w:top w:val="nil"/>
                    <w:left w:val="nil"/>
                    <w:bottom w:val="single" w:color="auto" w:sz="4" w:space="0"/>
                    <w:right w:val="single" w:color="auto" w:sz="4" w:space="0"/>
                  </w:tcBorders>
                  <w:vAlign w:val="center"/>
                </w:tcPr>
                <w:p w14:paraId="0A126390">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量程 60kg，d≤1g，e=2g </w:t>
                  </w:r>
                </w:p>
              </w:tc>
              <w:tc>
                <w:tcPr>
                  <w:tcW w:w="752" w:type="dxa"/>
                  <w:vMerge w:val="restart"/>
                  <w:tcBorders>
                    <w:top w:val="nil"/>
                    <w:left w:val="single" w:color="auto" w:sz="4" w:space="0"/>
                    <w:bottom w:val="single" w:color="auto" w:sz="4" w:space="0"/>
                    <w:right w:val="single" w:color="auto" w:sz="4" w:space="0"/>
                  </w:tcBorders>
                  <w:vAlign w:val="center"/>
                </w:tcPr>
                <w:p w14:paraId="2A0D1449">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1台</w:t>
                  </w:r>
                </w:p>
              </w:tc>
            </w:tr>
            <w:tr w14:paraId="0F87E537">
              <w:tblPrEx>
                <w:tblCellMar>
                  <w:top w:w="0" w:type="dxa"/>
                  <w:left w:w="108" w:type="dxa"/>
                  <w:bottom w:w="0" w:type="dxa"/>
                  <w:right w:w="108" w:type="dxa"/>
                </w:tblCellMar>
              </w:tblPrEx>
              <w:trPr>
                <w:trHeight w:val="23" w:hRule="atLeast"/>
              </w:trPr>
              <w:tc>
                <w:tcPr>
                  <w:tcW w:w="581" w:type="dxa"/>
                  <w:vMerge w:val="continue"/>
                  <w:tcBorders>
                    <w:top w:val="nil"/>
                    <w:left w:val="single" w:color="auto" w:sz="4" w:space="0"/>
                    <w:bottom w:val="single" w:color="auto" w:sz="4" w:space="0"/>
                    <w:right w:val="single" w:color="auto" w:sz="4" w:space="0"/>
                  </w:tcBorders>
                  <w:vAlign w:val="center"/>
                </w:tcPr>
                <w:p w14:paraId="5C6C44C0">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p>
              </w:tc>
              <w:tc>
                <w:tcPr>
                  <w:tcW w:w="709" w:type="dxa"/>
                  <w:vMerge w:val="continue"/>
                  <w:tcBorders>
                    <w:top w:val="nil"/>
                    <w:left w:val="single" w:color="auto" w:sz="4" w:space="0"/>
                    <w:bottom w:val="single" w:color="auto" w:sz="4" w:space="0"/>
                    <w:right w:val="single" w:color="auto" w:sz="4" w:space="0"/>
                  </w:tcBorders>
                  <w:vAlign w:val="center"/>
                </w:tcPr>
                <w:p w14:paraId="1C4DD57D">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p>
              </w:tc>
              <w:tc>
                <w:tcPr>
                  <w:tcW w:w="1746" w:type="dxa"/>
                  <w:vMerge w:val="continue"/>
                  <w:tcBorders>
                    <w:top w:val="nil"/>
                    <w:left w:val="single" w:color="auto" w:sz="4" w:space="0"/>
                    <w:bottom w:val="single" w:color="auto" w:sz="4" w:space="0"/>
                    <w:right w:val="single" w:color="auto" w:sz="4" w:space="0"/>
                  </w:tcBorders>
                  <w:vAlign w:val="center"/>
                </w:tcPr>
                <w:p w14:paraId="7FA0E2FF">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bCs/>
                      <w:color w:val="auto"/>
                      <w:sz w:val="21"/>
                      <w:szCs w:val="21"/>
                      <w:highlight w:val="none"/>
                    </w:rPr>
                  </w:pPr>
                </w:p>
              </w:tc>
              <w:tc>
                <w:tcPr>
                  <w:tcW w:w="3200" w:type="dxa"/>
                  <w:tcBorders>
                    <w:top w:val="nil"/>
                    <w:left w:val="nil"/>
                    <w:bottom w:val="single" w:color="auto" w:sz="4" w:space="0"/>
                    <w:right w:val="single" w:color="auto" w:sz="4" w:space="0"/>
                  </w:tcBorders>
                  <w:vAlign w:val="center"/>
                </w:tcPr>
                <w:p w14:paraId="190D0928">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不锈钢台面</w:t>
                  </w:r>
                </w:p>
              </w:tc>
              <w:tc>
                <w:tcPr>
                  <w:tcW w:w="752" w:type="dxa"/>
                  <w:vMerge w:val="continue"/>
                  <w:tcBorders>
                    <w:top w:val="nil"/>
                    <w:left w:val="single" w:color="auto" w:sz="4" w:space="0"/>
                    <w:bottom w:val="single" w:color="auto" w:sz="4" w:space="0"/>
                    <w:right w:val="single" w:color="auto" w:sz="4" w:space="0"/>
                  </w:tcBorders>
                  <w:vAlign w:val="center"/>
                </w:tcPr>
                <w:p w14:paraId="330FFE3E">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p>
              </w:tc>
            </w:tr>
            <w:tr w14:paraId="32FD80DF">
              <w:tblPrEx>
                <w:tblCellMar>
                  <w:top w:w="0" w:type="dxa"/>
                  <w:left w:w="108" w:type="dxa"/>
                  <w:bottom w:w="0" w:type="dxa"/>
                  <w:right w:w="108" w:type="dxa"/>
                </w:tblCellMar>
              </w:tblPrEx>
              <w:trPr>
                <w:trHeight w:val="23" w:hRule="atLeast"/>
              </w:trPr>
              <w:tc>
                <w:tcPr>
                  <w:tcW w:w="581" w:type="dxa"/>
                  <w:vMerge w:val="restart"/>
                  <w:tcBorders>
                    <w:top w:val="nil"/>
                    <w:left w:val="single" w:color="auto" w:sz="4" w:space="0"/>
                    <w:bottom w:val="single" w:color="auto" w:sz="4" w:space="0"/>
                    <w:right w:val="single" w:color="auto" w:sz="4" w:space="0"/>
                  </w:tcBorders>
                  <w:vAlign w:val="center"/>
                </w:tcPr>
                <w:p w14:paraId="479A46DC">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leftChars="0" w:firstLine="0" w:firstLine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w:t>
                  </w:r>
                </w:p>
              </w:tc>
              <w:tc>
                <w:tcPr>
                  <w:tcW w:w="709" w:type="dxa"/>
                  <w:vMerge w:val="continue"/>
                  <w:tcBorders>
                    <w:top w:val="nil"/>
                    <w:left w:val="single" w:color="auto" w:sz="4" w:space="0"/>
                    <w:bottom w:val="single" w:color="auto" w:sz="4" w:space="0"/>
                    <w:right w:val="single" w:color="auto" w:sz="4" w:space="0"/>
                  </w:tcBorders>
                  <w:vAlign w:val="center"/>
                </w:tcPr>
                <w:p w14:paraId="5A17B0AF">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p>
              </w:tc>
              <w:tc>
                <w:tcPr>
                  <w:tcW w:w="1746" w:type="dxa"/>
                  <w:vMerge w:val="restart"/>
                  <w:tcBorders>
                    <w:top w:val="nil"/>
                    <w:left w:val="single" w:color="auto" w:sz="4" w:space="0"/>
                    <w:bottom w:val="single" w:color="auto" w:sz="4" w:space="0"/>
                    <w:right w:val="single" w:color="auto" w:sz="4" w:space="0"/>
                  </w:tcBorders>
                  <w:vAlign w:val="center"/>
                </w:tcPr>
                <w:p w14:paraId="6E1C9CFA">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电子天平</w:t>
                  </w:r>
                </w:p>
              </w:tc>
              <w:tc>
                <w:tcPr>
                  <w:tcW w:w="3200" w:type="dxa"/>
                  <w:tcBorders>
                    <w:top w:val="nil"/>
                    <w:left w:val="nil"/>
                    <w:bottom w:val="single" w:color="auto" w:sz="4" w:space="0"/>
                    <w:right w:val="single" w:color="auto" w:sz="4" w:space="0"/>
                  </w:tcBorders>
                  <w:vAlign w:val="center"/>
                </w:tcPr>
                <w:p w14:paraId="50AC7D16">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量程 600kg，检定分度30000e以上</w:t>
                  </w:r>
                </w:p>
              </w:tc>
              <w:tc>
                <w:tcPr>
                  <w:tcW w:w="752" w:type="dxa"/>
                  <w:vMerge w:val="restart"/>
                  <w:tcBorders>
                    <w:top w:val="nil"/>
                    <w:left w:val="single" w:color="auto" w:sz="4" w:space="0"/>
                    <w:bottom w:val="single" w:color="auto" w:sz="4" w:space="0"/>
                    <w:right w:val="single" w:color="auto" w:sz="4" w:space="0"/>
                  </w:tcBorders>
                  <w:vAlign w:val="center"/>
                </w:tcPr>
                <w:p w14:paraId="27110922">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1台</w:t>
                  </w:r>
                </w:p>
              </w:tc>
            </w:tr>
            <w:tr w14:paraId="56808B84">
              <w:tblPrEx>
                <w:tblCellMar>
                  <w:top w:w="0" w:type="dxa"/>
                  <w:left w:w="108" w:type="dxa"/>
                  <w:bottom w:w="0" w:type="dxa"/>
                  <w:right w:w="108" w:type="dxa"/>
                </w:tblCellMar>
              </w:tblPrEx>
              <w:trPr>
                <w:trHeight w:val="23" w:hRule="atLeast"/>
              </w:trPr>
              <w:tc>
                <w:tcPr>
                  <w:tcW w:w="581" w:type="dxa"/>
                  <w:vMerge w:val="continue"/>
                  <w:tcBorders>
                    <w:top w:val="nil"/>
                    <w:left w:val="single" w:color="auto" w:sz="4" w:space="0"/>
                    <w:bottom w:val="single" w:color="auto" w:sz="4" w:space="0"/>
                    <w:right w:val="single" w:color="auto" w:sz="4" w:space="0"/>
                  </w:tcBorders>
                  <w:vAlign w:val="center"/>
                </w:tcPr>
                <w:p w14:paraId="29CB8689">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p>
              </w:tc>
              <w:tc>
                <w:tcPr>
                  <w:tcW w:w="709" w:type="dxa"/>
                  <w:vMerge w:val="continue"/>
                  <w:tcBorders>
                    <w:top w:val="nil"/>
                    <w:left w:val="single" w:color="auto" w:sz="4" w:space="0"/>
                    <w:bottom w:val="single" w:color="auto" w:sz="4" w:space="0"/>
                    <w:right w:val="single" w:color="auto" w:sz="4" w:space="0"/>
                  </w:tcBorders>
                  <w:vAlign w:val="center"/>
                </w:tcPr>
                <w:p w14:paraId="4655DB34">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p>
              </w:tc>
              <w:tc>
                <w:tcPr>
                  <w:tcW w:w="1746" w:type="dxa"/>
                  <w:vMerge w:val="continue"/>
                  <w:tcBorders>
                    <w:top w:val="nil"/>
                    <w:left w:val="single" w:color="auto" w:sz="4" w:space="0"/>
                    <w:bottom w:val="single" w:color="auto" w:sz="4" w:space="0"/>
                    <w:right w:val="single" w:color="auto" w:sz="4" w:space="0"/>
                  </w:tcBorders>
                  <w:vAlign w:val="center"/>
                </w:tcPr>
                <w:p w14:paraId="10C2B2F6">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p>
              </w:tc>
              <w:tc>
                <w:tcPr>
                  <w:tcW w:w="3200" w:type="dxa"/>
                  <w:tcBorders>
                    <w:top w:val="nil"/>
                    <w:left w:val="nil"/>
                    <w:bottom w:val="single" w:color="auto" w:sz="4" w:space="0"/>
                    <w:right w:val="single" w:color="auto" w:sz="4" w:space="0"/>
                  </w:tcBorders>
                  <w:vAlign w:val="center"/>
                </w:tcPr>
                <w:p w14:paraId="48F1D479">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不锈钢台面</w:t>
                  </w:r>
                </w:p>
              </w:tc>
              <w:tc>
                <w:tcPr>
                  <w:tcW w:w="752" w:type="dxa"/>
                  <w:vMerge w:val="continue"/>
                  <w:tcBorders>
                    <w:top w:val="nil"/>
                    <w:left w:val="single" w:color="auto" w:sz="4" w:space="0"/>
                    <w:bottom w:val="single" w:color="auto" w:sz="4" w:space="0"/>
                    <w:right w:val="single" w:color="auto" w:sz="4" w:space="0"/>
                  </w:tcBorders>
                  <w:vAlign w:val="center"/>
                </w:tcPr>
                <w:p w14:paraId="1F81BBA7">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p>
              </w:tc>
            </w:tr>
            <w:tr w14:paraId="6C51910D">
              <w:tblPrEx>
                <w:tblCellMar>
                  <w:top w:w="0" w:type="dxa"/>
                  <w:left w:w="108" w:type="dxa"/>
                  <w:bottom w:w="0" w:type="dxa"/>
                  <w:right w:w="108" w:type="dxa"/>
                </w:tblCellMar>
              </w:tblPrEx>
              <w:trPr>
                <w:trHeight w:val="23" w:hRule="atLeast"/>
              </w:trPr>
              <w:tc>
                <w:tcPr>
                  <w:tcW w:w="581" w:type="dxa"/>
                  <w:tcBorders>
                    <w:top w:val="nil"/>
                    <w:left w:val="single" w:color="auto" w:sz="4" w:space="0"/>
                    <w:bottom w:val="single" w:color="auto" w:sz="4" w:space="0"/>
                    <w:right w:val="single" w:color="auto" w:sz="4" w:space="0"/>
                  </w:tcBorders>
                  <w:vAlign w:val="center"/>
                </w:tcPr>
                <w:p w14:paraId="66C807C8">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709" w:type="dxa"/>
                  <w:vMerge w:val="restart"/>
                  <w:tcBorders>
                    <w:top w:val="nil"/>
                    <w:left w:val="single" w:color="auto" w:sz="4" w:space="0"/>
                    <w:right w:val="single" w:color="auto" w:sz="4" w:space="0"/>
                  </w:tcBorders>
                  <w:vAlign w:val="center"/>
                </w:tcPr>
                <w:p w14:paraId="5EC62F07">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采集控制系统及硬件部分</w:t>
                  </w:r>
                </w:p>
              </w:tc>
              <w:tc>
                <w:tcPr>
                  <w:tcW w:w="1746" w:type="dxa"/>
                  <w:tcBorders>
                    <w:top w:val="nil"/>
                    <w:left w:val="nil"/>
                    <w:bottom w:val="single" w:color="auto" w:sz="4" w:space="0"/>
                    <w:right w:val="single" w:color="auto" w:sz="4" w:space="0"/>
                  </w:tcBorders>
                  <w:vAlign w:val="center"/>
                </w:tcPr>
                <w:p w14:paraId="2377FEB5">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控制系统</w:t>
                  </w:r>
                </w:p>
              </w:tc>
              <w:tc>
                <w:tcPr>
                  <w:tcW w:w="3200" w:type="dxa"/>
                  <w:tcBorders>
                    <w:top w:val="nil"/>
                    <w:left w:val="nil"/>
                    <w:bottom w:val="single" w:color="auto" w:sz="4" w:space="0"/>
                    <w:right w:val="single" w:color="auto" w:sz="4" w:space="0"/>
                  </w:tcBorders>
                  <w:vAlign w:val="center"/>
                </w:tcPr>
                <w:p w14:paraId="735BA994">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全自动控制，质量法、流量时间法</w:t>
                  </w:r>
                </w:p>
              </w:tc>
              <w:tc>
                <w:tcPr>
                  <w:tcW w:w="752" w:type="dxa"/>
                  <w:tcBorders>
                    <w:top w:val="nil"/>
                    <w:left w:val="nil"/>
                    <w:bottom w:val="single" w:color="auto" w:sz="4" w:space="0"/>
                    <w:right w:val="single" w:color="auto" w:sz="4" w:space="0"/>
                  </w:tcBorders>
                  <w:vAlign w:val="center"/>
                </w:tcPr>
                <w:p w14:paraId="5E4E9DEF">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1套</w:t>
                  </w:r>
                </w:p>
              </w:tc>
            </w:tr>
            <w:tr w14:paraId="119FF2DE">
              <w:tblPrEx>
                <w:tblCellMar>
                  <w:top w:w="0" w:type="dxa"/>
                  <w:left w:w="108" w:type="dxa"/>
                  <w:bottom w:w="0" w:type="dxa"/>
                  <w:right w:w="108" w:type="dxa"/>
                </w:tblCellMar>
              </w:tblPrEx>
              <w:trPr>
                <w:trHeight w:val="23" w:hRule="atLeast"/>
              </w:trPr>
              <w:tc>
                <w:tcPr>
                  <w:tcW w:w="581" w:type="dxa"/>
                  <w:tcBorders>
                    <w:top w:val="single" w:color="auto" w:sz="4" w:space="0"/>
                    <w:left w:val="single" w:color="auto" w:sz="4" w:space="0"/>
                    <w:bottom w:val="single" w:color="auto" w:sz="4" w:space="0"/>
                    <w:right w:val="single" w:color="auto" w:sz="4" w:space="0"/>
                  </w:tcBorders>
                  <w:vAlign w:val="center"/>
                </w:tcPr>
                <w:p w14:paraId="7EECEEE2">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709" w:type="dxa"/>
                  <w:vMerge w:val="continue"/>
                  <w:tcBorders>
                    <w:left w:val="single" w:color="auto" w:sz="4" w:space="0"/>
                    <w:right w:val="single" w:color="auto" w:sz="4" w:space="0"/>
                  </w:tcBorders>
                  <w:vAlign w:val="center"/>
                </w:tcPr>
                <w:p w14:paraId="62B13725">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p>
              </w:tc>
              <w:tc>
                <w:tcPr>
                  <w:tcW w:w="1746" w:type="dxa"/>
                  <w:tcBorders>
                    <w:top w:val="single" w:color="auto" w:sz="4" w:space="0"/>
                    <w:left w:val="single" w:color="auto" w:sz="4" w:space="0"/>
                    <w:bottom w:val="single" w:color="auto" w:sz="4" w:space="0"/>
                    <w:right w:val="single" w:color="auto" w:sz="4" w:space="0"/>
                  </w:tcBorders>
                  <w:vAlign w:val="center"/>
                </w:tcPr>
                <w:p w14:paraId="6EC8FC9C">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高速摄像头</w:t>
                  </w:r>
                </w:p>
              </w:tc>
              <w:tc>
                <w:tcPr>
                  <w:tcW w:w="3200" w:type="dxa"/>
                  <w:tcBorders>
                    <w:top w:val="nil"/>
                    <w:left w:val="nil"/>
                    <w:right w:val="single" w:color="auto" w:sz="4" w:space="0"/>
                  </w:tcBorders>
                  <w:vAlign w:val="center"/>
                </w:tcPr>
                <w:p w14:paraId="52E0A891">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高清工业动态摄像头，自动捕捉梅花针和红指针并读取数值，摄像头自带水表二维码或条形码扫描功能</w:t>
                  </w:r>
                </w:p>
              </w:tc>
              <w:tc>
                <w:tcPr>
                  <w:tcW w:w="752" w:type="dxa"/>
                  <w:tcBorders>
                    <w:top w:val="nil"/>
                    <w:left w:val="nil"/>
                    <w:right w:val="single" w:color="auto" w:sz="4" w:space="0"/>
                  </w:tcBorders>
                  <w:vAlign w:val="center"/>
                </w:tcPr>
                <w:p w14:paraId="7B0D32DB">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6套</w:t>
                  </w:r>
                </w:p>
              </w:tc>
            </w:tr>
            <w:tr w14:paraId="24200DE7">
              <w:tblPrEx>
                <w:tblCellMar>
                  <w:top w:w="0" w:type="dxa"/>
                  <w:left w:w="108" w:type="dxa"/>
                  <w:bottom w:w="0" w:type="dxa"/>
                  <w:right w:w="108" w:type="dxa"/>
                </w:tblCellMar>
              </w:tblPrEx>
              <w:trPr>
                <w:trHeight w:val="23" w:hRule="atLeast"/>
              </w:trPr>
              <w:tc>
                <w:tcPr>
                  <w:tcW w:w="581" w:type="dxa"/>
                  <w:tcBorders>
                    <w:top w:val="nil"/>
                    <w:left w:val="single" w:color="auto" w:sz="4" w:space="0"/>
                    <w:bottom w:val="single" w:color="auto" w:sz="4" w:space="0"/>
                    <w:right w:val="single" w:color="auto" w:sz="4" w:space="0"/>
                  </w:tcBorders>
                  <w:vAlign w:val="center"/>
                </w:tcPr>
                <w:p w14:paraId="2DE17134">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1A4D5A4C">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传感器及仪表</w:t>
                  </w:r>
                </w:p>
              </w:tc>
              <w:tc>
                <w:tcPr>
                  <w:tcW w:w="1746" w:type="dxa"/>
                  <w:tcBorders>
                    <w:top w:val="single" w:color="auto" w:sz="4" w:space="0"/>
                    <w:left w:val="single" w:color="auto" w:sz="4" w:space="0"/>
                    <w:bottom w:val="single" w:color="auto" w:sz="4" w:space="0"/>
                    <w:right w:val="single" w:color="auto" w:sz="4" w:space="0"/>
                  </w:tcBorders>
                  <w:vAlign w:val="center"/>
                </w:tcPr>
                <w:p w14:paraId="0A4AAB9D">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温度变送器</w:t>
                  </w:r>
                </w:p>
              </w:tc>
              <w:tc>
                <w:tcPr>
                  <w:tcW w:w="3200" w:type="dxa"/>
                  <w:tcBorders>
                    <w:top w:val="single" w:color="auto" w:sz="4" w:space="0"/>
                    <w:left w:val="nil"/>
                    <w:bottom w:val="single" w:color="auto" w:sz="4" w:space="0"/>
                    <w:right w:val="single" w:color="auto" w:sz="4" w:space="0"/>
                  </w:tcBorders>
                  <w:vAlign w:val="center"/>
                </w:tcPr>
                <w:p w14:paraId="19B7E3EA">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（0~50)°C，±0.2°C</w:t>
                  </w:r>
                </w:p>
              </w:tc>
              <w:tc>
                <w:tcPr>
                  <w:tcW w:w="752" w:type="dxa"/>
                  <w:tcBorders>
                    <w:top w:val="single" w:color="auto" w:sz="4" w:space="0"/>
                    <w:left w:val="nil"/>
                    <w:bottom w:val="single" w:color="auto" w:sz="4" w:space="0"/>
                    <w:right w:val="single" w:color="auto" w:sz="4" w:space="0"/>
                  </w:tcBorders>
                  <w:vAlign w:val="center"/>
                </w:tcPr>
                <w:p w14:paraId="06159897">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1台</w:t>
                  </w:r>
                </w:p>
              </w:tc>
            </w:tr>
            <w:tr w14:paraId="4E889106">
              <w:tblPrEx>
                <w:tblCellMar>
                  <w:top w:w="0" w:type="dxa"/>
                  <w:left w:w="108" w:type="dxa"/>
                  <w:bottom w:w="0" w:type="dxa"/>
                  <w:right w:w="108" w:type="dxa"/>
                </w:tblCellMar>
              </w:tblPrEx>
              <w:trPr>
                <w:trHeight w:val="466" w:hRule="atLeast"/>
              </w:trPr>
              <w:tc>
                <w:tcPr>
                  <w:tcW w:w="581" w:type="dxa"/>
                  <w:tcBorders>
                    <w:top w:val="single" w:color="auto" w:sz="4" w:space="0"/>
                    <w:left w:val="single" w:color="auto" w:sz="4" w:space="0"/>
                    <w:bottom w:val="single" w:color="auto" w:sz="4" w:space="0"/>
                    <w:right w:val="single" w:color="auto" w:sz="4" w:space="0"/>
                  </w:tcBorders>
                  <w:vAlign w:val="center"/>
                </w:tcPr>
                <w:p w14:paraId="1806296A">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w:t>
                  </w: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24C8507A">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p>
              </w:tc>
              <w:tc>
                <w:tcPr>
                  <w:tcW w:w="1746" w:type="dxa"/>
                  <w:tcBorders>
                    <w:top w:val="single" w:color="auto" w:sz="4" w:space="0"/>
                    <w:left w:val="single" w:color="auto" w:sz="4" w:space="0"/>
                    <w:bottom w:val="single" w:color="auto" w:sz="4" w:space="0"/>
                    <w:right w:val="single" w:color="auto" w:sz="4" w:space="0"/>
                  </w:tcBorders>
                  <w:vAlign w:val="center"/>
                </w:tcPr>
                <w:p w14:paraId="5F0532EC">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压力变送器</w:t>
                  </w:r>
                </w:p>
              </w:tc>
              <w:tc>
                <w:tcPr>
                  <w:tcW w:w="3200" w:type="dxa"/>
                  <w:tcBorders>
                    <w:top w:val="single" w:color="auto" w:sz="4" w:space="0"/>
                    <w:left w:val="single" w:color="auto" w:sz="4" w:space="0"/>
                    <w:bottom w:val="single" w:color="auto" w:sz="4" w:space="0"/>
                    <w:right w:val="single" w:color="auto" w:sz="4" w:space="0"/>
                  </w:tcBorders>
                  <w:vAlign w:val="center"/>
                </w:tcPr>
                <w:p w14:paraId="16899626">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4.0MPa，0.5级</w:t>
                  </w:r>
                </w:p>
              </w:tc>
              <w:tc>
                <w:tcPr>
                  <w:tcW w:w="752" w:type="dxa"/>
                  <w:tcBorders>
                    <w:top w:val="single" w:color="auto" w:sz="4" w:space="0"/>
                    <w:left w:val="single" w:color="auto" w:sz="4" w:space="0"/>
                    <w:bottom w:val="single" w:color="auto" w:sz="4" w:space="0"/>
                    <w:right w:val="single" w:color="auto" w:sz="4" w:space="0"/>
                  </w:tcBorders>
                  <w:vAlign w:val="center"/>
                </w:tcPr>
                <w:p w14:paraId="32F411AD">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1台</w:t>
                  </w:r>
                </w:p>
              </w:tc>
            </w:tr>
            <w:tr w14:paraId="530E8279">
              <w:tblPrEx>
                <w:tblCellMar>
                  <w:top w:w="0" w:type="dxa"/>
                  <w:left w:w="108" w:type="dxa"/>
                  <w:bottom w:w="0" w:type="dxa"/>
                  <w:right w:w="108" w:type="dxa"/>
                </w:tblCellMar>
              </w:tblPrEx>
              <w:trPr>
                <w:trHeight w:val="23" w:hRule="atLeast"/>
              </w:trPr>
              <w:tc>
                <w:tcPr>
                  <w:tcW w:w="581" w:type="dxa"/>
                  <w:tcBorders>
                    <w:top w:val="single" w:color="auto" w:sz="4" w:space="0"/>
                    <w:left w:val="single" w:color="auto" w:sz="4" w:space="0"/>
                    <w:bottom w:val="single" w:color="auto" w:sz="4" w:space="0"/>
                    <w:right w:val="single" w:color="auto" w:sz="4" w:space="0"/>
                  </w:tcBorders>
                  <w:vAlign w:val="center"/>
                </w:tcPr>
                <w:p w14:paraId="07D29BAC">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w:t>
                  </w: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21572B3B">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p>
              </w:tc>
              <w:tc>
                <w:tcPr>
                  <w:tcW w:w="1746" w:type="dxa"/>
                  <w:tcBorders>
                    <w:top w:val="single" w:color="auto" w:sz="4" w:space="0"/>
                    <w:left w:val="single" w:color="auto" w:sz="4" w:space="0"/>
                    <w:bottom w:val="single" w:color="auto" w:sz="4" w:space="0"/>
                    <w:right w:val="single" w:color="auto" w:sz="4" w:space="0"/>
                  </w:tcBorders>
                  <w:vAlign w:val="center"/>
                </w:tcPr>
                <w:p w14:paraId="0990FB43">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压力表</w:t>
                  </w:r>
                </w:p>
              </w:tc>
              <w:tc>
                <w:tcPr>
                  <w:tcW w:w="3200" w:type="dxa"/>
                  <w:tcBorders>
                    <w:top w:val="single" w:color="auto" w:sz="4" w:space="0"/>
                    <w:left w:val="single" w:color="auto" w:sz="4" w:space="0"/>
                    <w:bottom w:val="single" w:color="auto" w:sz="4" w:space="0"/>
                    <w:right w:val="single" w:color="auto" w:sz="4" w:space="0"/>
                  </w:tcBorders>
                  <w:vAlign w:val="center"/>
                </w:tcPr>
                <w:p w14:paraId="62D7E160">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4.0MPa，0.5级</w:t>
                  </w:r>
                </w:p>
              </w:tc>
              <w:tc>
                <w:tcPr>
                  <w:tcW w:w="752" w:type="dxa"/>
                  <w:tcBorders>
                    <w:top w:val="single" w:color="auto" w:sz="4" w:space="0"/>
                    <w:left w:val="single" w:color="auto" w:sz="4" w:space="0"/>
                    <w:bottom w:val="single" w:color="auto" w:sz="4" w:space="0"/>
                    <w:right w:val="single" w:color="auto" w:sz="4" w:space="0"/>
                  </w:tcBorders>
                  <w:vAlign w:val="center"/>
                </w:tcPr>
                <w:p w14:paraId="55D9A57F">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1台</w:t>
                  </w:r>
                </w:p>
              </w:tc>
            </w:tr>
            <w:tr w14:paraId="4BBB8167">
              <w:tblPrEx>
                <w:tblCellMar>
                  <w:top w:w="0" w:type="dxa"/>
                  <w:left w:w="108" w:type="dxa"/>
                  <w:bottom w:w="0" w:type="dxa"/>
                  <w:right w:w="108" w:type="dxa"/>
                </w:tblCellMar>
              </w:tblPrEx>
              <w:trPr>
                <w:trHeight w:val="23" w:hRule="atLeast"/>
              </w:trPr>
              <w:tc>
                <w:tcPr>
                  <w:tcW w:w="581" w:type="dxa"/>
                  <w:tcBorders>
                    <w:top w:val="single" w:color="auto" w:sz="4" w:space="0"/>
                    <w:left w:val="single" w:color="auto" w:sz="4" w:space="0"/>
                    <w:bottom w:val="single" w:color="auto" w:sz="4" w:space="0"/>
                    <w:right w:val="single" w:color="auto" w:sz="4" w:space="0"/>
                  </w:tcBorders>
                  <w:vAlign w:val="center"/>
                </w:tcPr>
                <w:p w14:paraId="31084EA8">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w:t>
                  </w:r>
                </w:p>
              </w:tc>
              <w:tc>
                <w:tcPr>
                  <w:tcW w:w="709" w:type="dxa"/>
                  <w:vMerge w:val="restart"/>
                  <w:tcBorders>
                    <w:top w:val="single" w:color="auto" w:sz="4" w:space="0"/>
                    <w:left w:val="single" w:color="auto" w:sz="4" w:space="0"/>
                    <w:right w:val="single" w:color="auto" w:sz="4" w:space="0"/>
                  </w:tcBorders>
                  <w:vAlign w:val="center"/>
                </w:tcPr>
                <w:p w14:paraId="454CC4D7">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阀门及控制电磁阀</w:t>
                  </w:r>
                </w:p>
              </w:tc>
              <w:tc>
                <w:tcPr>
                  <w:tcW w:w="1746" w:type="dxa"/>
                  <w:tcBorders>
                    <w:top w:val="single" w:color="auto" w:sz="4" w:space="0"/>
                    <w:left w:val="nil"/>
                    <w:bottom w:val="single" w:color="auto" w:sz="4" w:space="0"/>
                    <w:right w:val="single" w:color="auto" w:sz="4" w:space="0"/>
                  </w:tcBorders>
                  <w:vAlign w:val="center"/>
                </w:tcPr>
                <w:p w14:paraId="765D614E">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气动开关球阀</w:t>
                  </w:r>
                </w:p>
              </w:tc>
              <w:tc>
                <w:tcPr>
                  <w:tcW w:w="3200" w:type="dxa"/>
                  <w:tcBorders>
                    <w:top w:val="single" w:color="auto" w:sz="4" w:space="0"/>
                    <w:left w:val="nil"/>
                    <w:bottom w:val="single" w:color="auto" w:sz="4" w:space="0"/>
                    <w:right w:val="single" w:color="auto" w:sz="4" w:space="0"/>
                  </w:tcBorders>
                  <w:vAlign w:val="center"/>
                </w:tcPr>
                <w:p w14:paraId="376E029A">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DN15～DN50，304不锈钢</w:t>
                  </w:r>
                </w:p>
              </w:tc>
              <w:tc>
                <w:tcPr>
                  <w:tcW w:w="752" w:type="dxa"/>
                  <w:tcBorders>
                    <w:top w:val="single" w:color="auto" w:sz="4" w:space="0"/>
                    <w:left w:val="nil"/>
                    <w:bottom w:val="single" w:color="auto" w:sz="4" w:space="0"/>
                    <w:right w:val="single" w:color="auto" w:sz="4" w:space="0"/>
                  </w:tcBorders>
                  <w:vAlign w:val="center"/>
                </w:tcPr>
                <w:p w14:paraId="04B905C4">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1套</w:t>
                  </w:r>
                </w:p>
              </w:tc>
            </w:tr>
            <w:tr w14:paraId="3F8355A2">
              <w:tblPrEx>
                <w:tblCellMar>
                  <w:top w:w="0" w:type="dxa"/>
                  <w:left w:w="108" w:type="dxa"/>
                  <w:bottom w:w="0" w:type="dxa"/>
                  <w:right w:w="108" w:type="dxa"/>
                </w:tblCellMar>
              </w:tblPrEx>
              <w:trPr>
                <w:trHeight w:val="23" w:hRule="atLeast"/>
              </w:trPr>
              <w:tc>
                <w:tcPr>
                  <w:tcW w:w="581" w:type="dxa"/>
                  <w:tcBorders>
                    <w:top w:val="nil"/>
                    <w:left w:val="single" w:color="auto" w:sz="4" w:space="0"/>
                    <w:bottom w:val="single" w:color="auto" w:sz="4" w:space="0"/>
                    <w:right w:val="single" w:color="auto" w:sz="4" w:space="0"/>
                  </w:tcBorders>
                  <w:vAlign w:val="center"/>
                </w:tcPr>
                <w:p w14:paraId="5DE0CF19">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709" w:type="dxa"/>
                  <w:vMerge w:val="continue"/>
                  <w:tcBorders>
                    <w:left w:val="single" w:color="auto" w:sz="4" w:space="0"/>
                    <w:right w:val="single" w:color="auto" w:sz="4" w:space="0"/>
                  </w:tcBorders>
                  <w:vAlign w:val="center"/>
                </w:tcPr>
                <w:p w14:paraId="1CE5E4A2">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p>
              </w:tc>
              <w:tc>
                <w:tcPr>
                  <w:tcW w:w="1746" w:type="dxa"/>
                  <w:tcBorders>
                    <w:top w:val="nil"/>
                    <w:left w:val="nil"/>
                    <w:bottom w:val="single" w:color="auto" w:sz="4" w:space="0"/>
                    <w:right w:val="single" w:color="auto" w:sz="4" w:space="0"/>
                  </w:tcBorders>
                  <w:vAlign w:val="center"/>
                </w:tcPr>
                <w:p w14:paraId="2169ED54">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手动开关球阀</w:t>
                  </w:r>
                </w:p>
              </w:tc>
              <w:tc>
                <w:tcPr>
                  <w:tcW w:w="3200" w:type="dxa"/>
                  <w:tcBorders>
                    <w:top w:val="nil"/>
                    <w:left w:val="nil"/>
                    <w:bottom w:val="single" w:color="auto" w:sz="4" w:space="0"/>
                    <w:right w:val="single" w:color="auto" w:sz="4" w:space="0"/>
                  </w:tcBorders>
                  <w:vAlign w:val="center"/>
                </w:tcPr>
                <w:p w14:paraId="11C57833">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DN15～DN50，304不锈钢</w:t>
                  </w:r>
                </w:p>
              </w:tc>
              <w:tc>
                <w:tcPr>
                  <w:tcW w:w="752" w:type="dxa"/>
                  <w:tcBorders>
                    <w:top w:val="nil"/>
                    <w:left w:val="nil"/>
                    <w:bottom w:val="single" w:color="auto" w:sz="4" w:space="0"/>
                    <w:right w:val="single" w:color="auto" w:sz="4" w:space="0"/>
                  </w:tcBorders>
                  <w:vAlign w:val="center"/>
                </w:tcPr>
                <w:p w14:paraId="6F21DEDB">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1套</w:t>
                  </w:r>
                </w:p>
              </w:tc>
            </w:tr>
            <w:tr w14:paraId="1C2289EE">
              <w:tblPrEx>
                <w:tblCellMar>
                  <w:top w:w="0" w:type="dxa"/>
                  <w:left w:w="108" w:type="dxa"/>
                  <w:bottom w:w="0" w:type="dxa"/>
                  <w:right w:w="108" w:type="dxa"/>
                </w:tblCellMar>
              </w:tblPrEx>
              <w:trPr>
                <w:trHeight w:val="23" w:hRule="atLeast"/>
              </w:trPr>
              <w:tc>
                <w:tcPr>
                  <w:tcW w:w="581" w:type="dxa"/>
                  <w:tcBorders>
                    <w:top w:val="nil"/>
                    <w:left w:val="single" w:color="auto" w:sz="4" w:space="0"/>
                    <w:bottom w:val="single" w:color="auto" w:sz="4" w:space="0"/>
                    <w:right w:val="single" w:color="auto" w:sz="4" w:space="0"/>
                  </w:tcBorders>
                  <w:vAlign w:val="center"/>
                </w:tcPr>
                <w:p w14:paraId="2E7E11E3">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709" w:type="dxa"/>
                  <w:vMerge w:val="continue"/>
                  <w:tcBorders>
                    <w:left w:val="single" w:color="auto" w:sz="4" w:space="0"/>
                    <w:bottom w:val="single" w:color="auto" w:sz="4" w:space="0"/>
                    <w:right w:val="single" w:color="auto" w:sz="4" w:space="0"/>
                  </w:tcBorders>
                  <w:vAlign w:val="center"/>
                </w:tcPr>
                <w:p w14:paraId="0FB9FF4F">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p>
              </w:tc>
              <w:tc>
                <w:tcPr>
                  <w:tcW w:w="1746" w:type="dxa"/>
                  <w:tcBorders>
                    <w:top w:val="nil"/>
                    <w:left w:val="nil"/>
                    <w:bottom w:val="single" w:color="auto" w:sz="4" w:space="0"/>
                    <w:right w:val="single" w:color="auto" w:sz="4" w:space="0"/>
                  </w:tcBorders>
                  <w:vAlign w:val="center"/>
                </w:tcPr>
                <w:p w14:paraId="2D7F4878">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电磁阀</w:t>
                  </w:r>
                </w:p>
              </w:tc>
              <w:tc>
                <w:tcPr>
                  <w:tcW w:w="3200" w:type="dxa"/>
                  <w:tcBorders>
                    <w:top w:val="nil"/>
                    <w:left w:val="nil"/>
                    <w:bottom w:val="single" w:color="auto" w:sz="4" w:space="0"/>
                    <w:right w:val="single" w:color="auto" w:sz="4" w:space="0"/>
                  </w:tcBorders>
                  <w:vAlign w:val="center"/>
                </w:tcPr>
                <w:p w14:paraId="24A533EC">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2位3通电磁阀</w:t>
                  </w:r>
                </w:p>
              </w:tc>
              <w:tc>
                <w:tcPr>
                  <w:tcW w:w="752" w:type="dxa"/>
                  <w:tcBorders>
                    <w:top w:val="nil"/>
                    <w:left w:val="nil"/>
                    <w:bottom w:val="single" w:color="auto" w:sz="4" w:space="0"/>
                    <w:right w:val="single" w:color="auto" w:sz="4" w:space="0"/>
                  </w:tcBorders>
                  <w:vAlign w:val="center"/>
                </w:tcPr>
                <w:p w14:paraId="6044691B">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1套</w:t>
                  </w:r>
                </w:p>
              </w:tc>
            </w:tr>
            <w:tr w14:paraId="16BB0FBD">
              <w:tblPrEx>
                <w:tblCellMar>
                  <w:top w:w="0" w:type="dxa"/>
                  <w:left w:w="108" w:type="dxa"/>
                  <w:bottom w:w="0" w:type="dxa"/>
                  <w:right w:w="108" w:type="dxa"/>
                </w:tblCellMar>
              </w:tblPrEx>
              <w:trPr>
                <w:trHeight w:val="23" w:hRule="atLeast"/>
              </w:trPr>
              <w:tc>
                <w:tcPr>
                  <w:tcW w:w="581" w:type="dxa"/>
                  <w:tcBorders>
                    <w:top w:val="nil"/>
                    <w:left w:val="single" w:color="auto" w:sz="4" w:space="0"/>
                    <w:bottom w:val="single" w:color="auto" w:sz="4" w:space="0"/>
                    <w:right w:val="single" w:color="auto" w:sz="4" w:space="0"/>
                  </w:tcBorders>
                  <w:vAlign w:val="center"/>
                </w:tcPr>
                <w:p w14:paraId="25DE192F">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w:t>
                  </w:r>
                </w:p>
              </w:tc>
              <w:tc>
                <w:tcPr>
                  <w:tcW w:w="709" w:type="dxa"/>
                  <w:vMerge w:val="restart"/>
                  <w:tcBorders>
                    <w:top w:val="single" w:color="auto" w:sz="4" w:space="0"/>
                    <w:left w:val="single" w:color="auto" w:sz="4" w:space="0"/>
                    <w:right w:val="single" w:color="auto" w:sz="4" w:space="0"/>
                  </w:tcBorders>
                  <w:vAlign w:val="center"/>
                </w:tcPr>
                <w:p w14:paraId="0991BF7B">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上位机部分</w:t>
                  </w:r>
                </w:p>
              </w:tc>
              <w:tc>
                <w:tcPr>
                  <w:tcW w:w="1746" w:type="dxa"/>
                  <w:tcBorders>
                    <w:top w:val="nil"/>
                    <w:left w:val="nil"/>
                    <w:bottom w:val="single" w:color="auto" w:sz="4" w:space="0"/>
                    <w:right w:val="single" w:color="auto" w:sz="4" w:space="0"/>
                  </w:tcBorders>
                  <w:vAlign w:val="center"/>
                </w:tcPr>
                <w:p w14:paraId="07A8A320">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电脑</w:t>
                  </w:r>
                </w:p>
              </w:tc>
              <w:tc>
                <w:tcPr>
                  <w:tcW w:w="3200" w:type="dxa"/>
                  <w:tcBorders>
                    <w:top w:val="nil"/>
                    <w:left w:val="nil"/>
                    <w:bottom w:val="single" w:color="auto" w:sz="4" w:space="0"/>
                    <w:right w:val="single" w:color="auto" w:sz="4" w:space="0"/>
                  </w:tcBorders>
                  <w:vAlign w:val="center"/>
                </w:tcPr>
                <w:p w14:paraId="55369A00">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Intel处理器，8G内存，256G固态硬盘，21寸屏</w:t>
                  </w:r>
                </w:p>
              </w:tc>
              <w:tc>
                <w:tcPr>
                  <w:tcW w:w="752" w:type="dxa"/>
                  <w:tcBorders>
                    <w:top w:val="nil"/>
                    <w:left w:val="nil"/>
                    <w:bottom w:val="single" w:color="auto" w:sz="4" w:space="0"/>
                    <w:right w:val="single" w:color="auto" w:sz="4" w:space="0"/>
                  </w:tcBorders>
                  <w:vAlign w:val="center"/>
                </w:tcPr>
                <w:p w14:paraId="43C8E6F1">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1台</w:t>
                  </w:r>
                </w:p>
              </w:tc>
            </w:tr>
            <w:tr w14:paraId="7A2F3E33">
              <w:tblPrEx>
                <w:tblCellMar>
                  <w:top w:w="0" w:type="dxa"/>
                  <w:left w:w="108" w:type="dxa"/>
                  <w:bottom w:w="0" w:type="dxa"/>
                  <w:right w:w="108" w:type="dxa"/>
                </w:tblCellMar>
              </w:tblPrEx>
              <w:trPr>
                <w:trHeight w:val="23" w:hRule="atLeast"/>
              </w:trPr>
              <w:tc>
                <w:tcPr>
                  <w:tcW w:w="581" w:type="dxa"/>
                  <w:tcBorders>
                    <w:top w:val="nil"/>
                    <w:left w:val="single" w:color="auto" w:sz="4" w:space="0"/>
                    <w:bottom w:val="single" w:color="auto" w:sz="4" w:space="0"/>
                    <w:right w:val="single" w:color="auto" w:sz="4" w:space="0"/>
                  </w:tcBorders>
                  <w:vAlign w:val="center"/>
                </w:tcPr>
                <w:p w14:paraId="6C45EEF7">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w:t>
                  </w:r>
                </w:p>
              </w:tc>
              <w:tc>
                <w:tcPr>
                  <w:tcW w:w="709" w:type="dxa"/>
                  <w:vMerge w:val="continue"/>
                  <w:tcBorders>
                    <w:left w:val="single" w:color="auto" w:sz="4" w:space="0"/>
                    <w:bottom w:val="single" w:color="auto" w:sz="4" w:space="0"/>
                    <w:right w:val="single" w:color="auto" w:sz="4" w:space="0"/>
                  </w:tcBorders>
                  <w:vAlign w:val="center"/>
                </w:tcPr>
                <w:p w14:paraId="3C2B74D9">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p>
              </w:tc>
              <w:tc>
                <w:tcPr>
                  <w:tcW w:w="1746" w:type="dxa"/>
                  <w:tcBorders>
                    <w:top w:val="nil"/>
                    <w:left w:val="nil"/>
                    <w:bottom w:val="single" w:color="auto" w:sz="4" w:space="0"/>
                    <w:right w:val="single" w:color="auto" w:sz="4" w:space="0"/>
                  </w:tcBorders>
                  <w:vAlign w:val="center"/>
                </w:tcPr>
                <w:p w14:paraId="09C2B1BD">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扫码枪</w:t>
                  </w:r>
                </w:p>
              </w:tc>
              <w:tc>
                <w:tcPr>
                  <w:tcW w:w="3200" w:type="dxa"/>
                  <w:tcBorders>
                    <w:top w:val="nil"/>
                    <w:left w:val="nil"/>
                    <w:bottom w:val="single" w:color="auto" w:sz="4" w:space="0"/>
                    <w:right w:val="single" w:color="auto" w:sz="4" w:space="0"/>
                  </w:tcBorders>
                  <w:vAlign w:val="center"/>
                </w:tcPr>
                <w:p w14:paraId="22E2C3E3">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影像式，支持一维码二维码</w:t>
                  </w:r>
                </w:p>
              </w:tc>
              <w:tc>
                <w:tcPr>
                  <w:tcW w:w="752" w:type="dxa"/>
                  <w:tcBorders>
                    <w:top w:val="nil"/>
                    <w:left w:val="nil"/>
                    <w:bottom w:val="single" w:color="auto" w:sz="4" w:space="0"/>
                    <w:right w:val="single" w:color="auto" w:sz="4" w:space="0"/>
                  </w:tcBorders>
                  <w:vAlign w:val="center"/>
                </w:tcPr>
                <w:p w14:paraId="2C207B09">
                  <w:pPr>
                    <w:keepNext w:val="0"/>
                    <w:keepLines w:val="0"/>
                    <w:pageBreakBefore w:val="0"/>
                    <w:widowControl/>
                    <w:kinsoku/>
                    <w:wordWrap/>
                    <w:overflowPunct/>
                    <w:topLinePunct w:val="0"/>
                    <w:autoSpaceDE/>
                    <w:autoSpaceDN/>
                    <w:bidi w:val="0"/>
                    <w:adjustRightInd w:val="0"/>
                    <w:snapToGrid w:val="0"/>
                    <w:spacing w:beforeAutospacing="0" w:after="0" w:afterAutospacing="0" w:line="480" w:lineRule="exact"/>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1套</w:t>
                  </w:r>
                </w:p>
              </w:tc>
            </w:tr>
          </w:tbl>
          <w:p w14:paraId="05106EE6">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firstLine="0" w:firstLineChars="0"/>
              <w:textAlignment w:val="center"/>
              <w:rPr>
                <w:rFonts w:hint="eastAsia" w:ascii="宋体" w:hAnsi="宋体" w:eastAsia="宋体" w:cs="宋体"/>
                <w:color w:val="auto"/>
                <w:sz w:val="21"/>
                <w:szCs w:val="21"/>
                <w:highlight w:val="none"/>
                <w:lang w:val="en-US" w:eastAsia="zh-CN"/>
              </w:rPr>
            </w:pPr>
          </w:p>
          <w:p w14:paraId="7960D667">
            <w:pPr>
              <w:pageBreakBefore w:val="0"/>
              <w:wordWrap/>
              <w:overflowPunct/>
              <w:topLinePunct w:val="0"/>
              <w:bidi w:val="0"/>
              <w:spacing w:beforeAutospacing="0" w:afterAutospacing="0" w:line="480" w:lineRule="exact"/>
              <w:ind w:left="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b/>
                <w:bCs/>
                <w:color w:val="auto"/>
                <w:sz w:val="21"/>
                <w:szCs w:val="21"/>
                <w:highlight w:val="none"/>
                <w:lang w:eastAsia="zh-CN"/>
              </w:rPr>
              <w:t>4、计算机与软件要求</w:t>
            </w:r>
          </w:p>
          <w:p w14:paraId="20F159CD">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4.1配套计算机预留网口对接局域网；</w:t>
            </w:r>
          </w:p>
          <w:p w14:paraId="665D0DBE">
            <w:pPr>
              <w:pageBreakBefore w:val="0"/>
              <w:wordWrap/>
              <w:overflowPunct/>
              <w:topLinePunct w:val="0"/>
              <w:bidi w:val="0"/>
              <w:spacing w:beforeAutospacing="0" w:afterAutospacing="0" w:line="480" w:lineRule="exact"/>
              <w:ind w:left="0" w:leftChars="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4.2预留接口可对接湖南省强检系统；</w:t>
            </w:r>
          </w:p>
          <w:p w14:paraId="1441FB63">
            <w:pPr>
              <w:pageBreakBefore w:val="0"/>
              <w:wordWrap/>
              <w:overflowPunct/>
              <w:topLinePunct w:val="0"/>
              <w:bidi w:val="0"/>
              <w:spacing w:beforeAutospacing="0" w:afterAutospacing="0" w:line="480" w:lineRule="exact"/>
              <w:ind w:left="0" w:firstLine="0" w:firstLineChars="0"/>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5、耗材配置要求</w:t>
            </w:r>
          </w:p>
          <w:p w14:paraId="07D7BBD6">
            <w:pPr>
              <w:pageBreakBefore w:val="0"/>
              <w:wordWrap/>
              <w:overflowPunct/>
              <w:topLinePunct w:val="0"/>
              <w:bidi w:val="0"/>
              <w:spacing w:beforeAutospacing="0" w:afterAutospacing="0" w:line="480" w:lineRule="exact"/>
              <w:ind w:left="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随设备配备密封圈可支持各口径水表5000台次的检定。</w:t>
            </w:r>
          </w:p>
          <w:p w14:paraId="64838BB5">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firstLine="0" w:firstLineChars="0"/>
              <w:textAlignment w:val="center"/>
              <w:rPr>
                <w:rFonts w:hint="eastAsia" w:ascii="宋体" w:hAnsi="宋体" w:eastAsia="宋体" w:cs="宋体"/>
                <w:color w:val="auto"/>
                <w:sz w:val="21"/>
                <w:szCs w:val="21"/>
                <w:highlight w:val="none"/>
                <w:lang w:val="en-US" w:eastAsia="zh-CN"/>
              </w:rPr>
            </w:pPr>
          </w:p>
        </w:tc>
      </w:tr>
      <w:tr w14:paraId="078E3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7" w:type="dxa"/>
            <w:vAlign w:val="center"/>
          </w:tcPr>
          <w:p w14:paraId="0A631D71">
            <w:pPr>
              <w:pStyle w:val="6"/>
              <w:pageBreakBefore w:val="0"/>
              <w:wordWrap/>
              <w:overflowPunct/>
              <w:topLinePunct w:val="0"/>
              <w:bidi w:val="0"/>
              <w:spacing w:beforeAutospacing="0" w:after="0" w:afterAutospacing="0" w:line="480" w:lineRule="exact"/>
              <w:ind w:left="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19</w:t>
            </w:r>
          </w:p>
        </w:tc>
        <w:tc>
          <w:tcPr>
            <w:tcW w:w="1605" w:type="dxa"/>
            <w:vAlign w:val="center"/>
          </w:tcPr>
          <w:p w14:paraId="43258130">
            <w:pPr>
              <w:pStyle w:val="6"/>
              <w:pageBreakBefore w:val="0"/>
              <w:wordWrap/>
              <w:overflowPunct/>
              <w:topLinePunct w:val="0"/>
              <w:bidi w:val="0"/>
              <w:spacing w:beforeAutospacing="0" w:after="0" w:afterAutospacing="0" w:line="480" w:lineRule="exact"/>
              <w:ind w:left="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智能数字压力校验仪</w:t>
            </w:r>
          </w:p>
        </w:tc>
        <w:tc>
          <w:tcPr>
            <w:tcW w:w="12382" w:type="dxa"/>
            <w:vAlign w:val="top"/>
          </w:tcPr>
          <w:p w14:paraId="781906C9">
            <w:pPr>
              <w:keepNext w:val="0"/>
              <w:keepLines w:val="0"/>
              <w:pageBreakBefore w:val="0"/>
              <w:widowControl/>
              <w:kinsoku/>
              <w:wordWrap/>
              <w:overflowPunct/>
              <w:topLinePunct w:val="0"/>
              <w:autoSpaceDE/>
              <w:autoSpaceDN/>
              <w:bidi w:val="0"/>
              <w:adjustRightInd/>
              <w:snapToGrid w:val="0"/>
              <w:spacing w:beforeAutospacing="0" w:afterAutospacing="0" w:line="480" w:lineRule="exact"/>
              <w:ind w:left="0" w:firstLine="0" w:firstLineChars="0"/>
              <w:textAlignment w:val="auto"/>
              <w:outlineLvl w:val="2"/>
              <w:rPr>
                <w:rFonts w:hint="eastAsia" w:ascii="宋体" w:hAnsi="宋体" w:eastAsia="宋体" w:cs="宋体"/>
                <w:b/>
                <w:bCs/>
                <w:snapToGrid/>
                <w:color w:val="auto"/>
                <w:sz w:val="21"/>
                <w:szCs w:val="21"/>
                <w:highlight w:val="none"/>
                <w:lang w:eastAsia="zh-CN"/>
              </w:rPr>
            </w:pPr>
            <w:r>
              <w:rPr>
                <w:rFonts w:hint="eastAsia" w:ascii="宋体" w:hAnsi="宋体" w:eastAsia="宋体" w:cs="宋体"/>
                <w:b/>
                <w:bCs/>
                <w:snapToGrid/>
                <w:color w:val="auto"/>
                <w:sz w:val="21"/>
                <w:szCs w:val="21"/>
                <w:highlight w:val="none"/>
                <w:lang w:val="en-US" w:eastAsia="zh-CN"/>
              </w:rPr>
              <w:t>1、</w:t>
            </w:r>
            <w:r>
              <w:rPr>
                <w:rFonts w:hint="eastAsia" w:ascii="宋体" w:hAnsi="宋体" w:eastAsia="宋体" w:cs="宋体"/>
                <w:b/>
                <w:bCs/>
                <w:snapToGrid/>
                <w:color w:val="auto"/>
                <w:sz w:val="21"/>
                <w:szCs w:val="21"/>
                <w:highlight w:val="none"/>
                <w:lang w:eastAsia="zh-CN"/>
              </w:rPr>
              <w:t>用途及应用要求</w:t>
            </w:r>
            <w:bookmarkStart w:id="11" w:name="OLE_LINK24"/>
            <w:r>
              <w:rPr>
                <w:rFonts w:hint="eastAsia" w:ascii="宋体" w:hAnsi="宋体" w:eastAsia="宋体" w:cs="宋体"/>
                <w:bCs/>
                <w:snapToGrid/>
                <w:color w:val="auto"/>
                <w:sz w:val="21"/>
                <w:szCs w:val="21"/>
                <w:highlight w:val="none"/>
                <w:lang w:eastAsia="zh-CN"/>
              </w:rPr>
              <w:t xml:space="preserve">： </w:t>
            </w:r>
            <w:bookmarkEnd w:id="11"/>
          </w:p>
          <w:p w14:paraId="0C159329">
            <w:pPr>
              <w:keepNext w:val="0"/>
              <w:keepLines w:val="0"/>
              <w:pageBreakBefore w:val="0"/>
              <w:widowControl/>
              <w:kinsoku/>
              <w:wordWrap/>
              <w:overflowPunct/>
              <w:topLinePunct w:val="0"/>
              <w:autoSpaceDE/>
              <w:autoSpaceDN/>
              <w:bidi w:val="0"/>
              <w:adjustRightInd/>
              <w:snapToGrid w:val="0"/>
              <w:spacing w:beforeAutospacing="0" w:afterAutospacing="0" w:line="480" w:lineRule="exact"/>
              <w:ind w:left="0" w:firstLine="315" w:firstLineChars="150"/>
              <w:textAlignment w:val="auto"/>
              <w:rPr>
                <w:rFonts w:hint="eastAsia" w:ascii="宋体" w:hAnsi="宋体" w:eastAsia="宋体" w:cs="宋体"/>
                <w:snapToGrid/>
                <w:color w:val="auto"/>
                <w:sz w:val="21"/>
                <w:szCs w:val="21"/>
                <w:highlight w:val="none"/>
                <w:lang w:eastAsia="zh-CN"/>
              </w:rPr>
            </w:pPr>
            <w:bookmarkStart w:id="12" w:name="OLE_LINK23"/>
            <w:r>
              <w:rPr>
                <w:rFonts w:hint="eastAsia" w:ascii="宋体" w:hAnsi="宋体" w:eastAsia="宋体" w:cs="宋体"/>
                <w:snapToGrid/>
                <w:color w:val="auto"/>
                <w:sz w:val="21"/>
                <w:szCs w:val="21"/>
                <w:highlight w:val="none"/>
                <w:lang w:eastAsia="zh-CN"/>
              </w:rPr>
              <w:t>设备用于检定：</w:t>
            </w:r>
            <w:bookmarkStart w:id="13" w:name="OLE_LINK4"/>
            <w:bookmarkStart w:id="14" w:name="OLE_LINK3"/>
            <w:r>
              <w:rPr>
                <w:rFonts w:hint="eastAsia" w:ascii="宋体" w:hAnsi="宋体" w:eastAsia="宋体" w:cs="宋体"/>
                <w:color w:val="auto"/>
                <w:sz w:val="21"/>
                <w:szCs w:val="21"/>
                <w:highlight w:val="none"/>
                <w:lang w:eastAsia="zh-CN"/>
              </w:rPr>
              <w:t>普通精密压力表、数字压力计、压力变送器、压力开关、压力传感器等</w:t>
            </w:r>
            <w:bookmarkEnd w:id="13"/>
            <w:bookmarkEnd w:id="14"/>
            <w:r>
              <w:rPr>
                <w:rFonts w:hint="eastAsia" w:ascii="宋体" w:hAnsi="宋体" w:eastAsia="宋体" w:cs="宋体"/>
                <w:color w:val="auto"/>
                <w:sz w:val="21"/>
                <w:szCs w:val="21"/>
                <w:highlight w:val="none"/>
                <w:lang w:eastAsia="zh-CN"/>
              </w:rPr>
              <w:t>。满足JJG 49-2013 弹性元件式精密压力表和真空表；JJG 52-2013 弹性元件式一般压力表、压力真空表和真空表；JJG 875-2019 数字压力计检定规程；JJG 882-2019 压力变送器检定规程；（以上规程为最新实施版本）要求，作为标准器，检定范围覆盖全量程，可检测，压力、电流电压准6位显示，温度自动补偿。压力波动度≤0.01％F.S。</w:t>
            </w:r>
          </w:p>
          <w:bookmarkEnd w:id="12"/>
          <w:p w14:paraId="0547E715">
            <w:pPr>
              <w:keepNext w:val="0"/>
              <w:keepLines w:val="0"/>
              <w:pageBreakBefore w:val="0"/>
              <w:widowControl/>
              <w:kinsoku/>
              <w:wordWrap/>
              <w:overflowPunct/>
              <w:topLinePunct w:val="0"/>
              <w:autoSpaceDE/>
              <w:autoSpaceDN/>
              <w:bidi w:val="0"/>
              <w:adjustRightInd/>
              <w:snapToGrid w:val="0"/>
              <w:spacing w:beforeAutospacing="0" w:afterAutospacing="0" w:line="480" w:lineRule="exact"/>
              <w:ind w:left="0" w:firstLine="0" w:firstLineChars="0"/>
              <w:textAlignment w:val="auto"/>
              <w:outlineLvl w:val="2"/>
              <w:rPr>
                <w:rFonts w:hint="eastAsia" w:ascii="宋体" w:hAnsi="宋体" w:eastAsia="宋体" w:cs="宋体"/>
                <w:b/>
                <w:bCs/>
                <w:snapToGrid/>
                <w:color w:val="auto"/>
                <w:sz w:val="21"/>
                <w:szCs w:val="21"/>
                <w:highlight w:val="none"/>
                <w:lang w:eastAsia="zh-CN"/>
              </w:rPr>
            </w:pPr>
            <w:r>
              <w:rPr>
                <w:rFonts w:hint="eastAsia" w:ascii="宋体" w:hAnsi="宋体" w:eastAsia="宋体" w:cs="宋体"/>
                <w:b/>
                <w:bCs/>
                <w:snapToGrid/>
                <w:color w:val="auto"/>
                <w:sz w:val="21"/>
                <w:szCs w:val="21"/>
                <w:highlight w:val="none"/>
                <w:lang w:eastAsia="zh-CN"/>
              </w:rPr>
              <w:t>2、主要技术参数要求：</w:t>
            </w:r>
          </w:p>
          <w:p w14:paraId="158ED966">
            <w:pPr>
              <w:keepNext w:val="0"/>
              <w:keepLines w:val="0"/>
              <w:pageBreakBefore w:val="0"/>
              <w:widowControl/>
              <w:wordWrap/>
              <w:overflowPunct/>
              <w:topLinePunct w:val="0"/>
              <w:bidi w:val="0"/>
              <w:snapToGrid w:val="0"/>
              <w:spacing w:beforeAutospacing="0" w:afterAutospacing="0" w:line="480" w:lineRule="exact"/>
              <w:ind w:left="0" w:leftChars="0" w:firstLine="0" w:firstLineChars="0"/>
              <w:jc w:val="both"/>
              <w:rPr>
                <w:rFonts w:hint="eastAsia" w:ascii="宋体" w:hAnsi="宋体" w:eastAsia="宋体" w:cs="宋体"/>
                <w:color w:val="auto"/>
                <w:sz w:val="21"/>
                <w:szCs w:val="21"/>
                <w:highlight w:val="none"/>
                <w:lang w:eastAsia="zh-CN"/>
              </w:rPr>
            </w:pPr>
            <w:bookmarkStart w:id="15" w:name="OLE_LINK19"/>
            <w:bookmarkStart w:id="16" w:name="OLE_LINK20"/>
            <w:r>
              <w:rPr>
                <w:rFonts w:hint="eastAsia" w:ascii="宋体" w:hAnsi="宋体" w:eastAsia="宋体" w:cs="宋体"/>
                <w:color w:val="auto"/>
                <w:sz w:val="21"/>
                <w:szCs w:val="21"/>
                <w:highlight w:val="none"/>
                <w:lang w:eastAsia="zh-CN"/>
              </w:rPr>
              <w:t>2.1、测量范围：（</w:t>
            </w:r>
            <w:r>
              <w:rPr>
                <w:rFonts w:hint="eastAsia" w:ascii="宋体" w:hAnsi="宋体" w:eastAsia="宋体" w:cs="宋体"/>
                <w:color w:val="auto"/>
                <w:sz w:val="21"/>
                <w:szCs w:val="21"/>
                <w:highlight w:val="none"/>
                <w:lang w:eastAsia="zh-CN" w:bidi="ar"/>
              </w:rPr>
              <w:t>-0.1</w:t>
            </w:r>
            <w:r>
              <w:rPr>
                <w:rFonts w:hint="default" w:ascii="Arial" w:hAnsi="Arial" w:eastAsia="宋体" w:cs="Arial"/>
                <w:color w:val="auto"/>
                <w:sz w:val="21"/>
                <w:szCs w:val="21"/>
                <w:highlight w:val="none"/>
                <w:lang w:eastAsia="zh-CN"/>
              </w:rPr>
              <w:t>~</w:t>
            </w:r>
            <w:r>
              <w:rPr>
                <w:rFonts w:hint="eastAsia" w:ascii="宋体" w:hAnsi="宋体" w:eastAsia="宋体" w:cs="宋体"/>
                <w:color w:val="auto"/>
                <w:sz w:val="21"/>
                <w:szCs w:val="21"/>
                <w:highlight w:val="none"/>
                <w:lang w:val="en-US" w:eastAsia="zh-CN"/>
              </w:rPr>
              <w:t>60</w:t>
            </w:r>
            <w:r>
              <w:rPr>
                <w:rFonts w:hint="eastAsia" w:ascii="宋体" w:hAnsi="宋体" w:eastAsia="宋体" w:cs="宋体"/>
                <w:color w:val="auto"/>
                <w:sz w:val="21"/>
                <w:szCs w:val="21"/>
                <w:highlight w:val="none"/>
                <w:lang w:eastAsia="zh-CN"/>
              </w:rPr>
              <w:t>）MPa；介质：空气，油或洁净水；</w:t>
            </w:r>
            <w:r>
              <w:rPr>
                <w:rFonts w:hint="eastAsia" w:ascii="宋体" w:hAnsi="宋体" w:eastAsia="宋体" w:cs="宋体"/>
                <w:color w:val="auto"/>
                <w:sz w:val="21"/>
                <w:szCs w:val="21"/>
                <w:highlight w:val="none"/>
                <w:lang w:val="en-US" w:eastAsia="zh-CN"/>
              </w:rPr>
              <w:t>2种压力源：气压源</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eastAsia="zh-CN" w:bidi="ar"/>
              </w:rPr>
              <w:t>-0.1</w:t>
            </w:r>
            <w:r>
              <w:rPr>
                <w:rFonts w:hint="default" w:ascii="Arial" w:hAnsi="Arial" w:eastAsia="宋体" w:cs="Arial"/>
                <w:color w:val="auto"/>
                <w:sz w:val="21"/>
                <w:szCs w:val="21"/>
                <w:highlight w:val="none"/>
                <w:lang w:eastAsia="zh-CN"/>
              </w:rPr>
              <w:t>~</w:t>
            </w:r>
            <w:r>
              <w:rPr>
                <w:rFonts w:hint="eastAsia" w:ascii="宋体" w:hAnsi="宋体" w:eastAsia="宋体" w:cs="宋体"/>
                <w:color w:val="auto"/>
                <w:sz w:val="21"/>
                <w:szCs w:val="21"/>
                <w:highlight w:val="none"/>
                <w:lang w:val="en-US" w:eastAsia="zh-CN"/>
              </w:rPr>
              <w:t>60</w:t>
            </w:r>
            <w:r>
              <w:rPr>
                <w:rFonts w:hint="eastAsia" w:ascii="宋体" w:hAnsi="宋体" w:eastAsia="宋体" w:cs="宋体"/>
                <w:color w:val="auto"/>
                <w:sz w:val="21"/>
                <w:szCs w:val="21"/>
                <w:highlight w:val="none"/>
                <w:lang w:eastAsia="zh-CN"/>
              </w:rPr>
              <w:t>）MPa</w:t>
            </w:r>
            <w:r>
              <w:rPr>
                <w:rFonts w:hint="eastAsia" w:ascii="宋体" w:hAnsi="宋体" w:eastAsia="宋体" w:cs="宋体"/>
                <w:color w:val="auto"/>
                <w:sz w:val="21"/>
                <w:szCs w:val="21"/>
                <w:highlight w:val="none"/>
                <w:lang w:val="en-US" w:eastAsia="zh-CN"/>
              </w:rPr>
              <w:t>、油或水压源</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bidi="ar"/>
              </w:rPr>
              <w:t>0</w:t>
            </w:r>
            <w:r>
              <w:rPr>
                <w:rFonts w:hint="default" w:ascii="Arial" w:hAnsi="Arial" w:eastAsia="宋体" w:cs="Arial"/>
                <w:color w:val="auto"/>
                <w:sz w:val="21"/>
                <w:szCs w:val="21"/>
                <w:highlight w:val="none"/>
                <w:lang w:eastAsia="zh-CN"/>
              </w:rPr>
              <w:t>~</w:t>
            </w:r>
            <w:r>
              <w:rPr>
                <w:rFonts w:hint="eastAsia" w:ascii="宋体" w:hAnsi="宋体" w:eastAsia="宋体" w:cs="宋体"/>
                <w:color w:val="auto"/>
                <w:sz w:val="21"/>
                <w:szCs w:val="21"/>
                <w:highlight w:val="none"/>
                <w:lang w:val="en-US" w:eastAsia="zh-CN"/>
              </w:rPr>
              <w:t>60</w:t>
            </w:r>
            <w:r>
              <w:rPr>
                <w:rFonts w:hint="eastAsia" w:ascii="宋体" w:hAnsi="宋体" w:eastAsia="宋体" w:cs="宋体"/>
                <w:color w:val="auto"/>
                <w:sz w:val="21"/>
                <w:szCs w:val="21"/>
                <w:highlight w:val="none"/>
                <w:lang w:eastAsia="zh-CN"/>
              </w:rPr>
              <w:t>）MPa</w:t>
            </w:r>
            <w:r>
              <w:rPr>
                <w:rFonts w:hint="eastAsia" w:ascii="宋体" w:hAnsi="宋体" w:eastAsia="宋体" w:cs="宋体"/>
                <w:color w:val="auto"/>
                <w:sz w:val="21"/>
                <w:szCs w:val="21"/>
                <w:highlight w:val="none"/>
                <w:lang w:val="en-US" w:eastAsia="zh-CN"/>
              </w:rPr>
              <w:t>。</w:t>
            </w:r>
          </w:p>
          <w:p w14:paraId="03CE7D79">
            <w:pPr>
              <w:keepNext w:val="0"/>
              <w:keepLines w:val="0"/>
              <w:pageBreakBefore w:val="0"/>
              <w:widowControl/>
              <w:wordWrap/>
              <w:overflowPunct/>
              <w:topLinePunct w:val="0"/>
              <w:bidi w:val="0"/>
              <w:snapToGrid w:val="0"/>
              <w:spacing w:beforeAutospacing="0" w:afterAutospacing="0" w:line="480" w:lineRule="exact"/>
              <w:ind w:left="0" w:firstLine="0" w:firstLineChars="0"/>
              <w:rPr>
                <w:rFonts w:hint="eastAsia" w:ascii="宋体" w:hAnsi="宋体" w:eastAsia="宋体" w:cs="宋体"/>
                <w:color w:val="auto"/>
                <w:sz w:val="21"/>
                <w:szCs w:val="21"/>
                <w:highlight w:val="none"/>
                <w:lang w:eastAsia="zh-CN"/>
              </w:rPr>
            </w:pPr>
            <w:bookmarkStart w:id="17" w:name="OLE_LINK78"/>
            <w:bookmarkStart w:id="18" w:name="OLE_LINK77"/>
            <w:r>
              <w:rPr>
                <w:rFonts w:hint="eastAsia" w:ascii="宋体" w:hAnsi="宋体" w:eastAsia="宋体" w:cs="宋体"/>
                <w:color w:val="auto"/>
                <w:sz w:val="21"/>
                <w:szCs w:val="21"/>
                <w:highlight w:val="none"/>
                <w:lang w:eastAsia="zh-CN"/>
              </w:rPr>
              <w:t>2.2、带活塞</w:t>
            </w:r>
            <w:bookmarkStart w:id="19" w:name="OLE_LINK57"/>
            <w:bookmarkStart w:id="20" w:name="OLE_LINK56"/>
            <w:r>
              <w:rPr>
                <w:rFonts w:hint="eastAsia" w:ascii="宋体" w:hAnsi="宋体" w:eastAsia="宋体" w:cs="宋体"/>
                <w:color w:val="auto"/>
                <w:sz w:val="21"/>
                <w:szCs w:val="21"/>
                <w:highlight w:val="none"/>
                <w:lang w:eastAsia="zh-CN"/>
              </w:rPr>
              <w:t>行程显示功能，满行程报警提示、方便客户直观、准确分析控制加减压过程。</w:t>
            </w:r>
          </w:p>
          <w:p w14:paraId="460B6AE0">
            <w:pPr>
              <w:keepNext w:val="0"/>
              <w:keepLines w:val="0"/>
              <w:pageBreakBefore w:val="0"/>
              <w:widowControl/>
              <w:wordWrap/>
              <w:overflowPunct/>
              <w:topLinePunct w:val="0"/>
              <w:bidi w:val="0"/>
              <w:snapToGrid w:val="0"/>
              <w:spacing w:beforeAutospacing="0" w:afterAutospacing="0" w:line="480" w:lineRule="exact"/>
              <w:ind w:left="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2.3、气压源控制精度：0.001</w:t>
            </w:r>
            <w:bookmarkEnd w:id="17"/>
            <w:bookmarkEnd w:id="18"/>
            <w:r>
              <w:rPr>
                <w:rFonts w:hint="eastAsia" w:ascii="宋体" w:hAnsi="宋体" w:eastAsia="宋体" w:cs="宋体"/>
                <w:color w:val="auto"/>
                <w:sz w:val="21"/>
                <w:szCs w:val="21"/>
                <w:highlight w:val="none"/>
                <w:lang w:eastAsia="zh-CN"/>
              </w:rPr>
              <w:t>％F.S。</w:t>
            </w:r>
          </w:p>
          <w:p w14:paraId="571B3A59">
            <w:pPr>
              <w:keepNext w:val="0"/>
              <w:keepLines w:val="0"/>
              <w:pageBreakBefore w:val="0"/>
              <w:widowControl/>
              <w:wordWrap/>
              <w:overflowPunct/>
              <w:topLinePunct w:val="0"/>
              <w:bidi w:val="0"/>
              <w:snapToGrid w:val="0"/>
              <w:spacing w:beforeAutospacing="0" w:afterAutospacing="0" w:line="480" w:lineRule="exact"/>
              <w:ind w:left="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2.4、检定点自动稳</w:t>
            </w:r>
            <w:bookmarkStart w:id="21" w:name="OLE_LINK63"/>
            <w:bookmarkStart w:id="22" w:name="OLE_LINK64"/>
            <w:r>
              <w:rPr>
                <w:rFonts w:hint="eastAsia" w:ascii="宋体" w:hAnsi="宋体" w:eastAsia="宋体" w:cs="宋体"/>
                <w:color w:val="auto"/>
                <w:sz w:val="21"/>
                <w:szCs w:val="21"/>
                <w:highlight w:val="none"/>
                <w:lang w:eastAsia="zh-CN"/>
              </w:rPr>
              <w:t>压</w:t>
            </w:r>
            <w:bookmarkEnd w:id="19"/>
            <w:bookmarkEnd w:id="20"/>
            <w:r>
              <w:rPr>
                <w:rFonts w:hint="eastAsia" w:ascii="宋体" w:hAnsi="宋体" w:eastAsia="宋体" w:cs="宋体"/>
                <w:color w:val="auto"/>
                <w:sz w:val="21"/>
                <w:szCs w:val="21"/>
                <w:highlight w:val="none"/>
                <w:lang w:eastAsia="zh-CN"/>
              </w:rPr>
              <w:t>时</w:t>
            </w:r>
            <w:bookmarkEnd w:id="21"/>
            <w:bookmarkEnd w:id="22"/>
            <w:r>
              <w:rPr>
                <w:rFonts w:hint="eastAsia" w:ascii="宋体" w:hAnsi="宋体" w:eastAsia="宋体" w:cs="宋体"/>
                <w:color w:val="auto"/>
                <w:sz w:val="21"/>
                <w:szCs w:val="21"/>
                <w:highlight w:val="none"/>
                <w:lang w:eastAsia="zh-CN"/>
              </w:rPr>
              <w:t>间：任意设定（3</w:t>
            </w:r>
            <w:r>
              <w:rPr>
                <w:rFonts w:hint="default" w:ascii="Arial" w:hAnsi="Arial" w:eastAsia="宋体" w:cs="Arial"/>
                <w:color w:val="auto"/>
                <w:sz w:val="21"/>
                <w:szCs w:val="21"/>
                <w:highlight w:val="none"/>
                <w:lang w:eastAsia="zh-CN"/>
              </w:rPr>
              <w:t>~</w:t>
            </w:r>
            <w:r>
              <w:rPr>
                <w:rFonts w:hint="eastAsia" w:ascii="宋体" w:hAnsi="宋体" w:eastAsia="宋体" w:cs="宋体"/>
                <w:color w:val="auto"/>
                <w:sz w:val="21"/>
                <w:szCs w:val="21"/>
                <w:highlight w:val="none"/>
                <w:lang w:eastAsia="zh-CN"/>
              </w:rPr>
              <w:t>5）</w:t>
            </w:r>
            <w:r>
              <w:rPr>
                <w:rFonts w:hint="eastAsia" w:ascii="宋体" w:hAnsi="宋体" w:eastAsia="宋体" w:cs="宋体"/>
                <w:color w:val="auto"/>
                <w:sz w:val="21"/>
                <w:szCs w:val="21"/>
                <w:highlight w:val="none"/>
                <w:lang w:val="en-US" w:eastAsia="zh-CN"/>
              </w:rPr>
              <w:t>s</w:t>
            </w:r>
            <w:r>
              <w:rPr>
                <w:rFonts w:hint="eastAsia" w:ascii="宋体" w:hAnsi="宋体" w:eastAsia="宋体" w:cs="宋体"/>
                <w:color w:val="auto"/>
                <w:sz w:val="21"/>
                <w:szCs w:val="21"/>
                <w:highlight w:val="none"/>
                <w:lang w:eastAsia="zh-CN"/>
              </w:rPr>
              <w:t>。</w:t>
            </w:r>
          </w:p>
          <w:p w14:paraId="2AD7EA02">
            <w:pPr>
              <w:keepNext w:val="0"/>
              <w:keepLines w:val="0"/>
              <w:pageBreakBefore w:val="0"/>
              <w:widowControl/>
              <w:wordWrap/>
              <w:overflowPunct/>
              <w:topLinePunct w:val="0"/>
              <w:bidi w:val="0"/>
              <w:snapToGrid w:val="0"/>
              <w:spacing w:beforeAutospacing="0" w:afterAutospacing="0" w:line="480" w:lineRule="exact"/>
              <w:ind w:left="0" w:firstLine="0" w:firstLineChars="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2.5、快速自动增压系统：</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0</w:t>
            </w:r>
            <w:r>
              <w:rPr>
                <w:rFonts w:hint="default" w:ascii="Arial" w:hAnsi="Arial" w:eastAsia="宋体" w:cs="Arial"/>
                <w:color w:val="auto"/>
                <w:sz w:val="21"/>
                <w:szCs w:val="21"/>
                <w:highlight w:val="none"/>
                <w:lang w:eastAsia="zh-CN"/>
              </w:rPr>
              <w:t>~</w:t>
            </w:r>
            <w:r>
              <w:rPr>
                <w:rFonts w:hint="eastAsia" w:ascii="宋体" w:hAnsi="宋体" w:eastAsia="宋体" w:cs="宋体"/>
                <w:color w:val="auto"/>
                <w:sz w:val="21"/>
                <w:szCs w:val="21"/>
                <w:highlight w:val="none"/>
                <w:lang w:eastAsia="zh-CN"/>
              </w:rPr>
              <w:t>100</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MPa控制时间15</w:t>
            </w:r>
            <w:r>
              <w:rPr>
                <w:rFonts w:hint="eastAsia" w:ascii="宋体" w:hAnsi="宋体" w:eastAsia="宋体" w:cs="宋体"/>
                <w:color w:val="auto"/>
                <w:sz w:val="21"/>
                <w:szCs w:val="21"/>
                <w:highlight w:val="none"/>
                <w:lang w:val="en-US" w:eastAsia="zh-CN"/>
              </w:rPr>
              <w:t>s</w:t>
            </w:r>
            <w:r>
              <w:rPr>
                <w:rFonts w:hint="eastAsia" w:ascii="Arial" w:hAnsi="Arial" w:eastAsia="宋体" w:cs="Arial"/>
                <w:color w:val="auto"/>
                <w:sz w:val="21"/>
                <w:szCs w:val="21"/>
                <w:highlight w:val="none"/>
                <w:lang w:val="en-US" w:eastAsia="zh-CN"/>
              </w:rPr>
              <w:t>~</w:t>
            </w:r>
            <w:r>
              <w:rPr>
                <w:rFonts w:hint="eastAsia" w:ascii="宋体" w:hAnsi="宋体" w:eastAsia="宋体" w:cs="宋体"/>
                <w:color w:val="auto"/>
                <w:sz w:val="21"/>
                <w:szCs w:val="21"/>
                <w:highlight w:val="none"/>
                <w:lang w:eastAsia="zh-CN"/>
              </w:rPr>
              <w:t>20</w:t>
            </w:r>
            <w:bookmarkEnd w:id="15"/>
            <w:bookmarkEnd w:id="16"/>
            <w:r>
              <w:rPr>
                <w:rFonts w:hint="eastAsia" w:ascii="宋体" w:hAnsi="宋体" w:eastAsia="宋体" w:cs="宋体"/>
                <w:color w:val="auto"/>
                <w:sz w:val="21"/>
                <w:szCs w:val="21"/>
                <w:highlight w:val="none"/>
                <w:lang w:val="en-US" w:eastAsia="zh-CN"/>
              </w:rPr>
              <w:t>s。</w:t>
            </w:r>
          </w:p>
          <w:p w14:paraId="06EB02A5">
            <w:pPr>
              <w:keepNext w:val="0"/>
              <w:keepLines w:val="0"/>
              <w:pageBreakBefore w:val="0"/>
              <w:widowControl/>
              <w:kinsoku/>
              <w:wordWrap/>
              <w:overflowPunct/>
              <w:topLinePunct w:val="0"/>
              <w:autoSpaceDE/>
              <w:autoSpaceDN/>
              <w:bidi w:val="0"/>
              <w:adjustRightInd/>
              <w:snapToGrid w:val="0"/>
              <w:spacing w:beforeAutospacing="0" w:afterAutospacing="0" w:line="480" w:lineRule="exact"/>
              <w:ind w:left="0" w:firstLine="0" w:firstLineChars="0"/>
              <w:textAlignment w:val="auto"/>
              <w:outlineLvl w:val="2"/>
              <w:rPr>
                <w:rFonts w:hint="eastAsia" w:ascii="宋体" w:hAnsi="宋体" w:eastAsia="宋体" w:cs="宋体"/>
                <w:b/>
                <w:bCs/>
                <w:snapToGrid/>
                <w:color w:val="auto"/>
                <w:sz w:val="21"/>
                <w:szCs w:val="21"/>
                <w:highlight w:val="none"/>
                <w:lang w:eastAsia="zh-CN"/>
              </w:rPr>
            </w:pPr>
            <w:r>
              <w:rPr>
                <w:rFonts w:hint="eastAsia" w:ascii="宋体" w:hAnsi="宋体" w:eastAsia="宋体" w:cs="宋体"/>
                <w:b/>
                <w:bCs/>
                <w:snapToGrid/>
                <w:color w:val="auto"/>
                <w:sz w:val="21"/>
                <w:szCs w:val="21"/>
                <w:highlight w:val="none"/>
                <w:lang w:eastAsia="zh-CN"/>
              </w:rPr>
              <w:t xml:space="preserve">3、 配置及参数要求： </w:t>
            </w:r>
          </w:p>
          <w:p w14:paraId="6F8A6685">
            <w:pPr>
              <w:keepNext w:val="0"/>
              <w:keepLines w:val="0"/>
              <w:pageBreakBefore w:val="0"/>
              <w:widowControl/>
              <w:wordWrap/>
              <w:overflowPunct/>
              <w:topLinePunct w:val="0"/>
              <w:bidi w:val="0"/>
              <w:snapToGrid w:val="0"/>
              <w:spacing w:beforeAutospacing="0" w:afterAutospacing="0" w:line="480" w:lineRule="exact"/>
              <w:ind w:left="0" w:firstLine="0" w:firstLineChars="0"/>
              <w:rPr>
                <w:rFonts w:hint="eastAsia" w:ascii="宋体" w:hAnsi="宋体" w:eastAsia="宋体" w:cs="宋体"/>
                <w:color w:val="auto"/>
                <w:sz w:val="21"/>
                <w:szCs w:val="21"/>
                <w:highlight w:val="none"/>
                <w:lang w:eastAsia="zh-CN"/>
              </w:rPr>
            </w:pPr>
            <w:bookmarkStart w:id="23" w:name="OLE_LINK75"/>
            <w:bookmarkStart w:id="24" w:name="OLE_LINK76"/>
            <w:bookmarkStart w:id="25" w:name="OLE_LINK34"/>
            <w:bookmarkStart w:id="26" w:name="OLE_LINK79"/>
            <w:bookmarkStart w:id="27" w:name="OLE_LINK33"/>
            <w:r>
              <w:rPr>
                <w:rFonts w:hint="eastAsia" w:ascii="宋体" w:hAnsi="宋体" w:eastAsia="宋体" w:cs="宋体"/>
                <w:color w:val="auto"/>
                <w:sz w:val="21"/>
                <w:szCs w:val="21"/>
                <w:highlight w:val="none"/>
                <w:lang w:eastAsia="zh-CN"/>
              </w:rPr>
              <w:t>★</w:t>
            </w:r>
            <w:r>
              <w:rPr>
                <w:rFonts w:hint="eastAsia" w:ascii="宋体" w:hAnsi="宋体" w:eastAsia="宋体" w:cs="宋体"/>
                <w:bCs/>
                <w:snapToGrid/>
                <w:color w:val="auto"/>
                <w:sz w:val="21"/>
                <w:szCs w:val="21"/>
                <w:highlight w:val="none"/>
                <w:lang w:eastAsia="zh-CN"/>
              </w:rPr>
              <w:t>3.1、</w:t>
            </w:r>
            <w:r>
              <w:rPr>
                <w:rFonts w:hint="eastAsia" w:ascii="宋体" w:hAnsi="宋体" w:eastAsia="宋体" w:cs="宋体"/>
                <w:color w:val="auto"/>
                <w:sz w:val="21"/>
                <w:szCs w:val="21"/>
                <w:highlight w:val="none"/>
                <w:lang w:eastAsia="zh-CN"/>
              </w:rPr>
              <w:t>标准表准确度等级不低于0.05级。</w:t>
            </w:r>
          </w:p>
          <w:p w14:paraId="2F1790DC">
            <w:pPr>
              <w:keepNext w:val="0"/>
              <w:keepLines w:val="0"/>
              <w:pageBreakBefore w:val="0"/>
              <w:widowControl/>
              <w:kinsoku/>
              <w:wordWrap/>
              <w:overflowPunct/>
              <w:topLinePunct w:val="0"/>
              <w:autoSpaceDE/>
              <w:autoSpaceDN/>
              <w:bidi w:val="0"/>
              <w:snapToGrid w:val="0"/>
              <w:spacing w:beforeAutospacing="0" w:afterAutospacing="0" w:line="480" w:lineRule="exact"/>
              <w:ind w:left="0" w:hanging="525" w:hangingChars="250"/>
              <w:textAlignment w:val="auto"/>
              <w:outlineLvl w:val="2"/>
              <w:rPr>
                <w:rStyle w:val="15"/>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rPr>
              <w:t xml:space="preserve">★3.2、 </w:t>
            </w:r>
            <w:r>
              <w:rPr>
                <w:rStyle w:val="15"/>
                <w:rFonts w:hint="eastAsia" w:ascii="宋体" w:hAnsi="宋体" w:eastAsia="宋体" w:cs="宋体"/>
                <w:color w:val="auto"/>
                <w:sz w:val="21"/>
                <w:szCs w:val="21"/>
                <w:highlight w:val="none"/>
                <w:lang w:eastAsia="zh-CN" w:bidi="ar"/>
              </w:rPr>
              <w:t>配备10块标准表，范围如下：（0-60）MPa、（0-25）MPa、（0-16）MPa、（0-6）MPa、（0-2.5）MPa、（0-1）MPa、（0-0.4）MPa、（0-0.25）MPa、（-0.1-0）MPa、（0-100）KPa。</w:t>
            </w:r>
          </w:p>
          <w:bookmarkEnd w:id="23"/>
          <w:bookmarkEnd w:id="24"/>
          <w:p w14:paraId="1341C37A">
            <w:pPr>
              <w:keepNext w:val="0"/>
              <w:keepLines w:val="0"/>
              <w:pageBreakBefore w:val="0"/>
              <w:widowControl/>
              <w:wordWrap/>
              <w:overflowPunct/>
              <w:topLinePunct w:val="0"/>
              <w:bidi w:val="0"/>
              <w:snapToGrid w:val="0"/>
              <w:spacing w:beforeAutospacing="0" w:afterAutospacing="0" w:line="480" w:lineRule="exact"/>
              <w:ind w:left="0" w:hanging="525" w:hangingChars="250"/>
              <w:rPr>
                <w:rFonts w:hint="eastAsia" w:ascii="宋体" w:hAnsi="宋体" w:eastAsia="宋体" w:cs="宋体"/>
                <w:color w:val="auto"/>
                <w:sz w:val="21"/>
                <w:szCs w:val="21"/>
                <w:highlight w:val="none"/>
              </w:rPr>
            </w:pPr>
            <w:bookmarkStart w:id="28" w:name="OLE_LINK58"/>
            <w:bookmarkStart w:id="29" w:name="OLE_LINK55"/>
            <w:r>
              <w:rPr>
                <w:rFonts w:hint="eastAsia" w:ascii="宋体" w:hAnsi="宋体" w:eastAsia="宋体" w:cs="宋体"/>
                <w:color w:val="auto"/>
                <w:sz w:val="21"/>
                <w:szCs w:val="21"/>
                <w:highlight w:val="none"/>
              </w:rPr>
              <w:t>3.3、</w:t>
            </w:r>
            <w:bookmarkStart w:id="30" w:name="OLE_LINK50"/>
            <w:bookmarkStart w:id="31" w:name="OLE_LINK51"/>
            <w:bookmarkStart w:id="32" w:name="OLE_LINK48"/>
            <w:bookmarkStart w:id="33" w:name="OLE_LINK49"/>
            <w:r>
              <w:rPr>
                <w:rFonts w:hint="eastAsia" w:ascii="宋体" w:hAnsi="宋体" w:eastAsia="宋体" w:cs="宋体"/>
                <w:color w:val="auto"/>
                <w:sz w:val="21"/>
                <w:szCs w:val="21"/>
                <w:highlight w:val="none"/>
                <w:lang w:eastAsia="zh-CN"/>
              </w:rPr>
              <w:t>原装传感器。高精度</w:t>
            </w:r>
            <w:bookmarkStart w:id="34" w:name="OLE_LINK82"/>
            <w:bookmarkStart w:id="35" w:name="OLE_LINK83"/>
            <w:r>
              <w:rPr>
                <w:rFonts w:hint="eastAsia" w:ascii="宋体" w:hAnsi="宋体" w:eastAsia="宋体" w:cs="宋体"/>
                <w:color w:val="auto"/>
                <w:sz w:val="21"/>
                <w:szCs w:val="21"/>
                <w:highlight w:val="none"/>
                <w:lang w:eastAsia="zh-CN"/>
              </w:rPr>
              <w:t>，多功能</w:t>
            </w:r>
            <w:bookmarkEnd w:id="34"/>
            <w:bookmarkEnd w:id="35"/>
            <w:r>
              <w:rPr>
                <w:rFonts w:hint="eastAsia" w:ascii="宋体" w:hAnsi="宋体" w:eastAsia="宋体" w:cs="宋体"/>
                <w:color w:val="auto"/>
                <w:sz w:val="21"/>
                <w:szCs w:val="21"/>
                <w:highlight w:val="none"/>
                <w:lang w:eastAsia="zh-CN"/>
              </w:rPr>
              <w:t>，可检测、普通精密压力表、数字压力计、压力变送器、压力开关、压力</w:t>
            </w:r>
            <w:bookmarkStart w:id="36" w:name="OLE_LINK72"/>
            <w:bookmarkStart w:id="37" w:name="OLE_LINK71"/>
            <w:r>
              <w:rPr>
                <w:rFonts w:hint="eastAsia" w:ascii="宋体" w:hAnsi="宋体" w:eastAsia="宋体" w:cs="宋体"/>
                <w:color w:val="auto"/>
                <w:sz w:val="21"/>
                <w:szCs w:val="21"/>
                <w:highlight w:val="none"/>
                <w:lang w:eastAsia="zh-CN"/>
              </w:rPr>
              <w:t>传感器等。</w:t>
            </w:r>
            <w:bookmarkEnd w:id="36"/>
            <w:bookmarkEnd w:id="37"/>
            <w:r>
              <w:rPr>
                <w:rFonts w:hint="eastAsia" w:ascii="宋体" w:hAnsi="宋体" w:eastAsia="宋体" w:cs="宋体"/>
                <w:color w:val="auto"/>
                <w:sz w:val="21"/>
                <w:szCs w:val="21"/>
                <w:highlight w:val="none"/>
                <w:lang w:eastAsia="zh-CN"/>
              </w:rPr>
              <w:t>锂电池，24V供电电源。</w:t>
            </w:r>
            <w:bookmarkEnd w:id="30"/>
            <w:bookmarkEnd w:id="31"/>
            <w:r>
              <w:rPr>
                <w:rFonts w:hint="eastAsia" w:ascii="宋体" w:hAnsi="宋体" w:eastAsia="宋体" w:cs="宋体"/>
                <w:color w:val="auto"/>
                <w:sz w:val="21"/>
                <w:szCs w:val="21"/>
                <w:highlight w:val="none"/>
                <w:lang w:eastAsia="zh-CN"/>
              </w:rPr>
              <w:t>压力、电流、电压准6位显示。</w:t>
            </w:r>
            <w:bookmarkEnd w:id="32"/>
            <w:bookmarkEnd w:id="33"/>
            <w:r>
              <w:rPr>
                <w:rFonts w:hint="eastAsia" w:ascii="宋体" w:hAnsi="宋体" w:eastAsia="宋体" w:cs="宋体"/>
                <w:color w:val="auto"/>
                <w:sz w:val="21"/>
                <w:szCs w:val="21"/>
                <w:highlight w:val="none"/>
                <w:lang w:eastAsia="zh-CN"/>
              </w:rPr>
              <w:t>温度自动补偿功能。</w:t>
            </w:r>
          </w:p>
          <w:bookmarkEnd w:id="25"/>
          <w:bookmarkEnd w:id="26"/>
          <w:bookmarkEnd w:id="27"/>
          <w:bookmarkEnd w:id="28"/>
          <w:bookmarkEnd w:id="29"/>
          <w:p w14:paraId="30D4384F">
            <w:pPr>
              <w:keepNext w:val="0"/>
              <w:keepLines w:val="0"/>
              <w:pageBreakBefore w:val="0"/>
              <w:widowControl/>
              <w:kinsoku/>
              <w:wordWrap/>
              <w:overflowPunct/>
              <w:topLinePunct w:val="0"/>
              <w:autoSpaceDE/>
              <w:autoSpaceDN/>
              <w:bidi w:val="0"/>
              <w:adjustRightInd/>
              <w:snapToGrid w:val="0"/>
              <w:spacing w:beforeAutospacing="0" w:afterAutospacing="0" w:line="480" w:lineRule="exact"/>
              <w:ind w:left="0" w:firstLine="0" w:firstLineChars="0"/>
              <w:textAlignment w:val="auto"/>
              <w:outlineLvl w:val="2"/>
              <w:rPr>
                <w:rFonts w:hint="eastAsia" w:ascii="宋体" w:hAnsi="宋体" w:eastAsia="宋体" w:cs="宋体"/>
                <w:b/>
                <w:bCs/>
                <w:snapToGrid/>
                <w:color w:val="auto"/>
                <w:sz w:val="21"/>
                <w:szCs w:val="21"/>
                <w:highlight w:val="none"/>
                <w:lang w:eastAsia="zh-CN"/>
              </w:rPr>
            </w:pPr>
            <w:r>
              <w:rPr>
                <w:rFonts w:hint="eastAsia" w:ascii="宋体" w:hAnsi="宋体" w:eastAsia="宋体" w:cs="宋体"/>
                <w:b/>
                <w:bCs/>
                <w:snapToGrid/>
                <w:color w:val="auto"/>
                <w:sz w:val="21"/>
                <w:szCs w:val="21"/>
                <w:highlight w:val="none"/>
                <w:lang w:eastAsia="zh-CN"/>
              </w:rPr>
              <w:t xml:space="preserve">4、计算机与软件要求： </w:t>
            </w:r>
          </w:p>
          <w:p w14:paraId="0A617B5E">
            <w:pPr>
              <w:keepNext w:val="0"/>
              <w:keepLines w:val="0"/>
              <w:pageBreakBefore w:val="0"/>
              <w:widowControl/>
              <w:kinsoku/>
              <w:wordWrap/>
              <w:overflowPunct/>
              <w:topLinePunct w:val="0"/>
              <w:autoSpaceDE/>
              <w:autoSpaceDN/>
              <w:bidi w:val="0"/>
              <w:adjustRightInd/>
              <w:snapToGrid w:val="0"/>
              <w:spacing w:beforeAutospacing="0" w:afterAutospacing="0" w:line="480" w:lineRule="exact"/>
              <w:ind w:left="0" w:firstLine="0" w:firstLineChars="0"/>
              <w:textAlignment w:val="auto"/>
              <w:outlineLvl w:val="2"/>
              <w:rPr>
                <w:rFonts w:hint="eastAsia" w:ascii="宋体" w:hAnsi="宋体" w:eastAsia="宋体" w:cs="宋体"/>
                <w:color w:val="auto"/>
                <w:sz w:val="21"/>
                <w:szCs w:val="21"/>
                <w:highlight w:val="none"/>
                <w:lang w:eastAsia="zh-CN"/>
              </w:rPr>
            </w:pPr>
            <w:bookmarkStart w:id="38" w:name="OLE_LINK62"/>
            <w:bookmarkStart w:id="39" w:name="OLE_LINK61"/>
            <w:r>
              <w:rPr>
                <w:rFonts w:hint="eastAsia" w:ascii="宋体" w:hAnsi="宋体" w:eastAsia="宋体" w:cs="宋体"/>
                <w:color w:val="auto"/>
                <w:sz w:val="21"/>
                <w:szCs w:val="21"/>
                <w:highlight w:val="none"/>
                <w:lang w:eastAsia="zh-CN"/>
              </w:rPr>
              <w:t xml:space="preserve">    软件可联机自动控制、自动采集、自动换算、可存储及打印功能</w:t>
            </w:r>
          </w:p>
          <w:bookmarkEnd w:id="38"/>
          <w:bookmarkEnd w:id="39"/>
          <w:p w14:paraId="3AA36BC0">
            <w:pPr>
              <w:keepNext w:val="0"/>
              <w:keepLines w:val="0"/>
              <w:pageBreakBefore w:val="0"/>
              <w:widowControl/>
              <w:kinsoku/>
              <w:wordWrap/>
              <w:overflowPunct/>
              <w:topLinePunct w:val="0"/>
              <w:autoSpaceDE/>
              <w:autoSpaceDN/>
              <w:bidi w:val="0"/>
              <w:adjustRightInd/>
              <w:snapToGrid w:val="0"/>
              <w:spacing w:beforeAutospacing="0" w:afterAutospacing="0" w:line="480" w:lineRule="exact"/>
              <w:ind w:left="0" w:firstLine="0" w:firstLineChars="0"/>
              <w:textAlignment w:val="auto"/>
              <w:outlineLvl w:val="2"/>
              <w:rPr>
                <w:rFonts w:hint="eastAsia" w:ascii="宋体" w:hAnsi="宋体" w:eastAsia="宋体" w:cs="宋体"/>
                <w:b/>
                <w:bCs/>
                <w:snapToGrid/>
                <w:color w:val="auto"/>
                <w:sz w:val="21"/>
                <w:szCs w:val="21"/>
                <w:highlight w:val="none"/>
                <w:lang w:eastAsia="zh-CN"/>
              </w:rPr>
            </w:pPr>
            <w:r>
              <w:rPr>
                <w:rFonts w:hint="eastAsia" w:ascii="宋体" w:hAnsi="宋体" w:eastAsia="宋体" w:cs="宋体"/>
                <w:b/>
                <w:bCs/>
                <w:snapToGrid/>
                <w:color w:val="auto"/>
                <w:sz w:val="21"/>
                <w:szCs w:val="21"/>
                <w:highlight w:val="none"/>
                <w:lang w:eastAsia="zh-CN"/>
              </w:rPr>
              <w:t xml:space="preserve">5、耗材配置要求： </w:t>
            </w:r>
          </w:p>
          <w:p w14:paraId="1EEB21A3">
            <w:pPr>
              <w:keepNext w:val="0"/>
              <w:keepLines w:val="0"/>
              <w:pageBreakBefore w:val="0"/>
              <w:widowControl/>
              <w:kinsoku/>
              <w:wordWrap/>
              <w:overflowPunct/>
              <w:topLinePunct w:val="0"/>
              <w:autoSpaceDE/>
              <w:autoSpaceDN/>
              <w:bidi w:val="0"/>
              <w:adjustRightInd/>
              <w:snapToGrid w:val="0"/>
              <w:spacing w:beforeAutospacing="0" w:afterAutospacing="0" w:line="480" w:lineRule="exact"/>
              <w:ind w:left="0" w:firstLine="315" w:firstLineChars="150"/>
              <w:textAlignment w:val="auto"/>
              <w:rPr>
                <w:rFonts w:hint="eastAsia" w:ascii="宋体" w:hAnsi="宋体" w:eastAsia="宋体" w:cs="宋体"/>
                <w:snapToGrid/>
                <w:color w:val="auto"/>
                <w:sz w:val="21"/>
                <w:szCs w:val="21"/>
                <w:highlight w:val="none"/>
                <w:lang w:eastAsia="zh-CN"/>
              </w:rPr>
            </w:pPr>
            <w:bookmarkStart w:id="40" w:name="OLE_LINK66"/>
            <w:bookmarkStart w:id="41" w:name="OLE_LINK65"/>
            <w:r>
              <w:rPr>
                <w:rFonts w:hint="eastAsia" w:ascii="宋体" w:hAnsi="宋体" w:eastAsia="宋体" w:cs="宋体"/>
                <w:snapToGrid/>
                <w:color w:val="auto"/>
                <w:sz w:val="21"/>
                <w:szCs w:val="21"/>
                <w:highlight w:val="none"/>
                <w:lang w:eastAsia="zh-CN"/>
              </w:rPr>
              <w:t>10号变压器油x1瓶，O型圈X10个</w:t>
            </w:r>
          </w:p>
          <w:bookmarkEnd w:id="40"/>
          <w:bookmarkEnd w:id="41"/>
          <w:p w14:paraId="64653803">
            <w:pPr>
              <w:pageBreakBefore w:val="0"/>
              <w:numPr>
                <w:ilvl w:val="0"/>
                <w:numId w:val="0"/>
              </w:numPr>
              <w:wordWrap/>
              <w:overflowPunct/>
              <w:topLinePunct w:val="0"/>
              <w:bidi w:val="0"/>
              <w:spacing w:beforeAutospacing="0" w:afterAutospacing="0" w:line="480" w:lineRule="exact"/>
              <w:ind w:left="0" w:leftChars="0"/>
              <w:jc w:val="left"/>
              <w:rPr>
                <w:rFonts w:hint="eastAsia" w:ascii="宋体" w:hAnsi="宋体" w:eastAsia="宋体" w:cs="宋体"/>
                <w:b/>
                <w:bCs/>
                <w:snapToGrid/>
                <w:color w:val="auto"/>
                <w:sz w:val="21"/>
                <w:szCs w:val="21"/>
                <w:highlight w:val="none"/>
                <w:lang w:val="en-US" w:eastAsia="zh-CN"/>
              </w:rPr>
            </w:pPr>
          </w:p>
        </w:tc>
      </w:tr>
      <w:tr w14:paraId="0BE60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7" w:type="dxa"/>
            <w:vAlign w:val="center"/>
          </w:tcPr>
          <w:p w14:paraId="5E3E8E90">
            <w:pPr>
              <w:pStyle w:val="6"/>
              <w:pageBreakBefore w:val="0"/>
              <w:wordWrap/>
              <w:overflowPunct/>
              <w:topLinePunct w:val="0"/>
              <w:bidi w:val="0"/>
              <w:spacing w:beforeAutospacing="0" w:after="0" w:afterAutospacing="0" w:line="480" w:lineRule="exact"/>
              <w:ind w:left="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20</w:t>
            </w:r>
          </w:p>
        </w:tc>
        <w:tc>
          <w:tcPr>
            <w:tcW w:w="1605" w:type="dxa"/>
            <w:vAlign w:val="center"/>
          </w:tcPr>
          <w:p w14:paraId="78D0556B">
            <w:pPr>
              <w:pStyle w:val="6"/>
              <w:pageBreakBefore w:val="0"/>
              <w:wordWrap/>
              <w:overflowPunct/>
              <w:topLinePunct w:val="0"/>
              <w:bidi w:val="0"/>
              <w:spacing w:beforeAutospacing="0" w:after="0" w:afterAutospacing="0" w:line="480" w:lineRule="exact"/>
              <w:ind w:left="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现场全自动压力校验仪</w:t>
            </w:r>
          </w:p>
        </w:tc>
        <w:tc>
          <w:tcPr>
            <w:tcW w:w="12382" w:type="dxa"/>
            <w:vAlign w:val="top"/>
          </w:tcPr>
          <w:p w14:paraId="5052BEAC">
            <w:pPr>
              <w:keepNext w:val="0"/>
              <w:keepLines w:val="0"/>
              <w:pageBreakBefore w:val="0"/>
              <w:widowControl/>
              <w:kinsoku/>
              <w:wordWrap/>
              <w:overflowPunct/>
              <w:topLinePunct w:val="0"/>
              <w:autoSpaceDE/>
              <w:autoSpaceDN/>
              <w:bidi w:val="0"/>
              <w:adjustRightInd/>
              <w:snapToGrid w:val="0"/>
              <w:spacing w:beforeAutospacing="0" w:afterAutospacing="0" w:line="480" w:lineRule="exact"/>
              <w:ind w:left="0" w:firstLine="0" w:firstLineChars="0"/>
              <w:textAlignment w:val="auto"/>
              <w:outlineLvl w:val="2"/>
              <w:rPr>
                <w:rFonts w:hint="eastAsia" w:ascii="宋体" w:hAnsi="宋体" w:eastAsia="宋体" w:cs="宋体"/>
                <w:b/>
                <w:bCs/>
                <w:snapToGrid/>
                <w:color w:val="auto"/>
                <w:sz w:val="21"/>
                <w:szCs w:val="21"/>
                <w:highlight w:val="none"/>
                <w:lang w:eastAsia="zh-CN"/>
              </w:rPr>
            </w:pPr>
            <w:r>
              <w:rPr>
                <w:rFonts w:hint="eastAsia" w:ascii="宋体" w:hAnsi="宋体" w:eastAsia="宋体" w:cs="宋体"/>
                <w:b/>
                <w:bCs/>
                <w:snapToGrid/>
                <w:color w:val="auto"/>
                <w:sz w:val="21"/>
                <w:szCs w:val="21"/>
                <w:highlight w:val="none"/>
                <w:lang w:val="en-US" w:eastAsia="zh-CN"/>
              </w:rPr>
              <w:t>1、</w:t>
            </w:r>
            <w:r>
              <w:rPr>
                <w:rFonts w:hint="eastAsia" w:ascii="宋体" w:hAnsi="宋体" w:eastAsia="宋体" w:cs="宋体"/>
                <w:b/>
                <w:bCs/>
                <w:snapToGrid/>
                <w:color w:val="auto"/>
                <w:sz w:val="21"/>
                <w:szCs w:val="21"/>
                <w:highlight w:val="none"/>
                <w:lang w:eastAsia="zh-CN"/>
              </w:rPr>
              <w:t>用途及应用要求</w:t>
            </w:r>
            <w:r>
              <w:rPr>
                <w:rFonts w:hint="eastAsia" w:ascii="宋体" w:hAnsi="宋体" w:eastAsia="宋体" w:cs="宋体"/>
                <w:bCs/>
                <w:snapToGrid/>
                <w:color w:val="auto"/>
                <w:sz w:val="21"/>
                <w:szCs w:val="21"/>
                <w:highlight w:val="none"/>
                <w:lang w:eastAsia="zh-CN"/>
              </w:rPr>
              <w:t xml:space="preserve">： </w:t>
            </w:r>
          </w:p>
          <w:p w14:paraId="1A8547FC">
            <w:pPr>
              <w:keepNext w:val="0"/>
              <w:keepLines w:val="0"/>
              <w:pageBreakBefore w:val="0"/>
              <w:widowControl/>
              <w:kinsoku/>
              <w:wordWrap/>
              <w:overflowPunct/>
              <w:topLinePunct w:val="0"/>
              <w:autoSpaceDE/>
              <w:autoSpaceDN/>
              <w:bidi w:val="0"/>
              <w:adjustRightInd/>
              <w:snapToGrid w:val="0"/>
              <w:spacing w:beforeAutospacing="0" w:afterAutospacing="0" w:line="480" w:lineRule="exact"/>
              <w:ind w:left="0" w:firstLine="315" w:firstLineChars="150"/>
              <w:textAlignment w:val="auto"/>
              <w:rPr>
                <w:rFonts w:hint="eastAsia" w:ascii="宋体" w:hAnsi="宋体" w:eastAsia="宋体" w:cs="宋体"/>
                <w:snapToGrid/>
                <w:color w:val="auto"/>
                <w:sz w:val="21"/>
                <w:szCs w:val="21"/>
                <w:highlight w:val="none"/>
                <w:lang w:eastAsia="zh-CN"/>
              </w:rPr>
            </w:pPr>
            <w:r>
              <w:rPr>
                <w:rFonts w:hint="eastAsia" w:ascii="宋体" w:hAnsi="宋体" w:eastAsia="宋体" w:cs="宋体"/>
                <w:snapToGrid/>
                <w:color w:val="auto"/>
                <w:sz w:val="21"/>
                <w:szCs w:val="21"/>
                <w:highlight w:val="none"/>
                <w:lang w:eastAsia="zh-CN"/>
              </w:rPr>
              <w:t>设备用于检定：</w:t>
            </w:r>
            <w:r>
              <w:rPr>
                <w:rFonts w:hint="eastAsia" w:ascii="宋体" w:hAnsi="宋体" w:eastAsia="宋体" w:cs="宋体"/>
                <w:color w:val="auto"/>
                <w:sz w:val="21"/>
                <w:szCs w:val="21"/>
                <w:highlight w:val="none"/>
                <w:lang w:eastAsia="zh-CN"/>
              </w:rPr>
              <w:t>普通精密压力表、数字压力计、压力变送器、压力开关、压力传感器等。满足JJG 49-2013 弹性元件式精密压力表和真空表；JJG 52-2013 弹性元件式一般压力表、压力真空表和真空表；JJG 875-2019 数字压力计检定规程；JJG 882-2019 压力变送器检定规程；（以上规程为最新实施版本）要求，作为标准器，检定范围覆盖全量程，可检测，压力、电流电压准6位显示，温度自动补偿。压力波动度≤0.01％F.S。</w:t>
            </w:r>
          </w:p>
          <w:p w14:paraId="1BD97FA0">
            <w:pPr>
              <w:keepNext w:val="0"/>
              <w:keepLines w:val="0"/>
              <w:pageBreakBefore w:val="0"/>
              <w:widowControl/>
              <w:kinsoku/>
              <w:wordWrap/>
              <w:overflowPunct/>
              <w:topLinePunct w:val="0"/>
              <w:autoSpaceDE/>
              <w:autoSpaceDN/>
              <w:bidi w:val="0"/>
              <w:adjustRightInd/>
              <w:snapToGrid w:val="0"/>
              <w:spacing w:beforeAutospacing="0" w:afterAutospacing="0" w:line="480" w:lineRule="exact"/>
              <w:ind w:left="0" w:firstLine="0" w:firstLineChars="0"/>
              <w:textAlignment w:val="auto"/>
              <w:outlineLvl w:val="2"/>
              <w:rPr>
                <w:rFonts w:hint="eastAsia" w:ascii="宋体" w:hAnsi="宋体" w:eastAsia="宋体" w:cs="宋体"/>
                <w:b/>
                <w:bCs/>
                <w:snapToGrid/>
                <w:color w:val="auto"/>
                <w:sz w:val="21"/>
                <w:szCs w:val="21"/>
                <w:highlight w:val="none"/>
                <w:lang w:eastAsia="zh-CN"/>
              </w:rPr>
            </w:pPr>
            <w:r>
              <w:rPr>
                <w:rFonts w:hint="eastAsia" w:ascii="宋体" w:hAnsi="宋体" w:eastAsia="宋体" w:cs="宋体"/>
                <w:b/>
                <w:bCs/>
                <w:snapToGrid/>
                <w:color w:val="auto"/>
                <w:sz w:val="21"/>
                <w:szCs w:val="21"/>
                <w:highlight w:val="none"/>
                <w:lang w:eastAsia="zh-CN"/>
              </w:rPr>
              <w:t>2、主要技术参数要求：</w:t>
            </w:r>
          </w:p>
          <w:p w14:paraId="3769AEE5">
            <w:pPr>
              <w:keepNext w:val="0"/>
              <w:keepLines w:val="0"/>
              <w:pageBreakBefore w:val="0"/>
              <w:widowControl/>
              <w:wordWrap/>
              <w:overflowPunct/>
              <w:topLinePunct w:val="0"/>
              <w:bidi w:val="0"/>
              <w:snapToGrid w:val="0"/>
              <w:spacing w:beforeAutospacing="0" w:afterAutospacing="0" w:line="480" w:lineRule="exact"/>
              <w:ind w:left="0" w:leftChars="0" w:firstLine="0" w:firstLine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2.1、</w:t>
            </w:r>
            <w:r>
              <w:rPr>
                <w:rStyle w:val="15"/>
                <w:rFonts w:hint="eastAsia" w:ascii="宋体" w:hAnsi="宋体" w:eastAsia="宋体" w:cs="宋体"/>
                <w:color w:val="auto"/>
                <w:sz w:val="21"/>
                <w:szCs w:val="21"/>
                <w:highlight w:val="none"/>
                <w:lang w:eastAsia="zh-CN" w:bidi="ar"/>
              </w:rPr>
              <w:t>测量范围：（</w:t>
            </w:r>
            <w:r>
              <w:rPr>
                <w:rFonts w:hint="eastAsia" w:ascii="宋体" w:hAnsi="宋体" w:eastAsia="宋体" w:cs="宋体"/>
                <w:color w:val="auto"/>
                <w:sz w:val="21"/>
                <w:szCs w:val="21"/>
                <w:highlight w:val="none"/>
                <w:lang w:eastAsia="zh-CN" w:bidi="ar"/>
              </w:rPr>
              <w:t>-0.1</w:t>
            </w:r>
            <w:r>
              <w:rPr>
                <w:rFonts w:hint="default" w:ascii="Arial" w:hAnsi="Arial" w:eastAsia="宋体" w:cs="Arial"/>
                <w:color w:val="auto"/>
                <w:sz w:val="21"/>
                <w:szCs w:val="21"/>
                <w:highlight w:val="none"/>
                <w:lang w:val="en-US" w:eastAsia="zh-CN" w:bidi="ar"/>
              </w:rPr>
              <w:t>~</w:t>
            </w:r>
            <w:r>
              <w:rPr>
                <w:rFonts w:hint="eastAsia" w:ascii="宋体" w:hAnsi="宋体" w:eastAsia="宋体" w:cs="宋体"/>
                <w:color w:val="auto"/>
                <w:sz w:val="21"/>
                <w:szCs w:val="21"/>
                <w:highlight w:val="none"/>
                <w:lang w:val="en-US" w:eastAsia="zh-CN" w:bidi="ar"/>
              </w:rPr>
              <w:t>6</w:t>
            </w:r>
            <w:r>
              <w:rPr>
                <w:rFonts w:hint="eastAsia" w:ascii="宋体" w:hAnsi="宋体" w:eastAsia="宋体" w:cs="宋体"/>
                <w:color w:val="auto"/>
                <w:sz w:val="21"/>
                <w:szCs w:val="21"/>
                <w:highlight w:val="none"/>
                <w:lang w:eastAsia="zh-CN" w:bidi="ar"/>
              </w:rPr>
              <w:t>0</w:t>
            </w:r>
            <w:r>
              <w:rPr>
                <w:rStyle w:val="15"/>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eastAsia="zh-CN" w:bidi="ar"/>
              </w:rPr>
              <w:t xml:space="preserve">MPa.  </w:t>
            </w:r>
            <w:r>
              <w:rPr>
                <w:rStyle w:val="15"/>
                <w:rFonts w:hint="eastAsia" w:ascii="宋体" w:hAnsi="宋体" w:eastAsia="宋体" w:cs="宋体"/>
                <w:color w:val="auto"/>
                <w:sz w:val="21"/>
                <w:szCs w:val="21"/>
                <w:highlight w:val="none"/>
                <w:lang w:eastAsia="zh-CN" w:bidi="ar"/>
              </w:rPr>
              <w:t>准确度等级</w:t>
            </w:r>
            <w:r>
              <w:rPr>
                <w:rStyle w:val="15"/>
                <w:rFonts w:hint="eastAsia" w:ascii="宋体" w:hAnsi="宋体" w:eastAsia="宋体" w:cs="宋体"/>
                <w:color w:val="auto"/>
                <w:sz w:val="21"/>
                <w:szCs w:val="21"/>
                <w:highlight w:val="none"/>
                <w:lang w:val="en-US" w:eastAsia="zh-CN" w:bidi="ar"/>
              </w:rPr>
              <w:t>不低于</w:t>
            </w:r>
            <w:r>
              <w:rPr>
                <w:rFonts w:hint="eastAsia" w:ascii="宋体" w:hAnsi="宋体" w:eastAsia="宋体" w:cs="宋体"/>
                <w:color w:val="auto"/>
                <w:sz w:val="21"/>
                <w:szCs w:val="21"/>
                <w:highlight w:val="none"/>
                <w:lang w:eastAsia="zh-CN" w:bidi="ar"/>
              </w:rPr>
              <w:t>0.0</w:t>
            </w:r>
            <w:r>
              <w:rPr>
                <w:rFonts w:hint="eastAsia" w:ascii="宋体" w:hAnsi="宋体" w:eastAsia="宋体" w:cs="宋体"/>
                <w:color w:val="auto"/>
                <w:sz w:val="21"/>
                <w:szCs w:val="21"/>
                <w:highlight w:val="none"/>
                <w:lang w:val="en-US" w:eastAsia="zh-CN" w:bidi="ar"/>
              </w:rPr>
              <w:t>5</w:t>
            </w:r>
            <w:r>
              <w:rPr>
                <w:rStyle w:val="15"/>
                <w:rFonts w:hint="eastAsia" w:ascii="宋体" w:hAnsi="宋体" w:eastAsia="宋体" w:cs="宋体"/>
                <w:color w:val="auto"/>
                <w:sz w:val="21"/>
                <w:szCs w:val="21"/>
                <w:highlight w:val="none"/>
                <w:lang w:eastAsia="zh-CN" w:bidi="ar"/>
              </w:rPr>
              <w:t>级，介质：气体</w:t>
            </w:r>
            <w:r>
              <w:rPr>
                <w:rStyle w:val="15"/>
                <w:rFonts w:hint="eastAsia" w:ascii="宋体" w:hAnsi="宋体" w:eastAsia="宋体" w:cs="宋体"/>
                <w:color w:val="auto"/>
                <w:sz w:val="21"/>
                <w:szCs w:val="21"/>
                <w:highlight w:val="none"/>
                <w:lang w:val="en-US" w:eastAsia="zh-CN" w:bidi="ar"/>
              </w:rPr>
              <w:t>/液体</w:t>
            </w:r>
            <w:r>
              <w:rPr>
                <w:rFonts w:hint="eastAsia" w:ascii="宋体" w:hAnsi="宋体" w:eastAsia="宋体" w:cs="宋体"/>
                <w:color w:val="auto"/>
                <w:sz w:val="21"/>
                <w:szCs w:val="21"/>
                <w:highlight w:val="none"/>
                <w:lang w:val="en-US" w:eastAsia="zh-CN"/>
              </w:rPr>
              <w:t>。</w:t>
            </w:r>
          </w:p>
          <w:p w14:paraId="329C7778">
            <w:pPr>
              <w:keepNext w:val="0"/>
              <w:keepLines w:val="0"/>
              <w:pageBreakBefore w:val="0"/>
              <w:widowControl/>
              <w:wordWrap/>
              <w:overflowPunct/>
              <w:topLinePunct w:val="0"/>
              <w:bidi w:val="0"/>
              <w:snapToGrid w:val="0"/>
              <w:spacing w:beforeAutospacing="0" w:afterAutospacing="0" w:line="480" w:lineRule="exact"/>
              <w:ind w:left="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2.2、</w:t>
            </w:r>
            <w:r>
              <w:rPr>
                <w:rFonts w:hint="eastAsia" w:ascii="宋体" w:hAnsi="宋体" w:eastAsia="宋体" w:cs="宋体"/>
                <w:color w:val="auto"/>
                <w:sz w:val="21"/>
                <w:szCs w:val="21"/>
                <w:highlight w:val="none"/>
                <w:lang w:val="en-US" w:eastAsia="zh-CN"/>
              </w:rPr>
              <w:t>2种压力源：气压源</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eastAsia="zh-CN" w:bidi="ar"/>
              </w:rPr>
              <w:t>-0.1</w:t>
            </w:r>
            <w:r>
              <w:rPr>
                <w:rFonts w:hint="default" w:ascii="Arial" w:hAnsi="Arial" w:eastAsia="宋体" w:cs="Arial"/>
                <w:color w:val="auto"/>
                <w:sz w:val="21"/>
                <w:szCs w:val="21"/>
                <w:highlight w:val="none"/>
                <w:lang w:eastAsia="zh-CN"/>
              </w:rPr>
              <w:t>~</w:t>
            </w:r>
            <w:r>
              <w:rPr>
                <w:rFonts w:hint="eastAsia" w:ascii="宋体" w:hAnsi="宋体" w:eastAsia="宋体" w:cs="宋体"/>
                <w:color w:val="auto"/>
                <w:sz w:val="21"/>
                <w:szCs w:val="21"/>
                <w:highlight w:val="none"/>
                <w:lang w:val="en-US" w:eastAsia="zh-CN"/>
              </w:rPr>
              <w:t>60</w:t>
            </w:r>
            <w:r>
              <w:rPr>
                <w:rFonts w:hint="eastAsia" w:ascii="宋体" w:hAnsi="宋体" w:eastAsia="宋体" w:cs="宋体"/>
                <w:color w:val="auto"/>
                <w:sz w:val="21"/>
                <w:szCs w:val="21"/>
                <w:highlight w:val="none"/>
                <w:lang w:eastAsia="zh-CN"/>
              </w:rPr>
              <w:t>）MPa</w:t>
            </w:r>
            <w:r>
              <w:rPr>
                <w:rFonts w:hint="eastAsia" w:ascii="宋体" w:hAnsi="宋体" w:eastAsia="宋体" w:cs="宋体"/>
                <w:color w:val="auto"/>
                <w:sz w:val="21"/>
                <w:szCs w:val="21"/>
                <w:highlight w:val="none"/>
                <w:lang w:val="en-US" w:eastAsia="zh-CN"/>
              </w:rPr>
              <w:t>，油或水压源</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bidi="ar"/>
              </w:rPr>
              <w:t>0</w:t>
            </w:r>
            <w:r>
              <w:rPr>
                <w:rFonts w:hint="default" w:ascii="Arial" w:hAnsi="Arial" w:eastAsia="宋体" w:cs="Arial"/>
                <w:color w:val="auto"/>
                <w:sz w:val="21"/>
                <w:szCs w:val="21"/>
                <w:highlight w:val="none"/>
                <w:lang w:eastAsia="zh-CN"/>
              </w:rPr>
              <w:t>~</w:t>
            </w:r>
            <w:r>
              <w:rPr>
                <w:rFonts w:hint="eastAsia" w:ascii="宋体" w:hAnsi="宋体" w:eastAsia="宋体" w:cs="宋体"/>
                <w:color w:val="auto"/>
                <w:sz w:val="21"/>
                <w:szCs w:val="21"/>
                <w:highlight w:val="none"/>
                <w:lang w:val="en-US" w:eastAsia="zh-CN"/>
              </w:rPr>
              <w:t>60</w:t>
            </w:r>
            <w:r>
              <w:rPr>
                <w:rFonts w:hint="eastAsia" w:ascii="宋体" w:hAnsi="宋体" w:eastAsia="宋体" w:cs="宋体"/>
                <w:color w:val="auto"/>
                <w:sz w:val="21"/>
                <w:szCs w:val="21"/>
                <w:highlight w:val="none"/>
                <w:lang w:eastAsia="zh-CN"/>
              </w:rPr>
              <w:t>）MPa。</w:t>
            </w:r>
          </w:p>
          <w:p w14:paraId="06F8F848">
            <w:pPr>
              <w:keepNext w:val="0"/>
              <w:keepLines w:val="0"/>
              <w:pageBreakBefore w:val="0"/>
              <w:widowControl/>
              <w:wordWrap/>
              <w:overflowPunct/>
              <w:topLinePunct w:val="0"/>
              <w:bidi w:val="0"/>
              <w:snapToGrid w:val="0"/>
              <w:spacing w:beforeAutospacing="0" w:afterAutospacing="0" w:line="480" w:lineRule="exact"/>
              <w:ind w:left="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2.3、</w:t>
            </w:r>
            <w:r>
              <w:rPr>
                <w:rFonts w:hint="eastAsia" w:ascii="宋体" w:hAnsi="宋体" w:eastAsia="宋体" w:cs="宋体"/>
                <w:color w:val="auto"/>
                <w:sz w:val="21"/>
                <w:szCs w:val="21"/>
                <w:highlight w:val="none"/>
              </w:rPr>
              <w:t>大容腔，三个仪表快速接头</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同时检定两块被检表</w:t>
            </w:r>
            <w:r>
              <w:rPr>
                <w:rFonts w:hint="eastAsia" w:ascii="宋体" w:hAnsi="宋体" w:eastAsia="宋体" w:cs="宋体"/>
                <w:color w:val="auto"/>
                <w:sz w:val="21"/>
                <w:szCs w:val="21"/>
                <w:highlight w:val="none"/>
                <w:lang w:eastAsia="zh-CN"/>
              </w:rPr>
              <w:t>。</w:t>
            </w:r>
          </w:p>
          <w:p w14:paraId="44536F55">
            <w:pPr>
              <w:keepNext w:val="0"/>
              <w:keepLines w:val="0"/>
              <w:pageBreakBefore w:val="0"/>
              <w:widowControl/>
              <w:wordWrap/>
              <w:overflowPunct/>
              <w:topLinePunct w:val="0"/>
              <w:bidi w:val="0"/>
              <w:snapToGrid w:val="0"/>
              <w:spacing w:beforeAutospacing="0" w:afterAutospacing="0" w:line="480" w:lineRule="exact"/>
              <w:ind w:left="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2.4、</w:t>
            </w:r>
            <w:r>
              <w:rPr>
                <w:rFonts w:hint="eastAsia" w:ascii="宋体" w:hAnsi="宋体" w:eastAsia="宋体" w:cs="宋体"/>
                <w:color w:val="auto"/>
                <w:sz w:val="21"/>
                <w:szCs w:val="21"/>
                <w:highlight w:val="none"/>
              </w:rPr>
              <w:t>控制精度</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0.002％F.S</w:t>
            </w:r>
            <w:r>
              <w:rPr>
                <w:rFonts w:hint="eastAsia" w:ascii="宋体" w:hAnsi="宋体" w:eastAsia="宋体" w:cs="宋体"/>
                <w:color w:val="auto"/>
                <w:sz w:val="21"/>
                <w:szCs w:val="21"/>
                <w:highlight w:val="none"/>
                <w:lang w:eastAsia="zh-CN"/>
              </w:rPr>
              <w:t>。</w:t>
            </w:r>
          </w:p>
          <w:p w14:paraId="7D98216D">
            <w:pPr>
              <w:keepNext w:val="0"/>
              <w:keepLines w:val="0"/>
              <w:pageBreakBefore w:val="0"/>
              <w:widowControl/>
              <w:wordWrap/>
              <w:overflowPunct/>
              <w:topLinePunct w:val="0"/>
              <w:bidi w:val="0"/>
              <w:snapToGrid w:val="0"/>
              <w:spacing w:beforeAutospacing="0" w:afterAutospacing="0" w:line="480" w:lineRule="exact"/>
              <w:ind w:left="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2.5、</w:t>
            </w:r>
            <w:r>
              <w:rPr>
                <w:rFonts w:hint="eastAsia" w:ascii="宋体" w:hAnsi="宋体" w:eastAsia="宋体" w:cs="宋体"/>
                <w:color w:val="auto"/>
                <w:sz w:val="21"/>
                <w:szCs w:val="21"/>
                <w:highlight w:val="none"/>
              </w:rPr>
              <w:t>稳定时间：10秒以内</w:t>
            </w:r>
            <w:r>
              <w:rPr>
                <w:rFonts w:hint="eastAsia" w:ascii="宋体" w:hAnsi="宋体" w:eastAsia="宋体" w:cs="宋体"/>
                <w:color w:val="auto"/>
                <w:sz w:val="21"/>
                <w:szCs w:val="21"/>
                <w:highlight w:val="none"/>
                <w:lang w:eastAsia="zh-CN"/>
              </w:rPr>
              <w:t>。</w:t>
            </w:r>
          </w:p>
          <w:p w14:paraId="6422782D">
            <w:pPr>
              <w:keepNext w:val="0"/>
              <w:keepLines w:val="0"/>
              <w:pageBreakBefore w:val="0"/>
              <w:widowControl/>
              <w:kinsoku/>
              <w:wordWrap/>
              <w:overflowPunct/>
              <w:topLinePunct w:val="0"/>
              <w:autoSpaceDE/>
              <w:autoSpaceDN/>
              <w:bidi w:val="0"/>
              <w:adjustRightInd/>
              <w:snapToGrid w:val="0"/>
              <w:spacing w:beforeAutospacing="0" w:afterAutospacing="0" w:line="480" w:lineRule="exact"/>
              <w:ind w:left="0" w:firstLine="0" w:firstLineChars="0"/>
              <w:textAlignment w:val="auto"/>
              <w:outlineLvl w:val="2"/>
              <w:rPr>
                <w:rFonts w:hint="eastAsia" w:ascii="宋体" w:hAnsi="宋体" w:eastAsia="宋体" w:cs="宋体"/>
                <w:b/>
                <w:bCs/>
                <w:snapToGrid/>
                <w:color w:val="auto"/>
                <w:sz w:val="21"/>
                <w:szCs w:val="21"/>
                <w:highlight w:val="none"/>
                <w:lang w:eastAsia="zh-CN"/>
              </w:rPr>
            </w:pPr>
            <w:r>
              <w:rPr>
                <w:rFonts w:hint="eastAsia" w:ascii="宋体" w:hAnsi="宋体" w:eastAsia="宋体" w:cs="宋体"/>
                <w:b/>
                <w:bCs/>
                <w:snapToGrid/>
                <w:color w:val="auto"/>
                <w:sz w:val="21"/>
                <w:szCs w:val="21"/>
                <w:highlight w:val="none"/>
                <w:lang w:eastAsia="zh-CN"/>
              </w:rPr>
              <w:t xml:space="preserve">3、 配置及参数要求： </w:t>
            </w:r>
          </w:p>
          <w:p w14:paraId="7F8325B9">
            <w:pPr>
              <w:pStyle w:val="6"/>
              <w:pageBreakBefore w:val="0"/>
              <w:wordWrap/>
              <w:overflowPunct/>
              <w:topLinePunct w:val="0"/>
              <w:bidi w:val="0"/>
              <w:spacing w:beforeAutospacing="0" w:after="0" w:afterAutospacing="0" w:line="480" w:lineRule="exact"/>
              <w:ind w:left="0" w:leftChars="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bCs/>
                <w:snapToGrid/>
                <w:color w:val="auto"/>
                <w:sz w:val="21"/>
                <w:szCs w:val="21"/>
                <w:highlight w:val="none"/>
                <w:lang w:eastAsia="zh-CN"/>
              </w:rPr>
              <w:t>3.1、</w:t>
            </w:r>
            <w:r>
              <w:rPr>
                <w:rFonts w:hint="eastAsia" w:ascii="宋体" w:hAnsi="宋体" w:eastAsia="宋体" w:cs="宋体"/>
                <w:color w:val="auto"/>
                <w:sz w:val="21"/>
                <w:szCs w:val="21"/>
                <w:highlight w:val="none"/>
                <w:lang w:val="en-US" w:eastAsia="zh-CN"/>
              </w:rPr>
              <w:t>含</w:t>
            </w:r>
            <w:r>
              <w:rPr>
                <w:rFonts w:hint="eastAsia" w:ascii="宋体" w:hAnsi="宋体" w:eastAsia="宋体" w:cs="宋体"/>
                <w:color w:val="auto"/>
                <w:sz w:val="21"/>
                <w:szCs w:val="21"/>
                <w:highlight w:val="none"/>
              </w:rPr>
              <w:t>便携式液压泵</w:t>
            </w:r>
            <w:r>
              <w:rPr>
                <w:rFonts w:hint="eastAsia" w:ascii="宋体" w:hAnsi="宋体" w:eastAsia="宋体" w:cs="宋体"/>
                <w:color w:val="auto"/>
                <w:sz w:val="21"/>
                <w:szCs w:val="21"/>
                <w:highlight w:val="none"/>
                <w:lang w:val="en-US" w:eastAsia="zh-CN"/>
              </w:rPr>
              <w:t>1套，测量</w:t>
            </w:r>
            <w:r>
              <w:rPr>
                <w:rFonts w:hint="eastAsia" w:ascii="宋体" w:hAnsi="宋体" w:eastAsia="宋体" w:cs="宋体"/>
                <w:color w:val="auto"/>
                <w:sz w:val="21"/>
                <w:szCs w:val="21"/>
                <w:highlight w:val="none"/>
                <w:lang w:eastAsia="zh-CN"/>
              </w:rPr>
              <w:t>范围</w:t>
            </w:r>
            <w:r>
              <w:rPr>
                <w:rStyle w:val="15"/>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eastAsia="zh-CN" w:bidi="ar"/>
              </w:rPr>
              <w:t>-0.1</w:t>
            </w:r>
            <w:r>
              <w:rPr>
                <w:rFonts w:hint="default" w:ascii="Arial" w:hAnsi="Arial" w:eastAsia="宋体" w:cs="Arial"/>
                <w:color w:val="auto"/>
                <w:sz w:val="21"/>
                <w:szCs w:val="21"/>
                <w:highlight w:val="none"/>
                <w:lang w:val="en-US" w:eastAsia="zh-CN" w:bidi="ar"/>
              </w:rPr>
              <w:t>~</w:t>
            </w:r>
            <w:r>
              <w:rPr>
                <w:rFonts w:hint="eastAsia" w:ascii="宋体" w:hAnsi="宋体" w:eastAsia="宋体" w:cs="宋体"/>
                <w:color w:val="auto"/>
                <w:sz w:val="21"/>
                <w:szCs w:val="21"/>
                <w:highlight w:val="none"/>
                <w:lang w:val="en-US" w:eastAsia="zh-CN" w:bidi="ar"/>
              </w:rPr>
              <w:t>6</w:t>
            </w:r>
            <w:r>
              <w:rPr>
                <w:rFonts w:hint="eastAsia" w:ascii="宋体" w:hAnsi="宋体" w:eastAsia="宋体" w:cs="宋体"/>
                <w:color w:val="auto"/>
                <w:sz w:val="21"/>
                <w:szCs w:val="21"/>
                <w:highlight w:val="none"/>
                <w:lang w:eastAsia="zh-CN" w:bidi="ar"/>
              </w:rPr>
              <w:t>0</w:t>
            </w:r>
            <w:r>
              <w:rPr>
                <w:rStyle w:val="15"/>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eastAsia="zh-CN" w:bidi="ar"/>
              </w:rPr>
              <w:t>MPa</w:t>
            </w:r>
            <w:r>
              <w:rPr>
                <w:rFonts w:hint="eastAsia" w:ascii="宋体" w:hAnsi="宋体" w:eastAsia="宋体" w:cs="宋体"/>
                <w:color w:val="auto"/>
                <w:sz w:val="21"/>
                <w:szCs w:val="21"/>
                <w:highlight w:val="none"/>
                <w:lang w:val="en-US" w:eastAsia="zh-CN"/>
              </w:rPr>
              <w:t>；</w:t>
            </w:r>
          </w:p>
          <w:p w14:paraId="35C2E65F">
            <w:pPr>
              <w:pageBreakBefore w:val="0"/>
              <w:wordWrap/>
              <w:overflowPunct/>
              <w:topLinePunct w:val="0"/>
              <w:bidi w:val="0"/>
              <w:spacing w:beforeAutospacing="0" w:afterAutospacing="0" w:line="480" w:lineRule="exact"/>
              <w:ind w:left="0" w:lef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3.2、</w:t>
            </w:r>
            <w:r>
              <w:rPr>
                <w:rFonts w:hint="eastAsia" w:ascii="宋体" w:hAnsi="宋体" w:eastAsia="宋体" w:cs="宋体"/>
                <w:color w:val="auto"/>
                <w:sz w:val="21"/>
                <w:szCs w:val="21"/>
                <w:highlight w:val="none"/>
              </w:rPr>
              <w:t>便携式液压泵：</w:t>
            </w:r>
          </w:p>
          <w:p w14:paraId="4CC9F3E5">
            <w:pPr>
              <w:pageBreakBefore w:val="0"/>
              <w:wordWrap/>
              <w:overflowPunct/>
              <w:topLinePunct w:val="0"/>
              <w:bidi w:val="0"/>
              <w:spacing w:beforeAutospacing="0" w:afterAutospacing="0" w:line="480" w:lineRule="exact"/>
              <w:ind w:left="0" w:lef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三个输出口同时检定</w:t>
            </w:r>
            <w:r>
              <w:rPr>
                <w:rFonts w:hint="eastAsia" w:ascii="宋体" w:hAnsi="宋体" w:eastAsia="宋体" w:cs="宋体"/>
                <w:color w:val="auto"/>
                <w:sz w:val="21"/>
                <w:szCs w:val="21"/>
                <w:highlight w:val="none"/>
                <w:lang w:eastAsia="zh-CN"/>
              </w:rPr>
              <w:t>两块及以上被检表</w:t>
            </w:r>
            <w:r>
              <w:rPr>
                <w:rFonts w:hint="eastAsia" w:ascii="宋体" w:hAnsi="宋体" w:eastAsia="宋体" w:cs="宋体"/>
                <w:color w:val="auto"/>
                <w:sz w:val="21"/>
                <w:szCs w:val="21"/>
                <w:highlight w:val="none"/>
              </w:rPr>
              <w:t>，配备过滤帽以防杂质进入泵体。</w:t>
            </w:r>
          </w:p>
          <w:p w14:paraId="34DDB383">
            <w:pPr>
              <w:pageBreakBefore w:val="0"/>
              <w:wordWrap/>
              <w:overflowPunct/>
              <w:topLinePunct w:val="0"/>
              <w:bidi w:val="0"/>
              <w:spacing w:beforeAutospacing="0" w:afterAutospacing="0" w:line="480" w:lineRule="exact"/>
              <w:ind w:left="0" w:lef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双活塞快速预压装置。</w:t>
            </w:r>
          </w:p>
          <w:p w14:paraId="719FC5AE">
            <w:pPr>
              <w:keepNext w:val="0"/>
              <w:keepLines w:val="0"/>
              <w:pageBreakBefore w:val="0"/>
              <w:widowControl/>
              <w:wordWrap/>
              <w:overflowPunct/>
              <w:topLinePunct w:val="0"/>
              <w:bidi w:val="0"/>
              <w:snapToGrid w:val="0"/>
              <w:spacing w:beforeAutospacing="0" w:afterAutospacing="0" w:line="480" w:lineRule="exact"/>
              <w:ind w:left="0" w:hanging="525" w:hangingChars="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体积小重量轻，配带铝合金箱子，便于携带。</w:t>
            </w:r>
          </w:p>
          <w:p w14:paraId="1F9E904D">
            <w:pPr>
              <w:keepNext w:val="0"/>
              <w:keepLines w:val="0"/>
              <w:pageBreakBefore w:val="0"/>
              <w:widowControl/>
              <w:kinsoku/>
              <w:wordWrap/>
              <w:overflowPunct/>
              <w:topLinePunct w:val="0"/>
              <w:autoSpaceDE/>
              <w:autoSpaceDN/>
              <w:bidi w:val="0"/>
              <w:adjustRightInd/>
              <w:snapToGrid w:val="0"/>
              <w:spacing w:beforeAutospacing="0" w:afterAutospacing="0" w:line="480" w:lineRule="exact"/>
              <w:ind w:left="0" w:firstLine="0" w:firstLineChars="0"/>
              <w:textAlignment w:val="auto"/>
              <w:outlineLvl w:val="2"/>
              <w:rPr>
                <w:rFonts w:hint="eastAsia" w:ascii="宋体" w:hAnsi="宋体" w:eastAsia="宋体" w:cs="宋体"/>
                <w:b/>
                <w:bCs/>
                <w:snapToGrid/>
                <w:color w:val="auto"/>
                <w:sz w:val="21"/>
                <w:szCs w:val="21"/>
                <w:highlight w:val="none"/>
                <w:lang w:eastAsia="zh-CN"/>
              </w:rPr>
            </w:pPr>
            <w:r>
              <w:rPr>
                <w:rFonts w:hint="eastAsia" w:ascii="宋体" w:hAnsi="宋体" w:eastAsia="宋体" w:cs="宋体"/>
                <w:b/>
                <w:bCs/>
                <w:snapToGrid/>
                <w:color w:val="auto"/>
                <w:sz w:val="21"/>
                <w:szCs w:val="21"/>
                <w:highlight w:val="none"/>
                <w:lang w:eastAsia="zh-CN"/>
              </w:rPr>
              <w:t xml:space="preserve">4、耗材配置要求： </w:t>
            </w:r>
          </w:p>
          <w:p w14:paraId="35AFDBEC">
            <w:pPr>
              <w:keepNext w:val="0"/>
              <w:keepLines w:val="0"/>
              <w:pageBreakBefore w:val="0"/>
              <w:widowControl/>
              <w:kinsoku/>
              <w:wordWrap/>
              <w:overflowPunct/>
              <w:topLinePunct w:val="0"/>
              <w:autoSpaceDE/>
              <w:autoSpaceDN/>
              <w:bidi w:val="0"/>
              <w:adjustRightInd/>
              <w:snapToGrid w:val="0"/>
              <w:spacing w:beforeAutospacing="0" w:afterAutospacing="0" w:line="480" w:lineRule="exact"/>
              <w:ind w:left="0" w:firstLine="315" w:firstLineChars="150"/>
              <w:textAlignment w:val="auto"/>
              <w:rPr>
                <w:rFonts w:hint="eastAsia" w:ascii="宋体" w:hAnsi="宋体" w:eastAsia="宋体" w:cs="宋体"/>
                <w:color w:val="auto"/>
                <w:sz w:val="21"/>
                <w:szCs w:val="21"/>
                <w:highlight w:val="none"/>
                <w:lang w:val="en-US" w:eastAsia="zh-CN"/>
              </w:rPr>
            </w:pPr>
            <w:r>
              <w:rPr>
                <w:rStyle w:val="15"/>
                <w:rFonts w:hint="eastAsia" w:ascii="宋体" w:hAnsi="宋体" w:eastAsia="宋体" w:cs="宋体"/>
                <w:color w:val="auto"/>
                <w:sz w:val="21"/>
                <w:szCs w:val="21"/>
                <w:highlight w:val="none"/>
                <w:lang w:val="en-US" w:eastAsia="zh-CN" w:bidi="ar"/>
              </w:rPr>
              <w:t>含</w:t>
            </w:r>
            <w:r>
              <w:rPr>
                <w:rFonts w:hint="eastAsia" w:ascii="宋体" w:hAnsi="宋体" w:eastAsia="宋体" w:cs="宋体"/>
                <w:color w:val="auto"/>
                <w:sz w:val="21"/>
                <w:szCs w:val="21"/>
                <w:highlight w:val="none"/>
              </w:rPr>
              <w:t>气体过滤器</w:t>
            </w:r>
            <w:r>
              <w:rPr>
                <w:rFonts w:hint="eastAsia" w:ascii="宋体" w:hAnsi="宋体" w:eastAsia="宋体" w:cs="宋体"/>
                <w:color w:val="auto"/>
                <w:sz w:val="21"/>
                <w:szCs w:val="21"/>
                <w:highlight w:val="none"/>
                <w:lang w:val="en-US" w:eastAsia="zh-CN"/>
              </w:rPr>
              <w:t>2套，</w:t>
            </w:r>
            <w:r>
              <w:rPr>
                <w:rFonts w:hint="eastAsia" w:ascii="宋体" w:hAnsi="宋体" w:eastAsia="宋体" w:cs="宋体"/>
                <w:snapToGrid/>
                <w:color w:val="auto"/>
                <w:sz w:val="21"/>
                <w:szCs w:val="21"/>
                <w:highlight w:val="none"/>
                <w:lang w:eastAsia="zh-CN"/>
              </w:rPr>
              <w:t>10号变压器油x1瓶，O型圈X10个</w:t>
            </w:r>
          </w:p>
        </w:tc>
      </w:tr>
      <w:tr w14:paraId="72A8C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7" w:type="dxa"/>
            <w:vAlign w:val="center"/>
          </w:tcPr>
          <w:p w14:paraId="20D23C3F">
            <w:pPr>
              <w:pStyle w:val="6"/>
              <w:pageBreakBefore w:val="0"/>
              <w:wordWrap/>
              <w:overflowPunct/>
              <w:topLinePunct w:val="0"/>
              <w:bidi w:val="0"/>
              <w:spacing w:beforeAutospacing="0" w:after="0" w:afterAutospacing="0" w:line="480" w:lineRule="exact"/>
              <w:ind w:left="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21</w:t>
            </w:r>
          </w:p>
        </w:tc>
        <w:tc>
          <w:tcPr>
            <w:tcW w:w="1605" w:type="dxa"/>
            <w:vAlign w:val="center"/>
          </w:tcPr>
          <w:p w14:paraId="147B0F0E">
            <w:pPr>
              <w:pStyle w:val="6"/>
              <w:pageBreakBefore w:val="0"/>
              <w:wordWrap/>
              <w:overflowPunct/>
              <w:topLinePunct w:val="0"/>
              <w:bidi w:val="0"/>
              <w:spacing w:beforeAutospacing="0" w:after="0" w:afterAutospacing="0" w:line="480" w:lineRule="exact"/>
              <w:ind w:left="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温湿度试验设备自动检定系统</w:t>
            </w:r>
          </w:p>
        </w:tc>
        <w:tc>
          <w:tcPr>
            <w:tcW w:w="12382" w:type="dxa"/>
            <w:vAlign w:val="center"/>
          </w:tcPr>
          <w:p w14:paraId="6D3A23E6">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1、用途及功能要求</w:t>
            </w:r>
          </w:p>
          <w:p w14:paraId="65DC8B7F">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本设备主要用于检定校准环境试验箱、热处理炉、箱式电阻炉、温湿度检定箱、液体恒温试验设备、电子电工产品环境试验设备等。</w:t>
            </w:r>
          </w:p>
          <w:p w14:paraId="5D85703C">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满足以下规程规范：</w:t>
            </w:r>
          </w:p>
          <w:p w14:paraId="5DDD458C">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JJF1101-2019《环境试验设备温度、湿度校准规范》</w:t>
            </w:r>
          </w:p>
          <w:p w14:paraId="2251298C">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GB/T9452-2023《热处理炉有效加热区测定方法》</w:t>
            </w:r>
          </w:p>
          <w:p w14:paraId="297F751B">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JJF1376-2012《箱式电阻炉校准规范》</w:t>
            </w:r>
          </w:p>
          <w:p w14:paraId="00084008">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JJF1564-2016《温湿度标准箱校准规范》</w:t>
            </w:r>
          </w:p>
          <w:p w14:paraId="2C1BF2A7">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JJF2019-2022《液体恒温试验设备温度性能测试规范》</w:t>
            </w:r>
          </w:p>
          <w:p w14:paraId="31512704">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GBT5170-2017《电子电工产品环境试验设备检验方法》等</w:t>
            </w:r>
          </w:p>
          <w:p w14:paraId="3BA059B9">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2、主要技术参数要求</w:t>
            </w:r>
          </w:p>
          <w:p w14:paraId="16710B63">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★2.1、一机多用:一台主机支持同时检测多台实验设备。</w:t>
            </w:r>
          </w:p>
          <w:p w14:paraId="27F9364A">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2.2、各模组独立完成数据的采集、存储工作，数据实时保存，并支持数据导出。</w:t>
            </w:r>
          </w:p>
          <w:p w14:paraId="281C2736">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2.3、单通道采样速度小于0.1秒;16通道采样速度小于10秒。</w:t>
            </w:r>
          </w:p>
          <w:p w14:paraId="374317FB">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2.4、大范围、远距离的温湿度数据实时传输。支持分组测量，且每个组之间互相独立。</w:t>
            </w:r>
          </w:p>
          <w:p w14:paraId="14AA6EDD">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▲2.5、同时修正:一次性完成多模块多通道温度、湿度传感器的高精度修正。</w:t>
            </w:r>
          </w:p>
          <w:p w14:paraId="2CFED5DF">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2.6、实时刷新:单采集模块界面可翻看该模块的所有采样数据，实时刷新。</w:t>
            </w:r>
          </w:p>
          <w:p w14:paraId="03F1025E">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2.7、支持多种测温元件:支持热电偶类型:S、R、B、K、N、E、J、T;热电阻:Pt100;内置冷端补偿。</w:t>
            </w:r>
          </w:p>
          <w:p w14:paraId="25E3D568">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2.8、需支持主流湿度传感器品牌</w:t>
            </w:r>
          </w:p>
          <w:p w14:paraId="0A434EA2">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2.9、温度测量范围，应能覆盖（-200</w:t>
            </w:r>
            <w:r>
              <w:rPr>
                <w:rFonts w:hint="default" w:ascii="Arial" w:hAnsi="Arial" w:eastAsia="宋体" w:cs="Arial"/>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1800）℃</w:t>
            </w:r>
          </w:p>
          <w:p w14:paraId="2F07E10B">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2.10、温度分辨率：0.001℃ </w:t>
            </w:r>
          </w:p>
          <w:p w14:paraId="5025307E">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2.11、湿度测量范围：3%RH～100%RH</w:t>
            </w:r>
          </w:p>
          <w:p w14:paraId="265C41B6">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2.12、湿度分辨率：0.01％RH </w:t>
            </w:r>
          </w:p>
          <w:p w14:paraId="59B5E708">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3、配置及参数要求</w:t>
            </w:r>
          </w:p>
          <w:p w14:paraId="50CA85E0">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3.1、主站1台：</w:t>
            </w:r>
          </w:p>
          <w:p w14:paraId="4B4803AC">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3.1.1、操作界面为触摸屏</w:t>
            </w:r>
          </w:p>
          <w:p w14:paraId="5BF25C2F">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3.1.2、内置充电电池</w:t>
            </w:r>
          </w:p>
          <w:p w14:paraId="541C05E1">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3.1.3、支持U盘导出数据</w:t>
            </w:r>
          </w:p>
          <w:p w14:paraId="48859351">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 温度模块≥3台</w:t>
            </w:r>
          </w:p>
          <w:p w14:paraId="28A941A7">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3.2.1、具备无线发射功能</w:t>
            </w:r>
          </w:p>
          <w:p w14:paraId="699ED651">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3.2.2、温度分辨率：≤0.001℃、内置充电电池</w:t>
            </w:r>
          </w:p>
          <w:p w14:paraId="1F8BE837">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3.3、 湿度模块≥4台</w:t>
            </w:r>
          </w:p>
          <w:p w14:paraId="5F6F2143">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3.3.1、具备无线发射功能、内置充电电池</w:t>
            </w:r>
          </w:p>
          <w:p w14:paraId="164082E1">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3.3.2、湿度分辨率：≤ 0.01%RH；</w:t>
            </w:r>
          </w:p>
          <w:p w14:paraId="68E02BB8">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3.3.3、湿度精度 ：≤1.5%RH</w:t>
            </w:r>
          </w:p>
          <w:p w14:paraId="161D17A9">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▲4、计算机及软件要求</w:t>
            </w:r>
          </w:p>
          <w:p w14:paraId="67CCB297">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设备内置检测程序，无需借助电脑即可完成全部巡检工作，支持U盘导出数据。</w:t>
            </w:r>
          </w:p>
          <w:p w14:paraId="4731D34B">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5、耗材及配置要求</w:t>
            </w:r>
          </w:p>
          <w:p w14:paraId="7B69AEEE">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5.1、测温铂电阻18支</w:t>
            </w:r>
          </w:p>
          <w:p w14:paraId="2259CD1B">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测量范围：（-80</w:t>
            </w:r>
            <w:r>
              <w:rPr>
                <w:rFonts w:hint="default" w:ascii="Arial" w:hAnsi="Arial" w:eastAsia="宋体" w:cs="Arial"/>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300）℃，长度：≥5米，A级，温度分辨力：不低于0.01℃，最大允许误差：±（0.15℃+0.002｜t｜）。</w:t>
            </w:r>
          </w:p>
          <w:p w14:paraId="7ABD00FF">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5.2、热电偶18支</w:t>
            </w:r>
          </w:p>
          <w:p w14:paraId="0B98A016">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6" w:firstLineChars="0"/>
              <w:jc w:val="both"/>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测量范围覆盖（0</w:t>
            </w:r>
            <w:r>
              <w:rPr>
                <w:rFonts w:hint="default" w:ascii="Arial" w:hAnsi="Arial" w:eastAsia="宋体" w:cs="Arial"/>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1500）℃，长度≥5米，1级，测温热电偶转换开关的寄生电势不大于1μV。</w:t>
            </w:r>
          </w:p>
          <w:p w14:paraId="4B8D3B5E">
            <w:pPr>
              <w:pStyle w:val="2"/>
              <w:ind w:left="0" w:leftChars="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5.3、湿度传感器4支</w:t>
            </w:r>
          </w:p>
          <w:p w14:paraId="1EDB972E">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422" w:firstLineChars="201"/>
              <w:jc w:val="both"/>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测量范围覆盖（3</w:t>
            </w:r>
            <w:r>
              <w:rPr>
                <w:rFonts w:hint="default" w:ascii="Arial" w:hAnsi="Arial" w:eastAsia="宋体" w:cs="Arial"/>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100）%RH；分辨力：不低于0.1%RH，最大允许误差不超过：±2.0%RH。</w:t>
            </w:r>
          </w:p>
          <w:p w14:paraId="089BD200">
            <w:pPr>
              <w:pageBreakBefore w:val="0"/>
              <w:wordWrap/>
              <w:overflowPunct/>
              <w:topLinePunct w:val="0"/>
              <w:bidi w:val="0"/>
              <w:spacing w:beforeAutospacing="0" w:afterAutospacing="0" w:line="480" w:lineRule="exact"/>
              <w:jc w:val="both"/>
              <w:textAlignment w:val="center"/>
              <w:rPr>
                <w:rFonts w:hint="eastAsia" w:ascii="宋体" w:hAnsi="宋体" w:eastAsia="宋体" w:cs="宋体"/>
                <w:strike/>
                <w:dstrike w:val="0"/>
                <w:color w:val="auto"/>
                <w:sz w:val="21"/>
                <w:szCs w:val="21"/>
                <w:highlight w:val="none"/>
                <w:lang w:val="en-US" w:eastAsia="zh-CN"/>
              </w:rPr>
            </w:pPr>
            <w:r>
              <w:rPr>
                <w:rFonts w:hint="eastAsia" w:ascii="宋体" w:hAnsi="宋体" w:eastAsia="宋体" w:cs="宋体"/>
                <w:strike/>
                <w:dstrike w:val="0"/>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、其他要求：配备高温防护用具（护目镜、手套等）</w:t>
            </w:r>
          </w:p>
        </w:tc>
      </w:tr>
      <w:tr w14:paraId="27F81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7" w:type="dxa"/>
            <w:vAlign w:val="center"/>
          </w:tcPr>
          <w:p w14:paraId="49347D77">
            <w:pPr>
              <w:pStyle w:val="6"/>
              <w:pageBreakBefore w:val="0"/>
              <w:wordWrap/>
              <w:overflowPunct/>
              <w:topLinePunct w:val="0"/>
              <w:bidi w:val="0"/>
              <w:spacing w:beforeAutospacing="0" w:after="0" w:afterAutospacing="0" w:line="480" w:lineRule="exact"/>
              <w:ind w:left="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22</w:t>
            </w:r>
          </w:p>
        </w:tc>
        <w:tc>
          <w:tcPr>
            <w:tcW w:w="1605" w:type="dxa"/>
            <w:vAlign w:val="center"/>
          </w:tcPr>
          <w:p w14:paraId="7F684DB1">
            <w:pPr>
              <w:pStyle w:val="6"/>
              <w:pageBreakBefore w:val="0"/>
              <w:wordWrap/>
              <w:overflowPunct/>
              <w:topLinePunct w:val="0"/>
              <w:bidi w:val="0"/>
              <w:spacing w:beforeAutospacing="0" w:after="0" w:afterAutospacing="0" w:line="480" w:lineRule="exact"/>
              <w:ind w:left="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标准铂电阻温度计</w:t>
            </w:r>
          </w:p>
        </w:tc>
        <w:tc>
          <w:tcPr>
            <w:tcW w:w="12382" w:type="dxa"/>
            <w:vAlign w:val="top"/>
          </w:tcPr>
          <w:p w14:paraId="4A170ADD">
            <w:pPr>
              <w:pageBreakBefore w:val="0"/>
              <w:numPr>
                <w:ilvl w:val="0"/>
                <w:numId w:val="0"/>
              </w:numPr>
              <w:wordWrap/>
              <w:overflowPunct/>
              <w:topLinePunct w:val="0"/>
              <w:bidi w:val="0"/>
              <w:spacing w:beforeAutospacing="0" w:afterAutospacing="0" w:line="480" w:lineRule="exact"/>
              <w:ind w:left="0" w:leftChars="0" w:firstLine="0" w:firstLineChars="0"/>
              <w:jc w:val="both"/>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1.用途及功能要求</w:t>
            </w:r>
          </w:p>
          <w:p w14:paraId="2F5FB559">
            <w:pPr>
              <w:pageBreakBefore w:val="0"/>
              <w:numPr>
                <w:ilvl w:val="0"/>
                <w:numId w:val="0"/>
              </w:numPr>
              <w:wordWrap/>
              <w:overflowPunct/>
              <w:topLinePunct w:val="0"/>
              <w:bidi w:val="0"/>
              <w:spacing w:beforeAutospacing="0" w:afterAutospacing="0" w:line="480" w:lineRule="exact"/>
              <w:ind w:left="0" w:leftChars="0" w:firstLine="0" w:firstLine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温度标准器，符合JJG 160-2007的要求。</w:t>
            </w:r>
          </w:p>
          <w:p w14:paraId="6FB8973F">
            <w:pPr>
              <w:pageBreakBefore w:val="0"/>
              <w:numPr>
                <w:ilvl w:val="0"/>
                <w:numId w:val="0"/>
              </w:numPr>
              <w:wordWrap/>
              <w:overflowPunct/>
              <w:topLinePunct w:val="0"/>
              <w:bidi w:val="0"/>
              <w:spacing w:beforeAutospacing="0" w:afterAutospacing="0" w:line="480" w:lineRule="exact"/>
              <w:ind w:left="0" w:leftChars="0" w:firstLine="0" w:firstLineChars="0"/>
              <w:jc w:val="both"/>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★2.主要技术参数要求</w:t>
            </w:r>
          </w:p>
          <w:p w14:paraId="76D90378">
            <w:pPr>
              <w:pageBreakBefore w:val="0"/>
              <w:numPr>
                <w:ilvl w:val="0"/>
                <w:numId w:val="0"/>
              </w:numPr>
              <w:wordWrap/>
              <w:overflowPunct/>
              <w:topLinePunct w:val="0"/>
              <w:bidi w:val="0"/>
              <w:spacing w:beforeAutospacing="0" w:afterAutospacing="0" w:line="480" w:lineRule="exact"/>
              <w:ind w:left="0" w:leftChars="0" w:firstLine="0" w:firstLine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等级：二等</w:t>
            </w:r>
          </w:p>
          <w:p w14:paraId="7B06F299">
            <w:pPr>
              <w:pageBreakBefore w:val="0"/>
              <w:numPr>
                <w:ilvl w:val="0"/>
                <w:numId w:val="0"/>
              </w:numPr>
              <w:wordWrap/>
              <w:overflowPunct/>
              <w:topLinePunct w:val="0"/>
              <w:bidi w:val="0"/>
              <w:spacing w:beforeAutospacing="0" w:afterAutospacing="0" w:line="480" w:lineRule="exact"/>
              <w:ind w:left="0" w:leftChars="0" w:firstLine="0" w:firstLineChars="0"/>
              <w:jc w:val="both"/>
              <w:rPr>
                <w:rStyle w:val="15"/>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温度范围： 0℃～419.527℃</w:t>
            </w:r>
          </w:p>
        </w:tc>
      </w:tr>
      <w:tr w14:paraId="24E99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7" w:type="dxa"/>
            <w:vAlign w:val="center"/>
          </w:tcPr>
          <w:p w14:paraId="469DC8E4">
            <w:pPr>
              <w:pStyle w:val="6"/>
              <w:pageBreakBefore w:val="0"/>
              <w:wordWrap/>
              <w:overflowPunct/>
              <w:topLinePunct w:val="0"/>
              <w:bidi w:val="0"/>
              <w:spacing w:beforeAutospacing="0" w:after="0" w:afterAutospacing="0" w:line="480" w:lineRule="exact"/>
              <w:ind w:left="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23</w:t>
            </w:r>
          </w:p>
        </w:tc>
        <w:tc>
          <w:tcPr>
            <w:tcW w:w="1605" w:type="dxa"/>
            <w:vAlign w:val="center"/>
          </w:tcPr>
          <w:p w14:paraId="4B1196A6">
            <w:pPr>
              <w:pStyle w:val="6"/>
              <w:pageBreakBefore w:val="0"/>
              <w:wordWrap/>
              <w:overflowPunct/>
              <w:topLinePunct w:val="0"/>
              <w:bidi w:val="0"/>
              <w:spacing w:beforeAutospacing="0" w:after="0" w:afterAutospacing="0" w:line="480" w:lineRule="exact"/>
              <w:ind w:left="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无创血压模拟仪</w:t>
            </w:r>
          </w:p>
        </w:tc>
        <w:tc>
          <w:tcPr>
            <w:tcW w:w="12382" w:type="dxa"/>
          </w:tcPr>
          <w:p w14:paraId="3BEFB36A">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 xml:space="preserve"> 1、设备用途及应用要求</w:t>
            </w:r>
          </w:p>
          <w:p w14:paraId="6C421FF7">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设备用于检定示波法电子血压计，脉搏波法电子血压计，水银血压计以及血压表的检定。满足JJG 692-2010 《无创自动测量血压计》 ，JJG 270-2008 《血压计和血压表》等</w:t>
            </w:r>
          </w:p>
          <w:p w14:paraId="727FC2A1">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2、设备技术参数要求</w:t>
            </w:r>
          </w:p>
          <w:p w14:paraId="412DABCA">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right="0" w:firstLine="0" w:firstLineChars="0"/>
              <w:jc w:val="both"/>
              <w:textAlignment w:val="baseline"/>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▲2.1测量范围： 压力发生范围：(0-60) kPa[(0-450)mmHg]</w:t>
            </w:r>
          </w:p>
          <w:p w14:paraId="6E04ED8B">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right="0" w:firstLine="0" w:firstLineChars="0"/>
              <w:jc w:val="both"/>
              <w:textAlignment w:val="baseline"/>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压力测量范围：(0-60) kPa[(0-450)mmHg]</w:t>
            </w:r>
          </w:p>
          <w:p w14:paraId="7924E081">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leftChars="0" w:firstLine="0" w:firstLineChars="0"/>
              <w:jc w:val="both"/>
              <w:textAlignment w:val="baseline"/>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sz w:val="21"/>
                <w:szCs w:val="21"/>
                <w:highlight w:val="none"/>
                <w:lang w:eastAsia="zh-CN" w:bidi="ar"/>
              </w:rPr>
              <w:t>★</w:t>
            </w:r>
            <w:r>
              <w:rPr>
                <w:rFonts w:hint="eastAsia" w:ascii="宋体" w:hAnsi="宋体" w:eastAsia="宋体" w:cs="宋体"/>
                <w:snapToGrid w:val="0"/>
                <w:color w:val="auto"/>
                <w:kern w:val="0"/>
                <w:sz w:val="21"/>
                <w:szCs w:val="21"/>
                <w:highlight w:val="none"/>
                <w:lang w:val="en-US" w:eastAsia="zh-CN" w:bidi="ar-SA"/>
              </w:rPr>
              <w:t>2.2</w:t>
            </w:r>
            <w:r>
              <w:rPr>
                <w:rFonts w:hint="eastAsia" w:ascii="宋体" w:hAnsi="宋体" w:eastAsia="宋体" w:cs="宋体"/>
                <w:color w:val="auto"/>
                <w:sz w:val="21"/>
                <w:szCs w:val="21"/>
                <w:highlight w:val="none"/>
              </w:rPr>
              <w:t>准确</w:t>
            </w:r>
            <w:r>
              <w:rPr>
                <w:rFonts w:hint="eastAsia" w:ascii="宋体" w:hAnsi="宋体" w:eastAsia="宋体" w:cs="宋体"/>
                <w:color w:val="auto"/>
                <w:sz w:val="21"/>
                <w:szCs w:val="21"/>
                <w:highlight w:val="none"/>
                <w:lang w:eastAsia="zh-CN"/>
              </w:rPr>
              <w:t>度</w:t>
            </w:r>
            <w:r>
              <w:rPr>
                <w:rFonts w:hint="eastAsia" w:ascii="宋体" w:hAnsi="宋体" w:eastAsia="宋体" w:cs="宋体"/>
                <w:color w:val="auto"/>
                <w:sz w:val="21"/>
                <w:szCs w:val="21"/>
                <w:highlight w:val="none"/>
              </w:rPr>
              <w:t>等级：0.1级</w:t>
            </w:r>
          </w:p>
          <w:p w14:paraId="402DDE48">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2.3设备具体要求：</w:t>
            </w:r>
          </w:p>
          <w:p w14:paraId="500DC5FA">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right="0" w:firstLine="0" w:firstLineChars="0"/>
              <w:jc w:val="both"/>
              <w:textAlignment w:val="baseline"/>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静态压力测量：</w:t>
            </w:r>
          </w:p>
          <w:p w14:paraId="4CFE3FCD">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right="0" w:firstLine="0" w:firstLineChars="0"/>
              <w:jc w:val="both"/>
              <w:textAlignment w:val="baseline"/>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压力发生范围：(0-60) kPa[(0-450)mmHg]</w:t>
            </w:r>
          </w:p>
          <w:p w14:paraId="3BA900BB">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right="0" w:firstLine="0" w:firstLineChars="0"/>
              <w:jc w:val="both"/>
              <w:textAlignment w:val="baseline"/>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压力测量范围：(0-60) kPa[(0-450)mmHg]</w:t>
            </w:r>
          </w:p>
          <w:p w14:paraId="2D521B31">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right="0" w:firstLine="0" w:firstLineChars="0"/>
              <w:jc w:val="both"/>
              <w:textAlignment w:val="baseline"/>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准确度等级：0.1级</w:t>
            </w:r>
          </w:p>
          <w:p w14:paraId="58D63677">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right="0" w:firstLine="0" w:firstLineChars="0"/>
              <w:jc w:val="both"/>
              <w:textAlignment w:val="baseline"/>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0.1级分辨率： 0.01 kPa(0.1mmHg)</w:t>
            </w:r>
          </w:p>
          <w:p w14:paraId="43E975B9">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right="0" w:firstLine="0" w:firstLineChars="0"/>
              <w:jc w:val="both"/>
              <w:textAlignment w:val="baseline"/>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控压稳定度：0.05%F.S</w:t>
            </w:r>
          </w:p>
          <w:p w14:paraId="55DC6955">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right="0" w:firstLine="0" w:firstLineChars="0"/>
              <w:jc w:val="both"/>
              <w:textAlignment w:val="baseline"/>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动态血压模拟：</w:t>
            </w:r>
          </w:p>
          <w:p w14:paraId="7B214F14">
            <w:pPr>
              <w:pStyle w:val="18"/>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80" w:lineRule="exact"/>
              <w:ind w:left="0" w:leftChars="0" w:firstLine="0" w:firstLineChars="0"/>
              <w:jc w:val="left"/>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成人模式：  收缩压：(6.7～34.0)kPa[(50～255)mmHg]</w:t>
            </w:r>
          </w:p>
          <w:p w14:paraId="2767F12F">
            <w:pPr>
              <w:pStyle w:val="18"/>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80" w:lineRule="exact"/>
              <w:ind w:left="0" w:leftChars="0" w:firstLine="0" w:firstLineChars="0"/>
              <w:jc w:val="left"/>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舒张压：(4.0～26.0)kPa[(30～195)mmHg]</w:t>
            </w:r>
          </w:p>
          <w:p w14:paraId="279F9F06">
            <w:pPr>
              <w:pStyle w:val="18"/>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80" w:lineRule="exact"/>
              <w:ind w:left="0" w:leftChars="0" w:firstLine="0" w:firstLineChars="0"/>
              <w:jc w:val="left"/>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新生儿模式：收缩压：(4.0～16.0)kPa[(30～120)mmHg]</w:t>
            </w:r>
          </w:p>
          <w:p w14:paraId="0A55B6B1">
            <w:pPr>
              <w:pStyle w:val="18"/>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80" w:lineRule="exact"/>
              <w:ind w:left="0" w:leftChars="0" w:firstLine="0" w:firstLineChars="0"/>
              <w:jc w:val="left"/>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舒张压：(1.3～13.3)kPa[（10～100）mmHg]</w:t>
            </w:r>
          </w:p>
          <w:p w14:paraId="73E467F6">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80" w:lineRule="exact"/>
              <w:ind w:left="0" w:leftChars="0" w:right="0" w:firstLine="0" w:firstLineChars="0"/>
              <w:jc w:val="both"/>
              <w:textAlignment w:val="baseline"/>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血压示值重复性： 不大于0.3kPa(2mmHg)</w:t>
            </w:r>
          </w:p>
          <w:p w14:paraId="27D8435A">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beforeAutospacing="0" w:afterAutospacing="0" w:line="480" w:lineRule="exact"/>
              <w:ind w:left="0" w:left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3、设备主要配置（含配件及耗材要求）：</w:t>
            </w:r>
          </w:p>
          <w:p w14:paraId="28A665E9">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带电子血压计的检定配件，如：管道，堵气阀门等</w:t>
            </w:r>
          </w:p>
          <w:p w14:paraId="22DCF203">
            <w:pPr>
              <w:pStyle w:val="6"/>
              <w:keepNext w:val="0"/>
              <w:keepLines w:val="0"/>
              <w:pageBreakBefore w:val="0"/>
              <w:widowControl/>
              <w:kinsoku w:val="0"/>
              <w:wordWrap/>
              <w:overflowPunct/>
              <w:topLinePunct w:val="0"/>
              <w:autoSpaceDE w:val="0"/>
              <w:autoSpaceDN w:val="0"/>
              <w:bidi w:val="0"/>
              <w:adjustRightInd w:val="0"/>
              <w:snapToGrid w:val="0"/>
              <w:spacing w:beforeAutospacing="0" w:after="0" w:afterAutospacing="0" w:line="480" w:lineRule="exact"/>
              <w:ind w:left="0" w:leftChars="0" w:firstLine="0" w:firstLineChars="0"/>
              <w:jc w:val="both"/>
              <w:textAlignment w:val="baseline"/>
              <w:rPr>
                <w:rFonts w:hint="eastAsia" w:ascii="宋体" w:hAnsi="宋体" w:eastAsia="宋体" w:cs="宋体"/>
                <w:color w:val="auto"/>
                <w:sz w:val="21"/>
                <w:szCs w:val="21"/>
                <w:highlight w:val="none"/>
                <w:lang w:eastAsia="zh-CN"/>
              </w:rPr>
            </w:pPr>
          </w:p>
        </w:tc>
      </w:tr>
      <w:tr w14:paraId="52921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7" w:type="dxa"/>
            <w:vAlign w:val="center"/>
          </w:tcPr>
          <w:p w14:paraId="23EAB370">
            <w:pPr>
              <w:pStyle w:val="6"/>
              <w:pageBreakBefore w:val="0"/>
              <w:wordWrap/>
              <w:overflowPunct/>
              <w:topLinePunct w:val="0"/>
              <w:bidi w:val="0"/>
              <w:spacing w:beforeAutospacing="0" w:after="0" w:afterAutospacing="0" w:line="480" w:lineRule="exact"/>
              <w:ind w:left="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24</w:t>
            </w:r>
          </w:p>
        </w:tc>
        <w:tc>
          <w:tcPr>
            <w:tcW w:w="1605" w:type="dxa"/>
            <w:vAlign w:val="center"/>
          </w:tcPr>
          <w:p w14:paraId="3A66270A">
            <w:pPr>
              <w:pStyle w:val="6"/>
              <w:pageBreakBefore w:val="0"/>
              <w:wordWrap/>
              <w:overflowPunct/>
              <w:topLinePunct w:val="0"/>
              <w:bidi w:val="0"/>
              <w:spacing w:beforeAutospacing="0" w:after="0" w:afterAutospacing="0" w:line="480" w:lineRule="exact"/>
              <w:ind w:left="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剂量仪</w:t>
            </w:r>
          </w:p>
        </w:tc>
        <w:tc>
          <w:tcPr>
            <w:tcW w:w="12382" w:type="dxa"/>
          </w:tcPr>
          <w:p w14:paraId="253E1C56">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1、设备用途及应用要求</w:t>
            </w:r>
          </w:p>
          <w:p w14:paraId="5DC53BB7">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适应于新安装、使用中和影响成像性能的部件修理后的医用诊断螺旋计算机断层摄影装置(CT)X射线辐射源的检定。满足JJG 961-2017《医用诊断螺旋计算机断层摄影装置（CT）X射线辐射源》检定规程的建标要求。</w:t>
            </w:r>
          </w:p>
          <w:p w14:paraId="34F121D7">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2、设备技术参数要求</w:t>
            </w:r>
          </w:p>
          <w:p w14:paraId="79AE658B">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 xml:space="preserve">▲2.1测量范围： </w:t>
            </w:r>
          </w:p>
          <w:p w14:paraId="4D86AD1B">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(1)剂量率：0.3 mGycm/s - 3 Gycm/s</w:t>
            </w:r>
          </w:p>
          <w:p w14:paraId="1C269B60">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default"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(2)千伏量程：(40 - 155) kV</w:t>
            </w:r>
          </w:p>
          <w:p w14:paraId="66079661">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(3)曝光时间量程：0.1 ms - 2000 s</w:t>
            </w:r>
          </w:p>
          <w:p w14:paraId="3B1CBBD4">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(4)半价层量程：(0.72 - 13) mm Al</w:t>
            </w:r>
          </w:p>
          <w:p w14:paraId="1161A326">
            <w:pPr>
              <w:keepNext w:val="0"/>
              <w:keepLines w:val="0"/>
              <w:pageBreakBefore w:val="0"/>
              <w:shd w:val="clear" w:color="auto" w:fill="FFFFFF"/>
              <w:kinsoku w:val="0"/>
              <w:wordWrap/>
              <w:overflowPunct/>
              <w:topLinePunct w:val="0"/>
              <w:autoSpaceDE w:val="0"/>
              <w:autoSpaceDN w:val="0"/>
              <w:bidi w:val="0"/>
              <w:adjustRightInd w:val="0"/>
              <w:snapToGrid w:val="0"/>
              <w:spacing w:beforeAutospacing="0" w:afterAutospacing="0" w:line="480" w:lineRule="exact"/>
              <w:ind w:left="0" w:leftChars="0" w:firstLine="0" w:firstLineChars="0"/>
              <w:jc w:val="left"/>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▲2.2测量精度：</w:t>
            </w:r>
          </w:p>
          <w:p w14:paraId="418B0855">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(1)带有长杆电离室或切片探测器的积分剂量计必须给出所需的半值层校准因子，其不确定度不超过5%(k=2)。</w:t>
            </w:r>
          </w:p>
          <w:p w14:paraId="4F2F012B">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(2)积分档年稳定性不大于2%。</w:t>
            </w:r>
          </w:p>
          <w:p w14:paraId="2D40C7A6">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2.3设备具体要求：</w:t>
            </w:r>
          </w:p>
          <w:p w14:paraId="67F9DFA3">
            <w:pPr>
              <w:pStyle w:val="10"/>
              <w:keepNext w:val="0"/>
              <w:keepLines w:val="0"/>
              <w:pageBreakBefore w:val="0"/>
              <w:kinsoku w:val="0"/>
              <w:wordWrap/>
              <w:overflowPunct/>
              <w:topLinePunct w:val="0"/>
              <w:autoSpaceDE w:val="0"/>
              <w:autoSpaceDN w:val="0"/>
              <w:bidi w:val="0"/>
              <w:adjustRightInd w:val="0"/>
              <w:snapToGrid w:val="0"/>
              <w:spacing w:before="0" w:beforeAutospacing="0" w:afterAutospacing="0" w:line="480" w:lineRule="exact"/>
              <w:ind w:left="0" w:leftChars="0" w:firstLine="0" w:firstLineChars="0"/>
              <w:rPr>
                <w:rFonts w:hint="eastAsia" w:ascii="宋体" w:hAnsi="宋体" w:eastAsia="宋体" w:cs="宋体"/>
                <w:b/>
                <w:bCs/>
                <w:snapToGrid w:val="0"/>
                <w:color w:val="auto"/>
                <w:kern w:val="0"/>
                <w:sz w:val="21"/>
                <w:szCs w:val="21"/>
                <w:highlight w:val="none"/>
                <w:lang w:val="en-US" w:eastAsia="zh-CN" w:bidi="ar-SA"/>
              </w:rPr>
            </w:pPr>
            <w:r>
              <w:rPr>
                <w:rFonts w:hint="eastAsia" w:ascii="宋体" w:hAnsi="宋体" w:eastAsia="宋体" w:cs="宋体"/>
                <w:b/>
                <w:bCs/>
                <w:snapToGrid w:val="0"/>
                <w:color w:val="auto"/>
                <w:kern w:val="0"/>
                <w:sz w:val="21"/>
                <w:szCs w:val="21"/>
                <w:highlight w:val="none"/>
                <w:lang w:val="en-US" w:eastAsia="zh-CN" w:bidi="ar-SA"/>
              </w:rPr>
              <w:t>CT剂量仪主机</w:t>
            </w:r>
          </w:p>
          <w:p w14:paraId="0A5534F1">
            <w:pPr>
              <w:pStyle w:val="10"/>
              <w:keepNext w:val="0"/>
              <w:keepLines w:val="0"/>
              <w:pageBreakBefore w:val="0"/>
              <w:kinsoku w:val="0"/>
              <w:wordWrap/>
              <w:overflowPunct/>
              <w:topLinePunct w:val="0"/>
              <w:autoSpaceDE w:val="0"/>
              <w:autoSpaceDN w:val="0"/>
              <w:bidi w:val="0"/>
              <w:adjustRightInd w:val="0"/>
              <w:snapToGrid w:val="0"/>
              <w:spacing w:before="0" w:beforeAutospacing="0" w:afterAutospacing="0" w:line="480" w:lineRule="exact"/>
              <w:ind w:left="0" w:leftChars="0" w:firstLine="0" w:firstLineChars="0"/>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（1）CT独立剂量仪，带有CT分析软件，内置CT机千伏、曝光时间、半价层、总过滤的自动测量功能，自动计算CT的容积剂量指数；</w:t>
            </w:r>
          </w:p>
          <w:p w14:paraId="7AB199B4">
            <w:pPr>
              <w:pStyle w:val="10"/>
              <w:keepNext w:val="0"/>
              <w:keepLines w:val="0"/>
              <w:pageBreakBefore w:val="0"/>
              <w:kinsoku w:val="0"/>
              <w:wordWrap/>
              <w:overflowPunct/>
              <w:topLinePunct w:val="0"/>
              <w:autoSpaceDE w:val="0"/>
              <w:autoSpaceDN w:val="0"/>
              <w:bidi w:val="0"/>
              <w:adjustRightInd w:val="0"/>
              <w:snapToGrid w:val="0"/>
              <w:spacing w:before="0" w:beforeAutospacing="0" w:afterAutospacing="0" w:line="480" w:lineRule="exact"/>
              <w:ind w:left="0" w:leftChars="0" w:firstLine="0" w:firstLineChars="0"/>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sz w:val="21"/>
                <w:szCs w:val="21"/>
                <w:highlight w:val="none"/>
                <w:lang w:eastAsia="zh-CN" w:bidi="ar"/>
              </w:rPr>
              <w:t>★</w:t>
            </w:r>
            <w:r>
              <w:rPr>
                <w:rFonts w:hint="eastAsia" w:ascii="宋体" w:hAnsi="宋体" w:eastAsia="宋体" w:cs="宋体"/>
                <w:snapToGrid w:val="0"/>
                <w:color w:val="auto"/>
                <w:kern w:val="0"/>
                <w:sz w:val="21"/>
                <w:szCs w:val="21"/>
                <w:highlight w:val="none"/>
                <w:lang w:val="en-US" w:eastAsia="zh-CN" w:bidi="ar-SA"/>
              </w:rPr>
              <w:t>（2）主机内置无线蓝牙遥测功能，与带蓝牙遥测功能的彩色触摸屏平板工作站及厂家原装中文操作界面的专用评估软件，实现无线蓝牙遥测，测量结果直接显示在平板工作站上；</w:t>
            </w:r>
          </w:p>
          <w:p w14:paraId="45A29966">
            <w:pPr>
              <w:pStyle w:val="10"/>
              <w:keepNext w:val="0"/>
              <w:keepLines w:val="0"/>
              <w:pageBreakBefore w:val="0"/>
              <w:kinsoku w:val="0"/>
              <w:wordWrap/>
              <w:overflowPunct/>
              <w:topLinePunct w:val="0"/>
              <w:autoSpaceDE w:val="0"/>
              <w:autoSpaceDN w:val="0"/>
              <w:bidi w:val="0"/>
              <w:adjustRightInd w:val="0"/>
              <w:snapToGrid w:val="0"/>
              <w:spacing w:before="0" w:beforeAutospacing="0" w:afterAutospacing="0" w:line="480" w:lineRule="exact"/>
              <w:ind w:left="0" w:leftChars="0" w:firstLine="0" w:firstLineChars="0"/>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（3）数据采集以及记录均可生成表格，可记录以Excel形式输出；</w:t>
            </w:r>
          </w:p>
          <w:p w14:paraId="436064F8">
            <w:pPr>
              <w:pStyle w:val="10"/>
              <w:keepNext w:val="0"/>
              <w:keepLines w:val="0"/>
              <w:pageBreakBefore w:val="0"/>
              <w:kinsoku w:val="0"/>
              <w:wordWrap/>
              <w:overflowPunct/>
              <w:topLinePunct w:val="0"/>
              <w:autoSpaceDE w:val="0"/>
              <w:autoSpaceDN w:val="0"/>
              <w:bidi w:val="0"/>
              <w:adjustRightInd w:val="0"/>
              <w:snapToGrid w:val="0"/>
              <w:spacing w:before="0" w:beforeAutospacing="0" w:afterAutospacing="0" w:line="480" w:lineRule="exact"/>
              <w:ind w:left="0" w:leftChars="0" w:firstLine="0" w:firstLineChars="0"/>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▲（4）主机（不含显示屏）:外观尺寸≤135mm×80mm×30mm；</w:t>
            </w:r>
          </w:p>
          <w:p w14:paraId="3116A203">
            <w:pPr>
              <w:pStyle w:val="10"/>
              <w:keepNext w:val="0"/>
              <w:keepLines w:val="0"/>
              <w:pageBreakBefore w:val="0"/>
              <w:kinsoku w:val="0"/>
              <w:wordWrap/>
              <w:overflowPunct/>
              <w:topLinePunct w:val="0"/>
              <w:autoSpaceDE w:val="0"/>
              <w:autoSpaceDN w:val="0"/>
              <w:bidi w:val="0"/>
              <w:adjustRightInd w:val="0"/>
              <w:snapToGrid w:val="0"/>
              <w:spacing w:before="0" w:beforeAutospacing="0" w:afterAutospacing="0" w:line="480" w:lineRule="exact"/>
              <w:ind w:left="0" w:leftChars="0" w:firstLine="0" w:firstLineChars="0"/>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（5）CT长杆电离室有效探测区：≥100 mm</w:t>
            </w:r>
          </w:p>
          <w:p w14:paraId="2FDC9DF8">
            <w:pPr>
              <w:pStyle w:val="10"/>
              <w:keepNext w:val="0"/>
              <w:keepLines w:val="0"/>
              <w:pageBreakBefore w:val="0"/>
              <w:kinsoku w:val="0"/>
              <w:wordWrap/>
              <w:overflowPunct/>
              <w:topLinePunct w:val="0"/>
              <w:autoSpaceDE w:val="0"/>
              <w:autoSpaceDN w:val="0"/>
              <w:bidi w:val="0"/>
              <w:adjustRightInd w:val="0"/>
              <w:snapToGrid w:val="0"/>
              <w:spacing w:before="0" w:beforeAutospacing="0" w:afterAutospacing="0" w:line="480" w:lineRule="exact"/>
              <w:ind w:left="0" w:leftChars="0" w:firstLine="0" w:firstLineChars="0"/>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（6）剂量率：≥0.3 mGycm/s - 3 Gycm/s，误差：≤±5%</w:t>
            </w:r>
          </w:p>
          <w:p w14:paraId="06612C69">
            <w:pPr>
              <w:pStyle w:val="10"/>
              <w:keepNext w:val="0"/>
              <w:keepLines w:val="0"/>
              <w:pageBreakBefore w:val="0"/>
              <w:kinsoku w:val="0"/>
              <w:wordWrap/>
              <w:overflowPunct/>
              <w:topLinePunct w:val="0"/>
              <w:autoSpaceDE w:val="0"/>
              <w:autoSpaceDN w:val="0"/>
              <w:bidi w:val="0"/>
              <w:adjustRightInd w:val="0"/>
              <w:snapToGrid w:val="0"/>
              <w:spacing w:before="0" w:beforeAutospacing="0" w:afterAutospacing="0" w:line="480" w:lineRule="exact"/>
              <w:ind w:left="0" w:leftChars="0" w:firstLine="0" w:firstLineChars="0"/>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（7）CT千伏量程：≥40 - 155 kV，误差：≤±1.5 %</w:t>
            </w:r>
          </w:p>
          <w:p w14:paraId="4BFD4B4D">
            <w:pPr>
              <w:pStyle w:val="10"/>
              <w:keepNext w:val="0"/>
              <w:keepLines w:val="0"/>
              <w:pageBreakBefore w:val="0"/>
              <w:kinsoku w:val="0"/>
              <w:wordWrap/>
              <w:overflowPunct/>
              <w:topLinePunct w:val="0"/>
              <w:autoSpaceDE w:val="0"/>
              <w:autoSpaceDN w:val="0"/>
              <w:bidi w:val="0"/>
              <w:adjustRightInd w:val="0"/>
              <w:snapToGrid w:val="0"/>
              <w:spacing w:before="0" w:beforeAutospacing="0" w:afterAutospacing="0" w:line="480" w:lineRule="exact"/>
              <w:ind w:left="0" w:leftChars="0" w:firstLine="0" w:firstLineChars="0"/>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（8）曝光时间量程：≥0.15 ms - 1000 s，误差：≤±0.5%或±0.5 ms</w:t>
            </w:r>
          </w:p>
          <w:p w14:paraId="36E1E85D">
            <w:pPr>
              <w:pStyle w:val="10"/>
              <w:keepNext w:val="0"/>
              <w:keepLines w:val="0"/>
              <w:pageBreakBefore w:val="0"/>
              <w:kinsoku w:val="0"/>
              <w:wordWrap/>
              <w:overflowPunct/>
              <w:topLinePunct w:val="0"/>
              <w:autoSpaceDE w:val="0"/>
              <w:autoSpaceDN w:val="0"/>
              <w:bidi w:val="0"/>
              <w:adjustRightInd w:val="0"/>
              <w:snapToGrid w:val="0"/>
              <w:spacing w:before="0" w:beforeAutospacing="0" w:afterAutospacing="0" w:line="480" w:lineRule="exact"/>
              <w:ind w:left="0" w:leftChars="0" w:firstLine="0" w:firstLineChars="0"/>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（9）半价层量程：≥0.72 - 13 mm Al，误差：≤±10 % 或 ±0.2 mm</w:t>
            </w:r>
          </w:p>
          <w:p w14:paraId="022B6FCE">
            <w:pPr>
              <w:pStyle w:val="10"/>
              <w:keepNext w:val="0"/>
              <w:keepLines w:val="0"/>
              <w:pageBreakBefore w:val="0"/>
              <w:kinsoku w:val="0"/>
              <w:wordWrap/>
              <w:overflowPunct/>
              <w:topLinePunct w:val="0"/>
              <w:autoSpaceDE w:val="0"/>
              <w:autoSpaceDN w:val="0"/>
              <w:bidi w:val="0"/>
              <w:adjustRightInd w:val="0"/>
              <w:snapToGrid w:val="0"/>
              <w:spacing w:before="0" w:beforeAutospacing="0" w:afterAutospacing="0" w:line="480" w:lineRule="exact"/>
              <w:ind w:left="0" w:leftChars="0" w:firstLine="0" w:firstLineChars="0"/>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（10）总过滤：≥1.0 - 90 mm Al，精度：≤±10 % 或 ±0.3 mm</w:t>
            </w:r>
          </w:p>
          <w:p w14:paraId="6D62F0C6">
            <w:pPr>
              <w:pStyle w:val="10"/>
              <w:keepNext w:val="0"/>
              <w:keepLines w:val="0"/>
              <w:pageBreakBefore w:val="0"/>
              <w:kinsoku w:val="0"/>
              <w:wordWrap/>
              <w:overflowPunct/>
              <w:topLinePunct w:val="0"/>
              <w:autoSpaceDE w:val="0"/>
              <w:autoSpaceDN w:val="0"/>
              <w:bidi w:val="0"/>
              <w:adjustRightInd w:val="0"/>
              <w:snapToGrid w:val="0"/>
              <w:spacing w:before="0" w:beforeAutospacing="0" w:afterAutospacing="0" w:line="480" w:lineRule="exact"/>
              <w:ind w:left="0" w:leftChars="0" w:firstLine="0" w:firstLineChars="0"/>
              <w:rPr>
                <w:rFonts w:hint="eastAsia" w:ascii="宋体" w:hAnsi="宋体" w:eastAsia="宋体" w:cs="宋体"/>
                <w:b/>
                <w:bCs/>
                <w:snapToGrid w:val="0"/>
                <w:color w:val="auto"/>
                <w:kern w:val="0"/>
                <w:sz w:val="21"/>
                <w:szCs w:val="21"/>
                <w:highlight w:val="none"/>
                <w:lang w:val="en-US" w:eastAsia="zh-CN" w:bidi="ar-SA"/>
              </w:rPr>
            </w:pPr>
            <w:r>
              <w:rPr>
                <w:rFonts w:hint="eastAsia" w:ascii="宋体" w:hAnsi="宋体" w:eastAsia="宋体" w:cs="宋体"/>
                <w:b/>
                <w:bCs/>
                <w:snapToGrid w:val="0"/>
                <w:color w:val="auto"/>
                <w:kern w:val="0"/>
                <w:sz w:val="21"/>
                <w:szCs w:val="21"/>
                <w:highlight w:val="none"/>
                <w:lang w:val="en-US" w:eastAsia="zh-CN" w:bidi="ar-SA"/>
              </w:rPr>
              <w:t>CT性能检测模体</w:t>
            </w:r>
          </w:p>
          <w:p w14:paraId="5DC5F37E">
            <w:pPr>
              <w:pStyle w:val="10"/>
              <w:keepNext w:val="0"/>
              <w:keepLines w:val="0"/>
              <w:pageBreakBefore w:val="0"/>
              <w:kinsoku w:val="0"/>
              <w:wordWrap/>
              <w:overflowPunct/>
              <w:topLinePunct w:val="0"/>
              <w:autoSpaceDE w:val="0"/>
              <w:autoSpaceDN w:val="0"/>
              <w:bidi w:val="0"/>
              <w:adjustRightInd w:val="0"/>
              <w:snapToGrid w:val="0"/>
              <w:spacing w:before="0" w:beforeAutospacing="0" w:afterAutospacing="0" w:line="480" w:lineRule="exact"/>
              <w:ind w:left="0" w:leftChars="0" w:firstLine="0" w:firstLineChars="0"/>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（1）层厚检测模块：直径15cm，厚2.5cm，内嵌两组23°金属斜线（X方向、Y方向），内嵌四个密度不同的小圆柱体，用于测量层厚、CT值线性参数；</w:t>
            </w:r>
          </w:p>
          <w:p w14:paraId="4B0EBC92">
            <w:pPr>
              <w:pStyle w:val="10"/>
              <w:keepNext w:val="0"/>
              <w:keepLines w:val="0"/>
              <w:pageBreakBefore w:val="0"/>
              <w:kinsoku w:val="0"/>
              <w:wordWrap/>
              <w:overflowPunct/>
              <w:topLinePunct w:val="0"/>
              <w:autoSpaceDE w:val="0"/>
              <w:autoSpaceDN w:val="0"/>
              <w:bidi w:val="0"/>
              <w:adjustRightInd w:val="0"/>
              <w:snapToGrid w:val="0"/>
              <w:spacing w:before="0" w:beforeAutospacing="0" w:afterAutospacing="0" w:line="480" w:lineRule="exact"/>
              <w:ind w:left="0" w:leftChars="0" w:firstLine="0" w:firstLineChars="0"/>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（2）空间分辨力检测模块：直径15cm，厚4cm，内含21组高密度线对结构（放射状分布），用于测量空间分辨力；</w:t>
            </w:r>
          </w:p>
          <w:p w14:paraId="785DF72C">
            <w:pPr>
              <w:pStyle w:val="10"/>
              <w:keepNext w:val="0"/>
              <w:keepLines w:val="0"/>
              <w:pageBreakBefore w:val="0"/>
              <w:kinsoku w:val="0"/>
              <w:wordWrap/>
              <w:overflowPunct/>
              <w:topLinePunct w:val="0"/>
              <w:autoSpaceDE w:val="0"/>
              <w:autoSpaceDN w:val="0"/>
              <w:bidi w:val="0"/>
              <w:adjustRightInd w:val="0"/>
              <w:snapToGrid w:val="0"/>
              <w:spacing w:before="0" w:beforeAutospacing="0" w:afterAutospacing="0" w:line="480" w:lineRule="exact"/>
              <w:ind w:left="0" w:leftChars="0" w:firstLine="0" w:firstLineChars="0"/>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（3）低对比度分辨力检测模块：</w:t>
            </w:r>
          </w:p>
          <w:p w14:paraId="290858B4">
            <w:pPr>
              <w:pStyle w:val="10"/>
              <w:keepNext w:val="0"/>
              <w:keepLines w:val="0"/>
              <w:pageBreakBefore w:val="0"/>
              <w:kinsoku w:val="0"/>
              <w:wordWrap/>
              <w:overflowPunct/>
              <w:topLinePunct w:val="0"/>
              <w:autoSpaceDE w:val="0"/>
              <w:autoSpaceDN w:val="0"/>
              <w:bidi w:val="0"/>
              <w:adjustRightInd w:val="0"/>
              <w:snapToGrid w:val="0"/>
              <w:spacing w:before="0" w:beforeAutospacing="0" w:afterAutospacing="0" w:line="480" w:lineRule="exact"/>
              <w:ind w:left="0" w:leftChars="0" w:firstLine="0" w:firstLineChars="0"/>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3.1直径15cm，厚4cm，内外两组低密度孔径结构（放射状分布，所有孔径最大误差±0.05mm）；</w:t>
            </w:r>
          </w:p>
          <w:p w14:paraId="69E8B0BE">
            <w:pPr>
              <w:pStyle w:val="10"/>
              <w:keepNext w:val="0"/>
              <w:keepLines w:val="0"/>
              <w:pageBreakBefore w:val="0"/>
              <w:kinsoku w:val="0"/>
              <w:wordWrap/>
              <w:overflowPunct/>
              <w:topLinePunct w:val="0"/>
              <w:autoSpaceDE w:val="0"/>
              <w:autoSpaceDN w:val="0"/>
              <w:bidi w:val="0"/>
              <w:adjustRightInd w:val="0"/>
              <w:snapToGrid w:val="0"/>
              <w:spacing w:before="0" w:beforeAutospacing="0" w:afterAutospacing="0" w:line="480" w:lineRule="exact"/>
              <w:ind w:left="0" w:leftChars="0" w:firstLine="0" w:firstLineChars="0"/>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3.2内层孔阵：对比度0.3%、0.5%、1.0%；直径（3、5、7、9）mm；</w:t>
            </w:r>
          </w:p>
          <w:p w14:paraId="103A0F1A">
            <w:pPr>
              <w:pStyle w:val="10"/>
              <w:keepNext w:val="0"/>
              <w:keepLines w:val="0"/>
              <w:pageBreakBefore w:val="0"/>
              <w:kinsoku w:val="0"/>
              <w:wordWrap/>
              <w:overflowPunct/>
              <w:topLinePunct w:val="0"/>
              <w:autoSpaceDE w:val="0"/>
              <w:autoSpaceDN w:val="0"/>
              <w:bidi w:val="0"/>
              <w:adjustRightInd w:val="0"/>
              <w:snapToGrid w:val="0"/>
              <w:spacing w:before="0" w:beforeAutospacing="0" w:afterAutospacing="0" w:line="480" w:lineRule="exact"/>
              <w:ind w:left="0" w:leftChars="0" w:firstLine="0" w:firstLineChars="0"/>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3.3外层孔阵：对比度0.3%、0.5%、1.0%；直径（2、3、4 、5 、6 、7 、8 、9 、15）mm。</w:t>
            </w:r>
          </w:p>
          <w:p w14:paraId="68B865C8">
            <w:pPr>
              <w:pStyle w:val="10"/>
              <w:keepNext w:val="0"/>
              <w:keepLines w:val="0"/>
              <w:pageBreakBefore w:val="0"/>
              <w:kinsoku w:val="0"/>
              <w:wordWrap/>
              <w:overflowPunct/>
              <w:topLinePunct w:val="0"/>
              <w:autoSpaceDE w:val="0"/>
              <w:autoSpaceDN w:val="0"/>
              <w:bidi w:val="0"/>
              <w:adjustRightInd w:val="0"/>
              <w:snapToGrid w:val="0"/>
              <w:spacing w:before="0" w:beforeAutospacing="0" w:afterAutospacing="0" w:line="480" w:lineRule="exact"/>
              <w:ind w:left="0" w:leftChars="0" w:firstLine="0" w:firstLineChars="0"/>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（4）水模体模块：灌注纯水用于测量均匀性和噪声水平以及水CT值。</w:t>
            </w:r>
          </w:p>
          <w:p w14:paraId="209CA613">
            <w:pPr>
              <w:pStyle w:val="10"/>
              <w:keepNext w:val="0"/>
              <w:keepLines w:val="0"/>
              <w:pageBreakBefore w:val="0"/>
              <w:kinsoku w:val="0"/>
              <w:wordWrap/>
              <w:overflowPunct/>
              <w:topLinePunct w:val="0"/>
              <w:autoSpaceDE w:val="0"/>
              <w:autoSpaceDN w:val="0"/>
              <w:bidi w:val="0"/>
              <w:adjustRightInd w:val="0"/>
              <w:snapToGrid w:val="0"/>
              <w:spacing w:before="0" w:beforeAutospacing="0" w:afterAutospacing="0" w:line="480" w:lineRule="exact"/>
              <w:ind w:left="0" w:leftChars="0" w:firstLine="0" w:firstLineChars="0"/>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b/>
                <w:bCs/>
                <w:snapToGrid w:val="0"/>
                <w:color w:val="auto"/>
                <w:kern w:val="0"/>
                <w:sz w:val="21"/>
                <w:szCs w:val="21"/>
                <w:highlight w:val="none"/>
                <w:lang w:val="en-US" w:eastAsia="zh-CN" w:bidi="ar-SA"/>
              </w:rPr>
              <w:t>CT剂量检测模体</w:t>
            </w:r>
            <w:r>
              <w:rPr>
                <w:rFonts w:hint="eastAsia" w:ascii="宋体" w:hAnsi="宋体" w:eastAsia="宋体" w:cs="宋体"/>
                <w:snapToGrid w:val="0"/>
                <w:color w:val="auto"/>
                <w:kern w:val="0"/>
                <w:sz w:val="21"/>
                <w:szCs w:val="21"/>
                <w:highlight w:val="none"/>
                <w:lang w:val="en-US" w:eastAsia="zh-CN" w:bidi="ar-SA"/>
              </w:rPr>
              <w:t>：</w:t>
            </w:r>
          </w:p>
          <w:p w14:paraId="527CDA1C">
            <w:pPr>
              <w:pStyle w:val="10"/>
              <w:keepNext w:val="0"/>
              <w:keepLines w:val="0"/>
              <w:pageBreakBefore w:val="0"/>
              <w:kinsoku w:val="0"/>
              <w:wordWrap/>
              <w:overflowPunct/>
              <w:topLinePunct w:val="0"/>
              <w:autoSpaceDE w:val="0"/>
              <w:autoSpaceDN w:val="0"/>
              <w:bidi w:val="0"/>
              <w:adjustRightInd w:val="0"/>
              <w:snapToGrid w:val="0"/>
              <w:spacing w:before="0" w:beforeAutospacing="0" w:afterAutospacing="0" w:line="480" w:lineRule="exact"/>
              <w:ind w:left="0" w:leftChars="0" w:firstLine="0" w:firstLineChars="0"/>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（1）材料：有机玻璃体（PMMA）</w:t>
            </w:r>
          </w:p>
          <w:p w14:paraId="62487057">
            <w:pPr>
              <w:pStyle w:val="10"/>
              <w:keepNext w:val="0"/>
              <w:keepLines w:val="0"/>
              <w:pageBreakBefore w:val="0"/>
              <w:kinsoku w:val="0"/>
              <w:wordWrap/>
              <w:overflowPunct/>
              <w:topLinePunct w:val="0"/>
              <w:autoSpaceDE w:val="0"/>
              <w:autoSpaceDN w:val="0"/>
              <w:bidi w:val="0"/>
              <w:adjustRightInd w:val="0"/>
              <w:snapToGrid w:val="0"/>
              <w:spacing w:before="0" w:beforeAutospacing="0" w:afterAutospacing="0" w:line="480" w:lineRule="exact"/>
              <w:ind w:left="0" w:leftChars="0" w:firstLine="0" w:firstLineChars="0"/>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（2）外径：头部：160mm，腹部：320mm</w:t>
            </w:r>
          </w:p>
          <w:p w14:paraId="7D4A31F5">
            <w:pPr>
              <w:pStyle w:val="10"/>
              <w:keepNext w:val="0"/>
              <w:keepLines w:val="0"/>
              <w:pageBreakBefore w:val="0"/>
              <w:kinsoku w:val="0"/>
              <w:wordWrap/>
              <w:overflowPunct/>
              <w:topLinePunct w:val="0"/>
              <w:autoSpaceDE w:val="0"/>
              <w:autoSpaceDN w:val="0"/>
              <w:bidi w:val="0"/>
              <w:adjustRightInd w:val="0"/>
              <w:snapToGrid w:val="0"/>
              <w:spacing w:before="0" w:beforeAutospacing="0" w:afterAutospacing="0" w:line="480" w:lineRule="exact"/>
              <w:ind w:left="0" w:leftChars="0" w:firstLine="0" w:firstLineChars="0"/>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（3）厚度：150mm</w:t>
            </w:r>
          </w:p>
          <w:p w14:paraId="7B85AF10">
            <w:pPr>
              <w:pStyle w:val="10"/>
              <w:keepNext w:val="0"/>
              <w:keepLines w:val="0"/>
              <w:pageBreakBefore w:val="0"/>
              <w:kinsoku w:val="0"/>
              <w:wordWrap/>
              <w:overflowPunct/>
              <w:topLinePunct w:val="0"/>
              <w:autoSpaceDE w:val="0"/>
              <w:autoSpaceDN w:val="0"/>
              <w:bidi w:val="0"/>
              <w:adjustRightInd w:val="0"/>
              <w:snapToGrid w:val="0"/>
              <w:spacing w:before="0" w:beforeAutospacing="0" w:afterAutospacing="0" w:line="480" w:lineRule="exact"/>
              <w:ind w:left="0" w:leftChars="0" w:firstLine="0" w:firstLineChars="0"/>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（4）电离室孔径：13mm</w:t>
            </w:r>
          </w:p>
          <w:p w14:paraId="3123DAA5">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3、设备主要配置：</w:t>
            </w:r>
          </w:p>
          <w:p w14:paraId="51204E8B">
            <w:pPr>
              <w:pStyle w:val="10"/>
              <w:keepNext w:val="0"/>
              <w:keepLines w:val="0"/>
              <w:pageBreakBefore w:val="0"/>
              <w:kinsoku w:val="0"/>
              <w:wordWrap/>
              <w:overflowPunct/>
              <w:topLinePunct w:val="0"/>
              <w:autoSpaceDE w:val="0"/>
              <w:autoSpaceDN w:val="0"/>
              <w:bidi w:val="0"/>
              <w:adjustRightInd w:val="0"/>
              <w:snapToGrid w:val="0"/>
              <w:spacing w:before="0" w:beforeAutospacing="0" w:afterAutospacing="0" w:line="480" w:lineRule="exact"/>
              <w:ind w:left="0" w:leftChars="0" w:firstLine="0" w:firstLineChars="0"/>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CT剂量仪主机1台，长杆电离室1支，智能终端显示（含软件）1台，CT性能检测模体1套，CT剂量检测模体1套，说明书1套，专用包装箱1套。</w:t>
            </w:r>
          </w:p>
          <w:p w14:paraId="64D28E96">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color w:val="auto"/>
                <w:sz w:val="21"/>
                <w:szCs w:val="21"/>
                <w:highlight w:val="none"/>
                <w:lang w:val="en-US" w:eastAsia="zh-CN"/>
              </w:rPr>
            </w:pPr>
          </w:p>
        </w:tc>
      </w:tr>
      <w:tr w14:paraId="6F6C4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7" w:type="dxa"/>
            <w:vAlign w:val="center"/>
          </w:tcPr>
          <w:p w14:paraId="2237039A">
            <w:pPr>
              <w:pStyle w:val="6"/>
              <w:pageBreakBefore w:val="0"/>
              <w:wordWrap/>
              <w:overflowPunct/>
              <w:topLinePunct w:val="0"/>
              <w:bidi w:val="0"/>
              <w:spacing w:beforeAutospacing="0" w:after="0" w:afterAutospacing="0" w:line="480" w:lineRule="exact"/>
              <w:ind w:left="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25</w:t>
            </w:r>
          </w:p>
        </w:tc>
        <w:tc>
          <w:tcPr>
            <w:tcW w:w="1605" w:type="dxa"/>
            <w:vAlign w:val="center"/>
          </w:tcPr>
          <w:p w14:paraId="1BA750DC">
            <w:pPr>
              <w:pStyle w:val="6"/>
              <w:pageBreakBefore w:val="0"/>
              <w:wordWrap/>
              <w:overflowPunct/>
              <w:topLinePunct w:val="0"/>
              <w:bidi w:val="0"/>
              <w:spacing w:beforeAutospacing="0" w:after="0" w:afterAutospacing="0" w:line="480" w:lineRule="exact"/>
              <w:ind w:left="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心、脑电图机检定仪（含智能化心脑电图机检定仪）</w:t>
            </w:r>
          </w:p>
        </w:tc>
        <w:tc>
          <w:tcPr>
            <w:tcW w:w="12382" w:type="dxa"/>
          </w:tcPr>
          <w:p w14:paraId="1B16FD05">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1、设备用途及应用要求：</w:t>
            </w:r>
          </w:p>
          <w:p w14:paraId="4CFFC45E">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设备用于数字心电图机和模拟心电图机的检定，满足JJG 543-2026 《心电图机》等技术要求。</w:t>
            </w:r>
          </w:p>
          <w:p w14:paraId="326BDBC0">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2、设备技术参数要求：</w:t>
            </w:r>
          </w:p>
          <w:p w14:paraId="6426D787">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sz w:val="21"/>
                <w:szCs w:val="21"/>
                <w:highlight w:val="none"/>
                <w:lang w:eastAsia="zh-CN" w:bidi="ar"/>
              </w:rPr>
              <w:t>★</w:t>
            </w:r>
            <w:r>
              <w:rPr>
                <w:rFonts w:hint="eastAsia" w:ascii="宋体" w:hAnsi="宋体" w:eastAsia="宋体" w:cs="宋体"/>
                <w:snapToGrid w:val="0"/>
                <w:color w:val="auto"/>
                <w:kern w:val="0"/>
                <w:sz w:val="21"/>
                <w:szCs w:val="21"/>
                <w:highlight w:val="none"/>
                <w:lang w:val="en-US" w:eastAsia="zh-CN" w:bidi="ar-SA"/>
              </w:rPr>
              <w:t>2.1测量范围：方波：周期：0.05 s～10 s；电压（峰-峰值）：0.5 mV～5 mV；频率：0.1 Hz～150 Hz；正弦波:电压（峰-峰值）：0.5 mV～5 mV。</w:t>
            </w:r>
          </w:p>
          <w:p w14:paraId="1954D558">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2.3设备具体要求：</w:t>
            </w:r>
          </w:p>
          <w:p w14:paraId="5BA69E4F">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2.3.1. 供电性能：内置可充电锂电池，具备电量监控，续航≥8h；支持 Type‑C 接口，可通过手机充电器、充电宝外部补电。</w:t>
            </w:r>
          </w:p>
          <w:p w14:paraId="686DB038">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2.3.2. 信号输出能力：配备方波、正弦波、标准心率、ECG 仿真信号发生器；方波 / 正弦波频率 0.01Hz‑200Hz（精度≤±1%），输出峰‑峰值 0.05mV‑10V（精度≤±0.5%）；内置 50ms 时间常数、1s 周期微分信号，±300mV 极化电压（精度 ±3%）；心率 20‑300 次 / 分（精度≤±1%）；ECG 仿真周期 1333.3ms（精度≤±1%）。</w:t>
            </w:r>
          </w:p>
          <w:p w14:paraId="066CD232">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2.3.3. 检定专用阻抗与衰减模块：配置 1000:1 衰减器（精度≤±0.3%）；集成模拟皮肤‑电极阻抗 Zi（51kΩ∥47nF）、输入阻抗检定取样阻抗 Zq（620kΩ∥4700pF），满足对应阻容元件精度要求。</w:t>
            </w:r>
          </w:p>
          <w:p w14:paraId="2C306B1C">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2.3.4. 共模抑制比检定单元：输出电压有效值 9‑11V（误差 ±5%），输入阻抗＞300MΩ，输出等效电容 200pF。</w:t>
            </w:r>
          </w:p>
          <w:p w14:paraId="219EFEEA">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★2.3.5. 智能检定软件功能：中文显示，按检定规程内置顺序化检定程序，带操作导向菜单，可显示检定项目与被检设备预设参数，支持快捷键快速切换项目；具备动态心电图机一键全自动检定功能。</w:t>
            </w:r>
          </w:p>
          <w:p w14:paraId="686E704D">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2.3.6. 机身人机交互与便携性：≤3.5 寸彩色触摸屏；外形尺寸≤140mm×80mm×25mm；主机重量≤500g；主机背部设有专用防滑条。</w:t>
            </w:r>
          </w:p>
          <w:p w14:paraId="7AEDA76A">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3、设备主要配置（含配件及耗材要求）：</w:t>
            </w:r>
          </w:p>
          <w:p w14:paraId="43BAC2AA">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snapToGrid w:val="0"/>
                <w:color w:val="auto"/>
                <w:kern w:val="0"/>
                <w:sz w:val="21"/>
                <w:szCs w:val="21"/>
                <w:highlight w:val="none"/>
                <w:lang w:val="en-US" w:eastAsia="zh-CN" w:bidi="ar-SA"/>
              </w:rPr>
              <w:t>设备内部最好植入检定项目，方便现场检定。</w:t>
            </w:r>
          </w:p>
        </w:tc>
      </w:tr>
      <w:tr w14:paraId="1DF50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7" w:type="dxa"/>
            <w:vAlign w:val="center"/>
          </w:tcPr>
          <w:p w14:paraId="692A8BE7">
            <w:pPr>
              <w:pStyle w:val="6"/>
              <w:pageBreakBefore w:val="0"/>
              <w:wordWrap/>
              <w:overflowPunct/>
              <w:topLinePunct w:val="0"/>
              <w:bidi w:val="0"/>
              <w:spacing w:beforeAutospacing="0" w:after="0" w:afterAutospacing="0" w:line="480" w:lineRule="exact"/>
              <w:ind w:left="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26</w:t>
            </w:r>
          </w:p>
        </w:tc>
        <w:tc>
          <w:tcPr>
            <w:tcW w:w="1605" w:type="dxa"/>
            <w:vAlign w:val="center"/>
          </w:tcPr>
          <w:p w14:paraId="70E665E0">
            <w:pPr>
              <w:pStyle w:val="6"/>
              <w:pageBreakBefore w:val="0"/>
              <w:wordWrap/>
              <w:overflowPunct/>
              <w:topLinePunct w:val="0"/>
              <w:bidi w:val="0"/>
              <w:spacing w:beforeAutospacing="0" w:after="0" w:afterAutospacing="0" w:line="480" w:lineRule="exact"/>
              <w:ind w:left="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bidi="ar"/>
              </w:rPr>
              <w:t>生命体征模拟仪</w:t>
            </w:r>
          </w:p>
        </w:tc>
        <w:tc>
          <w:tcPr>
            <w:tcW w:w="12382" w:type="dxa"/>
          </w:tcPr>
          <w:p w14:paraId="67655295">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 xml:space="preserve"> 1、设备用途及应用要求：</w:t>
            </w:r>
          </w:p>
          <w:p w14:paraId="78D84AE0">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设备用于多参数监护仪的检定示波法电子血压计，脉搏波法电子血压计，水银血压计以及血压表的检定。  满足JJG 1163-2019《多参数监护仪》，JJG 692-2010 《无创自动测量血压计》 ，JJG 270-2008 《血压计和血压表》等</w:t>
            </w:r>
          </w:p>
          <w:p w14:paraId="0FC769E7">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2、设备技术参数要求</w:t>
            </w:r>
          </w:p>
          <w:p w14:paraId="75D26302">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▲2.1心电（ECG）</w:t>
            </w:r>
          </w:p>
          <w:p w14:paraId="744F8A50">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2.1.1 方波</w:t>
            </w:r>
          </w:p>
          <w:p w14:paraId="5066567D">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幅度输出范围：（0.001～2.0）mV，最大允许误差：在（0.5～2.0）mV范围内，为±2%；频率输出范围：（0.001～1000）Hz，最大允许误差：在（0.2～2.5）Hz范围内，为±1%；占空比：0.1～0.9</w:t>
            </w:r>
          </w:p>
          <w:p w14:paraId="04ED0000">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2.1.2 正弦波</w:t>
            </w:r>
          </w:p>
          <w:p w14:paraId="691D5262">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幅度输出范围：（0.001～2.0）mV，最大允许误差：在（0.5～2.0）mV范围内，为±2%；频率输出范围：（0.001～1000）Hz，最大允许误差：在（0.1～100）Hz范围内，为±1%</w:t>
            </w:r>
          </w:p>
          <w:p w14:paraId="5A5632E4">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2.1.3 标准心率信号</w:t>
            </w:r>
          </w:p>
          <w:p w14:paraId="173C91B7">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幅度输出范围：（0. 1～2.0）mV，最大允许误差：在（0.5～2.0）mV范围内，为±2%；心率输出范围：（1~350）次/min，最大允许误差：在（30～300）次/min，为±（示值的1%+1）次/min</w:t>
            </w:r>
          </w:p>
          <w:p w14:paraId="5130CD36">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 xml:space="preserve">2.1.4 脉冲波 </w:t>
            </w:r>
          </w:p>
          <w:p w14:paraId="0F65E59D">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 xml:space="preserve">幅度：1μV～2mV；周期：0.001s～100s；宽度：0.1ms～50000ms；延时：0ms～50000ms </w:t>
            </w:r>
            <w:r>
              <w:rPr>
                <w:rFonts w:hint="eastAsia" w:ascii="宋体" w:hAnsi="宋体" w:eastAsia="宋体" w:cs="宋体"/>
                <w:snapToGrid w:val="0"/>
                <w:color w:val="auto"/>
                <w:kern w:val="0"/>
                <w:sz w:val="21"/>
                <w:szCs w:val="21"/>
                <w:highlight w:val="none"/>
                <w:lang w:val="en-US" w:eastAsia="zh-CN" w:bidi="ar-SA"/>
              </w:rPr>
              <w:cr/>
            </w:r>
            <w:r>
              <w:rPr>
                <w:rFonts w:hint="eastAsia" w:ascii="宋体" w:hAnsi="宋体" w:eastAsia="宋体" w:cs="宋体"/>
                <w:snapToGrid w:val="0"/>
                <w:color w:val="auto"/>
                <w:kern w:val="0"/>
                <w:sz w:val="21"/>
                <w:szCs w:val="21"/>
                <w:highlight w:val="none"/>
                <w:lang w:val="en-US" w:eastAsia="zh-CN" w:bidi="ar-SA"/>
              </w:rPr>
              <w:t xml:space="preserve">2.1.5 三角波 </w:t>
            </w:r>
          </w:p>
          <w:p w14:paraId="6DC26E6F">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 xml:space="preserve">幅度：1μV～2mV；周期：0.001s～1000s；上升时间：0.1ms～500000ms；下降时间：0.1ms～500000ms </w:t>
            </w:r>
            <w:r>
              <w:rPr>
                <w:rFonts w:hint="eastAsia" w:ascii="宋体" w:hAnsi="宋体" w:eastAsia="宋体" w:cs="宋体"/>
                <w:snapToGrid w:val="0"/>
                <w:color w:val="auto"/>
                <w:kern w:val="0"/>
                <w:sz w:val="21"/>
                <w:szCs w:val="21"/>
                <w:highlight w:val="none"/>
                <w:lang w:val="en-US" w:eastAsia="zh-CN" w:bidi="ar-SA"/>
              </w:rPr>
              <w:cr/>
            </w:r>
            <w:r>
              <w:rPr>
                <w:rFonts w:hint="eastAsia" w:ascii="宋体" w:hAnsi="宋体" w:eastAsia="宋体" w:cs="宋体"/>
                <w:snapToGrid w:val="0"/>
                <w:color w:val="auto"/>
                <w:kern w:val="0"/>
                <w:sz w:val="21"/>
                <w:szCs w:val="21"/>
                <w:highlight w:val="none"/>
                <w:lang w:val="en-US" w:eastAsia="zh-CN" w:bidi="ar-SA"/>
              </w:rPr>
              <w:t>2.1.6 母胎心电混合信号</w:t>
            </w:r>
          </w:p>
          <w:p w14:paraId="56807E45">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幅度（母）：1mV～2mV；心率（母）：1～350次/min；幅度（胎）：0mV～1mV；心率（胎）：1～350次/min</w:t>
            </w:r>
          </w:p>
          <w:p w14:paraId="3A9DEC0A">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2.1.7 合成心电波（增强型ECG仿真信号）</w:t>
            </w:r>
          </w:p>
          <w:p w14:paraId="3471C458">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心率：1～350次/min；R波幅度：0mV～2mV；S波幅度：0mV～-2mV； ST段水平幅度：-2mV～2mV；T波幅度：0mV～2mV；P波幅度：0mV～2mV；QRS波幅度：0～2mV；QRS波间期：0ms～750ms；ST波间期：0ms～750ms；T波间期：0ms～750ms；P波间期：0ms～750ms；PQ波间期：0ms～750ms</w:t>
            </w:r>
          </w:p>
          <w:p w14:paraId="2EEEEB15">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2.1.8 计算机可产生的随机噪声</w:t>
            </w:r>
          </w:p>
          <w:p w14:paraId="7F5753F7">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0mV～2mV</w:t>
            </w:r>
          </w:p>
          <w:p w14:paraId="3D9F144A">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2.1.9 ECG仿真信号</w:t>
            </w:r>
          </w:p>
          <w:p w14:paraId="48E67418">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心率/幅值P1/幅值P2/幅值Q/幅值R1/幅值R2/幅值R3/幅值R4/幅值ST/幅值T/时间P1/时间P2/时间PQ/时间R1/时间R2/时间R3/时间R4/时间S/时间ST/时间T/时间QT，参数均单独可调</w:t>
            </w:r>
          </w:p>
          <w:p w14:paraId="7741EF23">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2.1.10 微分信号</w:t>
            </w:r>
          </w:p>
          <w:p w14:paraId="35840AE0">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周期：0ms～10000ms  幅度：0mV～2mV   时间常数：0.01ms～1000ms   负脉冲时间：0ms～10000ms</w:t>
            </w:r>
          </w:p>
          <w:p w14:paraId="4E4BB4C6">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2.1.11 其他信号</w:t>
            </w:r>
          </w:p>
          <w:p w14:paraId="09671319">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可模拟：直流偏移/梯形信号/直流高斯噪声/二连律_3a/缓变二连律_3b/快变二连律_3c/双向收缩_3d/室速_1mV_206bpm_4a/室速_2mV_195bpm_4b</w:t>
            </w:r>
          </w:p>
          <w:p w14:paraId="41E168F8">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2.2无创血压（NIBP）</w:t>
            </w:r>
          </w:p>
          <w:p w14:paraId="47041CE0">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2.2.1 血压单位</w:t>
            </w:r>
          </w:p>
          <w:p w14:paraId="5B3B8406">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mmHg、kPa、cmH2O、inH2O、psi</w:t>
            </w:r>
          </w:p>
          <w:p w14:paraId="15769155">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2.2.2 压力测量</w:t>
            </w:r>
          </w:p>
          <w:p w14:paraId="5EED6779">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测量范围：0mmHg～300mmHg 分辨力：0.1mmHg 误差：≤±0.8mmHg</w:t>
            </w:r>
          </w:p>
          <w:p w14:paraId="423B92B8">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2.2.3 压力源</w:t>
            </w:r>
          </w:p>
          <w:p w14:paraId="7385D48E">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输出范围：0mmHg～400mmHg 分辨力：1mmHg；目标压力与实际值偏差：在 100mmHg～400mmHg 之间且容积最小值为 300cc 时，偏差为±10 mmHg</w:t>
            </w:r>
          </w:p>
          <w:p w14:paraId="09D6F7D0">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2.2.4 动态血压模拟（示波法）</w:t>
            </w:r>
          </w:p>
          <w:p w14:paraId="7525C146">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收缩压：20mmHg～255mmHg  舒张压：10mmHg～200mmHg；</w:t>
            </w:r>
          </w:p>
          <w:p w14:paraId="25C583FD">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血压示值重复性：≤1mmHg  脉搏量：0.1cc～2.4cc  心率范围：30～250次/min  心率最大允许误差：±1次/min</w:t>
            </w:r>
          </w:p>
          <w:p w14:paraId="62C9B955">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2.2.5血压模拟自定义功能</w:t>
            </w:r>
          </w:p>
          <w:p w14:paraId="6CD7FDE3">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不低于：预设7种标准血压/8种病人状态/4种心律失常/4种呼吸/4种新生儿/3种腕式袖带</w:t>
            </w:r>
          </w:p>
          <w:p w14:paraId="3037A440">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2.2.6动态血压模拟（脉搏波法）</w:t>
            </w:r>
          </w:p>
          <w:p w14:paraId="21552B2A">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5种预置血压点位；袖带类型：外部袖带、内部袖带</w:t>
            </w:r>
          </w:p>
          <w:p w14:paraId="20C4F9B6">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2.2.7气密性检定</w:t>
            </w:r>
          </w:p>
          <w:p w14:paraId="52E1A768">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依据规程要求预设检定流程，1分钟后读取当前系统压力点位，5分钟后读取当前系统压力点位，并自动计算压力泄露率</w:t>
            </w:r>
          </w:p>
          <w:p w14:paraId="3BF65237">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2.3 脉搏血氧饱和度（SPO</w:t>
            </w:r>
            <w:r>
              <w:rPr>
                <w:rFonts w:hint="eastAsia" w:ascii="宋体" w:hAnsi="宋体" w:eastAsia="宋体" w:cs="宋体"/>
                <w:snapToGrid w:val="0"/>
                <w:color w:val="auto"/>
                <w:kern w:val="0"/>
                <w:sz w:val="21"/>
                <w:szCs w:val="21"/>
                <w:highlight w:val="none"/>
                <w:vertAlign w:val="subscript"/>
                <w:lang w:val="en-US" w:eastAsia="zh-CN" w:bidi="ar-SA"/>
              </w:rPr>
              <w:t>2</w:t>
            </w:r>
            <w:r>
              <w:rPr>
                <w:rFonts w:hint="eastAsia" w:ascii="宋体" w:hAnsi="宋体" w:eastAsia="宋体" w:cs="宋体"/>
                <w:snapToGrid w:val="0"/>
                <w:color w:val="auto"/>
                <w:kern w:val="0"/>
                <w:sz w:val="21"/>
                <w:szCs w:val="21"/>
                <w:highlight w:val="none"/>
                <w:lang w:val="en-US" w:eastAsia="zh-CN" w:bidi="ar-SA"/>
              </w:rPr>
              <w:t>）</w:t>
            </w:r>
          </w:p>
          <w:p w14:paraId="31A010D5">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2.3.1 脉搏血氧饱和度</w:t>
            </w:r>
          </w:p>
          <w:p w14:paraId="015AB39B">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模拟范围：35%～100%  分辨力：1%  重复性：≤1%</w:t>
            </w:r>
          </w:p>
          <w:p w14:paraId="56B2DD2E">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误差：（75%～100%），±2%；（35%～74%），±3%</w:t>
            </w:r>
          </w:p>
          <w:p w14:paraId="6B680ECA">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2.3.2脉率</w:t>
            </w:r>
            <w:r>
              <w:rPr>
                <w:rFonts w:hint="eastAsia" w:ascii="宋体" w:hAnsi="宋体" w:eastAsia="宋体" w:cs="宋体"/>
                <w:snapToGrid w:val="0"/>
                <w:color w:val="auto"/>
                <w:kern w:val="0"/>
                <w:sz w:val="21"/>
                <w:szCs w:val="21"/>
                <w:highlight w:val="none"/>
                <w:lang w:val="en-US" w:eastAsia="zh-CN" w:bidi="ar-SA"/>
              </w:rPr>
              <w:tab/>
            </w:r>
          </w:p>
          <w:p w14:paraId="0B80EE33">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 xml:space="preserve">范围：25次/min～250次/min 分辨力：1次/min </w:t>
            </w:r>
          </w:p>
          <w:p w14:paraId="40C6082C">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误差：±1%或±1次/min，取大值</w:t>
            </w:r>
          </w:p>
          <w:p w14:paraId="6FF42D9A">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2.3.3灌注度</w:t>
            </w:r>
            <w:r>
              <w:rPr>
                <w:rFonts w:hint="eastAsia" w:ascii="宋体" w:hAnsi="宋体" w:eastAsia="宋体" w:cs="宋体"/>
                <w:snapToGrid w:val="0"/>
                <w:color w:val="auto"/>
                <w:kern w:val="0"/>
                <w:sz w:val="21"/>
                <w:szCs w:val="21"/>
                <w:highlight w:val="none"/>
                <w:lang w:val="en-US" w:eastAsia="zh-CN" w:bidi="ar-SA"/>
              </w:rPr>
              <w:tab/>
            </w:r>
          </w:p>
          <w:p w14:paraId="17B9BB21">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 xml:space="preserve">范围：0.000%～20.000% </w:t>
            </w:r>
          </w:p>
          <w:p w14:paraId="0FB5E0F9">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分辨力：1.000%～20.000%为 1%；0.100%～0.900%为 0.1%</w:t>
            </w:r>
          </w:p>
          <w:p w14:paraId="471F966B">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★2.3.4 R曲线类型</w:t>
            </w:r>
          </w:p>
          <w:p w14:paraId="6BCE6463">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包含10种R曲线：BCI、Criticare、Datascope、Datex、PMS M1190、Masimo、Nellcor、Nihon-Kohden、Ohmeda&amp;Nova、Respironics</w:t>
            </w:r>
          </w:p>
          <w:p w14:paraId="0ACE7E82">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2.3.5 干扰类型</w:t>
            </w:r>
          </w:p>
          <w:p w14:paraId="7AF91AA8">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正常/50Hz/60Hz/光干扰可调</w:t>
            </w:r>
          </w:p>
          <w:p w14:paraId="5ABD8AA6">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2.4 呼末二氧化碳（ETCO2）</w:t>
            </w:r>
          </w:p>
          <w:p w14:paraId="5912F1B1">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2.4.1标气参数计算</w:t>
            </w:r>
          </w:p>
          <w:p w14:paraId="62B182BE">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可根据输入的环境大气压的压力换算呼末二氧化碳压力</w:t>
            </w:r>
          </w:p>
          <w:p w14:paraId="126E76AA">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2.4.2呼吸节律发生器</w:t>
            </w:r>
          </w:p>
          <w:p w14:paraId="74317ED9">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范围：（1～255）次/min；最大允许误差：±1次/min</w:t>
            </w:r>
          </w:p>
          <w:p w14:paraId="4F9F5B3A">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▲2.5、测量精度：</w:t>
            </w:r>
          </w:p>
          <w:p w14:paraId="46A87E5C">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满足或优于检定规程要求。</w:t>
            </w:r>
          </w:p>
          <w:p w14:paraId="4EEAED19">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3、设备具体要求：</w:t>
            </w:r>
          </w:p>
          <w:p w14:paraId="52C0B691">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包含心电检测，无创血压检测，血氧饱和度模拟，呼吸末二氧化碳检测等功能的高集成仪器，最好采用屏幕显示，内置规程操作流程，检定更加快捷方便。</w:t>
            </w:r>
          </w:p>
          <w:p w14:paraId="6937D658">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4、数据处理系统要求：</w:t>
            </w:r>
          </w:p>
          <w:p w14:paraId="419819F4">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模块化设计，高校无纸化检定，符合检定规程。</w:t>
            </w:r>
          </w:p>
          <w:p w14:paraId="4876E70A">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5、设备主要配置（含配件及耗材要求）：</w:t>
            </w:r>
          </w:p>
          <w:p w14:paraId="17052B83">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480" w:lineRule="exact"/>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snapToGrid w:val="0"/>
                <w:color w:val="auto"/>
                <w:kern w:val="0"/>
                <w:sz w:val="21"/>
                <w:szCs w:val="21"/>
                <w:highlight w:val="none"/>
                <w:lang w:val="en-US" w:eastAsia="zh-CN" w:bidi="ar-SA"/>
              </w:rPr>
              <w:t>主机、呼吸节律模块、血氧饱和度模拟手指、模拟手臂、防护箱、电源、三通软管、呼末模块连接线、气路软管、两端鲁尔公头采样管、气路适配器。</w:t>
            </w:r>
          </w:p>
        </w:tc>
      </w:tr>
      <w:tr w14:paraId="69359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4" w:type="dxa"/>
            <w:gridSpan w:val="3"/>
            <w:vAlign w:val="center"/>
          </w:tcPr>
          <w:p w14:paraId="3B311CAA">
            <w:pPr>
              <w:pStyle w:val="6"/>
              <w:pageBreakBefore w:val="0"/>
              <w:wordWrap/>
              <w:overflowPunct/>
              <w:topLinePunct w:val="0"/>
              <w:bidi w:val="0"/>
              <w:spacing w:beforeAutospacing="0" w:after="0" w:afterAutospacing="0" w:line="480" w:lineRule="exact"/>
              <w:ind w:left="0" w:leftChars="0" w:firstLine="0" w:firstLineChars="0"/>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注：以上标准器具及配套计量器具，对于有相关计量技术规范的，应承诺免费提供法定计量机构的溯源证书。并且如有对应的国家计量检定规程的，均需提供法定计量检定机构出具的计量检定证书；如没有对应的检定规程但有对应的国家校准规范的，应承诺免费提供法定计量检定机构出具的校准证书，且校准结果应能满足本表中各设备对应规程或规范中对该设备的计量技术性能要求。</w:t>
            </w:r>
          </w:p>
        </w:tc>
      </w:tr>
    </w:tbl>
    <w:p w14:paraId="63D8D8A5">
      <w:pPr>
        <w:spacing w:line="500" w:lineRule="exact"/>
        <w:rPr>
          <w:rFonts w:ascii="Calibri" w:hAnsi="Calibri"/>
          <w:b/>
          <w:color w:val="auto"/>
          <w:sz w:val="20"/>
          <w:szCs w:val="20"/>
          <w:highlight w:val="none"/>
        </w:rPr>
        <w:sectPr>
          <w:headerReference r:id="rId3" w:type="default"/>
          <w:footerReference r:id="rId4" w:type="default"/>
          <w:pgSz w:w="16838" w:h="11906" w:orient="landscape"/>
          <w:pgMar w:top="1474" w:right="1134" w:bottom="1474" w:left="1247" w:header="624" w:footer="680" w:gutter="0"/>
          <w:cols w:space="720" w:num="1"/>
          <w:docGrid w:linePitch="312" w:charSpace="0"/>
        </w:sectPr>
      </w:pPr>
    </w:p>
    <w:p w14:paraId="6F3A8DFD">
      <w:pPr>
        <w:rPr>
          <w:color w:val="auto"/>
          <w:highlight w:val="none"/>
        </w:rPr>
      </w:pPr>
    </w:p>
    <w:p w14:paraId="1336D503">
      <w:pPr>
        <w:spacing w:line="500" w:lineRule="exact"/>
        <w:rPr>
          <w:rFonts w:ascii="Calibri" w:hAnsi="Calibri"/>
          <w:b/>
          <w:color w:val="auto"/>
          <w:sz w:val="24"/>
          <w:highlight w:val="none"/>
        </w:rPr>
      </w:pPr>
      <w:r>
        <w:rPr>
          <w:rFonts w:hint="eastAsia" w:ascii="Calibri" w:hAnsi="Calibri"/>
          <w:b/>
          <w:color w:val="auto"/>
          <w:sz w:val="24"/>
          <w:highlight w:val="none"/>
        </w:rPr>
        <w:t>三、采购范围</w:t>
      </w:r>
    </w:p>
    <w:p w14:paraId="4514544B">
      <w:pPr>
        <w:autoSpaceDE w:val="0"/>
        <w:autoSpaceDN w:val="0"/>
        <w:adjustRightInd w:val="0"/>
        <w:spacing w:line="440" w:lineRule="exact"/>
        <w:ind w:firstLine="420" w:firstLineChars="200"/>
        <w:rPr>
          <w:rFonts w:ascii="宋体" w:hAnsi="宋体"/>
          <w:color w:val="auto"/>
          <w:szCs w:val="21"/>
          <w:highlight w:val="none"/>
        </w:rPr>
      </w:pPr>
      <w:r>
        <w:rPr>
          <w:rFonts w:hint="eastAsia" w:ascii="宋体" w:hAnsi="宋体"/>
          <w:color w:val="auto"/>
          <w:szCs w:val="21"/>
          <w:highlight w:val="none"/>
        </w:rPr>
        <w:t>采购内容的全部货物和服务，包含设备供货、安装、调试、验收、培训、售后服务等内容（交钥匙项目）。</w:t>
      </w:r>
    </w:p>
    <w:p w14:paraId="42ADA51E">
      <w:pPr>
        <w:spacing w:line="440" w:lineRule="exact"/>
        <w:rPr>
          <w:rFonts w:ascii="宋体" w:hAnsi="宋体"/>
          <w:color w:val="auto"/>
          <w:szCs w:val="21"/>
          <w:highlight w:val="none"/>
        </w:rPr>
      </w:pPr>
    </w:p>
    <w:p w14:paraId="0A20D43E">
      <w:pPr>
        <w:spacing w:line="500" w:lineRule="exact"/>
        <w:rPr>
          <w:rFonts w:ascii="Calibri" w:hAnsi="Calibri"/>
          <w:b/>
          <w:color w:val="auto"/>
          <w:sz w:val="24"/>
          <w:highlight w:val="none"/>
        </w:rPr>
      </w:pPr>
      <w:r>
        <w:rPr>
          <w:rFonts w:hint="eastAsia" w:ascii="Calibri" w:hAnsi="Calibri"/>
          <w:b/>
          <w:color w:val="auto"/>
          <w:sz w:val="24"/>
          <w:highlight w:val="none"/>
        </w:rPr>
        <w:t>四、附件及零配件（包括专用工具）、备品备件的要求</w:t>
      </w:r>
    </w:p>
    <w:p w14:paraId="01F70BF5">
      <w:pPr>
        <w:adjustRightInd w:val="0"/>
        <w:snapToGrid w:val="0"/>
        <w:spacing w:line="44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要求提供所投产品的随机标准附件、专用工具。质保期满后，中标人应及时优惠提供所需的备品备件。</w:t>
      </w:r>
    </w:p>
    <w:p w14:paraId="519D97C3">
      <w:pPr>
        <w:spacing w:line="440" w:lineRule="exact"/>
        <w:rPr>
          <w:rFonts w:ascii="宋体" w:hAnsi="宋体"/>
          <w:color w:val="auto"/>
          <w:szCs w:val="21"/>
          <w:highlight w:val="none"/>
        </w:rPr>
      </w:pPr>
    </w:p>
    <w:p w14:paraId="4E1CC3BC">
      <w:pPr>
        <w:spacing w:line="500" w:lineRule="exact"/>
        <w:rPr>
          <w:rFonts w:ascii="宋体" w:hAnsi="宋体"/>
          <w:b/>
          <w:color w:val="auto"/>
          <w:sz w:val="24"/>
          <w:highlight w:val="none"/>
        </w:rPr>
      </w:pPr>
      <w:r>
        <w:rPr>
          <w:rFonts w:hint="eastAsia" w:ascii="宋体" w:hAnsi="宋体"/>
          <w:b/>
          <w:color w:val="auto"/>
          <w:sz w:val="24"/>
          <w:highlight w:val="none"/>
        </w:rPr>
        <w:t xml:space="preserve">五、质量保证 </w:t>
      </w:r>
    </w:p>
    <w:p w14:paraId="331F660B">
      <w:pPr>
        <w:adjustRightInd w:val="0"/>
        <w:snapToGrid w:val="0"/>
        <w:spacing w:line="440" w:lineRule="exact"/>
        <w:ind w:firstLine="420" w:firstLineChars="200"/>
        <w:jc w:val="left"/>
        <w:rPr>
          <w:rFonts w:hint="eastAsia" w:ascii="宋体" w:hAnsi="宋体" w:eastAsia="宋体"/>
          <w:bCs/>
          <w:color w:val="auto"/>
          <w:szCs w:val="21"/>
          <w:highlight w:val="none"/>
          <w:lang w:eastAsia="zh-CN"/>
        </w:rPr>
      </w:pPr>
      <w:r>
        <w:rPr>
          <w:rFonts w:hint="eastAsia" w:ascii="宋体" w:hAnsi="宋体"/>
          <w:bCs/>
          <w:color w:val="auto"/>
          <w:szCs w:val="21"/>
          <w:highlight w:val="none"/>
        </w:rPr>
        <w:t>1、中标人应保证提供的产品是原厂生产的全新未拆封的设备、配件，保证原装正品，符合国家质量检测标准，具有出厂合格证或国家鉴定合格证</w:t>
      </w:r>
      <w:r>
        <w:rPr>
          <w:rFonts w:hint="eastAsia" w:ascii="宋体" w:hAnsi="宋体"/>
          <w:bCs/>
          <w:color w:val="auto"/>
          <w:szCs w:val="21"/>
          <w:highlight w:val="none"/>
          <w:lang w:eastAsia="zh-CN"/>
        </w:rPr>
        <w:t>。</w:t>
      </w:r>
    </w:p>
    <w:p w14:paraId="5574AD38">
      <w:pPr>
        <w:adjustRightInd w:val="0"/>
        <w:snapToGrid w:val="0"/>
        <w:spacing w:line="44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2、中标人应严格遵守《产品质量法》，在投标文件中对产品质量保证体系作出说明，并完整地履行质保期内的免费现场维修服务承诺。</w:t>
      </w:r>
    </w:p>
    <w:p w14:paraId="0048AECC">
      <w:pPr>
        <w:spacing w:line="500" w:lineRule="exact"/>
        <w:rPr>
          <w:rFonts w:hint="eastAsia" w:ascii="Calibri" w:hAnsi="Calibri"/>
          <w:b/>
          <w:color w:val="auto"/>
          <w:sz w:val="24"/>
          <w:highlight w:val="none"/>
        </w:rPr>
      </w:pPr>
    </w:p>
    <w:p w14:paraId="3BAFD246">
      <w:pPr>
        <w:spacing w:line="500" w:lineRule="exact"/>
        <w:rPr>
          <w:rFonts w:ascii="Calibri" w:hAnsi="Calibri"/>
          <w:b/>
          <w:color w:val="auto"/>
          <w:sz w:val="24"/>
          <w:highlight w:val="none"/>
        </w:rPr>
      </w:pPr>
      <w:r>
        <w:rPr>
          <w:rFonts w:hint="eastAsia" w:ascii="Calibri" w:hAnsi="Calibri"/>
          <w:b/>
          <w:color w:val="auto"/>
          <w:sz w:val="24"/>
          <w:highlight w:val="none"/>
        </w:rPr>
        <w:t>六、安装调试及技术服务要求</w:t>
      </w:r>
    </w:p>
    <w:p w14:paraId="70597B68">
      <w:pPr>
        <w:adjustRightInd w:val="0"/>
        <w:snapToGrid w:val="0"/>
        <w:spacing w:line="440" w:lineRule="exact"/>
        <w:ind w:firstLine="422" w:firstLineChars="200"/>
        <w:jc w:val="left"/>
        <w:rPr>
          <w:rFonts w:ascii="宋体" w:hAnsi="宋体"/>
          <w:b/>
          <w:bCs/>
          <w:color w:val="auto"/>
          <w:szCs w:val="21"/>
          <w:highlight w:val="none"/>
        </w:rPr>
      </w:pPr>
      <w:r>
        <w:rPr>
          <w:rFonts w:hint="eastAsia" w:ascii="宋体" w:hAnsi="宋体"/>
          <w:b/>
          <w:bCs/>
          <w:color w:val="auto"/>
          <w:szCs w:val="21"/>
          <w:highlight w:val="none"/>
        </w:rPr>
        <w:t>1、产品运输、保管</w:t>
      </w:r>
    </w:p>
    <w:p w14:paraId="4CE93996">
      <w:pPr>
        <w:adjustRightInd w:val="0"/>
        <w:snapToGrid w:val="0"/>
        <w:spacing w:line="44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1.1 中标人负责产品到使用单位的全部运输，包括装卸及现场搬运等。</w:t>
      </w:r>
    </w:p>
    <w:p w14:paraId="616D0983">
      <w:pPr>
        <w:adjustRightInd w:val="0"/>
        <w:snapToGrid w:val="0"/>
        <w:spacing w:line="44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1.2 中标人负责设备在现场的保管，直至验收合格并交付使用。</w:t>
      </w:r>
    </w:p>
    <w:p w14:paraId="6F7DCDB8">
      <w:pPr>
        <w:adjustRightInd w:val="0"/>
        <w:snapToGrid w:val="0"/>
        <w:spacing w:line="44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1.3 中标人负责其派出的现场服务人员的人身意外保险。</w:t>
      </w:r>
    </w:p>
    <w:p w14:paraId="03E41F2E">
      <w:pPr>
        <w:adjustRightInd w:val="0"/>
        <w:snapToGrid w:val="0"/>
        <w:spacing w:line="44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1.4 对于本项目实施所需的设备材料、工具等均有中标人自行准备。中标人需负责安装期间的设备的妥善保管，因中标人的责任造成的火灾、设备损毁、人员伤亡等事故，由中标人负责处理并承担相应的经济、民事及其他法律责任。</w:t>
      </w:r>
    </w:p>
    <w:p w14:paraId="48ECDC7E">
      <w:pPr>
        <w:adjustRightInd w:val="0"/>
        <w:snapToGrid w:val="0"/>
        <w:spacing w:line="440" w:lineRule="exact"/>
        <w:ind w:firstLine="422" w:firstLineChars="200"/>
        <w:jc w:val="left"/>
        <w:rPr>
          <w:rFonts w:ascii="宋体" w:hAnsi="宋体"/>
          <w:b/>
          <w:bCs/>
          <w:color w:val="auto"/>
          <w:szCs w:val="21"/>
          <w:highlight w:val="none"/>
        </w:rPr>
      </w:pPr>
      <w:r>
        <w:rPr>
          <w:rFonts w:hint="eastAsia" w:ascii="宋体" w:hAnsi="宋体"/>
          <w:b/>
          <w:bCs/>
          <w:color w:val="auto"/>
          <w:szCs w:val="21"/>
          <w:highlight w:val="none"/>
        </w:rPr>
        <w:t>2、包装</w:t>
      </w:r>
    </w:p>
    <w:p w14:paraId="7978EEBC">
      <w:pPr>
        <w:adjustRightInd w:val="0"/>
        <w:snapToGrid w:val="0"/>
        <w:spacing w:line="44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原厂原包装送货，货到采购人指定地点，经采购人指定人员验证后方可开箱。</w:t>
      </w:r>
    </w:p>
    <w:p w14:paraId="7A30E58A">
      <w:pPr>
        <w:adjustRightInd w:val="0"/>
        <w:snapToGrid w:val="0"/>
        <w:spacing w:line="440" w:lineRule="exact"/>
        <w:ind w:firstLine="422" w:firstLineChars="200"/>
        <w:jc w:val="left"/>
        <w:rPr>
          <w:rFonts w:ascii="宋体" w:hAnsi="宋体"/>
          <w:b/>
          <w:bCs/>
          <w:color w:val="auto"/>
          <w:szCs w:val="21"/>
          <w:highlight w:val="none"/>
        </w:rPr>
      </w:pPr>
      <w:r>
        <w:rPr>
          <w:rFonts w:hint="eastAsia" w:ascii="宋体" w:hAnsi="宋体"/>
          <w:b/>
          <w:bCs/>
          <w:color w:val="auto"/>
          <w:szCs w:val="21"/>
          <w:highlight w:val="none"/>
        </w:rPr>
        <w:t>3、安装</w:t>
      </w:r>
    </w:p>
    <w:p w14:paraId="0F646DFD">
      <w:pPr>
        <w:adjustRightInd w:val="0"/>
        <w:snapToGrid w:val="0"/>
        <w:spacing w:line="44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3.1 本项目的安装由中标人负责，中标人应对产品安装提供全面的技术服务与支持，为顺利安装运行提供完全技术保证。</w:t>
      </w:r>
    </w:p>
    <w:p w14:paraId="7C54BFE9">
      <w:pPr>
        <w:adjustRightInd w:val="0"/>
        <w:snapToGrid w:val="0"/>
        <w:spacing w:line="44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3.2 中标人应加强设备安装的组织管理，所有安装人员应遵守文明安装的有关规章制度。</w:t>
      </w:r>
    </w:p>
    <w:p w14:paraId="204E14B0">
      <w:pPr>
        <w:adjustRightInd w:val="0"/>
        <w:snapToGrid w:val="0"/>
        <w:spacing w:line="44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3.3 项目完成后，中标人应将项目有关的全部资料，包括产品资料、技术文档、使用说明书等，移交采购人。</w:t>
      </w:r>
    </w:p>
    <w:p w14:paraId="0D797C73">
      <w:pPr>
        <w:adjustRightInd w:val="0"/>
        <w:snapToGrid w:val="0"/>
        <w:spacing w:line="44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3.4 在产品运输、保管、安装、维护过程中的一切意外事故均由中标人自行承担法律责任及经济损失。</w:t>
      </w:r>
    </w:p>
    <w:p w14:paraId="0B3643FF">
      <w:pPr>
        <w:adjustRightInd w:val="0"/>
        <w:snapToGrid w:val="0"/>
        <w:spacing w:line="440" w:lineRule="exact"/>
        <w:ind w:firstLine="422" w:firstLineChars="200"/>
        <w:jc w:val="left"/>
        <w:rPr>
          <w:rFonts w:ascii="宋体" w:hAnsi="宋体"/>
          <w:b/>
          <w:bCs/>
          <w:color w:val="auto"/>
          <w:szCs w:val="21"/>
          <w:highlight w:val="none"/>
        </w:rPr>
      </w:pPr>
      <w:r>
        <w:rPr>
          <w:rFonts w:hint="eastAsia" w:ascii="宋体" w:hAnsi="宋体"/>
          <w:b/>
          <w:bCs/>
          <w:color w:val="auto"/>
          <w:szCs w:val="21"/>
          <w:highlight w:val="none"/>
        </w:rPr>
        <w:t>4、调试</w:t>
      </w:r>
    </w:p>
    <w:p w14:paraId="5515C0F0">
      <w:pPr>
        <w:adjustRightInd w:val="0"/>
        <w:snapToGrid w:val="0"/>
        <w:spacing w:line="44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设备调试由中标人负责，中标人为运行调试提供技术和产品的必要条件，并应向采购人有关人员讲解产品和系统结构与计划调试方法，包括系统的性能、技术特点、调试技巧等有关技术原理、方法，解决调试过程中有可能出现的技术问题。</w:t>
      </w:r>
    </w:p>
    <w:p w14:paraId="3CE20BC6">
      <w:pPr>
        <w:spacing w:line="440" w:lineRule="exact"/>
        <w:rPr>
          <w:rFonts w:ascii="宋体" w:hAnsi="宋体"/>
          <w:color w:val="auto"/>
          <w:szCs w:val="21"/>
          <w:highlight w:val="none"/>
        </w:rPr>
      </w:pPr>
    </w:p>
    <w:p w14:paraId="378800A1">
      <w:pPr>
        <w:spacing w:line="500" w:lineRule="exact"/>
        <w:rPr>
          <w:rFonts w:ascii="Calibri" w:hAnsi="Calibri"/>
          <w:b/>
          <w:color w:val="auto"/>
          <w:sz w:val="24"/>
          <w:highlight w:val="none"/>
        </w:rPr>
      </w:pPr>
      <w:r>
        <w:rPr>
          <w:rFonts w:hint="eastAsia" w:ascii="Calibri" w:hAnsi="Calibri"/>
          <w:b/>
          <w:color w:val="auto"/>
          <w:sz w:val="24"/>
          <w:highlight w:val="none"/>
        </w:rPr>
        <w:t>七、验收标准和方法</w:t>
      </w:r>
    </w:p>
    <w:p w14:paraId="1D3E6587">
      <w:pPr>
        <w:adjustRightInd w:val="0"/>
        <w:snapToGrid w:val="0"/>
        <w:spacing w:line="440" w:lineRule="exact"/>
        <w:ind w:firstLine="420" w:firstLineChars="200"/>
        <w:jc w:val="left"/>
        <w:rPr>
          <w:rFonts w:ascii="宋体" w:hAnsi="宋体"/>
          <w:color w:val="auto"/>
          <w:szCs w:val="21"/>
          <w:highlight w:val="none"/>
        </w:rPr>
      </w:pPr>
      <w:r>
        <w:rPr>
          <w:rFonts w:hint="eastAsia" w:ascii="宋体" w:hAnsi="宋体"/>
          <w:color w:val="auto"/>
          <w:szCs w:val="21"/>
          <w:highlight w:val="none"/>
        </w:rPr>
        <w:t>1、在货物到达采购人交货指定地点后，由采购人对到货产品的型号、外观质量、随机备品备件、技术资料等进行检查。</w:t>
      </w:r>
    </w:p>
    <w:p w14:paraId="6F41185B">
      <w:pPr>
        <w:adjustRightInd w:val="0"/>
        <w:snapToGrid w:val="0"/>
        <w:spacing w:line="440" w:lineRule="exact"/>
        <w:ind w:firstLine="420" w:firstLineChars="200"/>
        <w:jc w:val="left"/>
        <w:rPr>
          <w:rFonts w:ascii="宋体" w:hAnsi="宋体"/>
          <w:color w:val="auto"/>
          <w:szCs w:val="21"/>
          <w:highlight w:val="none"/>
        </w:rPr>
      </w:pPr>
      <w:r>
        <w:rPr>
          <w:rFonts w:hint="eastAsia" w:ascii="宋体" w:hAnsi="宋体"/>
          <w:color w:val="auto"/>
          <w:szCs w:val="21"/>
          <w:highlight w:val="none"/>
        </w:rPr>
        <w:t>2、设备如有缺货、错装、损坏或技术问题的，中标人应承担全部责任。验收签字前如有任何质量问题，中标人应无条件更换。</w:t>
      </w:r>
    </w:p>
    <w:p w14:paraId="279A81FC">
      <w:pPr>
        <w:adjustRightInd w:val="0"/>
        <w:snapToGrid w:val="0"/>
        <w:spacing w:line="440" w:lineRule="exact"/>
        <w:ind w:firstLine="420" w:firstLineChars="200"/>
        <w:jc w:val="left"/>
        <w:rPr>
          <w:rFonts w:ascii="宋体" w:hAnsi="宋体"/>
          <w:color w:val="auto"/>
          <w:szCs w:val="21"/>
          <w:highlight w:val="none"/>
        </w:rPr>
      </w:pPr>
      <w:r>
        <w:rPr>
          <w:rFonts w:hint="eastAsia" w:ascii="宋体" w:hAnsi="宋体"/>
          <w:color w:val="auto"/>
          <w:szCs w:val="21"/>
          <w:highlight w:val="none"/>
        </w:rPr>
        <w:t>3、中标人应承担货物验收前的财产保护责任，在验收前出现损坏由中标人负责。在运输过程中如出现人员伤亡及财产损坏由中标人承担赔偿责任。</w:t>
      </w:r>
    </w:p>
    <w:p w14:paraId="14697E9E">
      <w:pPr>
        <w:adjustRightInd w:val="0"/>
        <w:snapToGrid w:val="0"/>
        <w:spacing w:line="440" w:lineRule="exact"/>
        <w:ind w:firstLine="420" w:firstLineChars="200"/>
        <w:jc w:val="left"/>
        <w:rPr>
          <w:rFonts w:ascii="宋体" w:hAnsi="宋体"/>
          <w:color w:val="auto"/>
          <w:szCs w:val="21"/>
          <w:highlight w:val="none"/>
        </w:rPr>
      </w:pPr>
      <w:r>
        <w:rPr>
          <w:rFonts w:hint="eastAsia" w:ascii="宋体" w:hAnsi="宋体"/>
          <w:color w:val="auto"/>
          <w:szCs w:val="21"/>
          <w:highlight w:val="none"/>
        </w:rPr>
        <w:t>4、设备到货后，由采购人严格按照国家及行业相关标准进行验收。中标人应向采购人提供详细的验收标准，验收手册和部分验收专用仪器，并承担相关费用。设备各项技术性能、指标应达到合同和技术文件规定的要求。采购人有权委托有关专业人员或委托第三方机构对上述仪器进行精度校核，并由中标人承担相关费用。验收报告作为申请付款的凭证之一。项目验收不合格，由中标人返工直至合格，有关返工、再行验收及给采购人造成的损失等费用由中标人承担。</w:t>
      </w:r>
    </w:p>
    <w:p w14:paraId="4492A6A8">
      <w:pPr>
        <w:adjustRightInd w:val="0"/>
        <w:snapToGrid w:val="0"/>
        <w:spacing w:line="440" w:lineRule="exact"/>
        <w:ind w:firstLine="420" w:firstLineChars="200"/>
        <w:jc w:val="left"/>
        <w:rPr>
          <w:rFonts w:ascii="宋体" w:hAnsi="宋体"/>
          <w:color w:val="auto"/>
          <w:szCs w:val="21"/>
          <w:highlight w:val="none"/>
        </w:rPr>
      </w:pPr>
      <w:r>
        <w:rPr>
          <w:rFonts w:hint="eastAsia" w:ascii="宋体" w:hAnsi="宋体"/>
          <w:color w:val="auto"/>
          <w:szCs w:val="21"/>
          <w:highlight w:val="none"/>
        </w:rPr>
        <w:t>5、因中标人所提供的产品出现质量问题而引起纠纷，则由具有资质的相关质检机构进行检测，由此而发生的费用由中标人负责。</w:t>
      </w:r>
    </w:p>
    <w:p w14:paraId="163EEF58">
      <w:pPr>
        <w:adjustRightInd w:val="0"/>
        <w:snapToGrid w:val="0"/>
        <w:spacing w:line="44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6、验收之前，中标人应对该项目所有软硬件系统操作人员进行培训，确保系统操作人员能熟练使用，提交培训相关文档。</w:t>
      </w:r>
    </w:p>
    <w:p w14:paraId="6159672D">
      <w:pPr>
        <w:pStyle w:val="2"/>
        <w:rPr>
          <w:rFonts w:hint="default" w:eastAsia="宋体"/>
          <w:color w:val="auto"/>
          <w:highlight w:val="none"/>
          <w:lang w:val="en-US" w:eastAsia="zh-CN"/>
        </w:rPr>
      </w:pPr>
      <w:r>
        <w:rPr>
          <w:rFonts w:hint="eastAsia" w:ascii="宋体" w:hAnsi="宋体" w:eastAsia="宋体" w:cs="宋体"/>
          <w:color w:val="auto"/>
          <w:kern w:val="0"/>
          <w:szCs w:val="21"/>
          <w:highlight w:val="none"/>
        </w:rPr>
        <w:t>★</w:t>
      </w:r>
      <w:r>
        <w:rPr>
          <w:rFonts w:hint="eastAsia"/>
          <w:color w:val="auto"/>
          <w:szCs w:val="21"/>
          <w:highlight w:val="none"/>
          <w:lang w:val="en-US" w:eastAsia="zh-CN"/>
        </w:rPr>
        <w:t>7、中标人应向采购人提供设备（含配套设备）的溯源证书，对于有国家计量检定规程的计量器具，应提供法定计量机构出具的检定证书；没有国家计量检定规程但有国家校准规范的计量器具，应提供法定计量机构出具的校准证书。</w:t>
      </w:r>
    </w:p>
    <w:p w14:paraId="447A74C7">
      <w:pPr>
        <w:spacing w:line="440" w:lineRule="exact"/>
        <w:rPr>
          <w:rFonts w:ascii="宋体" w:hAnsi="宋体"/>
          <w:color w:val="auto"/>
          <w:szCs w:val="21"/>
          <w:highlight w:val="none"/>
        </w:rPr>
      </w:pPr>
    </w:p>
    <w:p w14:paraId="754B6107">
      <w:pPr>
        <w:spacing w:line="500" w:lineRule="exact"/>
        <w:rPr>
          <w:rFonts w:ascii="Calibri" w:hAnsi="Calibri"/>
          <w:b/>
          <w:color w:val="auto"/>
          <w:sz w:val="24"/>
          <w:highlight w:val="none"/>
        </w:rPr>
      </w:pPr>
      <w:r>
        <w:rPr>
          <w:rFonts w:hint="eastAsia" w:ascii="Calibri" w:hAnsi="Calibri"/>
          <w:b/>
          <w:color w:val="auto"/>
          <w:sz w:val="24"/>
          <w:highlight w:val="none"/>
        </w:rPr>
        <w:t>八、售后服务的要求</w:t>
      </w:r>
    </w:p>
    <w:p w14:paraId="2D8857F5">
      <w:pPr>
        <w:adjustRightInd w:val="0"/>
        <w:snapToGrid w:val="0"/>
        <w:spacing w:line="440" w:lineRule="exact"/>
        <w:ind w:firstLine="420" w:firstLineChars="200"/>
        <w:jc w:val="left"/>
        <w:rPr>
          <w:rFonts w:hint="eastAsia" w:eastAsia="宋体"/>
          <w:color w:val="auto"/>
          <w:highlight w:val="none"/>
          <w:lang w:val="en-US" w:eastAsia="zh-CN"/>
        </w:rPr>
      </w:pPr>
      <w:r>
        <w:rPr>
          <w:rFonts w:hint="eastAsia" w:ascii="宋体" w:hAnsi="宋体" w:eastAsia="宋体" w:cs="宋体"/>
          <w:color w:val="auto"/>
          <w:kern w:val="0"/>
          <w:szCs w:val="21"/>
          <w:highlight w:val="none"/>
        </w:rPr>
        <w:t>★</w:t>
      </w:r>
      <w:r>
        <w:rPr>
          <w:rFonts w:hint="eastAsia" w:ascii="宋体" w:hAnsi="宋体"/>
          <w:color w:val="auto"/>
          <w:szCs w:val="21"/>
          <w:highlight w:val="none"/>
        </w:rPr>
        <w:t>1、本项目设备验收合格后整机质保期≥</w:t>
      </w:r>
      <w:r>
        <w:rPr>
          <w:rFonts w:hint="eastAsia" w:ascii="宋体" w:hAnsi="宋体"/>
          <w:color w:val="auto"/>
          <w:szCs w:val="21"/>
          <w:highlight w:val="none"/>
          <w:lang w:val="en-US" w:eastAsia="zh-CN"/>
        </w:rPr>
        <w:t>2</w:t>
      </w:r>
      <w:r>
        <w:rPr>
          <w:rFonts w:hint="eastAsia" w:ascii="宋体" w:hAnsi="宋体"/>
          <w:color w:val="auto"/>
          <w:szCs w:val="21"/>
          <w:highlight w:val="none"/>
        </w:rPr>
        <w:t>年（起算日期为验收通过日）。质保期内所有产品（所有软硬件设备）维护、维修等要求免费上门服务并建立检修记录，由此产生的费用均不再收取。质保期满后设备出现故障需更换配件，维修时只收取零配件费用，免收其他费用。</w:t>
      </w:r>
      <w:r>
        <w:rPr>
          <w:rFonts w:hint="eastAsia" w:ascii="宋体" w:hAnsi="宋体"/>
          <w:b/>
          <w:color w:val="auto"/>
          <w:szCs w:val="21"/>
          <w:highlight w:val="none"/>
        </w:rPr>
        <w:t>要求投标人针对此内容在投标文件中出具书面承诺书（格式自拟）并加盖投标人公章。</w:t>
      </w:r>
    </w:p>
    <w:p w14:paraId="04A56DF2">
      <w:pPr>
        <w:adjustRightInd w:val="0"/>
        <w:snapToGrid w:val="0"/>
        <w:spacing w:line="440" w:lineRule="exact"/>
        <w:ind w:firstLine="422" w:firstLineChars="200"/>
        <w:jc w:val="left"/>
        <w:rPr>
          <w:rFonts w:ascii="宋体" w:hAnsi="宋体"/>
          <w:b/>
          <w:color w:val="auto"/>
          <w:szCs w:val="21"/>
          <w:highlight w:val="none"/>
          <w:u w:val="dottedHeavy"/>
        </w:rPr>
      </w:pPr>
      <w:r>
        <w:rPr>
          <w:rFonts w:hint="eastAsia" w:ascii="宋体" w:hAnsi="宋体"/>
          <w:b/>
          <w:color w:val="auto"/>
          <w:szCs w:val="21"/>
          <w:highlight w:val="none"/>
          <w:u w:val="dottedHeavy"/>
        </w:rPr>
        <w:t>2、投标人投标时应将设备清单、配件清单、易损件清单分项列表标明清楚，并明确列出成本价格。（如所投产品有涉及则需提供）</w:t>
      </w:r>
    </w:p>
    <w:p w14:paraId="56717181">
      <w:pPr>
        <w:adjustRightInd w:val="0"/>
        <w:snapToGrid w:val="0"/>
        <w:spacing w:line="440" w:lineRule="exact"/>
        <w:ind w:firstLine="420" w:firstLineChars="200"/>
        <w:jc w:val="left"/>
        <w:rPr>
          <w:rFonts w:ascii="宋体" w:hAnsi="宋体"/>
          <w:color w:val="auto"/>
          <w:szCs w:val="21"/>
          <w:highlight w:val="none"/>
        </w:rPr>
      </w:pPr>
      <w:r>
        <w:rPr>
          <w:rFonts w:hint="eastAsia" w:ascii="宋体" w:hAnsi="宋体"/>
          <w:color w:val="auto"/>
          <w:szCs w:val="21"/>
          <w:highlight w:val="none"/>
        </w:rPr>
        <w:t>3、在质保期内中标人对产品质量实行三包，因设备配置、设备或零部件制造质量问题而引起的故障，中标人应立即免费维修或更换，保证设备及时恢复正常，由此引起的一切费用由中标人承担。</w:t>
      </w:r>
    </w:p>
    <w:p w14:paraId="22F4C366">
      <w:pPr>
        <w:adjustRightInd w:val="0"/>
        <w:snapToGrid w:val="0"/>
        <w:spacing w:line="440" w:lineRule="exact"/>
        <w:ind w:firstLine="420" w:firstLineChars="200"/>
        <w:jc w:val="left"/>
        <w:rPr>
          <w:rFonts w:ascii="宋体" w:hAnsi="宋体"/>
          <w:color w:val="auto"/>
          <w:szCs w:val="21"/>
          <w:highlight w:val="none"/>
        </w:rPr>
      </w:pPr>
      <w:r>
        <w:rPr>
          <w:rFonts w:hint="eastAsia" w:ascii="宋体" w:hAnsi="宋体"/>
          <w:color w:val="auto"/>
          <w:szCs w:val="21"/>
          <w:highlight w:val="none"/>
        </w:rPr>
        <w:t>4、在质保期内免费提供零件及服务，并应及时有效。质保期后应提供长期优质服务。在使用寿命期内，中标人应保证对设备的零配件、易损件的供应。</w:t>
      </w:r>
    </w:p>
    <w:p w14:paraId="7B418046">
      <w:pPr>
        <w:adjustRightInd w:val="0"/>
        <w:snapToGrid w:val="0"/>
        <w:spacing w:line="440" w:lineRule="exact"/>
        <w:ind w:firstLine="420" w:firstLineChars="200"/>
        <w:jc w:val="left"/>
        <w:rPr>
          <w:rFonts w:ascii="宋体" w:hAnsi="宋体"/>
          <w:color w:val="auto"/>
          <w:szCs w:val="21"/>
          <w:highlight w:val="none"/>
        </w:rPr>
      </w:pPr>
      <w:r>
        <w:rPr>
          <w:rFonts w:hint="eastAsia" w:ascii="宋体" w:hAnsi="宋体"/>
          <w:color w:val="auto"/>
          <w:szCs w:val="21"/>
          <w:highlight w:val="none"/>
        </w:rPr>
        <w:t>5、响应时间：中标人应能保证设备使用运行所需的备件和具备相关技术保障机制，并保证质保期内每周7×24小时技术支持，</w:t>
      </w:r>
      <w:r>
        <w:rPr>
          <w:rFonts w:hint="eastAsia" w:ascii="宋体" w:hAnsi="宋体"/>
          <w:color w:val="auto"/>
          <w:szCs w:val="21"/>
          <w:highlight w:val="none"/>
          <w:lang w:val="en-US" w:eastAsia="zh-CN"/>
        </w:rPr>
        <w:t>48</w:t>
      </w:r>
      <w:r>
        <w:rPr>
          <w:rFonts w:hint="eastAsia" w:ascii="宋体" w:hAnsi="宋体"/>
          <w:color w:val="auto"/>
          <w:szCs w:val="21"/>
          <w:highlight w:val="none"/>
        </w:rPr>
        <w:t>小时内到达现场将设备故障排除完毕。</w:t>
      </w:r>
    </w:p>
    <w:p w14:paraId="26020A7C">
      <w:pPr>
        <w:adjustRightInd w:val="0"/>
        <w:snapToGrid w:val="0"/>
        <w:spacing w:line="440" w:lineRule="exact"/>
        <w:ind w:firstLine="420" w:firstLineChars="200"/>
        <w:jc w:val="left"/>
        <w:rPr>
          <w:rFonts w:ascii="宋体" w:hAnsi="宋体"/>
          <w:color w:val="auto"/>
          <w:szCs w:val="21"/>
          <w:highlight w:val="none"/>
        </w:rPr>
      </w:pPr>
      <w:r>
        <w:rPr>
          <w:rFonts w:hint="eastAsia" w:ascii="宋体" w:hAnsi="宋体"/>
          <w:color w:val="auto"/>
          <w:szCs w:val="21"/>
          <w:highlight w:val="none"/>
        </w:rPr>
        <w:t>6、质保期外维修或提供配件均按成本价计。具体措施需在响应文件中注明。一般问题要求1个工作日内解决问题，特殊问题应采用替换法保证买方的正常工作，如不能及时赶到，采购人委托其它单位维修，其费用由中标人承担。</w:t>
      </w:r>
    </w:p>
    <w:p w14:paraId="5C10C3FC">
      <w:pPr>
        <w:adjustRightInd w:val="0"/>
        <w:snapToGrid w:val="0"/>
        <w:spacing w:line="440" w:lineRule="exact"/>
        <w:ind w:firstLine="420" w:firstLineChars="200"/>
        <w:jc w:val="left"/>
        <w:rPr>
          <w:rFonts w:ascii="宋体" w:hAnsi="宋体"/>
          <w:color w:val="auto"/>
          <w:szCs w:val="21"/>
          <w:highlight w:val="none"/>
        </w:rPr>
      </w:pPr>
      <w:r>
        <w:rPr>
          <w:rFonts w:hint="eastAsia" w:ascii="宋体" w:hAnsi="宋体"/>
          <w:color w:val="auto"/>
          <w:szCs w:val="21"/>
          <w:highlight w:val="none"/>
        </w:rPr>
        <w:t>7、投标人所投产品的制造厂商或代理机构不能因为设备停产而拒绝提供备品备件，应提供相应的解决方案和同类档次规格的设备。</w:t>
      </w:r>
    </w:p>
    <w:p w14:paraId="5DB3C497">
      <w:pPr>
        <w:adjustRightInd w:val="0"/>
        <w:snapToGrid w:val="0"/>
        <w:spacing w:line="440" w:lineRule="exact"/>
        <w:ind w:firstLine="420" w:firstLineChars="200"/>
        <w:jc w:val="left"/>
        <w:rPr>
          <w:rFonts w:ascii="宋体" w:hAnsi="宋体"/>
          <w:color w:val="auto"/>
          <w:szCs w:val="21"/>
          <w:highlight w:val="none"/>
        </w:rPr>
      </w:pPr>
      <w:r>
        <w:rPr>
          <w:rFonts w:hint="eastAsia" w:ascii="宋体" w:hAnsi="宋体"/>
          <w:color w:val="auto"/>
          <w:szCs w:val="21"/>
          <w:highlight w:val="none"/>
        </w:rPr>
        <w:t>8、中标人应提供售后服务机构的名称、联系方法等。中标人的售后服务机构名称、联系方法等如有变化，应及时通知采购人。中标人不及时通知采购人，由此而造成的损失由中标人负责。</w:t>
      </w:r>
    </w:p>
    <w:p w14:paraId="4666886A">
      <w:pPr>
        <w:adjustRightInd w:val="0"/>
        <w:snapToGrid w:val="0"/>
        <w:spacing w:line="440" w:lineRule="exact"/>
        <w:ind w:firstLine="420" w:firstLineChars="200"/>
        <w:jc w:val="left"/>
        <w:rPr>
          <w:rFonts w:ascii="宋体" w:hAnsi="宋体"/>
          <w:color w:val="auto"/>
          <w:szCs w:val="21"/>
          <w:highlight w:val="none"/>
        </w:rPr>
      </w:pPr>
      <w:r>
        <w:rPr>
          <w:rFonts w:hint="eastAsia" w:ascii="宋体" w:hAnsi="宋体"/>
          <w:color w:val="auto"/>
          <w:szCs w:val="21"/>
          <w:highlight w:val="none"/>
        </w:rPr>
        <w:t>9、中标人售后服务机构不履行本合同质量和售后服务有关规定，由中标人承担一切责任。</w:t>
      </w:r>
    </w:p>
    <w:p w14:paraId="1670F39B">
      <w:pPr>
        <w:adjustRightInd w:val="0"/>
        <w:snapToGrid w:val="0"/>
        <w:spacing w:line="440" w:lineRule="exact"/>
        <w:ind w:firstLine="420" w:firstLineChars="200"/>
        <w:jc w:val="left"/>
        <w:rPr>
          <w:rFonts w:ascii="宋体" w:hAnsi="宋体"/>
          <w:color w:val="auto"/>
          <w:szCs w:val="21"/>
          <w:highlight w:val="none"/>
        </w:rPr>
      </w:pPr>
      <w:r>
        <w:rPr>
          <w:rFonts w:hint="eastAsia" w:ascii="宋体" w:hAnsi="宋体"/>
          <w:color w:val="auto"/>
          <w:szCs w:val="21"/>
          <w:highlight w:val="none"/>
        </w:rPr>
        <w:t>10、投标人应根据本次招标文件所制定的目标和范围，提出相应的技术及售后服务方案，明确指出技术支持服务提供者，并作为投标文件的一部分提交。只有经安装调试并且技术性能达到</w:t>
      </w:r>
      <w:r>
        <w:rPr>
          <w:rFonts w:hint="eastAsia" w:ascii="宋体" w:hAnsi="宋体"/>
          <w:color w:val="auto"/>
          <w:szCs w:val="21"/>
          <w:highlight w:val="none"/>
          <w:lang w:eastAsia="zh-CN"/>
        </w:rPr>
        <w:t>招标文件中</w:t>
      </w:r>
      <w:r>
        <w:rPr>
          <w:rFonts w:hint="eastAsia" w:ascii="宋体" w:hAnsi="宋体"/>
          <w:color w:val="auto"/>
          <w:szCs w:val="21"/>
          <w:highlight w:val="none"/>
        </w:rPr>
        <w:t>技术要求后，采购人才能</w:t>
      </w:r>
      <w:r>
        <w:rPr>
          <w:rFonts w:hint="eastAsia" w:ascii="宋体" w:hAnsi="宋体"/>
          <w:color w:val="auto"/>
          <w:szCs w:val="21"/>
          <w:highlight w:val="none"/>
          <w:lang w:eastAsia="zh-CN"/>
        </w:rPr>
        <w:t>确定</w:t>
      </w:r>
      <w:r>
        <w:rPr>
          <w:rFonts w:hint="eastAsia" w:ascii="宋体" w:hAnsi="宋体"/>
          <w:color w:val="auto"/>
          <w:szCs w:val="21"/>
          <w:highlight w:val="none"/>
        </w:rPr>
        <w:t>全部货物</w:t>
      </w:r>
      <w:r>
        <w:rPr>
          <w:rFonts w:hint="eastAsia" w:ascii="宋体" w:hAnsi="宋体"/>
          <w:color w:val="auto"/>
          <w:szCs w:val="21"/>
          <w:highlight w:val="none"/>
          <w:lang w:eastAsia="zh-CN"/>
        </w:rPr>
        <w:t>验收</w:t>
      </w:r>
      <w:r>
        <w:rPr>
          <w:rFonts w:hint="eastAsia" w:ascii="宋体" w:hAnsi="宋体"/>
          <w:color w:val="auto"/>
          <w:szCs w:val="21"/>
          <w:highlight w:val="none"/>
        </w:rPr>
        <w:t>。</w:t>
      </w:r>
    </w:p>
    <w:p w14:paraId="5557EB61">
      <w:pPr>
        <w:adjustRightInd w:val="0"/>
        <w:snapToGrid w:val="0"/>
        <w:spacing w:line="440" w:lineRule="exact"/>
        <w:ind w:firstLine="420" w:firstLineChars="200"/>
        <w:jc w:val="left"/>
        <w:rPr>
          <w:rFonts w:ascii="宋体" w:hAnsi="宋体"/>
          <w:color w:val="auto"/>
          <w:szCs w:val="21"/>
          <w:highlight w:val="none"/>
        </w:rPr>
      </w:pPr>
      <w:r>
        <w:rPr>
          <w:rFonts w:hint="eastAsia" w:ascii="宋体" w:hAnsi="宋体"/>
          <w:color w:val="auto"/>
          <w:szCs w:val="21"/>
          <w:highlight w:val="none"/>
        </w:rPr>
        <w:t>11、自验收合格之日起，中标人</w:t>
      </w:r>
      <w:r>
        <w:rPr>
          <w:rFonts w:hint="eastAsia" w:ascii="宋体" w:hAnsi="宋体"/>
          <w:color w:val="auto"/>
          <w:szCs w:val="21"/>
          <w:highlight w:val="none"/>
          <w:lang w:eastAsia="zh-CN"/>
        </w:rPr>
        <w:t>应</w:t>
      </w:r>
      <w:r>
        <w:rPr>
          <w:rFonts w:hint="eastAsia" w:ascii="宋体" w:hAnsi="宋体"/>
          <w:color w:val="auto"/>
          <w:szCs w:val="21"/>
          <w:highlight w:val="none"/>
        </w:rPr>
        <w:t>保证</w:t>
      </w:r>
      <w:r>
        <w:rPr>
          <w:rFonts w:hint="eastAsia" w:ascii="宋体" w:hAnsi="宋体"/>
          <w:color w:val="auto"/>
          <w:szCs w:val="21"/>
          <w:highlight w:val="none"/>
          <w:lang w:eastAsia="zh-CN"/>
        </w:rPr>
        <w:t>在质保期内</w:t>
      </w:r>
      <w:r>
        <w:rPr>
          <w:rFonts w:hint="eastAsia" w:ascii="宋体" w:hAnsi="宋体"/>
          <w:color w:val="auto"/>
          <w:szCs w:val="21"/>
          <w:highlight w:val="none"/>
        </w:rPr>
        <w:t>提供系统正常工作所需的备品备件</w:t>
      </w:r>
      <w:r>
        <w:rPr>
          <w:rFonts w:hint="eastAsia" w:ascii="宋体" w:hAnsi="宋体"/>
          <w:color w:val="auto"/>
          <w:szCs w:val="21"/>
          <w:highlight w:val="none"/>
          <w:lang w:eastAsia="zh-CN"/>
        </w:rPr>
        <w:t>，并终身免费提供软件升级版本</w:t>
      </w:r>
      <w:r>
        <w:rPr>
          <w:rFonts w:hint="eastAsia" w:ascii="宋体" w:hAnsi="宋体"/>
          <w:color w:val="auto"/>
          <w:szCs w:val="21"/>
          <w:highlight w:val="none"/>
        </w:rPr>
        <w:t>。</w:t>
      </w:r>
    </w:p>
    <w:p w14:paraId="557F8AD9">
      <w:pPr>
        <w:adjustRightInd w:val="0"/>
        <w:snapToGrid w:val="0"/>
        <w:spacing w:line="440" w:lineRule="exact"/>
        <w:ind w:firstLine="420" w:firstLineChars="200"/>
        <w:jc w:val="left"/>
        <w:rPr>
          <w:rFonts w:ascii="宋体" w:hAnsi="宋体"/>
          <w:color w:val="auto"/>
          <w:szCs w:val="21"/>
          <w:highlight w:val="none"/>
        </w:rPr>
      </w:pPr>
      <w:r>
        <w:rPr>
          <w:rFonts w:hint="eastAsia" w:ascii="宋体" w:hAnsi="宋体"/>
          <w:color w:val="auto"/>
          <w:szCs w:val="21"/>
          <w:highlight w:val="none"/>
        </w:rPr>
        <w:t>12、中标人应科学制定与本项目相配套的培训计划，并按采购人要求对设备使用操作人员进行切实有效的培训，致使操作人员熟练掌握设备性能，并能及时排除一般故障的程度，确保设备的良好运作。培训内容至少包括：设备正常使用和简单维护培训，提供系统培训教材，保证培训质量。培训费用由中标人承担。培训实施具体细节由中标人和采购人共同商定。</w:t>
      </w:r>
    </w:p>
    <w:p w14:paraId="498AADDE">
      <w:pPr>
        <w:spacing w:line="440" w:lineRule="exact"/>
        <w:rPr>
          <w:rFonts w:ascii="宋体" w:hAnsi="宋体"/>
          <w:color w:val="auto"/>
          <w:szCs w:val="21"/>
          <w:highlight w:val="none"/>
        </w:rPr>
      </w:pPr>
    </w:p>
    <w:p w14:paraId="230C37BD">
      <w:pPr>
        <w:spacing w:line="500" w:lineRule="exact"/>
        <w:rPr>
          <w:rFonts w:ascii="Calibri" w:hAnsi="Calibri"/>
          <w:b/>
          <w:color w:val="auto"/>
          <w:sz w:val="24"/>
          <w:highlight w:val="none"/>
        </w:rPr>
      </w:pPr>
      <w:r>
        <w:rPr>
          <w:rFonts w:hint="eastAsia" w:ascii="Calibri" w:hAnsi="Calibri"/>
          <w:b/>
          <w:color w:val="auto"/>
          <w:sz w:val="24"/>
          <w:highlight w:val="none"/>
        </w:rPr>
        <w:t>九、其它需要说明的事项</w:t>
      </w:r>
    </w:p>
    <w:p w14:paraId="318F5DD7">
      <w:pPr>
        <w:spacing w:line="440" w:lineRule="exact"/>
        <w:ind w:firstLine="420" w:firstLineChars="200"/>
        <w:rPr>
          <w:rFonts w:ascii="宋体" w:hAnsi="宋体"/>
          <w:bCs/>
          <w:color w:val="auto"/>
          <w:szCs w:val="21"/>
          <w:highlight w:val="none"/>
        </w:rPr>
      </w:pPr>
      <w:r>
        <w:rPr>
          <w:rFonts w:hint="eastAsia" w:ascii="宋体" w:hAnsi="宋体"/>
          <w:bCs/>
          <w:color w:val="auto"/>
          <w:szCs w:val="21"/>
          <w:highlight w:val="none"/>
        </w:rPr>
        <w:t>1、采购清单及技术要求中，如有提到的品牌和型号均仅作为参考，并非进行限制。投标人投标时可以替换相应的品牌或型号，但所替换的品牌或型号的产品在功能和技术上需满足或响应招标文件技术或功能要求。</w:t>
      </w:r>
    </w:p>
    <w:p w14:paraId="34C20BF3">
      <w:pPr>
        <w:adjustRightInd w:val="0"/>
        <w:snapToGrid w:val="0"/>
        <w:spacing w:line="440" w:lineRule="exact"/>
        <w:ind w:firstLine="420" w:firstLineChars="200"/>
        <w:jc w:val="left"/>
        <w:rPr>
          <w:rFonts w:ascii="宋体" w:hAnsi="宋体"/>
          <w:color w:val="auto"/>
          <w:szCs w:val="21"/>
          <w:highlight w:val="none"/>
        </w:rPr>
      </w:pPr>
      <w:r>
        <w:rPr>
          <w:rFonts w:hint="eastAsia" w:ascii="宋体" w:hAnsi="宋体"/>
          <w:color w:val="auto"/>
          <w:szCs w:val="21"/>
          <w:highlight w:val="none"/>
        </w:rPr>
        <w:t>2、本项目投标总报价为含税全包价。合同总价应包括项目所需的全部设备、材料、配件、辅材购置，以及产品运输保险保管、安装、网络接口、系统升级、调试、验收、检测、培训、免费保修维护等全流程的所有人工、管理、保险、利润、税金等所有费用，如果还有涉及到本项目的其他费用，也请投标人一一列明，否则，将视为已包括在投标总价或相应的项目单价中。如一旦中标，因中标人自身原因造成漏报、少报皆由其自行承担责任，采购人不再支付任何费用。</w:t>
      </w:r>
    </w:p>
    <w:p w14:paraId="5B417580">
      <w:pPr>
        <w:adjustRightInd w:val="0"/>
        <w:snapToGrid w:val="0"/>
        <w:spacing w:line="440" w:lineRule="exact"/>
        <w:ind w:firstLine="420" w:firstLineChars="200"/>
        <w:jc w:val="left"/>
        <w:rPr>
          <w:rFonts w:ascii="宋体" w:hAnsi="宋体"/>
          <w:color w:val="auto"/>
          <w:highlight w:val="none"/>
        </w:rPr>
      </w:pPr>
      <w:r>
        <w:rPr>
          <w:rFonts w:hint="eastAsia" w:ascii="宋体" w:hAnsi="宋体"/>
          <w:color w:val="auto"/>
          <w:highlight w:val="none"/>
        </w:rPr>
        <w:t>3、投标人在投标文件中有隐瞒事实、弄虚作假的行为，或有不按招标文件的要求如实提供有关情况、文件、证明等资料的行为，或有所提供的有关情况、文件、证明等资料与经查实的事实不符的行为，且上述行为对该投标人有利的，按照不合格投标人处理。已被列为中标候选人的，取消其中标候选人资格。已中标的，取消其中标资格，并送财政监管部门依法追究其法律责任。</w:t>
      </w:r>
    </w:p>
    <w:p w14:paraId="117AB669">
      <w:pPr>
        <w:adjustRightInd w:val="0"/>
        <w:snapToGrid w:val="0"/>
        <w:spacing w:line="440" w:lineRule="exact"/>
        <w:ind w:firstLine="420" w:firstLineChars="200"/>
        <w:jc w:val="left"/>
        <w:rPr>
          <w:rFonts w:ascii="宋体" w:hAnsi="宋体"/>
          <w:color w:val="auto"/>
          <w:highlight w:val="none"/>
        </w:rPr>
      </w:pPr>
      <w:r>
        <w:rPr>
          <w:rFonts w:hint="eastAsia" w:ascii="宋体" w:hAnsi="宋体"/>
          <w:color w:val="auto"/>
          <w:highlight w:val="none"/>
        </w:rPr>
        <w:t>4、如投标人提供虚假材料谋取中标，在评标环节发现的，按无效投标处理。如中标后发现的，取消其中标资格，并送采购人监管部门依法追究其法律责任。</w:t>
      </w:r>
    </w:p>
    <w:p w14:paraId="59BBE7FF">
      <w:pPr>
        <w:adjustRightInd w:val="0"/>
        <w:snapToGrid w:val="0"/>
        <w:spacing w:line="440" w:lineRule="exact"/>
        <w:ind w:firstLine="420" w:firstLineChars="200"/>
        <w:jc w:val="left"/>
        <w:rPr>
          <w:rFonts w:ascii="宋体" w:hAnsi="宋体"/>
          <w:color w:val="auto"/>
          <w:highlight w:val="none"/>
        </w:rPr>
      </w:pPr>
      <w:r>
        <w:rPr>
          <w:rFonts w:hint="eastAsia" w:ascii="宋体" w:hAnsi="宋体"/>
          <w:color w:val="auto"/>
          <w:highlight w:val="none"/>
        </w:rPr>
        <w:t>5、在项目实施过程中，中标人对采购人所提供的相关资料、数据，未经采购人书面同意不得泄露，不得擅自修改、传送或向第三人转让或用于本合同外的项目，否则均以违法违约处理。中标人负有对成果资料保密的责任，且保密责任不因合同的中止或解除而失效。</w:t>
      </w:r>
    </w:p>
    <w:p w14:paraId="6079D39F">
      <w:pPr>
        <w:adjustRightInd w:val="0"/>
        <w:snapToGrid w:val="0"/>
        <w:spacing w:line="440" w:lineRule="exact"/>
        <w:ind w:firstLine="420" w:firstLineChars="200"/>
        <w:jc w:val="left"/>
        <w:rPr>
          <w:rFonts w:ascii="宋体" w:hAnsi="宋体"/>
          <w:color w:val="auto"/>
          <w:highlight w:val="none"/>
        </w:rPr>
      </w:pPr>
      <w:r>
        <w:rPr>
          <w:rFonts w:hint="eastAsia" w:ascii="宋体" w:hAnsi="宋体"/>
          <w:color w:val="auto"/>
          <w:highlight w:val="none"/>
        </w:rPr>
        <w:t>6、中标人所使用的技术、资料等方面发生侵权行为时，其侵权责任与采购人无关，应由中标人承担相应的责任，并不得损害采购人的利益。采购人对提供给中标人的有关文档、数据和技术资料具有独家使用权，中标人未经采购人同意不得随意复制或使用。</w:t>
      </w:r>
    </w:p>
    <w:p w14:paraId="2DD49379">
      <w:pPr>
        <w:spacing w:line="440" w:lineRule="exact"/>
        <w:ind w:firstLine="420" w:firstLineChars="200"/>
        <w:rPr>
          <w:rFonts w:ascii="宋体" w:hAnsi="宋体"/>
          <w:bCs/>
          <w:color w:val="auto"/>
          <w:highlight w:val="none"/>
        </w:rPr>
      </w:pPr>
      <w:r>
        <w:rPr>
          <w:rFonts w:hint="eastAsia" w:ascii="宋体" w:hAnsi="宋体"/>
          <w:color w:val="auto"/>
          <w:highlight w:val="none"/>
        </w:rPr>
        <w:t>7、投标人一旦中标，不得以任何形式将本项目转包或分包给其他单位，如发现转包或分包，采购人有权终止合同，所造成的一切损失由中标人负责。</w:t>
      </w:r>
    </w:p>
    <w:p w14:paraId="227FF623">
      <w:pPr>
        <w:spacing w:line="440" w:lineRule="exact"/>
        <w:jc w:val="left"/>
        <w:rPr>
          <w:rFonts w:ascii="宋体" w:hAnsi="宋体"/>
          <w:color w:val="auto"/>
          <w:highlight w:val="none"/>
        </w:rPr>
      </w:pPr>
    </w:p>
    <w:p w14:paraId="1D7230BF">
      <w:pPr>
        <w:spacing w:line="440" w:lineRule="exact"/>
        <w:jc w:val="left"/>
        <w:rPr>
          <w:rFonts w:ascii="宋体" w:hAnsi="宋体"/>
          <w:color w:val="auto"/>
          <w:highlight w:val="none"/>
        </w:rPr>
      </w:pPr>
    </w:p>
    <w:p w14:paraId="424F5EF8">
      <w:pPr>
        <w:spacing w:line="440" w:lineRule="exact"/>
        <w:ind w:firstLine="422" w:firstLineChars="200"/>
        <w:jc w:val="left"/>
        <w:rPr>
          <w:rFonts w:ascii="宋体" w:hAnsi="宋体"/>
          <w:b/>
          <w:color w:val="auto"/>
          <w:highlight w:val="none"/>
        </w:rPr>
      </w:pPr>
      <w:r>
        <w:rPr>
          <w:rFonts w:hint="eastAsia" w:ascii="宋体" w:hAnsi="宋体"/>
          <w:b/>
          <w:color w:val="auto"/>
          <w:highlight w:val="none"/>
        </w:rPr>
        <w:t>备注：</w:t>
      </w:r>
    </w:p>
    <w:p w14:paraId="0ACF01CB">
      <w:pPr>
        <w:spacing w:line="440" w:lineRule="exact"/>
        <w:ind w:firstLine="420" w:firstLineChars="200"/>
        <w:jc w:val="left"/>
        <w:rPr>
          <w:rFonts w:ascii="宋体" w:hAnsi="宋体"/>
          <w:color w:val="auto"/>
          <w:highlight w:val="none"/>
        </w:rPr>
      </w:pPr>
      <w:r>
        <w:rPr>
          <w:rFonts w:hint="eastAsia" w:ascii="宋体" w:hAnsi="宋体"/>
          <w:color w:val="auto"/>
          <w:highlight w:val="none"/>
        </w:rPr>
        <w:t>1、本招标文件采购需求中标注“</w:t>
      </w:r>
      <w:r>
        <w:rPr>
          <w:rFonts w:hint="eastAsia" w:ascii="宋体" w:hAnsi="宋体"/>
          <w:color w:val="auto"/>
          <w:kern w:val="0"/>
          <w:highlight w:val="none"/>
        </w:rPr>
        <w:t>★</w:t>
      </w:r>
      <w:r>
        <w:rPr>
          <w:rFonts w:hint="eastAsia" w:ascii="宋体" w:hAnsi="宋体"/>
          <w:color w:val="auto"/>
          <w:highlight w:val="none"/>
        </w:rPr>
        <w:t>”号的条款为实质性要求，投标人应全部响应和满足，否则将被视为无效投标。</w:t>
      </w:r>
    </w:p>
    <w:p w14:paraId="687CDB44">
      <w:pPr>
        <w:spacing w:line="440" w:lineRule="exact"/>
        <w:ind w:firstLine="420" w:firstLineChars="200"/>
        <w:jc w:val="left"/>
        <w:rPr>
          <w:rFonts w:ascii="宋体" w:hAnsi="宋体"/>
          <w:color w:val="auto"/>
          <w:highlight w:val="none"/>
        </w:rPr>
      </w:pPr>
      <w:r>
        <w:rPr>
          <w:rFonts w:hint="eastAsia" w:ascii="宋体" w:hAnsi="宋体"/>
          <w:color w:val="auto"/>
          <w:highlight w:val="none"/>
        </w:rPr>
        <w:t>2、本招标文件采购需求中标注“▲”号的条款为重要技术参数，允许正偏差，出现负偏离时，将由评委重点扣分；同时，本招标文件采购需求中没有标注“▲”号的条款也是基本的技术参数要求，均要求满足，允许正偏差,出现负偏离时，将由评委按照评分细则予以扣分。</w:t>
      </w:r>
    </w:p>
    <w:p w14:paraId="2B44FDDB">
      <w:bookmarkStart w:id="42" w:name="_GoBack"/>
      <w:bookmarkEnd w:id="4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0000000000000000000"/>
    <w:charset w:val="00"/>
    <w:family w:val="auto"/>
    <w:pitch w:val="default"/>
    <w:sig w:usb0="00000000" w:usb1="00000000" w:usb2="00000000" w:usb3="00000000" w:csb0="00000000" w:csb1="00000000"/>
  </w:font>
  <w:font w:name="DejaVu Math TeX Gyre">
    <w:panose1 w:val="02000503000000000000"/>
    <w:charset w:val="00"/>
    <w:family w:val="auto"/>
    <w:pitch w:val="default"/>
    <w:sig w:usb0="A10000EF" w:usb1="4201F9EE" w:usb2="02000000" w:usb3="00000000" w:csb0="60000193" w:csb1="0DD4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D4D5C">
    <w:pPr>
      <w:pStyle w:val="8"/>
      <w:framePr w:wrap="around" w:vAnchor="text" w:hAnchor="margin" w:xAlign="right" w:y="1"/>
      <w:rPr>
        <w:rStyle w:val="14"/>
        <w:rFonts w:hint="default" w:eastAsia="宋体"/>
        <w:lang w:val="en-US" w:eastAsia="zh-CN"/>
      </w:rPr>
    </w:pPr>
    <w:r>
      <w:rPr>
        <w:rStyle w:val="14"/>
        <w:rFonts w:hint="eastAsia"/>
        <w:lang w:val="en-US" w:eastAsia="zh-CN"/>
      </w:rPr>
      <w:t xml:space="preserve">    </w:t>
    </w:r>
  </w:p>
  <w:p w14:paraId="509BD0A7">
    <w:pPr>
      <w:pStyle w:val="8"/>
      <w:pBdr>
        <w:top w:val="thinThickSmallGap" w:color="622423" w:sz="24" w:space="0"/>
      </w:pBdr>
      <w:tabs>
        <w:tab w:val="right" w:pos="8640"/>
        <w:tab w:val="clear" w:pos="4153"/>
        <w:tab w:val="clear" w:pos="8306"/>
      </w:tabs>
      <w:ind w:right="360"/>
      <w:rPr>
        <w:b/>
        <w:sz w:val="21"/>
        <w:szCs w:val="21"/>
      </w:rPr>
    </w:pPr>
    <w:r>
      <w:rPr>
        <w:rFonts w:hint="eastAsia"/>
        <w:b/>
        <w:sz w:val="21"/>
        <w:szCs w:val="21"/>
        <w:lang w:eastAsia="zh-CN"/>
      </w:rPr>
      <w:t>湘南建设咨询有限责任公司</w:t>
    </w:r>
    <w:r>
      <w:rPr>
        <w:rFonts w:hint="eastAsia"/>
        <w:b/>
        <w:sz w:val="21"/>
        <w:szCs w:val="21"/>
      </w:rPr>
      <w:t xml:space="preserve">              </w:t>
    </w:r>
    <w:r>
      <w:rPr>
        <w:rFonts w:hint="eastAsia"/>
        <w:b/>
        <w:sz w:val="21"/>
        <w:szCs w:val="21"/>
        <w:lang w:val="en-US" w:eastAsia="zh-CN"/>
      </w:rPr>
      <w:t xml:space="preserve">   </w:t>
    </w:r>
    <w:r>
      <w:rPr>
        <w:rFonts w:hint="eastAsia"/>
        <w:b/>
        <w:sz w:val="21"/>
        <w:szCs w:val="21"/>
      </w:rPr>
      <w:t xml:space="preserve">          </w:t>
    </w:r>
    <w:r>
      <w:rPr>
        <w:rFonts w:hint="eastAsia"/>
        <w:b/>
        <w:sz w:val="21"/>
        <w:szCs w:val="21"/>
        <w:lang w:val="en-US" w:eastAsia="zh-CN"/>
      </w:rPr>
      <w:t xml:space="preserve">                                                   </w:t>
    </w:r>
    <w:r>
      <w:rPr>
        <w:rFonts w:hint="eastAsia"/>
        <w:b/>
        <w:sz w:val="21"/>
        <w:szCs w:val="21"/>
      </w:rPr>
      <w:t xml:space="preserve"> </w:t>
    </w:r>
    <w:r>
      <w:rPr>
        <w:rFonts w:hint="eastAsia"/>
        <w:b/>
        <w:sz w:val="21"/>
        <w:szCs w:val="21"/>
        <w:lang w:val="en-US" w:eastAsia="zh-CN"/>
      </w:rPr>
      <w:t xml:space="preserve">            </w:t>
    </w:r>
    <w:r>
      <w:rPr>
        <w:b/>
        <w:kern w:val="0"/>
        <w:sz w:val="21"/>
        <w:szCs w:val="21"/>
      </w:rPr>
      <w:fldChar w:fldCharType="begin"/>
    </w:r>
    <w:r>
      <w:rPr>
        <w:b/>
        <w:kern w:val="0"/>
        <w:sz w:val="21"/>
        <w:szCs w:val="21"/>
      </w:rPr>
      <w:instrText xml:space="preserve"> PAGE </w:instrText>
    </w:r>
    <w:r>
      <w:rPr>
        <w:b/>
        <w:kern w:val="0"/>
        <w:sz w:val="21"/>
        <w:szCs w:val="21"/>
      </w:rPr>
      <w:fldChar w:fldCharType="separate"/>
    </w:r>
    <w:r>
      <w:rPr>
        <w:b/>
        <w:kern w:val="0"/>
        <w:sz w:val="21"/>
        <w:szCs w:val="21"/>
      </w:rPr>
      <w:t>99</w:t>
    </w:r>
    <w:r>
      <w:rPr>
        <w:b/>
        <w:kern w:val="0"/>
        <w:sz w:val="21"/>
        <w:szCs w:val="21"/>
      </w:rPr>
      <w:fldChar w:fldCharType="end"/>
    </w:r>
    <w:r>
      <w:rPr>
        <w:rFonts w:hint="eastAsia"/>
        <w:b/>
        <w:kern w:val="0"/>
        <w:sz w:val="21"/>
        <w:szCs w:val="21"/>
      </w:rPr>
      <w:t xml:space="preserve"> 页 共 </w:t>
    </w:r>
    <w:r>
      <w:rPr>
        <w:b/>
        <w:kern w:val="0"/>
        <w:sz w:val="21"/>
        <w:szCs w:val="21"/>
      </w:rPr>
      <w:fldChar w:fldCharType="begin"/>
    </w:r>
    <w:r>
      <w:rPr>
        <w:b/>
        <w:kern w:val="0"/>
        <w:sz w:val="21"/>
        <w:szCs w:val="21"/>
      </w:rPr>
      <w:instrText xml:space="preserve"> NUMPAGES </w:instrText>
    </w:r>
    <w:r>
      <w:rPr>
        <w:b/>
        <w:kern w:val="0"/>
        <w:sz w:val="21"/>
        <w:szCs w:val="21"/>
      </w:rPr>
      <w:fldChar w:fldCharType="separate"/>
    </w:r>
    <w:r>
      <w:rPr>
        <w:b/>
        <w:kern w:val="0"/>
        <w:sz w:val="21"/>
        <w:szCs w:val="21"/>
      </w:rPr>
      <w:t>100</w:t>
    </w:r>
    <w:r>
      <w:rPr>
        <w:b/>
        <w:kern w:val="0"/>
        <w:sz w:val="21"/>
        <w:szCs w:val="21"/>
      </w:rPr>
      <w:fldChar w:fldCharType="end"/>
    </w:r>
    <w:r>
      <w:rPr>
        <w:rFonts w:hint="eastAsia"/>
        <w:b/>
        <w:kern w:val="0"/>
        <w:sz w:val="21"/>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C235B">
    <w:pPr>
      <w:pStyle w:val="9"/>
      <w:pBdr>
        <w:bottom w:val="thickThinSmallGap" w:color="622423" w:sz="24" w:space="1"/>
      </w:pBdr>
      <w:jc w:val="right"/>
      <w:rPr>
        <w:rFonts w:hint="eastAsia" w:ascii="Cambria" w:hAnsi="Cambria" w:eastAsia="宋体"/>
        <w:sz w:val="21"/>
        <w:szCs w:val="21"/>
        <w:lang w:eastAsia="zh-CN"/>
      </w:rPr>
    </w:pPr>
    <w:r>
      <w:rPr>
        <w:rFonts w:hint="eastAsia" w:ascii="宋体" w:hAnsi="宋体"/>
        <w:b/>
        <w:sz w:val="21"/>
        <w:szCs w:val="21"/>
        <w:lang w:eastAsia="zh-CN"/>
      </w:rPr>
      <w:t>郴州市计量测试检定所市场监管计量领域检验检测设备更新项目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B238B4"/>
    <w:multiLevelType w:val="multilevel"/>
    <w:tmpl w:val="13B238B4"/>
    <w:lvl w:ilvl="0" w:tentative="0">
      <w:start w:val="1"/>
      <w:numFmt w:val="decimal"/>
      <w:lvlText w:val="%1．"/>
      <w:lvlJc w:val="left"/>
      <w:pPr>
        <w:ind w:left="502"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F164135"/>
    <w:multiLevelType w:val="multilevel"/>
    <w:tmpl w:val="4F164135"/>
    <w:lvl w:ilvl="0" w:tentative="0">
      <w:start w:val="1"/>
      <w:numFmt w:val="decimal"/>
      <w:lvlText w:val="%1)"/>
      <w:lvlJc w:val="left"/>
      <w:pPr>
        <w:tabs>
          <w:tab w:val="left" w:pos="719"/>
        </w:tabs>
        <w:ind w:left="719" w:hanging="360"/>
      </w:pPr>
      <w:rPr>
        <w:rFonts w:hint="eastAsia"/>
      </w:rPr>
    </w:lvl>
    <w:lvl w:ilvl="1" w:tentative="0">
      <w:start w:val="1"/>
      <w:numFmt w:val="lowerLetter"/>
      <w:lvlText w:val="%2)"/>
      <w:lvlJc w:val="left"/>
      <w:pPr>
        <w:tabs>
          <w:tab w:val="left" w:pos="1199"/>
        </w:tabs>
        <w:ind w:left="1199" w:hanging="420"/>
      </w:p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EF6DFD"/>
    <w:rsid w:val="5FEF6D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4"/>
    <w:basedOn w:val="1"/>
    <w:next w:val="1"/>
    <w:qFormat/>
    <w:uiPriority w:val="9"/>
    <w:pPr>
      <w:keepNext/>
      <w:keepLines/>
      <w:spacing w:before="280" w:after="290" w:line="376" w:lineRule="auto"/>
      <w:outlineLvl w:val="3"/>
    </w:pPr>
    <w:rPr>
      <w:rFonts w:ascii="Arial" w:hAnsi="Arial" w:eastAsia="黑体"/>
      <w:b/>
      <w:bCs/>
      <w:sz w:val="28"/>
      <w:szCs w:val="28"/>
    </w:rPr>
  </w:style>
  <w:style w:type="character" w:default="1" w:styleId="13">
    <w:name w:val="Default Paragraph Font"/>
    <w:semiHidden/>
    <w:qFormat/>
    <w:uiPriority w:val="0"/>
  </w:style>
  <w:style w:type="table" w:default="1" w:styleId="11">
    <w:name w:val="Normal Table"/>
    <w:semiHidden/>
    <w:uiPriority w:val="0"/>
    <w:tblPr>
      <w:tblCellMar>
        <w:top w:w="0" w:type="dxa"/>
        <w:left w:w="108" w:type="dxa"/>
        <w:bottom w:w="0" w:type="dxa"/>
        <w:right w:w="108" w:type="dxa"/>
      </w:tblCellMar>
    </w:tblPr>
  </w:style>
  <w:style w:type="paragraph" w:styleId="2">
    <w:name w:val="Body Text First Indent 2"/>
    <w:basedOn w:val="3"/>
    <w:qFormat/>
    <w:uiPriority w:val="0"/>
    <w:pPr>
      <w:spacing w:after="0" w:line="360" w:lineRule="auto"/>
      <w:ind w:left="0" w:leftChars="0" w:firstLine="420" w:firstLineChars="200"/>
    </w:pPr>
    <w:rPr>
      <w:rFonts w:ascii="宋体" w:hAnsi="宋体"/>
      <w:kern w:val="0"/>
      <w:sz w:val="20"/>
    </w:rPr>
  </w:style>
  <w:style w:type="paragraph" w:styleId="3">
    <w:name w:val="Body Text Indent"/>
    <w:basedOn w:val="1"/>
    <w:qFormat/>
    <w:uiPriority w:val="0"/>
    <w:pPr>
      <w:spacing w:after="120"/>
      <w:ind w:left="420" w:leftChars="200"/>
    </w:pPr>
  </w:style>
  <w:style w:type="paragraph" w:styleId="5">
    <w:name w:val="Normal Indent"/>
    <w:basedOn w:val="1"/>
    <w:qFormat/>
    <w:uiPriority w:val="0"/>
    <w:pPr>
      <w:tabs>
        <w:tab w:val="left" w:pos="0"/>
      </w:tabs>
      <w:ind w:left="420" w:hanging="420"/>
    </w:pPr>
  </w:style>
  <w:style w:type="paragraph" w:styleId="6">
    <w:name w:val="Body Text"/>
    <w:basedOn w:val="1"/>
    <w:qFormat/>
    <w:uiPriority w:val="0"/>
    <w:pPr>
      <w:spacing w:after="120"/>
    </w:pPr>
  </w:style>
  <w:style w:type="paragraph" w:styleId="7">
    <w:name w:val="Plain Text"/>
    <w:basedOn w:val="1"/>
    <w:qFormat/>
    <w:uiPriority w:val="99"/>
    <w:rPr>
      <w:rFonts w:ascii="宋体" w:hAnsi="Courier New" w:cs="Courier New"/>
      <w:szCs w:val="21"/>
    </w:rPr>
  </w:style>
  <w:style w:type="paragraph" w:styleId="8">
    <w:name w:val="footer"/>
    <w:basedOn w:val="1"/>
    <w:qFormat/>
    <w:uiPriority w:val="99"/>
    <w:pPr>
      <w:tabs>
        <w:tab w:val="center" w:pos="4153"/>
        <w:tab w:val="right" w:pos="8306"/>
      </w:tabs>
      <w:snapToGrid w:val="0"/>
      <w:jc w:val="left"/>
    </w:pPr>
    <w:rPr>
      <w:sz w:val="18"/>
      <w:szCs w:val="18"/>
    </w:rPr>
  </w:style>
  <w:style w:type="paragraph" w:styleId="9">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99"/>
    <w:pPr>
      <w:widowControl/>
      <w:spacing w:before="100" w:beforeAutospacing="1" w:after="100" w:afterAutospacing="1"/>
      <w:jc w:val="left"/>
    </w:pPr>
    <w:rPr>
      <w:rFonts w:ascii="宋体" w:hAnsi="宋体" w:cs="宋体"/>
      <w:kern w:val="0"/>
      <w:sz w:val="24"/>
    </w:rPr>
  </w:style>
  <w:style w:type="table" w:styleId="12">
    <w:name w:val="Table Grid"/>
    <w:basedOn w:val="11"/>
    <w:qFormat/>
    <w:uiPriority w:val="59"/>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14">
    <w:name w:val="page number"/>
    <w:basedOn w:val="13"/>
    <w:qFormat/>
    <w:uiPriority w:val="99"/>
  </w:style>
  <w:style w:type="character" w:customStyle="1" w:styleId="15">
    <w:name w:val="font31"/>
    <w:basedOn w:val="13"/>
    <w:qFormat/>
    <w:uiPriority w:val="0"/>
    <w:rPr>
      <w:rFonts w:ascii="宋体" w:hAnsi="宋体" w:eastAsia="宋体" w:cs="宋体"/>
      <w:color w:val="000000"/>
      <w:sz w:val="22"/>
      <w:szCs w:val="22"/>
      <w:u w:val="none"/>
    </w:rPr>
  </w:style>
  <w:style w:type="paragraph" w:styleId="16">
    <w:name w:val="List Paragraph"/>
    <w:basedOn w:val="1"/>
    <w:qFormat/>
    <w:uiPriority w:val="0"/>
    <w:pPr>
      <w:ind w:firstLine="420" w:firstLineChars="200"/>
    </w:pPr>
  </w:style>
  <w:style w:type="paragraph" w:customStyle="1" w:styleId="17">
    <w:name w:val="1.首行缩进"/>
    <w:basedOn w:val="1"/>
    <w:qFormat/>
    <w:uiPriority w:val="0"/>
    <w:pPr>
      <w:snapToGrid w:val="0"/>
      <w:spacing w:line="360" w:lineRule="auto"/>
      <w:ind w:firstLine="480" w:firstLineChars="200"/>
    </w:pPr>
    <w:rPr>
      <w:rFonts w:ascii="宋体" w:hAnsi="宋体" w:eastAsia="宋体" w:cs="Times New Roman"/>
      <w:sz w:val="24"/>
      <w:szCs w:val="21"/>
    </w:rPr>
  </w:style>
  <w:style w:type="paragraph" w:customStyle="1" w:styleId="18">
    <w:name w:val="msolistparagraph"/>
    <w:basedOn w:val="1"/>
    <w:qFormat/>
    <w:uiPriority w:val="0"/>
    <w:pPr>
      <w:spacing w:line="460" w:lineRule="exact"/>
      <w:ind w:firstLine="420" w:firstLineChars="200"/>
    </w:pPr>
    <w:rPr>
      <w:rFonts w:hint="eastAsia" w:ascii="仿宋_GB2312" w:eastAsia="仿宋_GB2312"/>
      <w:sz w:val="28"/>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55</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2026-10-08T09:23:00Z</dcterms:created>
  <dc:creator>Administrator</dc:creator>
  <cp:lastModifiedBy>Administrator</cp:lastModifiedBy>
  <dcterms:modified xsi:type="dcterms:W3CDTF">2026-10-08T09:23:45Z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4640CAED51424259B9949EB98D64AD38_11</vt:lpwstr>
  </property>
  <property fmtid="{D5CDD505-2E9C-101B-9397-08002B2CF9AE}" pid="4" name="KSOTemplateDocerSaveRecord">
    <vt:lpwstr>eyJoZGlkIjoiOGI3YmVhNzZjNTQ1MWIzNGRmNmNlNDI3ZDc2YTA3NDIiLCJ1c2VySWQiOiI3MTcxMDc1MTUifQ==</vt:lpwstr>
  </property>
</Properties>
</file>