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B06D8">
      <w:pPr>
        <w:pStyle w:val="22"/>
        <w:shd w:val="clear"/>
        <w:tabs>
          <w:tab w:val="left" w:pos="1950"/>
        </w:tabs>
        <w:rPr>
          <w:rFonts w:hint="eastAsia" w:hAnsi="宋体" w:eastAsia="宋体"/>
          <w:strike/>
          <w:color w:val="000000" w:themeColor="text1"/>
          <w:sz w:val="44"/>
          <w:highlight w:val="none"/>
          <w:vertAlign w:val="subscript"/>
          <w:lang w:val="en-US" w:eastAsia="zh-CN"/>
          <w14:textFill>
            <w14:solidFill>
              <w14:schemeClr w14:val="tx1"/>
            </w14:solidFill>
          </w14:textFill>
        </w:rPr>
      </w:pPr>
    </w:p>
    <w:p w14:paraId="354ACC31">
      <w:pPr>
        <w:pStyle w:val="22"/>
        <w:shd w:val="clear"/>
        <w:spacing w:line="400" w:lineRule="atLeast"/>
        <w:rPr>
          <w:rFonts w:ascii="华文中宋" w:hAnsi="华文中宋" w:eastAsia="华文中宋"/>
          <w:bCs/>
          <w:color w:val="000000" w:themeColor="text1"/>
          <w:sz w:val="72"/>
          <w:szCs w:val="72"/>
          <w:highlight w:val="none"/>
          <w14:textFill>
            <w14:solidFill>
              <w14:schemeClr w14:val="tx1"/>
            </w14:solidFill>
          </w14:textFill>
        </w:rPr>
      </w:pPr>
    </w:p>
    <w:p w14:paraId="0BBE58DE">
      <w:pPr>
        <w:pStyle w:val="53"/>
        <w:shd w:val="clear"/>
        <w:rPr>
          <w:color w:val="000000" w:themeColor="text1"/>
          <w:highlight w:val="none"/>
          <w14:textFill>
            <w14:solidFill>
              <w14:schemeClr w14:val="tx1"/>
            </w14:solidFill>
          </w14:textFill>
        </w:rPr>
      </w:pPr>
    </w:p>
    <w:p w14:paraId="11EA5B77">
      <w:pPr>
        <w:pStyle w:val="22"/>
        <w:shd w:val="clear"/>
        <w:spacing w:line="400" w:lineRule="atLeast"/>
        <w:jc w:val="center"/>
        <w:rPr>
          <w:rFonts w:ascii="华文中宋" w:hAnsi="华文中宋" w:eastAsia="华文中宋"/>
          <w:b/>
          <w:bCs/>
          <w:color w:val="000000" w:themeColor="text1"/>
          <w:sz w:val="72"/>
          <w:szCs w:val="72"/>
          <w:highlight w:val="none"/>
          <w14:textFill>
            <w14:solidFill>
              <w14:schemeClr w14:val="tx1"/>
            </w14:solidFill>
          </w14:textFill>
        </w:rPr>
      </w:pPr>
      <w:r>
        <w:rPr>
          <w:rFonts w:hint="eastAsia" w:ascii="华文中宋" w:hAnsi="华文中宋" w:eastAsia="华文中宋"/>
          <w:b/>
          <w:bCs/>
          <w:color w:val="000000" w:themeColor="text1"/>
          <w:sz w:val="72"/>
          <w:szCs w:val="72"/>
          <w:highlight w:val="none"/>
          <w14:textFill>
            <w14:solidFill>
              <w14:schemeClr w14:val="tx1"/>
            </w14:solidFill>
          </w14:textFill>
        </w:rPr>
        <w:t>公开招标</w:t>
      </w:r>
    </w:p>
    <w:p w14:paraId="1D6FD4A5">
      <w:pPr>
        <w:pStyle w:val="22"/>
        <w:shd w:val="clear"/>
        <w:spacing w:line="400" w:lineRule="atLeast"/>
        <w:jc w:val="center"/>
        <w:rPr>
          <w:rFonts w:ascii="华文中宋" w:hAnsi="华文中宋" w:eastAsia="华文中宋"/>
          <w:b/>
          <w:bCs/>
          <w:color w:val="000000" w:themeColor="text1"/>
          <w:sz w:val="72"/>
          <w:szCs w:val="72"/>
          <w:highlight w:val="none"/>
          <w14:textFill>
            <w14:solidFill>
              <w14:schemeClr w14:val="tx1"/>
            </w14:solidFill>
          </w14:textFill>
        </w:rPr>
      </w:pPr>
      <w:r>
        <w:rPr>
          <w:rFonts w:hint="eastAsia" w:ascii="华文中宋" w:hAnsi="华文中宋" w:eastAsia="华文中宋"/>
          <w:b/>
          <w:bCs/>
          <w:color w:val="000000" w:themeColor="text1"/>
          <w:sz w:val="72"/>
          <w:szCs w:val="72"/>
          <w:highlight w:val="none"/>
          <w14:textFill>
            <w14:solidFill>
              <w14:schemeClr w14:val="tx1"/>
            </w14:solidFill>
          </w14:textFill>
        </w:rPr>
        <w:t>电子招标文件</w:t>
      </w:r>
    </w:p>
    <w:p w14:paraId="6B78680C">
      <w:pPr>
        <w:pStyle w:val="22"/>
        <w:shd w:val="clear"/>
        <w:adjustRightInd w:val="0"/>
        <w:snapToGrid w:val="0"/>
        <w:spacing w:line="360" w:lineRule="auto"/>
        <w:jc w:val="center"/>
        <w:rPr>
          <w:rFonts w:ascii="华文中宋" w:hAnsi="华文中宋" w:eastAsia="华文中宋"/>
          <w:bCs/>
          <w:color w:val="000000" w:themeColor="text1"/>
          <w:highlight w:val="none"/>
          <w14:textFill>
            <w14:solidFill>
              <w14:schemeClr w14:val="tx1"/>
            </w14:solidFill>
          </w14:textFill>
        </w:rPr>
      </w:pPr>
    </w:p>
    <w:p w14:paraId="4FB1BF03">
      <w:pPr>
        <w:pStyle w:val="16"/>
        <w:shd w:val="clea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p>
    <w:p w14:paraId="6400E9C4">
      <w:pPr>
        <w:rPr>
          <w:rFonts w:hint="eastAsia"/>
          <w:color w:val="000000" w:themeColor="text1"/>
          <w:highlight w:val="none"/>
          <w:lang w:val="en-US" w:eastAsia="zh-CN"/>
          <w14:textFill>
            <w14:solidFill>
              <w14:schemeClr w14:val="tx1"/>
            </w14:solidFill>
          </w14:textFill>
        </w:rPr>
      </w:pPr>
    </w:p>
    <w:p w14:paraId="4CE2BE8F">
      <w:pPr>
        <w:rPr>
          <w:rFonts w:hint="default"/>
          <w:color w:val="000000" w:themeColor="text1"/>
          <w:highlight w:val="none"/>
          <w:lang w:val="en-US" w:eastAsia="zh-CN"/>
          <w14:textFill>
            <w14:solidFill>
              <w14:schemeClr w14:val="tx1"/>
            </w14:solidFill>
          </w14:textFill>
        </w:rPr>
      </w:pPr>
    </w:p>
    <w:p w14:paraId="05F050CB">
      <w:pPr>
        <w:pStyle w:val="53"/>
        <w:shd w:val="clear"/>
        <w:rPr>
          <w:color w:val="000000" w:themeColor="text1"/>
          <w:highlight w:val="none"/>
          <w14:textFill>
            <w14:solidFill>
              <w14:schemeClr w14:val="tx1"/>
            </w14:solidFill>
          </w14:textFill>
        </w:rPr>
      </w:pPr>
    </w:p>
    <w:p w14:paraId="216F40E9">
      <w:pPr>
        <w:pStyle w:val="53"/>
        <w:shd w:val="clear"/>
        <w:rPr>
          <w:color w:val="000000" w:themeColor="text1"/>
          <w:highlight w:val="none"/>
          <w14:textFill>
            <w14:solidFill>
              <w14:schemeClr w14:val="tx1"/>
            </w14:solidFill>
          </w14:textFill>
        </w:rPr>
      </w:pPr>
    </w:p>
    <w:p w14:paraId="572FA89C">
      <w:pPr>
        <w:shd w:val="clear"/>
        <w:rPr>
          <w:rFonts w:hAnsi="宋体"/>
          <w:b/>
          <w:color w:val="000000" w:themeColor="text1"/>
          <w:sz w:val="32"/>
          <w:szCs w:val="32"/>
          <w:highlight w:val="none"/>
          <w14:textFill>
            <w14:solidFill>
              <w14:schemeClr w14:val="tx1"/>
            </w14:solidFill>
          </w14:textFill>
        </w:rPr>
      </w:pPr>
    </w:p>
    <w:p w14:paraId="3D1E69DB">
      <w:pPr>
        <w:shd w:val="clear"/>
        <w:rPr>
          <w:rFonts w:hint="eastAsia" w:hAnsi="宋体" w:eastAsia="宋体"/>
          <w:b/>
          <w:color w:val="000000" w:themeColor="text1"/>
          <w:sz w:val="32"/>
          <w:szCs w:val="32"/>
          <w:highlight w:val="none"/>
          <w:u w:val="single"/>
          <w:lang w:eastAsia="zh-CN"/>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项目名称：</w:t>
      </w:r>
      <w:r>
        <w:rPr>
          <w:rFonts w:hint="eastAsia" w:hAnsi="宋体"/>
          <w:b/>
          <w:color w:val="000000" w:themeColor="text1"/>
          <w:sz w:val="32"/>
          <w:szCs w:val="32"/>
          <w:highlight w:val="none"/>
          <w:u w:val="single"/>
          <w:lang w:eastAsia="zh-CN"/>
          <w14:textFill>
            <w14:solidFill>
              <w14:schemeClr w14:val="tx1"/>
            </w14:solidFill>
          </w14:textFill>
        </w:rPr>
        <w:t>岳阳市君山区人民医院全自动凝血分析仪等设备采购项目</w:t>
      </w:r>
    </w:p>
    <w:p w14:paraId="0D2CA3B1">
      <w:pPr>
        <w:shd w:val="clear"/>
        <w:rPr>
          <w:rFonts w:hint="eastAsia" w:ascii="宋体" w:eastAsia="宋体"/>
          <w:b/>
          <w:color w:val="000000" w:themeColor="text1"/>
          <w:sz w:val="32"/>
          <w:szCs w:val="21"/>
          <w:highlight w:val="none"/>
          <w:u w:val="single"/>
          <w:lang w:eastAsia="zh-CN"/>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采购计划编号：(2026)430611000031-1</w:t>
      </w:r>
      <w:r>
        <w:rPr>
          <w:rFonts w:hint="eastAsia" w:hAnsi="宋体"/>
          <w:b/>
          <w:color w:val="000000" w:themeColor="text1"/>
          <w:sz w:val="32"/>
          <w:szCs w:val="32"/>
          <w:highlight w:val="none"/>
          <w:lang w:eastAsia="zh-CN"/>
          <w14:textFill>
            <w14:solidFill>
              <w14:schemeClr w14:val="tx1"/>
            </w14:solidFill>
          </w14:textFill>
        </w:rPr>
        <w:t>、(2026)430611000031-2</w:t>
      </w:r>
    </w:p>
    <w:p w14:paraId="31A138E9">
      <w:pPr>
        <w:shd w:val="clear"/>
        <w:rPr>
          <w:rFonts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采购代理编号：</w:t>
      </w:r>
      <w:r>
        <w:rPr>
          <w:rFonts w:hint="eastAsia" w:ascii="宋体"/>
          <w:b/>
          <w:color w:val="000000" w:themeColor="text1"/>
          <w:sz w:val="32"/>
          <w:szCs w:val="21"/>
          <w:highlight w:val="none"/>
          <w:u w:val="single"/>
          <w:lang w:eastAsia="zh-CN"/>
          <w14:textFill>
            <w14:solidFill>
              <w14:schemeClr w14:val="tx1"/>
            </w14:solidFill>
          </w14:textFill>
        </w:rPr>
        <w:t xml:space="preserve">HNHS-2026CG-029 </w:t>
      </w:r>
      <w:r>
        <w:rPr>
          <w:rFonts w:hint="eastAsia" w:ascii="宋体"/>
          <w:b/>
          <w:color w:val="000000" w:themeColor="text1"/>
          <w:sz w:val="32"/>
          <w:szCs w:val="21"/>
          <w:highlight w:val="none"/>
          <w:u w:val="single"/>
          <w14:textFill>
            <w14:solidFill>
              <w14:schemeClr w14:val="tx1"/>
            </w14:solidFill>
          </w14:textFill>
        </w:rPr>
        <w:t xml:space="preserve"> </w:t>
      </w:r>
    </w:p>
    <w:p w14:paraId="0F8101FA">
      <w:pPr>
        <w:shd w:val="clear"/>
        <w:rPr>
          <w:rFonts w:hint="eastAsia" w:hAnsi="宋体" w:eastAsia="宋体"/>
          <w:b/>
          <w:color w:val="000000" w:themeColor="text1"/>
          <w:sz w:val="32"/>
          <w:szCs w:val="32"/>
          <w:highlight w:val="none"/>
          <w:u w:val="single"/>
          <w:lang w:eastAsia="zh-CN"/>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采</w:t>
      </w:r>
      <w:r>
        <w:rPr>
          <w:rFonts w:hint="eastAsia" w:hAnsi="宋体"/>
          <w:b/>
          <w:color w:val="000000" w:themeColor="text1"/>
          <w:sz w:val="32"/>
          <w:szCs w:val="32"/>
          <w:highlight w:val="none"/>
          <w:lang w:val="en-US" w:eastAsia="zh-CN"/>
          <w14:textFill>
            <w14:solidFill>
              <w14:schemeClr w14:val="tx1"/>
            </w14:solidFill>
          </w14:textFill>
        </w:rPr>
        <w:t xml:space="preserve"> </w:t>
      </w:r>
      <w:r>
        <w:rPr>
          <w:rFonts w:hint="eastAsia" w:hAnsi="宋体"/>
          <w:b/>
          <w:color w:val="000000" w:themeColor="text1"/>
          <w:sz w:val="32"/>
          <w:szCs w:val="32"/>
          <w:highlight w:val="none"/>
          <w14:textFill>
            <w14:solidFill>
              <w14:schemeClr w14:val="tx1"/>
            </w14:solidFill>
          </w14:textFill>
        </w:rPr>
        <w:t>购</w:t>
      </w:r>
      <w:r>
        <w:rPr>
          <w:rFonts w:hint="eastAsia" w:hAnsi="宋体"/>
          <w:b/>
          <w:color w:val="000000" w:themeColor="text1"/>
          <w:sz w:val="32"/>
          <w:szCs w:val="32"/>
          <w:highlight w:val="none"/>
          <w:lang w:val="en-US" w:eastAsia="zh-CN"/>
          <w14:textFill>
            <w14:solidFill>
              <w14:schemeClr w14:val="tx1"/>
            </w14:solidFill>
          </w14:textFill>
        </w:rPr>
        <w:t xml:space="preserve"> </w:t>
      </w:r>
      <w:r>
        <w:rPr>
          <w:rFonts w:hint="eastAsia" w:hAnsi="宋体"/>
          <w:b/>
          <w:color w:val="000000" w:themeColor="text1"/>
          <w:sz w:val="32"/>
          <w:szCs w:val="32"/>
          <w:highlight w:val="none"/>
          <w14:textFill>
            <w14:solidFill>
              <w14:schemeClr w14:val="tx1"/>
            </w14:solidFill>
          </w14:textFill>
        </w:rPr>
        <w:t>人：</w:t>
      </w:r>
      <w:r>
        <w:rPr>
          <w:rFonts w:hint="eastAsia" w:hAnsi="宋体"/>
          <w:b/>
          <w:color w:val="000000" w:themeColor="text1"/>
          <w:sz w:val="32"/>
          <w:szCs w:val="32"/>
          <w:highlight w:val="none"/>
          <w:u w:val="single"/>
          <w:lang w:eastAsia="zh-CN"/>
          <w14:textFill>
            <w14:solidFill>
              <w14:schemeClr w14:val="tx1"/>
            </w14:solidFill>
          </w14:textFill>
        </w:rPr>
        <w:t>岳阳市君山区人民医院</w:t>
      </w:r>
    </w:p>
    <w:p w14:paraId="4400DF36">
      <w:pPr>
        <w:shd w:val="clear"/>
        <w:rPr>
          <w:rFonts w:ascii="宋体"/>
          <w:b/>
          <w:color w:val="000000" w:themeColor="text1"/>
          <w:sz w:val="32"/>
          <w:szCs w:val="21"/>
          <w:highlight w:val="none"/>
          <w14:textFill>
            <w14:solidFill>
              <w14:schemeClr w14:val="tx1"/>
            </w14:solidFill>
          </w14:textFill>
        </w:rPr>
      </w:pPr>
      <w:r>
        <w:rPr>
          <w:rFonts w:hint="eastAsia" w:ascii="宋体"/>
          <w:b/>
          <w:color w:val="000000" w:themeColor="text1"/>
          <w:sz w:val="32"/>
          <w:szCs w:val="21"/>
          <w:highlight w:val="none"/>
          <w14:textFill>
            <w14:solidFill>
              <w14:schemeClr w14:val="tx1"/>
            </w14:solidFill>
          </w14:textFill>
        </w:rPr>
        <w:t>采购代理机构：</w:t>
      </w:r>
      <w:r>
        <w:rPr>
          <w:rFonts w:hint="eastAsia" w:ascii="宋体"/>
          <w:b/>
          <w:color w:val="000000" w:themeColor="text1"/>
          <w:sz w:val="32"/>
          <w:szCs w:val="21"/>
          <w:highlight w:val="none"/>
          <w:u w:val="single"/>
          <w14:textFill>
            <w14:solidFill>
              <w14:schemeClr w14:val="tx1"/>
            </w14:solidFill>
          </w14:textFill>
        </w:rPr>
        <w:t>湖南泓盛项目管理有限公司</w:t>
      </w:r>
    </w:p>
    <w:p w14:paraId="320C31C7">
      <w:pPr>
        <w:pStyle w:val="22"/>
        <w:shd w:val="clear"/>
        <w:jc w:val="center"/>
        <w:rPr>
          <w:rFonts w:hAnsi="宋体"/>
          <w:bCs/>
          <w:color w:val="000000" w:themeColor="text1"/>
          <w:sz w:val="32"/>
          <w:szCs w:val="32"/>
          <w:highlight w:val="none"/>
          <w14:textFill>
            <w14:solidFill>
              <w14:schemeClr w14:val="tx1"/>
            </w14:solidFill>
          </w14:textFill>
        </w:rPr>
      </w:pPr>
    </w:p>
    <w:p w14:paraId="545F7D6F">
      <w:pPr>
        <w:pStyle w:val="6"/>
        <w:rPr>
          <w:color w:val="000000" w:themeColor="text1"/>
          <w:highlight w:val="none"/>
          <w14:textFill>
            <w14:solidFill>
              <w14:schemeClr w14:val="tx1"/>
            </w14:solidFill>
          </w14:textFill>
        </w:rPr>
      </w:pPr>
    </w:p>
    <w:p w14:paraId="41E851D9">
      <w:pPr>
        <w:pStyle w:val="22"/>
        <w:shd w:val="clear"/>
        <w:adjustRightInd w:val="0"/>
        <w:snapToGrid w:val="0"/>
        <w:spacing w:before="312" w:beforeLines="100" w:line="340" w:lineRule="exact"/>
        <w:jc w:val="center"/>
        <w:rPr>
          <w:rFonts w:hint="eastAsia" w:hAnsi="宋体" w:eastAsia="宋体"/>
          <w:b/>
          <w:color w:val="000000" w:themeColor="text1"/>
          <w:sz w:val="32"/>
          <w:highlight w:val="none"/>
          <w:lang w:eastAsia="zh-CN"/>
          <w14:textFill>
            <w14:solidFill>
              <w14:schemeClr w14:val="tx1"/>
            </w14:solidFill>
          </w14:textFill>
        </w:rPr>
      </w:pPr>
      <w:r>
        <w:rPr>
          <w:rFonts w:hint="eastAsia" w:hAnsi="宋体"/>
          <w:b/>
          <w:color w:val="000000" w:themeColor="text1"/>
          <w:sz w:val="32"/>
          <w:highlight w:val="none"/>
          <w:lang w:eastAsia="zh-CN"/>
          <w14:textFill>
            <w14:solidFill>
              <w14:schemeClr w14:val="tx1"/>
            </w14:solidFill>
          </w14:textFill>
        </w:rPr>
        <w:t>2026年</w:t>
      </w:r>
      <w:r>
        <w:rPr>
          <w:rFonts w:hint="eastAsia" w:hAnsi="宋体"/>
          <w:b/>
          <w:color w:val="000000" w:themeColor="text1"/>
          <w:sz w:val="32"/>
          <w:highlight w:val="none"/>
          <w:lang w:val="en-US" w:eastAsia="zh-CN"/>
          <w14:textFill>
            <w14:solidFill>
              <w14:schemeClr w14:val="tx1"/>
            </w14:solidFill>
          </w14:textFill>
        </w:rPr>
        <w:t>9</w:t>
      </w:r>
      <w:r>
        <w:rPr>
          <w:rFonts w:hint="eastAsia" w:hAnsi="宋体"/>
          <w:b/>
          <w:color w:val="000000" w:themeColor="text1"/>
          <w:sz w:val="32"/>
          <w:highlight w:val="none"/>
          <w:lang w:eastAsia="zh-CN"/>
          <w14:textFill>
            <w14:solidFill>
              <w14:schemeClr w14:val="tx1"/>
            </w14:solidFill>
          </w14:textFill>
        </w:rPr>
        <w:t>月</w:t>
      </w:r>
    </w:p>
    <w:p w14:paraId="520BA5C0">
      <w:pPr>
        <w:shd w:val="clear"/>
        <w:rPr>
          <w:color w:val="000000" w:themeColor="text1"/>
          <w:highlight w:val="none"/>
          <w14:textFill>
            <w14:solidFill>
              <w14:schemeClr w14:val="tx1"/>
            </w14:solidFill>
          </w14:textFill>
        </w:rPr>
      </w:pPr>
    </w:p>
    <w:p w14:paraId="3B39B605">
      <w:pPr>
        <w:shd w:val="clear"/>
        <w:rPr>
          <w:color w:val="000000" w:themeColor="text1"/>
          <w:highlight w:val="none"/>
          <w14:textFill>
            <w14:solidFill>
              <w14:schemeClr w14:val="tx1"/>
            </w14:solidFill>
          </w14:textFill>
        </w:rPr>
      </w:pPr>
    </w:p>
    <w:p w14:paraId="2DA96968">
      <w:pPr>
        <w:pStyle w:val="141"/>
        <w:shd w:val="clear"/>
        <w:jc w:val="center"/>
        <w:rPr>
          <w:color w:val="000000" w:themeColor="text1"/>
          <w:sz w:val="44"/>
          <w:szCs w:val="44"/>
          <w:highlight w:val="none"/>
          <w:lang w:val="zh-CN"/>
          <w14:textFill>
            <w14:solidFill>
              <w14:schemeClr w14:val="tx1"/>
            </w14:solidFill>
          </w14:textFill>
        </w:rPr>
      </w:pPr>
      <w:r>
        <w:rPr>
          <w:color w:val="000000" w:themeColor="text1"/>
          <w:sz w:val="44"/>
          <w:szCs w:val="44"/>
          <w:highlight w:val="none"/>
          <w:lang w:val="zh-CN"/>
          <w14:textFill>
            <w14:solidFill>
              <w14:schemeClr w14:val="tx1"/>
            </w14:solidFill>
          </w14:textFill>
        </w:rPr>
        <w:t>目录</w:t>
      </w:r>
    </w:p>
    <w:p w14:paraId="5A2CD877">
      <w:pPr>
        <w:shd w:val="clear"/>
        <w:rPr>
          <w:color w:val="000000" w:themeColor="text1"/>
          <w:highlight w:val="none"/>
          <w14:textFill>
            <w14:solidFill>
              <w14:schemeClr w14:val="tx1"/>
            </w14:solidFill>
          </w14:textFill>
        </w:rPr>
      </w:pPr>
    </w:p>
    <w:p w14:paraId="5A6F541F">
      <w:pPr>
        <w:pStyle w:val="4"/>
        <w:shd w:val="clear"/>
        <w:rPr>
          <w:color w:val="000000" w:themeColor="text1"/>
          <w:highlight w:val="none"/>
          <w14:textFill>
            <w14:solidFill>
              <w14:schemeClr w14:val="tx1"/>
            </w14:solidFill>
          </w14:textFill>
        </w:rPr>
      </w:pPr>
    </w:p>
    <w:p w14:paraId="08D3D017">
      <w:pPr>
        <w:pStyle w:val="29"/>
        <w:shd w:val="clear"/>
        <w:tabs>
          <w:tab w:val="right" w:leader="dot" w:pos="8834"/>
        </w:tabs>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TOC \o "1-3" \h \z \u </w:instrText>
      </w:r>
      <w:r>
        <w:rPr>
          <w:color w:val="000000" w:themeColor="text1"/>
          <w:sz w:val="28"/>
          <w:szCs w:val="28"/>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"_Toc78815069" </w:instrText>
      </w:r>
      <w:r>
        <w:rPr>
          <w:color w:val="000000" w:themeColor="text1"/>
          <w:highlight w:val="none"/>
          <w14:textFill>
            <w14:solidFill>
              <w14:schemeClr w14:val="tx1"/>
            </w14:solidFill>
          </w14:textFill>
        </w:rPr>
        <w:fldChar w:fldCharType="separate"/>
      </w:r>
      <w:r>
        <w:rPr>
          <w:rStyle w:val="50"/>
          <w:rFonts w:hint="eastAsia" w:ascii="黑体" w:hAnsi="黑体" w:eastAsia="黑体"/>
          <w:color w:val="000000" w:themeColor="text1"/>
          <w:sz w:val="28"/>
          <w:szCs w:val="28"/>
          <w:highlight w:val="none"/>
          <w14:textFill>
            <w14:solidFill>
              <w14:schemeClr w14:val="tx1"/>
            </w14:solidFill>
          </w14:textFill>
        </w:rPr>
        <w:t>第一章</w:t>
      </w:r>
      <w:r>
        <w:rPr>
          <w:rStyle w:val="50"/>
          <w:rFonts w:hint="eastAsia" w:ascii="黑体" w:hAnsi="黑体" w:eastAsia="黑体"/>
          <w:color w:val="000000" w:themeColor="text1"/>
          <w:sz w:val="28"/>
          <w:szCs w:val="28"/>
          <w:highlight w:val="none"/>
          <w:lang w:val="en-US" w:eastAsia="zh-CN"/>
          <w14:textFill>
            <w14:solidFill>
              <w14:schemeClr w14:val="tx1"/>
            </w14:solidFill>
          </w14:textFill>
        </w:rPr>
        <w:t xml:space="preserve">  </w:t>
      </w:r>
      <w:r>
        <w:rPr>
          <w:rStyle w:val="50"/>
          <w:rFonts w:hint="eastAsia" w:ascii="黑体" w:hAnsi="黑体" w:eastAsia="黑体"/>
          <w:color w:val="000000" w:themeColor="text1"/>
          <w:sz w:val="28"/>
          <w:szCs w:val="28"/>
          <w:highlight w:val="none"/>
          <w14:textFill>
            <w14:solidFill>
              <w14:schemeClr w14:val="tx1"/>
            </w14:solidFill>
          </w14:textFill>
        </w:rPr>
        <w:t>投标邀请</w:t>
      </w:r>
      <w:r>
        <w:rPr>
          <w:color w:val="000000" w:themeColor="text1"/>
          <w:sz w:val="28"/>
          <w:szCs w:val="28"/>
          <w:highlight w:val="none"/>
          <w14:textFill>
            <w14:solidFill>
              <w14:schemeClr w14:val="tx1"/>
            </w14:solidFill>
          </w14:textFill>
        </w:rPr>
        <w:tab/>
      </w: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_Toc78815069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3</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162877EA">
      <w:pPr>
        <w:pStyle w:val="29"/>
        <w:shd w:val="clear"/>
        <w:tabs>
          <w:tab w:val="right" w:leader="dot" w:pos="8834"/>
        </w:tabs>
        <w:rPr>
          <w:rFonts w:ascii="Calibri" w:hAnsi="Calibri"/>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"_Toc78815070" </w:instrText>
      </w:r>
      <w:r>
        <w:rPr>
          <w:color w:val="000000" w:themeColor="text1"/>
          <w:highlight w:val="none"/>
          <w14:textFill>
            <w14:solidFill>
              <w14:schemeClr w14:val="tx1"/>
            </w14:solidFill>
          </w14:textFill>
        </w:rPr>
        <w:fldChar w:fldCharType="separate"/>
      </w:r>
      <w:r>
        <w:rPr>
          <w:rStyle w:val="50"/>
          <w:rFonts w:hint="eastAsia" w:ascii="黑体" w:hAnsi="黑体" w:eastAsia="黑体"/>
          <w:color w:val="000000" w:themeColor="text1"/>
          <w:sz w:val="28"/>
          <w:szCs w:val="28"/>
          <w:highlight w:val="none"/>
          <w14:textFill>
            <w14:solidFill>
              <w14:schemeClr w14:val="tx1"/>
            </w14:solidFill>
          </w14:textFill>
        </w:rPr>
        <w:t>第二章</w:t>
      </w:r>
      <w:r>
        <w:rPr>
          <w:rStyle w:val="50"/>
          <w:rFonts w:hint="eastAsia" w:ascii="黑体" w:hAnsi="黑体" w:eastAsia="黑体"/>
          <w:color w:val="000000" w:themeColor="text1"/>
          <w:sz w:val="28"/>
          <w:szCs w:val="28"/>
          <w:highlight w:val="none"/>
          <w:lang w:val="en-US" w:eastAsia="zh-CN"/>
          <w14:textFill>
            <w14:solidFill>
              <w14:schemeClr w14:val="tx1"/>
            </w14:solidFill>
          </w14:textFill>
        </w:rPr>
        <w:t xml:space="preserve">  </w:t>
      </w:r>
      <w:r>
        <w:rPr>
          <w:rStyle w:val="50"/>
          <w:rFonts w:hint="eastAsia" w:ascii="黑体" w:hAnsi="黑体" w:eastAsia="黑体"/>
          <w:color w:val="000000" w:themeColor="text1"/>
          <w:sz w:val="28"/>
          <w:szCs w:val="28"/>
          <w:highlight w:val="none"/>
          <w14:textFill>
            <w14:solidFill>
              <w14:schemeClr w14:val="tx1"/>
            </w14:solidFill>
          </w14:textFill>
        </w:rPr>
        <w:t>投标须知</w:t>
      </w:r>
      <w:r>
        <w:rPr>
          <w:color w:val="000000" w:themeColor="text1"/>
          <w:sz w:val="28"/>
          <w:szCs w:val="28"/>
          <w:highlight w:val="none"/>
          <w14:textFill>
            <w14:solidFill>
              <w14:schemeClr w14:val="tx1"/>
            </w14:solidFill>
          </w14:textFill>
        </w:rPr>
        <w:tab/>
      </w: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_Toc78815070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9</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3A0CF979">
      <w:pPr>
        <w:pStyle w:val="29"/>
        <w:shd w:val="clear"/>
        <w:tabs>
          <w:tab w:val="right" w:leader="dot" w:pos="8834"/>
        </w:tabs>
        <w:rPr>
          <w:rFonts w:ascii="Calibri" w:hAnsi="Calibri"/>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"_Toc78815071" </w:instrText>
      </w:r>
      <w:r>
        <w:rPr>
          <w:color w:val="000000" w:themeColor="text1"/>
          <w:highlight w:val="none"/>
          <w14:textFill>
            <w14:solidFill>
              <w14:schemeClr w14:val="tx1"/>
            </w14:solidFill>
          </w14:textFill>
        </w:rPr>
        <w:fldChar w:fldCharType="separate"/>
      </w:r>
      <w:r>
        <w:rPr>
          <w:rStyle w:val="50"/>
          <w:rFonts w:hint="eastAsia" w:ascii="黑体" w:hAnsi="黑体" w:eastAsia="黑体"/>
          <w:color w:val="000000" w:themeColor="text1"/>
          <w:sz w:val="28"/>
          <w:szCs w:val="28"/>
          <w:highlight w:val="none"/>
          <w14:textFill>
            <w14:solidFill>
              <w14:schemeClr w14:val="tx1"/>
            </w14:solidFill>
          </w14:textFill>
        </w:rPr>
        <w:t>第三章</w:t>
      </w:r>
      <w:r>
        <w:rPr>
          <w:rStyle w:val="50"/>
          <w:rFonts w:hint="eastAsia" w:ascii="黑体" w:hAnsi="黑体" w:eastAsia="黑体"/>
          <w:color w:val="000000" w:themeColor="text1"/>
          <w:sz w:val="28"/>
          <w:szCs w:val="28"/>
          <w:highlight w:val="none"/>
          <w:lang w:val="en-US" w:eastAsia="zh-CN"/>
          <w14:textFill>
            <w14:solidFill>
              <w14:schemeClr w14:val="tx1"/>
            </w14:solidFill>
          </w14:textFill>
        </w:rPr>
        <w:t xml:space="preserve">  </w:t>
      </w:r>
      <w:r>
        <w:rPr>
          <w:rStyle w:val="50"/>
          <w:rFonts w:hint="eastAsia" w:ascii="黑体" w:hAnsi="黑体" w:eastAsia="黑体"/>
          <w:color w:val="000000" w:themeColor="text1"/>
          <w:sz w:val="28"/>
          <w:szCs w:val="28"/>
          <w:highlight w:val="none"/>
          <w14:textFill>
            <w14:solidFill>
              <w14:schemeClr w14:val="tx1"/>
            </w14:solidFill>
          </w14:textFill>
        </w:rPr>
        <w:t>资格审查</w:t>
      </w:r>
      <w:r>
        <w:rPr>
          <w:color w:val="000000" w:themeColor="text1"/>
          <w:sz w:val="28"/>
          <w:szCs w:val="28"/>
          <w:highlight w:val="none"/>
          <w14:textFill>
            <w14:solidFill>
              <w14:schemeClr w14:val="tx1"/>
            </w14:solidFill>
          </w14:textFill>
        </w:rPr>
        <w:tab/>
      </w: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_Toc78815071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27</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7C51D6C1">
      <w:pPr>
        <w:pStyle w:val="29"/>
        <w:shd w:val="clear"/>
        <w:tabs>
          <w:tab w:val="right" w:leader="dot" w:pos="8834"/>
        </w:tabs>
        <w:rPr>
          <w:rFonts w:ascii="Calibri" w:hAnsi="Calibri"/>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"_Toc78815072" </w:instrText>
      </w:r>
      <w:r>
        <w:rPr>
          <w:color w:val="000000" w:themeColor="text1"/>
          <w:highlight w:val="none"/>
          <w14:textFill>
            <w14:solidFill>
              <w14:schemeClr w14:val="tx1"/>
            </w14:solidFill>
          </w14:textFill>
        </w:rPr>
        <w:fldChar w:fldCharType="separate"/>
      </w:r>
      <w:r>
        <w:rPr>
          <w:rStyle w:val="50"/>
          <w:rFonts w:hint="eastAsia" w:ascii="黑体" w:hAnsi="黑体" w:eastAsia="黑体"/>
          <w:color w:val="000000" w:themeColor="text1"/>
          <w:sz w:val="28"/>
          <w:szCs w:val="28"/>
          <w:highlight w:val="none"/>
          <w14:textFill>
            <w14:solidFill>
              <w14:schemeClr w14:val="tx1"/>
            </w14:solidFill>
          </w14:textFill>
        </w:rPr>
        <w:t>第四章</w:t>
      </w:r>
      <w:r>
        <w:rPr>
          <w:rStyle w:val="50"/>
          <w:rFonts w:hint="eastAsia" w:ascii="黑体" w:hAnsi="黑体" w:eastAsia="黑体"/>
          <w:color w:val="000000" w:themeColor="text1"/>
          <w:sz w:val="28"/>
          <w:szCs w:val="28"/>
          <w:highlight w:val="none"/>
          <w:lang w:val="en-US" w:eastAsia="zh-CN"/>
          <w14:textFill>
            <w14:solidFill>
              <w14:schemeClr w14:val="tx1"/>
            </w14:solidFill>
          </w14:textFill>
        </w:rPr>
        <w:t xml:space="preserve">  </w:t>
      </w:r>
      <w:r>
        <w:rPr>
          <w:rStyle w:val="50"/>
          <w:rFonts w:hint="eastAsia" w:ascii="黑体" w:hAnsi="黑体" w:eastAsia="黑体"/>
          <w:color w:val="000000" w:themeColor="text1"/>
          <w:sz w:val="28"/>
          <w:szCs w:val="28"/>
          <w:highlight w:val="none"/>
          <w14:textFill>
            <w14:solidFill>
              <w14:schemeClr w14:val="tx1"/>
            </w14:solidFill>
          </w14:textFill>
        </w:rPr>
        <w:t>评标方法及标准（综合评分法）</w:t>
      </w:r>
      <w:r>
        <w:rPr>
          <w:color w:val="000000" w:themeColor="text1"/>
          <w:sz w:val="28"/>
          <w:szCs w:val="28"/>
          <w:highlight w:val="none"/>
          <w14:textFill>
            <w14:solidFill>
              <w14:schemeClr w14:val="tx1"/>
            </w14:solidFill>
          </w14:textFill>
        </w:rPr>
        <w:tab/>
      </w: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_Toc78815072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31</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367C9F37">
      <w:pPr>
        <w:pStyle w:val="29"/>
        <w:shd w:val="clear"/>
        <w:tabs>
          <w:tab w:val="right" w:leader="dot" w:pos="8834"/>
        </w:tabs>
        <w:rPr>
          <w:rFonts w:ascii="Calibri" w:hAnsi="Calibri"/>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"_Toc78815073" </w:instrText>
      </w:r>
      <w:r>
        <w:rPr>
          <w:color w:val="000000" w:themeColor="text1"/>
          <w:highlight w:val="none"/>
          <w14:textFill>
            <w14:solidFill>
              <w14:schemeClr w14:val="tx1"/>
            </w14:solidFill>
          </w14:textFill>
        </w:rPr>
        <w:fldChar w:fldCharType="separate"/>
      </w:r>
      <w:r>
        <w:rPr>
          <w:rStyle w:val="50"/>
          <w:rFonts w:hint="eastAsia" w:ascii="黑体" w:hAnsi="黑体" w:eastAsia="黑体"/>
          <w:color w:val="000000" w:themeColor="text1"/>
          <w:sz w:val="28"/>
          <w:szCs w:val="28"/>
          <w:highlight w:val="none"/>
          <w14:textFill>
            <w14:solidFill>
              <w14:schemeClr w14:val="tx1"/>
            </w14:solidFill>
          </w14:textFill>
        </w:rPr>
        <w:t>第五章</w:t>
      </w:r>
      <w:r>
        <w:rPr>
          <w:rStyle w:val="50"/>
          <w:rFonts w:hint="eastAsia" w:ascii="黑体" w:hAnsi="黑体" w:eastAsia="黑体"/>
          <w:color w:val="000000" w:themeColor="text1"/>
          <w:sz w:val="28"/>
          <w:szCs w:val="28"/>
          <w:highlight w:val="none"/>
          <w:lang w:val="en-US" w:eastAsia="zh-CN"/>
          <w14:textFill>
            <w14:solidFill>
              <w14:schemeClr w14:val="tx1"/>
            </w14:solidFill>
          </w14:textFill>
        </w:rPr>
        <w:t xml:space="preserve">  </w:t>
      </w:r>
      <w:r>
        <w:rPr>
          <w:rStyle w:val="50"/>
          <w:rFonts w:hint="eastAsia" w:ascii="黑体" w:hAnsi="黑体" w:eastAsia="黑体"/>
          <w:color w:val="000000" w:themeColor="text1"/>
          <w:sz w:val="28"/>
          <w:szCs w:val="28"/>
          <w:highlight w:val="none"/>
          <w14:textFill>
            <w14:solidFill>
              <w14:schemeClr w14:val="tx1"/>
            </w14:solidFill>
          </w14:textFill>
        </w:rPr>
        <w:t>采购需求</w:t>
      </w:r>
      <w:r>
        <w:rPr>
          <w:color w:val="000000" w:themeColor="text1"/>
          <w:sz w:val="28"/>
          <w:szCs w:val="28"/>
          <w:highlight w:val="none"/>
          <w14:textFill>
            <w14:solidFill>
              <w14:schemeClr w14:val="tx1"/>
            </w14:solidFill>
          </w14:textFill>
        </w:rPr>
        <w:tab/>
      </w: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_Toc78815073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42</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342860ED">
      <w:pPr>
        <w:pStyle w:val="29"/>
        <w:shd w:val="clear"/>
        <w:tabs>
          <w:tab w:val="right" w:leader="dot" w:pos="8834"/>
        </w:tabs>
        <w:rPr>
          <w:rFonts w:ascii="Calibri" w:hAnsi="Calibri"/>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"_Toc78815074" </w:instrText>
      </w:r>
      <w:r>
        <w:rPr>
          <w:color w:val="000000" w:themeColor="text1"/>
          <w:highlight w:val="none"/>
          <w14:textFill>
            <w14:solidFill>
              <w14:schemeClr w14:val="tx1"/>
            </w14:solidFill>
          </w14:textFill>
        </w:rPr>
        <w:fldChar w:fldCharType="separate"/>
      </w:r>
      <w:r>
        <w:rPr>
          <w:rStyle w:val="50"/>
          <w:rFonts w:hint="eastAsia" w:ascii="黑体" w:hAnsi="黑体" w:eastAsia="黑体"/>
          <w:color w:val="000000" w:themeColor="text1"/>
          <w:sz w:val="28"/>
          <w:szCs w:val="28"/>
          <w:highlight w:val="none"/>
          <w14:textFill>
            <w14:solidFill>
              <w14:schemeClr w14:val="tx1"/>
            </w14:solidFill>
          </w14:textFill>
        </w:rPr>
        <w:t>第六章</w:t>
      </w:r>
      <w:r>
        <w:rPr>
          <w:rStyle w:val="50"/>
          <w:rFonts w:hint="eastAsia" w:ascii="黑体" w:hAnsi="黑体" w:eastAsia="黑体"/>
          <w:color w:val="000000" w:themeColor="text1"/>
          <w:sz w:val="28"/>
          <w:szCs w:val="28"/>
          <w:highlight w:val="none"/>
          <w:lang w:val="en-US" w:eastAsia="zh-CN"/>
          <w14:textFill>
            <w14:solidFill>
              <w14:schemeClr w14:val="tx1"/>
            </w14:solidFill>
          </w14:textFill>
        </w:rPr>
        <w:t xml:space="preserve">  </w:t>
      </w:r>
      <w:r>
        <w:rPr>
          <w:rStyle w:val="50"/>
          <w:rFonts w:hint="eastAsia" w:ascii="黑体" w:hAnsi="黑体" w:eastAsia="黑体"/>
          <w:color w:val="000000" w:themeColor="text1"/>
          <w:sz w:val="28"/>
          <w:szCs w:val="28"/>
          <w:highlight w:val="none"/>
          <w14:textFill>
            <w14:solidFill>
              <w14:schemeClr w14:val="tx1"/>
            </w14:solidFill>
          </w14:textFill>
        </w:rPr>
        <w:t>政府采购合同</w:t>
      </w:r>
      <w:r>
        <w:rPr>
          <w:color w:val="000000" w:themeColor="text1"/>
          <w:sz w:val="28"/>
          <w:szCs w:val="28"/>
          <w:highlight w:val="none"/>
          <w14:textFill>
            <w14:solidFill>
              <w14:schemeClr w14:val="tx1"/>
            </w14:solidFill>
          </w14:textFill>
        </w:rPr>
        <w:tab/>
      </w:r>
      <w:r>
        <w:rPr>
          <w:rFonts w:hint="eastAsia"/>
          <w:color w:val="000000" w:themeColor="text1"/>
          <w:sz w:val="28"/>
          <w:szCs w:val="28"/>
          <w:highlight w:val="none"/>
          <w14:textFill>
            <w14:solidFill>
              <w14:schemeClr w14:val="tx1"/>
            </w14:solidFill>
          </w14:textFill>
        </w:rPr>
        <w:t>4</w:t>
      </w:r>
      <w:r>
        <w:rPr>
          <w:rFonts w:hint="eastAsia"/>
          <w:color w:val="000000" w:themeColor="text1"/>
          <w:sz w:val="28"/>
          <w:szCs w:val="28"/>
          <w:highlight w:val="none"/>
          <w14:textFill>
            <w14:solidFill>
              <w14:schemeClr w14:val="tx1"/>
            </w14:solidFill>
          </w14:textFill>
        </w:rPr>
        <w:fldChar w:fldCharType="end"/>
      </w:r>
      <w:r>
        <w:rPr>
          <w:rFonts w:hint="eastAsia"/>
          <w:color w:val="000000" w:themeColor="text1"/>
          <w:sz w:val="28"/>
          <w:szCs w:val="28"/>
          <w:highlight w:val="none"/>
          <w14:textFill>
            <w14:solidFill>
              <w14:schemeClr w14:val="tx1"/>
            </w14:solidFill>
          </w14:textFill>
        </w:rPr>
        <w:t>2</w:t>
      </w:r>
    </w:p>
    <w:p w14:paraId="018060FE">
      <w:pPr>
        <w:pStyle w:val="29"/>
        <w:shd w:val="clear"/>
        <w:tabs>
          <w:tab w:val="right" w:leader="dot" w:pos="8834"/>
        </w:tabs>
        <w:rPr>
          <w:rFonts w:ascii="Calibri" w:hAnsi="Calibri"/>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"_Toc78815075" </w:instrText>
      </w:r>
      <w:r>
        <w:rPr>
          <w:color w:val="000000" w:themeColor="text1"/>
          <w:highlight w:val="none"/>
          <w14:textFill>
            <w14:solidFill>
              <w14:schemeClr w14:val="tx1"/>
            </w14:solidFill>
          </w14:textFill>
        </w:rPr>
        <w:fldChar w:fldCharType="separate"/>
      </w:r>
      <w:r>
        <w:rPr>
          <w:rStyle w:val="50"/>
          <w:rFonts w:hint="eastAsia" w:ascii="黑体" w:hAnsi="黑体" w:eastAsia="黑体"/>
          <w:color w:val="000000" w:themeColor="text1"/>
          <w:sz w:val="28"/>
          <w:szCs w:val="28"/>
          <w:highlight w:val="none"/>
          <w14:textFill>
            <w14:solidFill>
              <w14:schemeClr w14:val="tx1"/>
            </w14:solidFill>
          </w14:textFill>
        </w:rPr>
        <w:t>第七章</w:t>
      </w:r>
      <w:r>
        <w:rPr>
          <w:rStyle w:val="50"/>
          <w:rFonts w:hint="eastAsia" w:ascii="黑体" w:hAnsi="黑体" w:eastAsia="黑体"/>
          <w:color w:val="000000" w:themeColor="text1"/>
          <w:sz w:val="28"/>
          <w:szCs w:val="28"/>
          <w:highlight w:val="none"/>
          <w:lang w:val="en-US" w:eastAsia="zh-CN"/>
          <w14:textFill>
            <w14:solidFill>
              <w14:schemeClr w14:val="tx1"/>
            </w14:solidFill>
          </w14:textFill>
        </w:rPr>
        <w:t xml:space="preserve">  </w:t>
      </w:r>
      <w:r>
        <w:rPr>
          <w:rStyle w:val="50"/>
          <w:rFonts w:hint="eastAsia" w:ascii="黑体" w:hAnsi="黑体" w:eastAsia="黑体"/>
          <w:color w:val="000000" w:themeColor="text1"/>
          <w:sz w:val="28"/>
          <w:szCs w:val="28"/>
          <w:highlight w:val="none"/>
          <w14:textFill>
            <w14:solidFill>
              <w14:schemeClr w14:val="tx1"/>
            </w14:solidFill>
          </w14:textFill>
        </w:rPr>
        <w:t>投标文件的组成</w:t>
      </w:r>
      <w:r>
        <w:rPr>
          <w:color w:val="000000" w:themeColor="text1"/>
          <w:sz w:val="28"/>
          <w:szCs w:val="28"/>
          <w:highlight w:val="none"/>
          <w14:textFill>
            <w14:solidFill>
              <w14:schemeClr w14:val="tx1"/>
            </w14:solidFill>
          </w14:textFill>
        </w:rPr>
        <w:tab/>
      </w: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_Toc78815075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86</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1C1FE940">
      <w:pPr>
        <w:shd w:val="clear"/>
        <w:tabs>
          <w:tab w:val="left" w:pos="2147"/>
        </w:tabs>
        <w:rPr>
          <w:rFonts w:hint="eastAsia" w:eastAsia="宋体"/>
          <w:color w:val="000000" w:themeColor="text1"/>
          <w:highlight w:val="none"/>
          <w:lang w:eastAsia="zh-CN"/>
          <w14:textFill>
            <w14:solidFill>
              <w14:schemeClr w14:val="tx1"/>
            </w14:solidFill>
          </w14:textFill>
        </w:rPr>
      </w:pPr>
      <w:r>
        <w:rPr>
          <w:color w:val="000000" w:themeColor="text1"/>
          <w:sz w:val="28"/>
          <w:szCs w:val="28"/>
          <w:highlight w:val="none"/>
          <w14:textFill>
            <w14:solidFill>
              <w14:schemeClr w14:val="tx1"/>
            </w14:solidFill>
          </w14:textFill>
        </w:rPr>
        <w:fldChar w:fldCharType="end"/>
      </w:r>
      <w:r>
        <w:rPr>
          <w:rFonts w:hint="eastAsia"/>
          <w:color w:val="000000" w:themeColor="text1"/>
          <w:sz w:val="28"/>
          <w:szCs w:val="28"/>
          <w:highlight w:val="none"/>
          <w:lang w:eastAsia="zh-CN"/>
          <w14:textFill>
            <w14:solidFill>
              <w14:schemeClr w14:val="tx1"/>
            </w14:solidFill>
          </w14:textFill>
        </w:rPr>
        <w:tab/>
      </w:r>
    </w:p>
    <w:p w14:paraId="1D4BE3A0">
      <w:pPr>
        <w:shd w:val="clear"/>
        <w:adjustRightInd w:val="0"/>
        <w:snapToGrid w:val="0"/>
        <w:spacing w:line="360" w:lineRule="auto"/>
        <w:ind w:firstLine="420" w:firstLineChars="200"/>
        <w:jc w:val="center"/>
        <w:rPr>
          <w:rFonts w:ascii="宋体" w:hAnsi="宋体"/>
          <w:bCs/>
          <w:color w:val="000000" w:themeColor="text1"/>
          <w:szCs w:val="21"/>
          <w:highlight w:val="none"/>
          <w14:textFill>
            <w14:solidFill>
              <w14:schemeClr w14:val="tx1"/>
            </w14:solidFill>
          </w14:textFill>
        </w:rPr>
      </w:pPr>
      <w:bookmarkStart w:id="0" w:name="_Toc21000471"/>
      <w:bookmarkStart w:id="1" w:name="_Toc20988241"/>
      <w:bookmarkStart w:id="2" w:name="_Toc21001314"/>
      <w:bookmarkStart w:id="3" w:name="_Toc34720698"/>
      <w:bookmarkStart w:id="4" w:name="_Toc20642243"/>
      <w:bookmarkStart w:id="5" w:name="_Toc35421027"/>
      <w:bookmarkStart w:id="6" w:name="_Toc20816073"/>
      <w:bookmarkStart w:id="7" w:name="_Toc53472201"/>
      <w:r>
        <w:rPr>
          <w:rFonts w:ascii="宋体" w:hAnsi="宋体"/>
          <w:bCs/>
          <w:color w:val="000000" w:themeColor="text1"/>
          <w:szCs w:val="21"/>
          <w:highlight w:val="none"/>
          <w14:textFill>
            <w14:solidFill>
              <w14:schemeClr w14:val="tx1"/>
            </w14:solidFill>
          </w14:textFill>
        </w:rPr>
        <w:br w:type="page"/>
      </w:r>
    </w:p>
    <w:p w14:paraId="371F3716">
      <w:pPr>
        <w:pStyle w:val="4"/>
        <w:shd w:val="clear"/>
        <w:rPr>
          <w:rFonts w:ascii="黑体" w:hAnsi="黑体" w:eastAsia="黑体"/>
          <w:color w:val="000000" w:themeColor="text1"/>
          <w:sz w:val="32"/>
          <w:szCs w:val="32"/>
          <w:highlight w:val="none"/>
          <w14:textFill>
            <w14:solidFill>
              <w14:schemeClr w14:val="tx1"/>
            </w14:solidFill>
          </w14:textFill>
        </w:rPr>
      </w:pPr>
      <w:bookmarkStart w:id="8" w:name="_Toc78815069"/>
      <w:r>
        <w:rPr>
          <w:rFonts w:hint="eastAsia" w:ascii="黑体" w:hAnsi="黑体" w:eastAsia="黑体"/>
          <w:color w:val="000000" w:themeColor="text1"/>
          <w:sz w:val="32"/>
          <w:szCs w:val="32"/>
          <w:highlight w:val="none"/>
          <w14:textFill>
            <w14:solidFill>
              <w14:schemeClr w14:val="tx1"/>
            </w14:solidFill>
          </w14:textFill>
        </w:rPr>
        <w:t>第一章 投标邀请</w:t>
      </w:r>
      <w:bookmarkEnd w:id="8"/>
    </w:p>
    <w:p w14:paraId="64373953">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岳阳市君山区人民医院</w:t>
      </w:r>
      <w:r>
        <w:rPr>
          <w:rFonts w:hint="eastAsia" w:ascii="宋体" w:hAnsi="宋体" w:eastAsia="宋体" w:cs="宋体"/>
          <w:color w:val="000000" w:themeColor="text1"/>
          <w:kern w:val="0"/>
          <w:sz w:val="21"/>
          <w:szCs w:val="21"/>
          <w:highlight w:val="none"/>
          <w14:textFill>
            <w14:solidFill>
              <w14:schemeClr w14:val="tx1"/>
            </w14:solidFill>
          </w14:textFill>
        </w:rPr>
        <w:t>的</w:t>
      </w:r>
      <w:r>
        <w:rPr>
          <w:rFonts w:hint="eastAsia" w:ascii="宋体" w:hAnsi="宋体" w:cs="宋体"/>
          <w:color w:val="000000" w:themeColor="text1"/>
          <w:kern w:val="0"/>
          <w:sz w:val="21"/>
          <w:szCs w:val="21"/>
          <w:highlight w:val="none"/>
          <w:lang w:eastAsia="zh-CN"/>
          <w14:textFill>
            <w14:solidFill>
              <w14:schemeClr w14:val="tx1"/>
            </w14:solidFill>
          </w14:textFill>
        </w:rPr>
        <w:t>岳阳市君山区人民医院全自动凝血分析仪等设备采购项目</w:t>
      </w:r>
      <w:r>
        <w:rPr>
          <w:rFonts w:hint="eastAsia" w:ascii="宋体" w:hAnsi="宋体" w:eastAsia="宋体" w:cs="宋体"/>
          <w:color w:val="000000" w:themeColor="text1"/>
          <w:kern w:val="0"/>
          <w:sz w:val="21"/>
          <w:szCs w:val="21"/>
          <w:highlight w:val="none"/>
          <w14:textFill>
            <w14:solidFill>
              <w14:schemeClr w14:val="tx1"/>
            </w14:solidFill>
          </w14:textFill>
        </w:rPr>
        <w:t>进行公开招标采购，现邀请合格投标人参加投标。</w:t>
      </w:r>
    </w:p>
    <w:p w14:paraId="36A0FD55">
      <w:pPr>
        <w:widowControl/>
        <w:pBdr>
          <w:top w:val="single" w:color="auto" w:sz="4" w:space="1"/>
          <w:left w:val="single" w:color="auto" w:sz="4" w:space="4"/>
          <w:bottom w:val="single" w:color="auto" w:sz="4" w:space="1"/>
          <w:right w:val="single" w:color="auto" w:sz="4" w:space="4"/>
        </w:pBd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项目概况</w:t>
      </w:r>
    </w:p>
    <w:p w14:paraId="1BEF86D9">
      <w:pPr>
        <w:widowControl/>
        <w:pBdr>
          <w:top w:val="single" w:color="auto" w:sz="4" w:space="1"/>
          <w:left w:val="single" w:color="auto" w:sz="4" w:space="4"/>
          <w:bottom w:val="single" w:color="auto" w:sz="4" w:space="1"/>
          <w:right w:val="single" w:color="auto" w:sz="4" w:space="4"/>
        </w:pBd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 xml:space="preserve"> 岳阳市君山区人民医院全自动凝血分析仪等设备 </w:t>
      </w:r>
      <w:r>
        <w:rPr>
          <w:rFonts w:hint="eastAsia" w:ascii="宋体" w:hAnsi="宋体" w:eastAsia="宋体" w:cs="宋体"/>
          <w:color w:val="000000" w:themeColor="text1"/>
          <w:kern w:val="0"/>
          <w:sz w:val="21"/>
          <w:szCs w:val="21"/>
          <w:highlight w:val="none"/>
          <w14:textFill>
            <w14:solidFill>
              <w14:schemeClr w14:val="tx1"/>
            </w14:solidFill>
          </w14:textFill>
        </w:rPr>
        <w:t>采购项目的潜在供应商应在</w:t>
      </w:r>
      <w:r>
        <w:rPr>
          <w:rFonts w:hint="eastAsia" w:ascii="宋体" w:hAnsi="宋体" w:eastAsia="宋体" w:cs="宋体"/>
          <w:color w:val="000000" w:themeColor="text1"/>
          <w:kern w:val="0"/>
          <w:sz w:val="21"/>
          <w:szCs w:val="21"/>
          <w:highlight w:val="none"/>
          <w:u w:val="no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本项目实行电子交易，有意参加投标者，在</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“岳阳市公共资源交易中心电子交易平台”（http://222.242.228.197:8083/TPBidder/memberLogin）</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获取电子版招标文件</w:t>
      </w:r>
      <w:r>
        <w:rPr>
          <w:rFonts w:hint="eastAsia" w:ascii="宋体" w:hAnsi="宋体" w:eastAsia="宋体" w:cs="宋体"/>
          <w:color w:val="000000" w:themeColor="text1"/>
          <w:kern w:val="0"/>
          <w:sz w:val="21"/>
          <w:szCs w:val="21"/>
          <w:highlight w:val="none"/>
          <w14:textFill>
            <w14:solidFill>
              <w14:schemeClr w14:val="tx1"/>
            </w14:solidFill>
          </w14:textFill>
        </w:rPr>
        <w:t>）获取采购文件，并于</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2026年</w:t>
      </w:r>
      <w:r>
        <w:rPr>
          <w:rFonts w:hint="eastAsia" w:ascii="宋体" w:hAnsi="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月</w:t>
      </w:r>
      <w:r>
        <w:rPr>
          <w:rFonts w:hint="eastAsia" w:ascii="宋体" w:hAnsi="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日 09点30分</w:t>
      </w:r>
      <w:r>
        <w:rPr>
          <w:rFonts w:hint="eastAsia" w:ascii="宋体" w:hAnsi="宋体" w:eastAsia="宋体" w:cs="宋体"/>
          <w:bCs/>
          <w:color w:val="000000" w:themeColor="text1"/>
          <w:kern w:val="0"/>
          <w:sz w:val="21"/>
          <w:szCs w:val="21"/>
          <w:highlight w:val="none"/>
          <w14:textFill>
            <w14:solidFill>
              <w14:schemeClr w14:val="tx1"/>
            </w14:solidFill>
          </w14:textFill>
        </w:rPr>
        <w:t>（北京时间）前提交响应文件</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318EF21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一、采购项目基本信息</w:t>
      </w:r>
    </w:p>
    <w:p w14:paraId="53EA2FD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1、采购项目编号：CGXM2026430611000039</w:t>
      </w:r>
    </w:p>
    <w:p w14:paraId="5A3998D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kern w:val="0"/>
          <w:sz w:val="21"/>
          <w:szCs w:val="21"/>
          <w:highlight w:val="none"/>
          <w:u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2、采购项目名称</w:t>
      </w:r>
      <w:r>
        <w:rPr>
          <w:rFonts w:hint="eastAsia" w:ascii="宋体" w:hAnsi="宋体" w:eastAsia="宋体" w:cs="宋体"/>
          <w:color w:val="000000" w:themeColor="text1"/>
          <w:kern w:val="0"/>
          <w:sz w:val="21"/>
          <w:szCs w:val="21"/>
          <w:highlight w:val="none"/>
          <w:u w:val="none"/>
          <w14:textFill>
            <w14:solidFill>
              <w14:schemeClr w14:val="tx1"/>
            </w14:solidFill>
          </w14:textFill>
        </w:rPr>
        <w:t>：</w:t>
      </w:r>
      <w:r>
        <w:rPr>
          <w:rFonts w:hint="eastAsia" w:ascii="宋体" w:hAnsi="宋体" w:cs="宋体"/>
          <w:color w:val="000000" w:themeColor="text1"/>
          <w:kern w:val="0"/>
          <w:sz w:val="21"/>
          <w:szCs w:val="21"/>
          <w:highlight w:val="none"/>
          <w:u w:val="none"/>
          <w:lang w:eastAsia="zh-CN"/>
          <w14:textFill>
            <w14:solidFill>
              <w14:schemeClr w14:val="tx1"/>
            </w14:solidFill>
          </w14:textFill>
        </w:rPr>
        <w:t>岳阳市君山区人民医院全自动凝血分析仪等设备采购项目</w:t>
      </w:r>
    </w:p>
    <w:p w14:paraId="6EA8DB6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 w:val="21"/>
          <w:szCs w:val="21"/>
          <w:highlight w:val="none"/>
          <w14:textFill>
            <w14:solidFill>
              <w14:schemeClr w14:val="tx1"/>
            </w14:solidFill>
          </w14:textFill>
        </w:rPr>
        <w:t>、政府采购计划编号：(2026)430611000031-1、(2026)430611000031-2</w:t>
      </w:r>
    </w:p>
    <w:p w14:paraId="174642C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kern w:val="0"/>
          <w:sz w:val="21"/>
          <w:szCs w:val="21"/>
          <w:highlight w:val="none"/>
          <w:u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14:textFill>
            <w14:solidFill>
              <w14:schemeClr w14:val="tx1"/>
            </w14:solidFill>
          </w14:textFill>
        </w:rPr>
        <w:t>、合同履行期限：</w:t>
      </w:r>
      <w:r>
        <w:rPr>
          <w:rFonts w:hint="eastAsia" w:ascii="宋体" w:hAnsi="宋体" w:eastAsia="宋体" w:cs="宋体"/>
          <w:color w:val="000000" w:themeColor="text1"/>
          <w:kern w:val="0"/>
          <w:sz w:val="21"/>
          <w:szCs w:val="21"/>
          <w:highlight w:val="none"/>
          <w:u w:val="none"/>
          <w:lang w:eastAsia="zh-CN"/>
          <w14:textFill>
            <w14:solidFill>
              <w14:schemeClr w14:val="tx1"/>
            </w14:solidFill>
          </w14:textFill>
        </w:rPr>
        <w:t xml:space="preserve">包1： 自签订合同之日起30天内完成供货要求； 包2：自签订合同之日起30天内完成供货要求；  </w:t>
      </w:r>
    </w:p>
    <w:p w14:paraId="5F8C10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本项目</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xml:space="preserve"> 否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接受联合体投标 </w:t>
      </w:r>
      <w:r>
        <w:rPr>
          <w:rFonts w:hint="eastAsia" w:ascii="宋体" w:hAnsi="宋体" w:eastAsia="宋体" w:cs="宋体"/>
          <w:color w:val="000000" w:themeColor="text1"/>
          <w:kern w:val="0"/>
          <w:sz w:val="21"/>
          <w:szCs w:val="21"/>
          <w:highlight w:val="none"/>
          <w14:textFill>
            <w14:solidFill>
              <w14:schemeClr w14:val="tx1"/>
            </w14:solidFill>
          </w14:textFill>
        </w:rPr>
        <w:commentReference w:id="0"/>
      </w:r>
    </w:p>
    <w:p w14:paraId="576020AE">
      <w:pPr>
        <w:keepNext w:val="0"/>
        <w:keepLines w:val="0"/>
        <w:pageBreakBefore w:val="0"/>
        <w:widowControl/>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commentRangeStart w:id="1"/>
      <w:r>
        <w:rPr>
          <w:rFonts w:hint="eastAsia" w:ascii="宋体" w:hAnsi="宋体" w:eastAsia="宋体" w:cs="宋体"/>
          <w:b/>
          <w:bCs/>
          <w:color w:val="000000" w:themeColor="text1"/>
          <w:kern w:val="0"/>
          <w:sz w:val="21"/>
          <w:szCs w:val="21"/>
          <w:highlight w:val="none"/>
          <w14:textFill>
            <w14:solidFill>
              <w14:schemeClr w14:val="tx1"/>
            </w14:solidFill>
          </w14:textFill>
        </w:rPr>
        <w:t>采购需求</w:t>
      </w:r>
      <w:commentRangeEnd w:id="1"/>
      <w:r>
        <w:rPr>
          <w:rFonts w:hint="eastAsia" w:ascii="宋体" w:hAnsi="宋体" w:eastAsia="宋体" w:cs="宋体"/>
          <w:b/>
          <w:bCs/>
          <w:color w:val="000000" w:themeColor="text1"/>
          <w:kern w:val="0"/>
          <w:sz w:val="21"/>
          <w:szCs w:val="21"/>
          <w:highlight w:val="none"/>
          <w14:textFill>
            <w14:solidFill>
              <w14:schemeClr w14:val="tx1"/>
            </w14:solidFill>
          </w14:textFill>
        </w:rPr>
        <w:commentReference w:id="1"/>
      </w:r>
    </w:p>
    <w:tbl>
      <w:tblPr>
        <w:tblStyle w:val="44"/>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
        <w:gridCol w:w="1036"/>
        <w:gridCol w:w="2032"/>
        <w:gridCol w:w="2659"/>
        <w:gridCol w:w="1200"/>
        <w:gridCol w:w="1585"/>
      </w:tblGrid>
      <w:tr w14:paraId="55E3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Align w:val="center"/>
          </w:tcPr>
          <w:p w14:paraId="4FF7DC35">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t>包名称</w:t>
            </w:r>
          </w:p>
        </w:tc>
        <w:tc>
          <w:tcPr>
            <w:tcW w:w="1036" w:type="dxa"/>
            <w:vAlign w:val="center"/>
          </w:tcPr>
          <w:p w14:paraId="2EA30D08">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t>最高限价（元）</w:t>
            </w:r>
          </w:p>
        </w:tc>
        <w:tc>
          <w:tcPr>
            <w:tcW w:w="2032" w:type="dxa"/>
            <w:vAlign w:val="center"/>
          </w:tcPr>
          <w:p w14:paraId="4A73107B">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t>标的名称</w:t>
            </w:r>
          </w:p>
        </w:tc>
        <w:tc>
          <w:tcPr>
            <w:tcW w:w="2659" w:type="dxa"/>
            <w:vAlign w:val="center"/>
          </w:tcPr>
          <w:p w14:paraId="661D6B7F">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t>简要技术需求或服务要求</w:t>
            </w:r>
          </w:p>
        </w:tc>
        <w:tc>
          <w:tcPr>
            <w:tcW w:w="1200" w:type="dxa"/>
            <w:vAlign w:val="center"/>
          </w:tcPr>
          <w:p w14:paraId="3F4B6D60">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t>数量</w:t>
            </w:r>
          </w:p>
        </w:tc>
        <w:tc>
          <w:tcPr>
            <w:tcW w:w="1585" w:type="dxa"/>
            <w:vAlign w:val="center"/>
          </w:tcPr>
          <w:p w14:paraId="79085A5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vertAlign w:val="baseline"/>
                <w:lang w:val="en-US" w:eastAsia="zh-CN"/>
                <w14:textFill>
                  <w14:solidFill>
                    <w14:schemeClr w14:val="tx1"/>
                  </w14:solidFill>
                </w14:textFill>
              </w:rPr>
              <w:t>预算金额（元）</w:t>
            </w:r>
          </w:p>
        </w:tc>
      </w:tr>
      <w:tr w14:paraId="11DA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restart"/>
            <w:vAlign w:val="center"/>
          </w:tcPr>
          <w:p w14:paraId="1C1A0A7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包1</w:t>
            </w:r>
          </w:p>
        </w:tc>
        <w:tc>
          <w:tcPr>
            <w:tcW w:w="1036" w:type="dxa"/>
            <w:vMerge w:val="restart"/>
            <w:vAlign w:val="center"/>
          </w:tcPr>
          <w:p w14:paraId="2F93E52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242400.00</w:t>
            </w:r>
          </w:p>
        </w:tc>
        <w:tc>
          <w:tcPr>
            <w:tcW w:w="2032" w:type="dxa"/>
            <w:vAlign w:val="center"/>
          </w:tcPr>
          <w:p w14:paraId="7507DD0A">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全自动凝血分析仪</w:t>
            </w:r>
          </w:p>
        </w:tc>
        <w:tc>
          <w:tcPr>
            <w:tcW w:w="2659" w:type="dxa"/>
            <w:vAlign w:val="center"/>
          </w:tcPr>
          <w:p w14:paraId="1319E5B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全自动凝血分析仪技术参数</w:t>
            </w:r>
          </w:p>
        </w:tc>
        <w:tc>
          <w:tcPr>
            <w:tcW w:w="1200" w:type="dxa"/>
            <w:shd w:val="clear" w:color="auto" w:fill="auto"/>
            <w:vAlign w:val="center"/>
          </w:tcPr>
          <w:p w14:paraId="0843ACB3">
            <w:pPr>
              <w:pStyle w:val="22"/>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585" w:type="dxa"/>
            <w:vMerge w:val="restart"/>
            <w:vAlign w:val="center"/>
          </w:tcPr>
          <w:p w14:paraId="0058A295">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kern w:val="0"/>
                <w:sz w:val="21"/>
                <w:szCs w:val="21"/>
                <w:highlight w:val="none"/>
                <w:vertAlign w:val="baseline"/>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242400.00</w:t>
            </w:r>
          </w:p>
        </w:tc>
      </w:tr>
      <w:tr w14:paraId="328D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5F3CDCAC">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0A4500AB">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1D6F7AE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全自动血沉仪</w:t>
            </w:r>
          </w:p>
        </w:tc>
        <w:tc>
          <w:tcPr>
            <w:tcW w:w="2659" w:type="dxa"/>
            <w:vAlign w:val="center"/>
          </w:tcPr>
          <w:p w14:paraId="69E9A12B">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全自动血沉仪技术参数</w:t>
            </w:r>
          </w:p>
        </w:tc>
        <w:tc>
          <w:tcPr>
            <w:tcW w:w="1200" w:type="dxa"/>
            <w:shd w:val="clear" w:color="auto" w:fill="auto"/>
            <w:vAlign w:val="center"/>
          </w:tcPr>
          <w:p w14:paraId="7EEB9E82">
            <w:pPr>
              <w:pStyle w:val="22"/>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585" w:type="dxa"/>
            <w:vMerge w:val="continue"/>
            <w:vAlign w:val="center"/>
          </w:tcPr>
          <w:p w14:paraId="66FDC85D">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3146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4FF657E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74797C8A">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2AAEAC34">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全自动血气分析仪</w:t>
            </w:r>
          </w:p>
        </w:tc>
        <w:tc>
          <w:tcPr>
            <w:tcW w:w="2659" w:type="dxa"/>
            <w:vAlign w:val="center"/>
          </w:tcPr>
          <w:p w14:paraId="11607930">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全自动血气分析仪技术参数</w:t>
            </w:r>
          </w:p>
        </w:tc>
        <w:tc>
          <w:tcPr>
            <w:tcW w:w="1200" w:type="dxa"/>
            <w:shd w:val="clear" w:color="auto" w:fill="auto"/>
            <w:vAlign w:val="center"/>
          </w:tcPr>
          <w:p w14:paraId="19310CFF">
            <w:pPr>
              <w:pStyle w:val="22"/>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585" w:type="dxa"/>
            <w:vMerge w:val="continue"/>
            <w:vAlign w:val="center"/>
          </w:tcPr>
          <w:p w14:paraId="3B299604">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1BE7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1AC6C33D">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43EE2844">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1169DE7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全自动血细胞分析仪</w:t>
            </w:r>
          </w:p>
        </w:tc>
        <w:tc>
          <w:tcPr>
            <w:tcW w:w="2659" w:type="dxa"/>
            <w:vAlign w:val="center"/>
          </w:tcPr>
          <w:p w14:paraId="22F1B97C">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全自动血细胞分析仪技术参数</w:t>
            </w:r>
          </w:p>
        </w:tc>
        <w:tc>
          <w:tcPr>
            <w:tcW w:w="1200" w:type="dxa"/>
            <w:shd w:val="clear" w:color="auto" w:fill="auto"/>
            <w:vAlign w:val="center"/>
          </w:tcPr>
          <w:p w14:paraId="59DF90BF">
            <w:pPr>
              <w:pStyle w:val="22"/>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585" w:type="dxa"/>
            <w:vMerge w:val="continue"/>
            <w:vAlign w:val="center"/>
          </w:tcPr>
          <w:p w14:paraId="525FE96C">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6C79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32879E75">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77755D3F">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59BF9F5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糖化血红蛋白仪</w:t>
            </w:r>
          </w:p>
        </w:tc>
        <w:tc>
          <w:tcPr>
            <w:tcW w:w="2659" w:type="dxa"/>
            <w:vAlign w:val="center"/>
          </w:tcPr>
          <w:p w14:paraId="2C01ACF7">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糖化血红蛋白仪技术参数</w:t>
            </w:r>
          </w:p>
        </w:tc>
        <w:tc>
          <w:tcPr>
            <w:tcW w:w="1200" w:type="dxa"/>
            <w:shd w:val="clear" w:color="auto" w:fill="auto"/>
            <w:vAlign w:val="center"/>
          </w:tcPr>
          <w:p w14:paraId="4BA2BD1B">
            <w:pPr>
              <w:pStyle w:val="22"/>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585" w:type="dxa"/>
            <w:vMerge w:val="continue"/>
            <w:vAlign w:val="center"/>
          </w:tcPr>
          <w:p w14:paraId="14C268EF">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31A5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0C4F547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73C51E0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0606987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核酸检测分析仪</w:t>
            </w:r>
          </w:p>
        </w:tc>
        <w:tc>
          <w:tcPr>
            <w:tcW w:w="2659" w:type="dxa"/>
            <w:vAlign w:val="center"/>
          </w:tcPr>
          <w:p w14:paraId="45312F6D">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核酸检测分析仪技术参数</w:t>
            </w:r>
          </w:p>
        </w:tc>
        <w:tc>
          <w:tcPr>
            <w:tcW w:w="1200" w:type="dxa"/>
            <w:shd w:val="clear" w:color="auto" w:fill="auto"/>
            <w:vAlign w:val="center"/>
          </w:tcPr>
          <w:p w14:paraId="0CB24B73">
            <w:pPr>
              <w:pStyle w:val="22"/>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585" w:type="dxa"/>
            <w:vMerge w:val="continue"/>
            <w:vAlign w:val="center"/>
          </w:tcPr>
          <w:p w14:paraId="5308AFFE">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0D60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restart"/>
            <w:vAlign w:val="center"/>
          </w:tcPr>
          <w:p w14:paraId="24B8DA5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包</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w:t>
            </w:r>
          </w:p>
        </w:tc>
        <w:tc>
          <w:tcPr>
            <w:tcW w:w="1036" w:type="dxa"/>
            <w:vMerge w:val="restart"/>
            <w:vAlign w:val="center"/>
          </w:tcPr>
          <w:p w14:paraId="33D845FA">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vertAlign w:val="baseline"/>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695900.00</w:t>
            </w:r>
          </w:p>
        </w:tc>
        <w:tc>
          <w:tcPr>
            <w:tcW w:w="2032" w:type="dxa"/>
            <w:vAlign w:val="center"/>
          </w:tcPr>
          <w:p w14:paraId="7F4F1068">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leftChars="0" w:right="0" w:rightChars="0" w:firstLine="0" w:firstLineChars="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细菌鉴定药敏分析仪</w:t>
            </w:r>
          </w:p>
        </w:tc>
        <w:tc>
          <w:tcPr>
            <w:tcW w:w="2659" w:type="dxa"/>
            <w:vAlign w:val="center"/>
          </w:tcPr>
          <w:p w14:paraId="13A2EA4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leftChars="0" w:right="0" w:rightChars="0" w:firstLine="0" w:firstLineChars="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细菌鉴定药敏分析仪技术参数</w:t>
            </w:r>
          </w:p>
        </w:tc>
        <w:tc>
          <w:tcPr>
            <w:tcW w:w="1200" w:type="dxa"/>
            <w:shd w:val="clear" w:color="auto" w:fill="auto"/>
            <w:vAlign w:val="center"/>
          </w:tcPr>
          <w:p w14:paraId="0199FFEE">
            <w:pPr>
              <w:pStyle w:val="22"/>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585" w:type="dxa"/>
            <w:vMerge w:val="restart"/>
            <w:vAlign w:val="center"/>
          </w:tcPr>
          <w:p w14:paraId="1D50315D">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kern w:val="0"/>
                <w:sz w:val="21"/>
                <w:szCs w:val="21"/>
                <w:highlight w:val="none"/>
                <w:vertAlign w:val="baseline"/>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695900.00</w:t>
            </w:r>
          </w:p>
        </w:tc>
      </w:tr>
      <w:tr w14:paraId="256C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72BD3FC7">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458AA7D5">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3754E0B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化学发光仪</w:t>
            </w:r>
          </w:p>
        </w:tc>
        <w:tc>
          <w:tcPr>
            <w:tcW w:w="2659" w:type="dxa"/>
            <w:vAlign w:val="center"/>
          </w:tcPr>
          <w:p w14:paraId="09A2EFA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化学发光仪技术参数</w:t>
            </w:r>
          </w:p>
        </w:tc>
        <w:tc>
          <w:tcPr>
            <w:tcW w:w="1200" w:type="dxa"/>
            <w:shd w:val="clear" w:color="auto" w:fill="auto"/>
            <w:vAlign w:val="center"/>
          </w:tcPr>
          <w:p w14:paraId="6BBA165D">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70D0DD8C">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0514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7EAB5D3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422973AA">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3F29F1C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免疫比浊仪</w:t>
            </w:r>
          </w:p>
        </w:tc>
        <w:tc>
          <w:tcPr>
            <w:tcW w:w="2659" w:type="dxa"/>
            <w:vAlign w:val="center"/>
          </w:tcPr>
          <w:p w14:paraId="106CF630">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免疫比浊仪技术参数</w:t>
            </w:r>
          </w:p>
        </w:tc>
        <w:tc>
          <w:tcPr>
            <w:tcW w:w="1200" w:type="dxa"/>
            <w:shd w:val="clear" w:color="auto" w:fill="auto"/>
            <w:vAlign w:val="center"/>
          </w:tcPr>
          <w:p w14:paraId="34BEDD64">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56A5BAD0">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62E2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5E2D11DC">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5C15E9D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7DA2F8E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免疫荧光分析仪</w:t>
            </w:r>
          </w:p>
        </w:tc>
        <w:tc>
          <w:tcPr>
            <w:tcW w:w="2659" w:type="dxa"/>
            <w:vAlign w:val="center"/>
          </w:tcPr>
          <w:p w14:paraId="43439CF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免疫荧光分析仪技术参数</w:t>
            </w:r>
          </w:p>
        </w:tc>
        <w:tc>
          <w:tcPr>
            <w:tcW w:w="1200" w:type="dxa"/>
            <w:shd w:val="clear" w:color="auto" w:fill="auto"/>
            <w:vAlign w:val="center"/>
          </w:tcPr>
          <w:p w14:paraId="70A6929E">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639DD490">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14B7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0513DAEB">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0090FD1C">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3BBE5DF4">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血培养系统</w:t>
            </w:r>
          </w:p>
        </w:tc>
        <w:tc>
          <w:tcPr>
            <w:tcW w:w="2659" w:type="dxa"/>
            <w:vAlign w:val="center"/>
          </w:tcPr>
          <w:p w14:paraId="4372B57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血培养系统技术参数</w:t>
            </w:r>
          </w:p>
        </w:tc>
        <w:tc>
          <w:tcPr>
            <w:tcW w:w="1200" w:type="dxa"/>
            <w:shd w:val="clear" w:color="auto" w:fill="auto"/>
            <w:vAlign w:val="center"/>
          </w:tcPr>
          <w:p w14:paraId="69DCFBB7">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7D1ACFEF">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2E9D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34A1622F">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25AAD540">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7176AE5F">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普通生物显微镜</w:t>
            </w:r>
          </w:p>
        </w:tc>
        <w:tc>
          <w:tcPr>
            <w:tcW w:w="2659" w:type="dxa"/>
            <w:vAlign w:val="center"/>
          </w:tcPr>
          <w:p w14:paraId="04BDCC3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普通生物显微镜技术参数</w:t>
            </w:r>
          </w:p>
        </w:tc>
        <w:tc>
          <w:tcPr>
            <w:tcW w:w="1200" w:type="dxa"/>
            <w:shd w:val="clear" w:color="auto" w:fill="auto"/>
            <w:vAlign w:val="center"/>
          </w:tcPr>
          <w:p w14:paraId="3AA27141">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5F489A3E">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3A8C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6EE75BE4">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08DC474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3947002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生物显微镜(带摄像功能 )</w:t>
            </w:r>
          </w:p>
        </w:tc>
        <w:tc>
          <w:tcPr>
            <w:tcW w:w="2659" w:type="dxa"/>
            <w:vAlign w:val="center"/>
          </w:tcPr>
          <w:p w14:paraId="689C80B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生物显微镜(带摄像功能 )技术参数</w:t>
            </w:r>
          </w:p>
        </w:tc>
        <w:tc>
          <w:tcPr>
            <w:tcW w:w="1200" w:type="dxa"/>
            <w:shd w:val="clear" w:color="auto" w:fill="auto"/>
            <w:vAlign w:val="center"/>
          </w:tcPr>
          <w:p w14:paraId="201A127B">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004EE82C">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0C0F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52F5995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4BB16ECA">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7F3DAB9D">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离心机</w:t>
            </w:r>
          </w:p>
        </w:tc>
        <w:tc>
          <w:tcPr>
            <w:tcW w:w="2659" w:type="dxa"/>
            <w:vAlign w:val="center"/>
          </w:tcPr>
          <w:p w14:paraId="4059D747">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离心机技术参数</w:t>
            </w:r>
          </w:p>
        </w:tc>
        <w:tc>
          <w:tcPr>
            <w:tcW w:w="1200" w:type="dxa"/>
            <w:shd w:val="clear" w:color="auto" w:fill="auto"/>
            <w:vAlign w:val="center"/>
          </w:tcPr>
          <w:p w14:paraId="5F4C797B">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3台</w:t>
            </w:r>
          </w:p>
        </w:tc>
        <w:tc>
          <w:tcPr>
            <w:tcW w:w="1585" w:type="dxa"/>
            <w:vMerge w:val="continue"/>
            <w:vAlign w:val="center"/>
          </w:tcPr>
          <w:p w14:paraId="6E0B5D98">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6377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02B993F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6A8146D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18E5977C">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体液离心机</w:t>
            </w:r>
          </w:p>
        </w:tc>
        <w:tc>
          <w:tcPr>
            <w:tcW w:w="2659" w:type="dxa"/>
            <w:vAlign w:val="center"/>
          </w:tcPr>
          <w:p w14:paraId="4BDE7DE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体液离心机技术参数</w:t>
            </w:r>
          </w:p>
        </w:tc>
        <w:tc>
          <w:tcPr>
            <w:tcW w:w="1200" w:type="dxa"/>
            <w:shd w:val="clear" w:color="auto" w:fill="auto"/>
            <w:vAlign w:val="center"/>
          </w:tcPr>
          <w:p w14:paraId="189BA638">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4E6D7224">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007E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53E0727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6D293CD8">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0C9C334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血型/血清学专用离心机</w:t>
            </w:r>
          </w:p>
        </w:tc>
        <w:tc>
          <w:tcPr>
            <w:tcW w:w="2659" w:type="dxa"/>
            <w:vAlign w:val="center"/>
          </w:tcPr>
          <w:p w14:paraId="5D7C9DD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血型/血清学专用离心机技术参数</w:t>
            </w:r>
          </w:p>
        </w:tc>
        <w:tc>
          <w:tcPr>
            <w:tcW w:w="1200" w:type="dxa"/>
            <w:shd w:val="clear" w:color="auto" w:fill="auto"/>
            <w:vAlign w:val="center"/>
          </w:tcPr>
          <w:p w14:paraId="6C52F007">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023BDE53">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2F8A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3DB4DF2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5B2F60D5">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0D41DF35">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融浆机</w:t>
            </w:r>
          </w:p>
        </w:tc>
        <w:tc>
          <w:tcPr>
            <w:tcW w:w="2659" w:type="dxa"/>
            <w:vAlign w:val="center"/>
          </w:tcPr>
          <w:p w14:paraId="6B973E2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融浆机技术参数</w:t>
            </w:r>
          </w:p>
        </w:tc>
        <w:tc>
          <w:tcPr>
            <w:tcW w:w="1200" w:type="dxa"/>
            <w:shd w:val="clear" w:color="auto" w:fill="auto"/>
            <w:vAlign w:val="center"/>
          </w:tcPr>
          <w:p w14:paraId="3EA869B1">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3F4C1201">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4C2E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2341F637">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10758D7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0495427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生物安全柜(单人)</w:t>
            </w:r>
          </w:p>
        </w:tc>
        <w:tc>
          <w:tcPr>
            <w:tcW w:w="2659" w:type="dxa"/>
            <w:vAlign w:val="center"/>
          </w:tcPr>
          <w:p w14:paraId="2E9191B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生物安全柜(单人)技术参数</w:t>
            </w:r>
          </w:p>
        </w:tc>
        <w:tc>
          <w:tcPr>
            <w:tcW w:w="1200" w:type="dxa"/>
            <w:shd w:val="clear" w:color="auto" w:fill="auto"/>
            <w:vAlign w:val="center"/>
          </w:tcPr>
          <w:p w14:paraId="469575BD">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2台</w:t>
            </w:r>
          </w:p>
        </w:tc>
        <w:tc>
          <w:tcPr>
            <w:tcW w:w="1585" w:type="dxa"/>
            <w:vMerge w:val="continue"/>
            <w:vAlign w:val="center"/>
          </w:tcPr>
          <w:p w14:paraId="684D6951">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313C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3417929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60872388">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10451FA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生物安全柜(双人)</w:t>
            </w:r>
          </w:p>
        </w:tc>
        <w:tc>
          <w:tcPr>
            <w:tcW w:w="2659" w:type="dxa"/>
            <w:vAlign w:val="center"/>
          </w:tcPr>
          <w:p w14:paraId="0A50623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生物安全柜(双人)技术参数</w:t>
            </w:r>
          </w:p>
        </w:tc>
        <w:tc>
          <w:tcPr>
            <w:tcW w:w="1200" w:type="dxa"/>
            <w:shd w:val="clear" w:color="auto" w:fill="auto"/>
            <w:vAlign w:val="center"/>
          </w:tcPr>
          <w:p w14:paraId="61BB9598">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73B35FA4">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0B0E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7CEB54DD">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6B839A2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7C2183DD">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通风柜</w:t>
            </w:r>
          </w:p>
        </w:tc>
        <w:tc>
          <w:tcPr>
            <w:tcW w:w="2659" w:type="dxa"/>
            <w:vAlign w:val="center"/>
          </w:tcPr>
          <w:p w14:paraId="099D76D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通风柜技术参数</w:t>
            </w:r>
          </w:p>
        </w:tc>
        <w:tc>
          <w:tcPr>
            <w:tcW w:w="1200" w:type="dxa"/>
            <w:shd w:val="clear" w:color="auto" w:fill="auto"/>
            <w:vAlign w:val="center"/>
          </w:tcPr>
          <w:p w14:paraId="12535803">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3841C75B">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6F3F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4CEAFA0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311F108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3535985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血细胞保存专用冰箱</w:t>
            </w:r>
          </w:p>
        </w:tc>
        <w:tc>
          <w:tcPr>
            <w:tcW w:w="2659" w:type="dxa"/>
            <w:vAlign w:val="center"/>
          </w:tcPr>
          <w:p w14:paraId="47924EE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血细胞保存专用冰箱技术参数</w:t>
            </w:r>
          </w:p>
        </w:tc>
        <w:tc>
          <w:tcPr>
            <w:tcW w:w="1200" w:type="dxa"/>
            <w:shd w:val="clear" w:color="auto" w:fill="auto"/>
            <w:vAlign w:val="center"/>
          </w:tcPr>
          <w:p w14:paraId="05FC4C8D">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12D97326">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7A6E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06A7BAD8">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729147E9">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27788E6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冰箱(试剂存储)</w:t>
            </w:r>
          </w:p>
        </w:tc>
        <w:tc>
          <w:tcPr>
            <w:tcW w:w="2659" w:type="dxa"/>
            <w:vAlign w:val="center"/>
          </w:tcPr>
          <w:p w14:paraId="4C3B8C7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冰箱(试剂存储)技术参数</w:t>
            </w:r>
          </w:p>
        </w:tc>
        <w:tc>
          <w:tcPr>
            <w:tcW w:w="1200" w:type="dxa"/>
            <w:shd w:val="clear" w:color="auto" w:fill="auto"/>
            <w:vAlign w:val="center"/>
          </w:tcPr>
          <w:p w14:paraId="3022E8B7">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3台</w:t>
            </w:r>
          </w:p>
        </w:tc>
        <w:tc>
          <w:tcPr>
            <w:tcW w:w="1585" w:type="dxa"/>
            <w:vMerge w:val="continue"/>
            <w:vAlign w:val="center"/>
          </w:tcPr>
          <w:p w14:paraId="6EAB34E2">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25B6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70253FC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0006EB3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6C509A9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细胞离心涂片机</w:t>
            </w:r>
          </w:p>
        </w:tc>
        <w:tc>
          <w:tcPr>
            <w:tcW w:w="2659" w:type="dxa"/>
            <w:vAlign w:val="center"/>
          </w:tcPr>
          <w:p w14:paraId="71E5B1B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细胞离心涂片机技术参数</w:t>
            </w:r>
          </w:p>
        </w:tc>
        <w:tc>
          <w:tcPr>
            <w:tcW w:w="1200" w:type="dxa"/>
            <w:shd w:val="clear" w:color="auto" w:fill="auto"/>
            <w:vAlign w:val="center"/>
          </w:tcPr>
          <w:p w14:paraId="1F15EA5F">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5BA771DB">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1D2F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182092CE">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4B8F62C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2BC65EE2">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血小板震荡保存箱</w:t>
            </w:r>
          </w:p>
        </w:tc>
        <w:tc>
          <w:tcPr>
            <w:tcW w:w="2659" w:type="dxa"/>
            <w:vAlign w:val="center"/>
          </w:tcPr>
          <w:p w14:paraId="1FB9215A">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血小板震荡保存箱技术参数</w:t>
            </w:r>
          </w:p>
        </w:tc>
        <w:tc>
          <w:tcPr>
            <w:tcW w:w="1200" w:type="dxa"/>
            <w:shd w:val="clear" w:color="auto" w:fill="auto"/>
            <w:vAlign w:val="center"/>
          </w:tcPr>
          <w:p w14:paraId="464D8F06">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707E66B6">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3D6A4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1C3D987D">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2CDF5E71">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1349A406">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图文报告系统</w:t>
            </w:r>
          </w:p>
        </w:tc>
        <w:tc>
          <w:tcPr>
            <w:tcW w:w="2659" w:type="dxa"/>
            <w:vAlign w:val="center"/>
          </w:tcPr>
          <w:p w14:paraId="4E6ED700">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图文报告系统技术参数</w:t>
            </w:r>
          </w:p>
        </w:tc>
        <w:tc>
          <w:tcPr>
            <w:tcW w:w="1200" w:type="dxa"/>
            <w:shd w:val="clear" w:color="auto" w:fill="auto"/>
            <w:vAlign w:val="center"/>
          </w:tcPr>
          <w:p w14:paraId="790C9186">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1套</w:t>
            </w:r>
          </w:p>
        </w:tc>
        <w:tc>
          <w:tcPr>
            <w:tcW w:w="1585" w:type="dxa"/>
            <w:vMerge w:val="continue"/>
            <w:vAlign w:val="center"/>
          </w:tcPr>
          <w:p w14:paraId="54B38370">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558B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 w:type="dxa"/>
            <w:vMerge w:val="continue"/>
            <w:vAlign w:val="center"/>
          </w:tcPr>
          <w:p w14:paraId="0244FBE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bidi="ar"/>
                <w14:textFill>
                  <w14:solidFill>
                    <w14:schemeClr w14:val="tx1"/>
                  </w14:solidFill>
                </w14:textFill>
              </w:rPr>
            </w:pPr>
          </w:p>
        </w:tc>
        <w:tc>
          <w:tcPr>
            <w:tcW w:w="1036" w:type="dxa"/>
            <w:vMerge w:val="continue"/>
            <w:vAlign w:val="center"/>
          </w:tcPr>
          <w:p w14:paraId="03C7D3DF">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2032" w:type="dxa"/>
            <w:vAlign w:val="center"/>
          </w:tcPr>
          <w:p w14:paraId="7E55EB9F">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液体恒温箱(≥88L)</w:t>
            </w:r>
          </w:p>
        </w:tc>
        <w:tc>
          <w:tcPr>
            <w:tcW w:w="2659" w:type="dxa"/>
            <w:vAlign w:val="center"/>
          </w:tcPr>
          <w:p w14:paraId="194E23A3">
            <w:pPr>
              <w:keepNext w:val="0"/>
              <w:keepLines w:val="0"/>
              <w:pageBreakBefore w:val="0"/>
              <w:widowControl/>
              <w:numPr>
                <w:ilvl w:val="0"/>
                <w:numId w:val="0"/>
              </w:numPr>
              <w:suppressLineNumbers w:val="0"/>
              <w:kinsoku/>
              <w:wordWrap/>
              <w:overflowPunct/>
              <w:topLinePunct w:val="0"/>
              <w:autoSpaceDE/>
              <w:autoSpaceDN/>
              <w:bidi w:val="0"/>
              <w:spacing w:beforeAutospacing="0" w:after="0" w:afterAutospacing="0" w:line="240" w:lineRule="auto"/>
              <w:ind w:left="0" w:right="0"/>
              <w:jc w:val="center"/>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液体恒温箱(≥88L)技术参数</w:t>
            </w:r>
          </w:p>
        </w:tc>
        <w:tc>
          <w:tcPr>
            <w:tcW w:w="1200" w:type="dxa"/>
            <w:shd w:val="clear" w:color="auto" w:fill="auto"/>
            <w:vAlign w:val="center"/>
          </w:tcPr>
          <w:p w14:paraId="30425D23">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585" w:type="dxa"/>
            <w:vMerge w:val="continue"/>
            <w:vAlign w:val="center"/>
          </w:tcPr>
          <w:p w14:paraId="48B9100A">
            <w:pPr>
              <w:keepNext w:val="0"/>
              <w:keepLines w:val="0"/>
              <w:pageBreakBefore w:val="0"/>
              <w:widowControl/>
              <w:shd w:val="clear"/>
              <w:kinsoku/>
              <w:wordWrap/>
              <w:overflowPunct/>
              <w:topLinePunct w:val="0"/>
              <w:autoSpaceDE/>
              <w:autoSpaceDN/>
              <w:bidi w:val="0"/>
              <w:spacing w:line="240" w:lineRule="auto"/>
              <w:ind w:lef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bl>
    <w:p w14:paraId="61E1B9A1">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kern w:val="0"/>
          <w:sz w:val="21"/>
          <w:szCs w:val="21"/>
          <w:highlight w:val="none"/>
          <w14:textFill>
            <w14:solidFill>
              <w14:schemeClr w14:val="tx1"/>
            </w14:solidFill>
          </w14:textFill>
        </w:rPr>
        <w:t>、投标人的资格要求</w:t>
      </w:r>
    </w:p>
    <w:p w14:paraId="301997D0">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commentRangeStart w:id="2"/>
      <w:r>
        <w:rPr>
          <w:rFonts w:hint="eastAsia" w:ascii="宋体" w:hAnsi="宋体" w:eastAsia="宋体" w:cs="宋体"/>
          <w:color w:val="000000" w:themeColor="text1"/>
          <w:kern w:val="0"/>
          <w:sz w:val="21"/>
          <w:szCs w:val="21"/>
          <w:highlight w:val="none"/>
          <w14:textFill>
            <w14:solidFill>
              <w14:schemeClr w14:val="tx1"/>
            </w14:solidFill>
          </w14:textFill>
        </w:rPr>
        <w:t>1、投标人的基本资格条件：</w:t>
      </w:r>
      <w:commentRangeEnd w:id="2"/>
      <w:r>
        <w:rPr>
          <w:rFonts w:hint="eastAsia" w:ascii="宋体" w:hAnsi="宋体" w:eastAsia="宋体" w:cs="宋体"/>
          <w:color w:val="000000" w:themeColor="text1"/>
          <w:kern w:val="0"/>
          <w:sz w:val="21"/>
          <w:szCs w:val="21"/>
          <w:highlight w:val="none"/>
          <w14:textFill>
            <w14:solidFill>
              <w14:schemeClr w14:val="tx1"/>
            </w14:solidFill>
          </w14:textFill>
        </w:rPr>
        <w:commentReference w:id="2"/>
      </w:r>
    </w:p>
    <w:p w14:paraId="2B9B321A">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投标人必须是在中华人民共和国境内注册登记的法人、其他组织或者自然人，且应当符合《政府采购法》第二十二条第一款的规定。</w:t>
      </w:r>
    </w:p>
    <w:p w14:paraId="57053AC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000000" w:themeColor="text1"/>
          <w:kern w:val="0"/>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（2）单位负责人为同一人或者存在直接控股、管理关系的不同投标人，不得参加同一合同项下的政府采购活动。</w:t>
      </w:r>
    </w:p>
    <w:p w14:paraId="3836B572">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000000" w:themeColor="text1"/>
          <w:kern w:val="0"/>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ab/>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（3）为本采购项目提供整体设计、规范编制或者项目管理、监理、检测等服务的，不得再参加此项目的其他采购活动。</w:t>
      </w:r>
    </w:p>
    <w:p w14:paraId="643C2648">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000000" w:themeColor="text1"/>
          <w:kern w:val="0"/>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（4）列入失信被执行人、重大税收违法失信主体名单、政府采购严重违法失信行为记录名单的，拒绝其参与政府采购活动。</w:t>
      </w:r>
    </w:p>
    <w:p w14:paraId="7CBD289F">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commentRangeStart w:id="3"/>
      <w:r>
        <w:rPr>
          <w:rFonts w:hint="eastAsia" w:ascii="宋体" w:hAnsi="宋体" w:eastAsia="宋体" w:cs="宋体"/>
          <w:color w:val="000000" w:themeColor="text1"/>
          <w:kern w:val="0"/>
          <w:sz w:val="21"/>
          <w:szCs w:val="21"/>
          <w:highlight w:val="none"/>
          <w14:textFill>
            <w14:solidFill>
              <w14:schemeClr w14:val="tx1"/>
            </w14:solidFill>
          </w14:textFill>
        </w:rPr>
        <w:t>落实政府采购政策需满足的资格要求</w:t>
      </w:r>
      <w:commentRangeEnd w:id="3"/>
      <w:r>
        <w:rPr>
          <w:rFonts w:hint="eastAsia" w:ascii="宋体" w:hAnsi="宋体" w:eastAsia="宋体" w:cs="宋体"/>
          <w:color w:val="000000" w:themeColor="text1"/>
          <w:kern w:val="0"/>
          <w:sz w:val="21"/>
          <w:szCs w:val="21"/>
          <w:highlight w:val="none"/>
          <w14:textFill>
            <w14:solidFill>
              <w14:schemeClr w14:val="tx1"/>
            </w14:solidFill>
          </w14:textFill>
        </w:rPr>
        <w:commentReference w:id="3"/>
      </w:r>
      <w:r>
        <w:rPr>
          <w:rFonts w:hint="eastAsia" w:ascii="宋体" w:hAnsi="宋体" w:eastAsia="宋体" w:cs="宋体"/>
          <w:color w:val="000000" w:themeColor="text1"/>
          <w:kern w:val="0"/>
          <w:sz w:val="21"/>
          <w:szCs w:val="21"/>
          <w:highlight w:val="none"/>
          <w14:textFill>
            <w14:solidFill>
              <w14:schemeClr w14:val="tx1"/>
            </w14:solidFill>
          </w14:textFill>
        </w:rPr>
        <w:t>：</w:t>
      </w:r>
    </w:p>
    <w:p w14:paraId="611AF0ED">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b w:val="0"/>
          <w:bCs/>
          <w:color w:val="000000" w:themeColor="text1"/>
          <w:kern w:val="0"/>
          <w:sz w:val="21"/>
          <w:szCs w:val="21"/>
          <w:highlight w:val="none"/>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包名称：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xml:space="preserve">包1 </w:t>
      </w:r>
    </w:p>
    <w:p w14:paraId="4340D0C6">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val="0"/>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i w:val="0"/>
          <w:iCs w:val="0"/>
          <w:caps w:val="0"/>
          <w:snapToGrid/>
          <w:color w:val="000000" w:themeColor="text1"/>
          <w:spacing w:val="0"/>
          <w:kern w:val="2"/>
          <w:sz w:val="24"/>
          <w:szCs w:val="24"/>
          <w:highlight w:val="none"/>
          <w:shd w:val="clear" w:fill="FFFFFF"/>
          <w:lang w:val="en-US" w:eastAsia="zh-CN" w:bidi="ar"/>
          <w14:textFill>
            <w14:solidFill>
              <w14:schemeClr w14:val="tx1"/>
            </w14:solidFill>
          </w14:textFill>
        </w:rPr>
        <w:t>□</w:t>
      </w:r>
      <w:r>
        <w:rPr>
          <w:rFonts w:hint="eastAsia" w:ascii="宋体" w:hAnsi="宋体" w:eastAsia="宋体" w:cs="宋体"/>
          <w:b w:val="0"/>
          <w:bCs/>
          <w:color w:val="000000" w:themeColor="text1"/>
          <w:kern w:val="0"/>
          <w:sz w:val="21"/>
          <w:szCs w:val="21"/>
          <w:highlight w:val="none"/>
          <w14:textFill>
            <w14:solidFill>
              <w14:schemeClr w14:val="tx1"/>
            </w14:solidFill>
          </w14:textFill>
        </w:rPr>
        <w:t>专门面向</w:t>
      </w:r>
      <w:r>
        <w:rPr>
          <w:rFonts w:hint="eastAsia" w:ascii="宋体" w:hAnsi="宋体" w:eastAsia="宋体" w:cs="宋体"/>
          <w:b w:val="0"/>
          <w:bCs/>
          <w:color w:val="000000" w:themeColor="text1"/>
          <w:kern w:val="0"/>
          <w:sz w:val="21"/>
          <w:szCs w:val="21"/>
          <w:highlight w:val="none"/>
          <w:lang w:val="en-US" w:eastAsia="zh-CN"/>
          <w14:textFill>
            <w14:solidFill>
              <w14:schemeClr w14:val="tx1"/>
            </w14:solidFill>
          </w14:textFill>
        </w:rPr>
        <w:t>中小企业（含监狱及福利性单位）</w:t>
      </w:r>
    </w:p>
    <w:p w14:paraId="6975136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包名称：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xml:space="preserve">包2 </w:t>
      </w:r>
    </w:p>
    <w:p w14:paraId="39D7D05F">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val="0"/>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i w:val="0"/>
          <w:iCs w:val="0"/>
          <w:caps w:val="0"/>
          <w:snapToGrid/>
          <w:color w:val="000000" w:themeColor="text1"/>
          <w:spacing w:val="0"/>
          <w:kern w:val="2"/>
          <w:sz w:val="24"/>
          <w:szCs w:val="24"/>
          <w:highlight w:val="none"/>
          <w:shd w:val="clear" w:fill="FFFFFF"/>
          <w:lang w:val="en-US" w:eastAsia="zh-CN" w:bidi="ar"/>
          <w14:textFill>
            <w14:solidFill>
              <w14:schemeClr w14:val="tx1"/>
            </w14:solidFill>
          </w14:textFill>
        </w:rPr>
        <w:t>□</w:t>
      </w:r>
      <w:r>
        <w:rPr>
          <w:rFonts w:hint="eastAsia" w:ascii="宋体" w:hAnsi="宋体" w:eastAsia="宋体" w:cs="宋体"/>
          <w:b w:val="0"/>
          <w:bCs/>
          <w:color w:val="000000" w:themeColor="text1"/>
          <w:kern w:val="0"/>
          <w:sz w:val="21"/>
          <w:szCs w:val="21"/>
          <w:highlight w:val="none"/>
          <w14:textFill>
            <w14:solidFill>
              <w14:schemeClr w14:val="tx1"/>
            </w14:solidFill>
          </w14:textFill>
        </w:rPr>
        <w:t>专门面向</w:t>
      </w:r>
      <w:r>
        <w:rPr>
          <w:rFonts w:hint="eastAsia" w:ascii="宋体" w:hAnsi="宋体" w:eastAsia="宋体" w:cs="宋体"/>
          <w:b w:val="0"/>
          <w:bCs/>
          <w:color w:val="000000" w:themeColor="text1"/>
          <w:kern w:val="0"/>
          <w:sz w:val="21"/>
          <w:szCs w:val="21"/>
          <w:highlight w:val="none"/>
          <w:lang w:val="en-US" w:eastAsia="zh-CN"/>
          <w14:textFill>
            <w14:solidFill>
              <w14:schemeClr w14:val="tx1"/>
            </w14:solidFill>
          </w14:textFill>
        </w:rPr>
        <w:t>中小企业（含监狱及福利性单位）</w:t>
      </w:r>
    </w:p>
    <w:p w14:paraId="3BDACBE5">
      <w:pPr>
        <w:keepNext w:val="0"/>
        <w:keepLines w:val="0"/>
        <w:pageBreakBefore w:val="0"/>
        <w:widowControl/>
        <w:numPr>
          <w:ilvl w:val="0"/>
          <w:numId w:val="2"/>
        </w:numPr>
        <w:kinsoku/>
        <w:wordWrap/>
        <w:overflowPunct/>
        <w:topLinePunct w:val="0"/>
        <w:autoSpaceDE/>
        <w:autoSpaceDN/>
        <w:bidi w:val="0"/>
        <w:spacing w:line="360" w:lineRule="auto"/>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commentRangeStart w:id="4"/>
      <w:r>
        <w:rPr>
          <w:rFonts w:hint="eastAsia" w:ascii="宋体" w:hAnsi="宋体" w:eastAsia="宋体" w:cs="宋体"/>
          <w:color w:val="000000" w:themeColor="text1"/>
          <w:kern w:val="0"/>
          <w:sz w:val="21"/>
          <w:szCs w:val="21"/>
          <w:highlight w:val="none"/>
          <w14:textFill>
            <w14:solidFill>
              <w14:schemeClr w14:val="tx1"/>
            </w14:solidFill>
          </w14:textFill>
        </w:rPr>
        <w:t>供应商特定资格条件：</w:t>
      </w:r>
      <w:commentRangeEnd w:id="4"/>
      <w:r>
        <w:rPr>
          <w:rFonts w:hint="eastAsia" w:ascii="宋体" w:hAnsi="宋体" w:eastAsia="宋体" w:cs="宋体"/>
          <w:color w:val="000000" w:themeColor="text1"/>
          <w:kern w:val="0"/>
          <w:sz w:val="21"/>
          <w:szCs w:val="21"/>
          <w:highlight w:val="none"/>
          <w14:textFill>
            <w14:solidFill>
              <w14:schemeClr w14:val="tx1"/>
            </w14:solidFill>
          </w14:textFill>
        </w:rPr>
        <w:commentReference w:id="4"/>
      </w:r>
    </w:p>
    <w:p w14:paraId="5ED16A9F">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b w:val="0"/>
          <w:bCs/>
          <w:color w:val="000000" w:themeColor="text1"/>
          <w:kern w:val="0"/>
          <w:sz w:val="21"/>
          <w:szCs w:val="21"/>
          <w:highlight w:val="none"/>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包名称：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xml:space="preserve">包1 </w:t>
      </w:r>
    </w:p>
    <w:p w14:paraId="6E36ACBA">
      <w:pPr>
        <w:keepNext w:val="0"/>
        <w:keepLines w:val="0"/>
        <w:pageBreakBefore w:val="0"/>
        <w:widowControl/>
        <w:numPr>
          <w:ilvl w:val="0"/>
          <w:numId w:val="0"/>
        </w:numPr>
        <w:kinsoku/>
        <w:wordWrap/>
        <w:overflowPunct/>
        <w:topLinePunct w:val="0"/>
        <w:autoSpaceDE/>
        <w:autoSpaceDN/>
        <w:bidi w:val="0"/>
        <w:spacing w:line="360" w:lineRule="auto"/>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特定资格条件：</w:t>
      </w:r>
      <w:r>
        <w:rPr>
          <w:rFonts w:hint="eastAsia" w:ascii="宋体" w:hAnsi="宋体" w:eastAsia="宋体" w:cs="宋体"/>
          <w:b w:val="0"/>
          <w:bCs/>
          <w:color w:val="000000" w:themeColor="text1"/>
          <w:kern w:val="0"/>
          <w:sz w:val="21"/>
          <w:szCs w:val="21"/>
          <w:highlight w:val="none"/>
          <w:lang w:val="en-US" w:eastAsia="zh-CN"/>
          <w14:textFill>
            <w14:solidFill>
              <w14:schemeClr w14:val="tx1"/>
            </w14:solidFill>
          </w14:textFill>
        </w:rPr>
        <w:t>（1）所投货物纳入医疗器械管理的，须具有相应的医疗器械经营许可证（或备案凭证）、或有效的医疗器械生产许可证（或备案凭证）、且证件在有效期内。（2）所投货物纳入医疗器械管理的，货物须具有有效的医疗器械注册证（或备案凭证）且在证件有效期内生产。</w:t>
      </w:r>
    </w:p>
    <w:p w14:paraId="656F232F">
      <w:pPr>
        <w:keepNext w:val="0"/>
        <w:keepLines w:val="0"/>
        <w:pageBreakBefore w:val="0"/>
        <w:widowControl/>
        <w:shd w:val="clear" w:color="auto"/>
        <w:kinsoku/>
        <w:wordWrap/>
        <w:overflowPunct/>
        <w:topLinePunct w:val="0"/>
        <w:autoSpaceDE/>
        <w:autoSpaceDN/>
        <w:bidi w:val="0"/>
        <w:spacing w:line="360" w:lineRule="auto"/>
        <w:ind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注：每个投标单位只允许对其中1个包进行投标，如投2个包视为无效投标单位</w:t>
      </w:r>
    </w:p>
    <w:p w14:paraId="4A0463D6">
      <w:pPr>
        <w:keepNext w:val="0"/>
        <w:keepLines w:val="0"/>
        <w:pageBreakBefore w:val="0"/>
        <w:widowControl/>
        <w:shd w:val="clear" w:color="auto"/>
        <w:kinsoku/>
        <w:wordWrap/>
        <w:overflowPunct/>
        <w:topLinePunct w:val="0"/>
        <w:autoSpaceDE/>
        <w:autoSpaceDN/>
        <w:bidi w:val="0"/>
        <w:spacing w:line="360" w:lineRule="auto"/>
        <w:ind w:firstLine="42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说明：（1）</w:t>
      </w:r>
      <w:r>
        <w:rPr>
          <w:rFonts w:hint="eastAsia" w:ascii="宋体" w:hAnsi="宋体" w:eastAsia="宋体" w:cs="宋体"/>
          <w:color w:val="000000" w:themeColor="text1"/>
          <w:sz w:val="21"/>
          <w:szCs w:val="21"/>
          <w:highlight w:val="none"/>
          <w14:textFill>
            <w14:solidFill>
              <w14:schemeClr w14:val="tx1"/>
            </w14:solidFill>
          </w14:textFill>
        </w:rPr>
        <w:t>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25499464">
      <w:pPr>
        <w:keepNext w:val="0"/>
        <w:keepLines w:val="0"/>
        <w:pageBreakBefore w:val="0"/>
        <w:shd w:val="clea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w:t>
      </w:r>
    </w:p>
    <w:p w14:paraId="6968E75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包名称：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xml:space="preserve">包2 </w:t>
      </w:r>
    </w:p>
    <w:p w14:paraId="48DE9FC3">
      <w:pPr>
        <w:keepNext w:val="0"/>
        <w:keepLines w:val="0"/>
        <w:pageBreakBefore w:val="0"/>
        <w:shd w:val="clea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特定资格条件：</w:t>
      </w:r>
      <w:r>
        <w:rPr>
          <w:rFonts w:hint="eastAsia" w:ascii="宋体" w:hAnsi="宋体" w:eastAsia="宋体" w:cs="宋体"/>
          <w:b w:val="0"/>
          <w:bCs/>
          <w:color w:val="000000" w:themeColor="text1"/>
          <w:kern w:val="0"/>
          <w:sz w:val="21"/>
          <w:szCs w:val="21"/>
          <w:highlight w:val="none"/>
          <w:lang w:val="en-US" w:eastAsia="zh-CN"/>
          <w14:textFill>
            <w14:solidFill>
              <w14:schemeClr w14:val="tx1"/>
            </w14:solidFill>
          </w14:textFill>
        </w:rPr>
        <w:t>（1）所投货物纳入医疗器械管理的，须具有相应的医疗器械经营许可证（或备案凭证）、或有效的医疗器械生产许可证（或备案凭证）、且证件在有效期内。（2）所投货物纳入医疗器械管理的，货物须具有有效的医疗器械注册证（或备案凭证）且在证件有效期内生产。</w:t>
      </w:r>
    </w:p>
    <w:p w14:paraId="79BEE92B">
      <w:pPr>
        <w:keepNext w:val="0"/>
        <w:keepLines w:val="0"/>
        <w:pageBreakBefore w:val="0"/>
        <w:widowControl/>
        <w:shd w:val="clear" w:color="auto"/>
        <w:kinsoku/>
        <w:wordWrap/>
        <w:overflowPunct/>
        <w:topLinePunct w:val="0"/>
        <w:autoSpaceDE/>
        <w:autoSpaceDN/>
        <w:bidi w:val="0"/>
        <w:spacing w:line="360" w:lineRule="auto"/>
        <w:ind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注：每个投标单位只允许对其中1个包进行投标，如投2个包视为无效投标单位</w:t>
      </w:r>
    </w:p>
    <w:p w14:paraId="18DB1127">
      <w:pPr>
        <w:keepNext w:val="0"/>
        <w:keepLines w:val="0"/>
        <w:pageBreakBefore w:val="0"/>
        <w:widowControl/>
        <w:shd w:val="clear" w:color="auto"/>
        <w:kinsoku/>
        <w:wordWrap/>
        <w:overflowPunct/>
        <w:topLinePunct w:val="0"/>
        <w:autoSpaceDE/>
        <w:autoSpaceDN/>
        <w:bidi w:val="0"/>
        <w:spacing w:line="360" w:lineRule="auto"/>
        <w:ind w:firstLine="42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说明：（1）</w:t>
      </w:r>
      <w:r>
        <w:rPr>
          <w:rFonts w:hint="eastAsia" w:ascii="宋体" w:hAnsi="宋体" w:eastAsia="宋体" w:cs="宋体"/>
          <w:color w:val="000000" w:themeColor="text1"/>
          <w:sz w:val="21"/>
          <w:szCs w:val="21"/>
          <w:highlight w:val="none"/>
          <w14:textFill>
            <w14:solidFill>
              <w14:schemeClr w14:val="tx1"/>
            </w14:solidFill>
          </w14:textFill>
        </w:rPr>
        <w:t>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64DBDC14">
      <w:pPr>
        <w:keepNext w:val="0"/>
        <w:keepLines w:val="0"/>
        <w:pageBreakBefore w:val="0"/>
        <w:shd w:val="clea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w:t>
      </w:r>
    </w:p>
    <w:p w14:paraId="7F4F4DB8">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四</w:t>
      </w:r>
      <w:r>
        <w:rPr>
          <w:rFonts w:hint="eastAsia" w:ascii="宋体" w:hAnsi="宋体" w:eastAsia="宋体" w:cs="宋体"/>
          <w:b/>
          <w:bCs/>
          <w:color w:val="000000" w:themeColor="text1"/>
          <w:kern w:val="0"/>
          <w:sz w:val="21"/>
          <w:szCs w:val="21"/>
          <w:highlight w:val="none"/>
          <w14:textFill>
            <w14:solidFill>
              <w14:schemeClr w14:val="tx1"/>
            </w14:solidFill>
          </w14:textFill>
        </w:rPr>
        <w:t>、获取招标文件的时间、期限、地点及方式</w:t>
      </w:r>
    </w:p>
    <w:p w14:paraId="12D5C5DD">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1、时间：</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2026年</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9</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月</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18</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日至2026年</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9</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月</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23</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日（提供期限自本公告发布之日起不得少于5个工作日），每天上午9:00:00 至12:00:00，下午14:00至17:00（北京时间，法定节假日除外）</w:t>
      </w:r>
    </w:p>
    <w:p w14:paraId="74050B4E">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2、地点：</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 xml:space="preserve">岳阳市公共资源交易中心电子交易平台（http://222.242.228.197:8083/TPBidder/memberLogin） </w:t>
      </w:r>
    </w:p>
    <w:p w14:paraId="419293DB">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3、方式：</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线上获取</w:t>
      </w:r>
    </w:p>
    <w:p w14:paraId="1A1E0861">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commentReference w:id="5"/>
      </w:r>
      <w:r>
        <w:rPr>
          <w:rFonts w:hint="eastAsia" w:ascii="宋体" w:hAnsi="宋体" w:eastAsia="宋体" w:cs="宋体"/>
          <w:color w:val="000000" w:themeColor="text1"/>
          <w:kern w:val="0"/>
          <w:sz w:val="21"/>
          <w:szCs w:val="21"/>
          <w:highlight w:val="none"/>
          <w14:textFill>
            <w14:solidFill>
              <w14:schemeClr w14:val="tx1"/>
            </w14:solidFill>
          </w14:textFill>
        </w:rPr>
        <w:t>4、售价：</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0</w:t>
      </w:r>
      <w:r>
        <w:rPr>
          <w:rFonts w:hint="eastAsia" w:ascii="宋体" w:hAnsi="宋体" w:eastAsia="宋体" w:cs="宋体"/>
          <w:color w:val="000000" w:themeColor="text1"/>
          <w:kern w:val="0"/>
          <w:sz w:val="21"/>
          <w:szCs w:val="21"/>
          <w:highlight w:val="none"/>
          <w14:textFill>
            <w14:solidFill>
              <w14:schemeClr w14:val="tx1"/>
            </w14:solidFill>
          </w14:textFill>
        </w:rPr>
        <w:t>元</w:t>
      </w:r>
    </w:p>
    <w:p w14:paraId="0D34298D">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五</w:t>
      </w:r>
      <w:r>
        <w:rPr>
          <w:rFonts w:hint="eastAsia" w:ascii="宋体" w:hAnsi="宋体" w:eastAsia="宋体" w:cs="宋体"/>
          <w:b/>
          <w:bCs/>
          <w:color w:val="000000" w:themeColor="text1"/>
          <w:kern w:val="0"/>
          <w:sz w:val="21"/>
          <w:szCs w:val="21"/>
          <w:highlight w:val="none"/>
          <w14:textFill>
            <w14:solidFill>
              <w14:schemeClr w14:val="tx1"/>
            </w14:solidFill>
          </w14:textFill>
        </w:rPr>
        <w:t>、提交投标文件截止时间、开标时间和地点</w:t>
      </w:r>
    </w:p>
    <w:p w14:paraId="4C67AF91">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1、提交投标文件截止时间：</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2026年</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10</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月</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10</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日 09点30分</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（北京时间）</w:t>
      </w:r>
    </w:p>
    <w:p w14:paraId="291AB6F9">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2、提交投标文件地点：</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登录“岳阳市公共资源交易中心电子交易平台”（http://222.242.228.197:8083/TPBidder/memberLogin）上传投标文件</w:t>
      </w:r>
    </w:p>
    <w:p w14:paraId="40702041">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 xml:space="preserve"> </w:t>
      </w:r>
      <w:r>
        <w:rPr>
          <w:rFonts w:hint="eastAsia" w:ascii="宋体" w:hAnsi="宋体" w:eastAsia="宋体" w:cs="宋体"/>
          <w:color w:val="000000" w:themeColor="text1"/>
          <w:kern w:val="0"/>
          <w:sz w:val="21"/>
          <w:szCs w:val="21"/>
          <w:highlight w:val="none"/>
          <w14:textFill>
            <w14:solidFill>
              <w14:schemeClr w14:val="tx1"/>
            </w14:solidFill>
          </w14:textFill>
        </w:rPr>
        <w:t>3、开标时间：</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2026年</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10</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月</w:t>
      </w:r>
      <w:r>
        <w:rPr>
          <w:rFonts w:hint="eastAsia" w:ascii="宋体" w:hAnsi="宋体" w:cs="宋体"/>
          <w:i w:val="0"/>
          <w:iCs w:val="0"/>
          <w:caps w:val="0"/>
          <w:color w:val="000000" w:themeColor="text1"/>
          <w:spacing w:val="0"/>
          <w:kern w:val="0"/>
          <w:sz w:val="21"/>
          <w:szCs w:val="21"/>
          <w:highlight w:val="none"/>
          <w:lang w:val="en-US" w:eastAsia="zh-CN" w:bidi="ar"/>
          <w14:textFill>
            <w14:solidFill>
              <w14:schemeClr w14:val="tx1"/>
            </w14:solidFill>
          </w14:textFill>
        </w:rPr>
        <w:t>10</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日 09点30分</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（北京时间）</w:t>
      </w:r>
    </w:p>
    <w:p w14:paraId="0AC281B3">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4、开标地点：</w:t>
      </w:r>
      <w:r>
        <w:rPr>
          <w:rFonts w:hint="eastAsia" w:ascii="宋体" w:hAnsi="宋体" w:eastAsia="宋体" w:cs="宋体"/>
          <w:i w:val="0"/>
          <w:iCs w:val="0"/>
          <w:caps w:val="0"/>
          <w:color w:val="000000" w:themeColor="text1"/>
          <w:spacing w:val="0"/>
          <w:kern w:val="0"/>
          <w:sz w:val="21"/>
          <w:szCs w:val="21"/>
          <w:highlight w:val="none"/>
          <w:lang w:val="en-US" w:eastAsia="zh-CN" w:bidi="ar"/>
          <w14:textFill>
            <w14:solidFill>
              <w14:schemeClr w14:val="tx1"/>
            </w14:solidFill>
          </w14:textFill>
        </w:rPr>
        <w:t xml:space="preserve"> 岳阳市公共资源交易中心(岳阳市公共资源交易中心电子交易平台)  </w:t>
      </w:r>
    </w:p>
    <w:p w14:paraId="12B8658D">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u w:val="none"/>
          <w14:textFill>
            <w14:solidFill>
              <w14:schemeClr w14:val="tx1"/>
            </w14:solidFill>
          </w14:textFill>
        </w:rPr>
      </w:pPr>
      <w:r>
        <w:rPr>
          <w:rFonts w:hint="eastAsia" w:ascii="宋体" w:hAnsi="宋体" w:eastAsia="宋体" w:cs="宋体"/>
          <w:color w:val="000000" w:themeColor="text1"/>
          <w:kern w:val="0"/>
          <w:sz w:val="21"/>
          <w:szCs w:val="21"/>
          <w:highlight w:val="none"/>
          <w:u w:val="none"/>
          <w14:textFill>
            <w14:solidFill>
              <w14:schemeClr w14:val="tx1"/>
            </w14:solidFill>
          </w14:textFill>
        </w:rPr>
        <w:t>（自招标文件开始发出之日起至投标人提交投标文件截止之日止，不得少于20日）</w:t>
      </w:r>
    </w:p>
    <w:p w14:paraId="62F656EA">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六</w:t>
      </w:r>
      <w:r>
        <w:rPr>
          <w:rFonts w:hint="eastAsia" w:ascii="宋体" w:hAnsi="宋体" w:eastAsia="宋体" w:cs="宋体"/>
          <w:b/>
          <w:bCs/>
          <w:color w:val="000000" w:themeColor="text1"/>
          <w:kern w:val="0"/>
          <w:sz w:val="21"/>
          <w:szCs w:val="21"/>
          <w:highlight w:val="none"/>
          <w14:textFill>
            <w14:solidFill>
              <w14:schemeClr w14:val="tx1"/>
            </w14:solidFill>
          </w14:textFill>
        </w:rPr>
        <w:t>、公告期限</w:t>
      </w:r>
    </w:p>
    <w:p w14:paraId="1F713344">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1、本招标公告在中国湖南政府采购网（www.ccgp-hunan.gov.cn）发布。公告期限从本招标公告发布之日起5个工作日。</w:t>
      </w:r>
    </w:p>
    <w:p w14:paraId="27F8530F">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2、在其他媒体发布的招标公告，公告内容以本招标公告指定媒体发布的公告为准；公告期限自本招标公告指定媒体最先发布公告之日起算。</w:t>
      </w:r>
    </w:p>
    <w:p w14:paraId="7C971C05">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七</w:t>
      </w:r>
      <w:r>
        <w:rPr>
          <w:rFonts w:hint="eastAsia" w:ascii="宋体" w:hAnsi="宋体" w:eastAsia="宋体" w:cs="宋体"/>
          <w:b/>
          <w:bCs/>
          <w:color w:val="000000" w:themeColor="text1"/>
          <w:kern w:val="0"/>
          <w:sz w:val="21"/>
          <w:szCs w:val="21"/>
          <w:highlight w:val="none"/>
          <w14:textFill>
            <w14:solidFill>
              <w14:schemeClr w14:val="tx1"/>
            </w14:solidFill>
          </w14:textFill>
        </w:rPr>
        <w:t>、询问及质疑</w:t>
      </w:r>
    </w:p>
    <w:p w14:paraId="4C1AE726">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1、投标人对政府采购活动事项如有疑问的，可以向采购人、采购代理机构提出询问。采购人、采购代理机构将在3个工作日内作出答复。</w:t>
      </w:r>
    </w:p>
    <w:p w14:paraId="3F22760B">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2、投标人对电子交易平台办理CA证书、操作等如有疑问，请咨询电子交易平台服务机构。</w:t>
      </w:r>
    </w:p>
    <w:p w14:paraId="2563364D">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3、潜在投标人认为</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采购</w:t>
      </w:r>
      <w:r>
        <w:rPr>
          <w:rFonts w:hint="eastAsia" w:ascii="宋体" w:hAnsi="宋体" w:eastAsia="宋体" w:cs="宋体"/>
          <w:color w:val="000000" w:themeColor="text1"/>
          <w:kern w:val="0"/>
          <w:sz w:val="21"/>
          <w:szCs w:val="21"/>
          <w:highlight w:val="none"/>
          <w14:textFill>
            <w14:solidFill>
              <w14:schemeClr w14:val="tx1"/>
            </w14:solidFill>
          </w14:textFill>
        </w:rPr>
        <w:t>文件或</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本</w:t>
      </w:r>
      <w:r>
        <w:rPr>
          <w:rFonts w:hint="eastAsia" w:ascii="宋体" w:hAnsi="宋体" w:eastAsia="宋体" w:cs="宋体"/>
          <w:color w:val="000000" w:themeColor="text1"/>
          <w:kern w:val="0"/>
          <w:sz w:val="21"/>
          <w:szCs w:val="21"/>
          <w:highlight w:val="none"/>
          <w14:textFill>
            <w14:solidFill>
              <w14:schemeClr w14:val="tx1"/>
            </w14:solidFill>
          </w14:textFill>
        </w:rPr>
        <w:t>公告使自己的合法权益受到损害的，可以在收到</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采购</w:t>
      </w:r>
      <w:r>
        <w:rPr>
          <w:rFonts w:hint="eastAsia" w:ascii="宋体" w:hAnsi="宋体" w:eastAsia="宋体" w:cs="宋体"/>
          <w:color w:val="000000" w:themeColor="text1"/>
          <w:kern w:val="0"/>
          <w:sz w:val="21"/>
          <w:szCs w:val="21"/>
          <w:highlight w:val="none"/>
          <w14:textFill>
            <w14:solidFill>
              <w14:schemeClr w14:val="tx1"/>
            </w14:solidFill>
          </w14:textFill>
        </w:rPr>
        <w:t>文件之日或</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本</w:t>
      </w:r>
      <w:r>
        <w:rPr>
          <w:rFonts w:hint="eastAsia" w:ascii="宋体" w:hAnsi="宋体" w:eastAsia="宋体" w:cs="宋体"/>
          <w:color w:val="000000" w:themeColor="text1"/>
          <w:kern w:val="0"/>
          <w:sz w:val="21"/>
          <w:szCs w:val="21"/>
          <w:highlight w:val="none"/>
          <w14:textFill>
            <w14:solidFill>
              <w14:schemeClr w14:val="tx1"/>
            </w14:solidFill>
          </w14:textFill>
        </w:rPr>
        <w:t>公告期限届满之日起7个工作日内，按《湖南省财政厅关于印发＜政府采购质疑答复和投诉处理操作规程＞的通知》(湘财购〔2024〕67号)规定，以纸质书面形式向采购人、采购代理机构提出质疑。</w:t>
      </w:r>
    </w:p>
    <w:p w14:paraId="6A26F333">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八</w:t>
      </w:r>
      <w:r>
        <w:rPr>
          <w:rFonts w:hint="eastAsia" w:ascii="宋体" w:hAnsi="宋体" w:eastAsia="宋体" w:cs="宋体"/>
          <w:b/>
          <w:bCs/>
          <w:color w:val="000000" w:themeColor="text1"/>
          <w:kern w:val="0"/>
          <w:sz w:val="21"/>
          <w:szCs w:val="21"/>
          <w:highlight w:val="none"/>
          <w14:textFill>
            <w14:solidFill>
              <w14:schemeClr w14:val="tx1"/>
            </w14:solidFill>
          </w14:textFill>
        </w:rPr>
        <w:t>、投标说明</w:t>
      </w:r>
    </w:p>
    <w:p w14:paraId="734CD373">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1、本公告选项：</w:t>
      </w:r>
      <w:r>
        <w:rPr>
          <w:rFonts w:hint="eastAsia" w:ascii="宋体" w:hAnsi="宋体" w:eastAsia="宋体" w:cs="宋体"/>
          <w:i w:val="0"/>
          <w:iCs w:val="0"/>
          <w:caps w:val="0"/>
          <w:snapToGrid/>
          <w:color w:val="000000" w:themeColor="text1"/>
          <w:spacing w:val="0"/>
          <w:kern w:val="2"/>
          <w:sz w:val="24"/>
          <w:szCs w:val="24"/>
          <w:highlight w:val="none"/>
          <w:shd w:val="clear" w:fill="FFFFFF"/>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表示选择，</w:t>
      </w:r>
      <w:r>
        <w:rPr>
          <w:rFonts w:hint="eastAsia" w:ascii="宋体" w:hAnsi="宋体" w:eastAsia="宋体" w:cs="宋体"/>
          <w:i w:val="0"/>
          <w:iCs w:val="0"/>
          <w:caps w:val="0"/>
          <w:snapToGrid/>
          <w:color w:val="000000" w:themeColor="text1"/>
          <w:spacing w:val="0"/>
          <w:kern w:val="2"/>
          <w:sz w:val="24"/>
          <w:szCs w:val="24"/>
          <w:highlight w:val="none"/>
          <w:shd w:val="clear" w:fill="FFFFFF"/>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表示未选择。</w:t>
      </w:r>
    </w:p>
    <w:p w14:paraId="1DA9AD47">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2、投标人参与政府采购活动，无需向采购人、代理机构、交易平台缴纳任何费用。</w:t>
      </w:r>
    </w:p>
    <w:p w14:paraId="11692C4D">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九</w:t>
      </w:r>
      <w:r>
        <w:rPr>
          <w:rFonts w:hint="eastAsia" w:ascii="宋体" w:hAnsi="宋体" w:eastAsia="宋体" w:cs="宋体"/>
          <w:b/>
          <w:bCs/>
          <w:color w:val="000000" w:themeColor="text1"/>
          <w:kern w:val="0"/>
          <w:sz w:val="21"/>
          <w:szCs w:val="21"/>
          <w:highlight w:val="none"/>
          <w14:textFill>
            <w14:solidFill>
              <w14:schemeClr w14:val="tx1"/>
            </w14:solidFill>
          </w14:textFill>
        </w:rPr>
        <w:t>、其他补充事宜</w:t>
      </w:r>
    </w:p>
    <w:p w14:paraId="2FBAC760">
      <w:pPr>
        <w:keepNext w:val="0"/>
        <w:keepLines w:val="0"/>
        <w:pageBreakBefore w:val="0"/>
        <w:shd w:val="clear"/>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投标文件的制作</w:t>
      </w:r>
    </w:p>
    <w:p w14:paraId="331A59CA">
      <w:pPr>
        <w:keepNext w:val="0"/>
        <w:keepLines w:val="0"/>
        <w:pageBreakBefore w:val="0"/>
        <w:shd w:val="clear"/>
        <w:kinsoku/>
        <w:wordWrap/>
        <w:overflowPunct/>
        <w:topLinePunct w:val="0"/>
        <w:autoSpaceDE/>
        <w:autoSpaceDN/>
        <w:bidi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凡符合投标资格要求并有意参加投标者必须办理数字CA，登录《岳阳市公共资源交易网》（http://ggzy.yueyang.gov.cn/）下载招标文件。投标人在网上注册应对所提供的证件和证明材料的真实性承担法律责任。办理数字CA地址：湖南省数字认证服务中心有限公司（民兴路与狮子山南路交叉口）庙坡碧玉湾（南门）43号门面，电话：0730-8181828。</w:t>
      </w:r>
    </w:p>
    <w:p w14:paraId="62BB660B">
      <w:pPr>
        <w:keepNext w:val="0"/>
        <w:keepLines w:val="0"/>
        <w:pageBreakBefore w:val="0"/>
        <w:shd w:val="clea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本招标项目采用电子化招标采购，请投标人在“岳阳市公共资源交易网” （http://ggzy.yueyang.gov.cn/）服务指南中及时下载安装最新版本“</w:t>
      </w:r>
      <w:r>
        <w:rPr>
          <w:rFonts w:hint="eastAsia" w:ascii="宋体" w:hAnsi="宋体" w:eastAsia="宋体" w:cs="宋体"/>
          <w:color w:val="000000" w:themeColor="text1"/>
          <w:sz w:val="21"/>
          <w:szCs w:val="21"/>
          <w:highlight w:val="none"/>
          <w:lang w:eastAsia="zh-CN"/>
          <w14:textFill>
            <w14:solidFill>
              <w14:schemeClr w14:val="tx1"/>
            </w14:solidFill>
          </w14:textFill>
        </w:rPr>
        <w:t>新点投标文件制作软件（湖南版）</w:t>
      </w:r>
      <w:r>
        <w:rPr>
          <w:rFonts w:hint="eastAsia" w:ascii="宋体" w:hAnsi="宋体" w:eastAsia="宋体" w:cs="宋体"/>
          <w:color w:val="000000" w:themeColor="text1"/>
          <w:sz w:val="21"/>
          <w:szCs w:val="21"/>
          <w:highlight w:val="none"/>
          <w14:textFill>
            <w14:solidFill>
              <w14:schemeClr w14:val="tx1"/>
            </w14:solidFill>
          </w14:textFill>
        </w:rPr>
        <w:t>”。参与投标的投标人需使用电子标书编制软件制作YYGCZF格式投标文件。本项目电子投标文件最大容量为200MB，超过此容量的文件将被拒绝。制作电子投标文件时，投标人须编制投标文件的内容目录和详细页码，其制作软件的下载安装和电子投标文件的</w:t>
      </w:r>
      <w:r>
        <w:rPr>
          <w:rFonts w:hint="eastAsia" w:ascii="宋体" w:hAnsi="宋体" w:eastAsia="宋体" w:cs="宋体"/>
          <w:color w:val="000000" w:themeColor="text1"/>
          <w:sz w:val="21"/>
          <w:szCs w:val="21"/>
          <w:highlight w:val="none"/>
          <w:lang w:eastAsia="zh-CN"/>
          <w14:textFill>
            <w14:solidFill>
              <w14:schemeClr w14:val="tx1"/>
            </w14:solidFill>
          </w14:textFill>
        </w:rPr>
        <w:t>制作</w:t>
      </w:r>
      <w:r>
        <w:rPr>
          <w:rFonts w:hint="eastAsia" w:ascii="宋体" w:hAnsi="宋体" w:eastAsia="宋体" w:cs="宋体"/>
          <w:color w:val="000000" w:themeColor="text1"/>
          <w:sz w:val="21"/>
          <w:szCs w:val="21"/>
          <w:highlight w:val="none"/>
          <w14:textFill>
            <w14:solidFill>
              <w14:schemeClr w14:val="tx1"/>
            </w14:solidFill>
          </w14:textFill>
        </w:rPr>
        <w:t>说明（含电子签章的操作流程）可详见“岳阳市公共资源交易网” （http://ggzy.yueyang.gov.cn/）的服务指南《全流程电子化招投标操作手册》。</w:t>
      </w:r>
    </w:p>
    <w:p w14:paraId="570829D4">
      <w:pPr>
        <w:keepNext w:val="0"/>
        <w:keepLines w:val="0"/>
        <w:pageBreakBefore w:val="0"/>
        <w:shd w:val="clea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u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u w:val="none"/>
          <w:lang w:val="en-US" w:eastAsia="zh-CN"/>
          <w14:textFill>
            <w14:solidFill>
              <w14:schemeClr w14:val="tx1"/>
            </w14:solidFill>
          </w14:textFill>
        </w:rPr>
        <w:t>二</w:t>
      </w:r>
      <w:r>
        <w:rPr>
          <w:rFonts w:hint="eastAsia" w:ascii="宋体" w:hAnsi="宋体" w:eastAsia="宋体" w:cs="宋体"/>
          <w:color w:val="000000" w:themeColor="text1"/>
          <w:kern w:val="0"/>
          <w:sz w:val="21"/>
          <w:szCs w:val="21"/>
          <w:highlight w:val="none"/>
          <w:u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u w:val="none"/>
          <w14:textFill>
            <w14:solidFill>
              <w14:schemeClr w14:val="tx1"/>
            </w14:solidFill>
          </w14:textFill>
        </w:rPr>
        <w:t>、投标文</w:t>
      </w:r>
      <w:r>
        <w:rPr>
          <w:rFonts w:hint="eastAsia" w:ascii="宋体" w:hAnsi="宋体" w:eastAsia="宋体" w:cs="宋体"/>
          <w:b/>
          <w:bCs/>
          <w:color w:val="000000" w:themeColor="text1"/>
          <w:sz w:val="21"/>
          <w:szCs w:val="21"/>
          <w:highlight w:val="none"/>
          <w14:textFill>
            <w14:solidFill>
              <w14:schemeClr w14:val="tx1"/>
            </w14:solidFill>
          </w14:textFill>
        </w:rPr>
        <w:t>件的解密</w:t>
      </w:r>
    </w:p>
    <w:p w14:paraId="51B2EB74">
      <w:pPr>
        <w:keepNext w:val="0"/>
        <w:keepLines w:val="0"/>
        <w:pageBreakBefore w:val="0"/>
        <w:shd w:val="clea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电子投标文件的解密截止时间</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系统设置为开标后30分钟内，投标人可在单位在线解密，如在开标现场解密的请自备解密电脑和网络。投标人安排专人在网上进行开标，并按要求完成电子投标文件的远程解密，逾期未解密的，视为放弃投标资格。</w:t>
      </w:r>
    </w:p>
    <w:p w14:paraId="24E2C586">
      <w:pPr>
        <w:keepNext w:val="0"/>
        <w:keepLines w:val="0"/>
        <w:pageBreakBefore w:val="0"/>
        <w:shd w:val="clear"/>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sz w:val="21"/>
          <w:szCs w:val="21"/>
          <w:highlight w:val="none"/>
          <w14:textFill>
            <w14:solidFill>
              <w14:schemeClr w14:val="tx1"/>
            </w14:solidFill>
          </w14:textFill>
        </w:rPr>
        <w:t>、投标人澄清、补正和说明</w:t>
      </w:r>
    </w:p>
    <w:p w14:paraId="31F577D8">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标过程中，如评委专家要求投标人进行必要的澄清、说明和补正的，投标人应在线保持关注，及时登录岳阳市公共资源交易中心电子交易平台（http://222.242.228.197:8083/TPBidder/memberLogin）进行网上回复，并上传提交相关资料，逾期未回复的，视为放弃澄清、说明和补正的权利。</w:t>
      </w:r>
    </w:p>
    <w:p w14:paraId="31037A34">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十、对本次招标提出询问，请按以下方式联系</w:t>
      </w:r>
    </w:p>
    <w:p w14:paraId="6D73E378">
      <w:pPr>
        <w:keepNext w:val="0"/>
        <w:keepLines w:val="0"/>
        <w:pageBreakBefore w:val="0"/>
        <w:widowControl/>
        <w:kinsoku/>
        <w:wordWrap/>
        <w:overflowPunct/>
        <w:topLinePunct w:val="0"/>
        <w:autoSpaceDE/>
        <w:autoSpaceDN/>
        <w:bidi w:val="0"/>
        <w:spacing w:line="360" w:lineRule="auto"/>
        <w:ind w:firstLine="422" w:firstLineChars="200"/>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1.采购人信息</w:t>
      </w:r>
    </w:p>
    <w:p w14:paraId="11EA76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名称：岳阳市君山区人民医院       </w:t>
      </w:r>
    </w:p>
    <w:p w14:paraId="6ADE06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地址：岳阳市君山区旅游路      </w:t>
      </w:r>
    </w:p>
    <w:p w14:paraId="62BA81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联系人：刘先生      </w:t>
      </w:r>
    </w:p>
    <w:p w14:paraId="5DA5D9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联系电话：</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0730-8171246</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       </w:t>
      </w:r>
    </w:p>
    <w:p w14:paraId="5BC0C96A">
      <w:pPr>
        <w:keepNext w:val="0"/>
        <w:keepLines w:val="0"/>
        <w:pageBreakBefore w:val="0"/>
        <w:widowControl/>
        <w:kinsoku/>
        <w:wordWrap/>
        <w:overflowPunct/>
        <w:topLinePunct w:val="0"/>
        <w:autoSpaceDE/>
        <w:autoSpaceDN/>
        <w:bidi w:val="0"/>
        <w:spacing w:line="360" w:lineRule="auto"/>
        <w:ind w:firstLine="422" w:firstLineChars="200"/>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2.采购代理机构信息</w:t>
      </w:r>
    </w:p>
    <w:p w14:paraId="7E7694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名称：湖南泓盛项目管理有限公司      </w:t>
      </w:r>
    </w:p>
    <w:p w14:paraId="030A5D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地址：湖南省岳阳市岳阳楼区金鹗东路219号万象瑞城4栋1713室      </w:t>
      </w:r>
    </w:p>
    <w:p w14:paraId="3D0FE9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联系人：张燕      </w:t>
      </w:r>
    </w:p>
    <w:p w14:paraId="1D83C3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联系电话：0730-8280355      </w:t>
      </w:r>
    </w:p>
    <w:p w14:paraId="3AEE43D3">
      <w:pPr>
        <w:keepNext w:val="0"/>
        <w:keepLines w:val="0"/>
        <w:pageBreakBefore w:val="0"/>
        <w:widowControl/>
        <w:kinsoku/>
        <w:wordWrap/>
        <w:overflowPunct/>
        <w:topLinePunct w:val="0"/>
        <w:autoSpaceDE/>
        <w:autoSpaceDN/>
        <w:bidi w:val="0"/>
        <w:spacing w:line="360" w:lineRule="auto"/>
        <w:ind w:firstLine="422" w:firstLineChars="200"/>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3.项目联系方式</w:t>
      </w:r>
    </w:p>
    <w:p w14:paraId="61ACBB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项目联系人：刘先生</w:t>
      </w:r>
    </w:p>
    <w:p w14:paraId="3AACE8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电　话：</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0730-8171246</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        </w:t>
      </w:r>
    </w:p>
    <w:p w14:paraId="165EB390">
      <w:pPr>
        <w:keepNext w:val="0"/>
        <w:keepLines w:val="0"/>
        <w:pageBreakBefore w:val="0"/>
        <w:widowControl/>
        <w:kinsoku/>
        <w:wordWrap/>
        <w:overflowPunct/>
        <w:topLinePunct w:val="0"/>
        <w:autoSpaceDE/>
        <w:autoSpaceDN/>
        <w:bidi w:val="0"/>
        <w:spacing w:line="360" w:lineRule="auto"/>
        <w:ind w:firstLine="422" w:firstLineChars="200"/>
        <w:jc w:val="left"/>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4、电子交易平台服务机构信息</w:t>
      </w:r>
    </w:p>
    <w:p w14:paraId="58126F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名 称：岳阳市公共资源交易中心电子交易平台 </w:t>
      </w:r>
    </w:p>
    <w:p w14:paraId="14819E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联系人：岳阳市公共资源交易中心信息技术部 </w:t>
      </w:r>
    </w:p>
    <w:p w14:paraId="37A9A5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电 话：0730-2966692</w:t>
      </w:r>
    </w:p>
    <w:p w14:paraId="1CD04B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line="360" w:lineRule="auto"/>
        <w:ind w:left="0" w:firstLine="420"/>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电子邮箱：/</w:t>
      </w:r>
    </w:p>
    <w:p w14:paraId="14EF6F6D">
      <w:pPr>
        <w:shd w:val="clear"/>
        <w:rPr>
          <w:color w:val="000000" w:themeColor="text1"/>
          <w:highlight w:val="none"/>
          <w14:textFill>
            <w14:solidFill>
              <w14:schemeClr w14:val="tx1"/>
            </w14:solidFill>
          </w14:textFill>
        </w:rPr>
      </w:pPr>
    </w:p>
    <w:p w14:paraId="0A54E4E3">
      <w:pPr>
        <w:shd w:val="clea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F1523A1">
      <w:pPr>
        <w:pStyle w:val="4"/>
        <w:shd w:val="clear"/>
        <w:rPr>
          <w:rFonts w:ascii="黑体" w:hAnsi="黑体" w:eastAsia="黑体"/>
          <w:color w:val="000000" w:themeColor="text1"/>
          <w:sz w:val="32"/>
          <w:szCs w:val="32"/>
          <w:highlight w:val="none"/>
          <w14:textFill>
            <w14:solidFill>
              <w14:schemeClr w14:val="tx1"/>
            </w14:solidFill>
          </w14:textFill>
        </w:rPr>
      </w:pPr>
      <w:bookmarkStart w:id="9" w:name="_Toc78815070"/>
      <w:r>
        <w:rPr>
          <w:rFonts w:hint="eastAsia" w:ascii="黑体" w:hAnsi="黑体" w:eastAsia="黑体"/>
          <w:color w:val="000000" w:themeColor="text1"/>
          <w:sz w:val="32"/>
          <w:szCs w:val="32"/>
          <w:highlight w:val="none"/>
          <w14:textFill>
            <w14:solidFill>
              <w14:schemeClr w14:val="tx1"/>
            </w14:solidFill>
          </w14:textFill>
        </w:rPr>
        <w:t>第二章 投标须知</w:t>
      </w:r>
      <w:bookmarkEnd w:id="0"/>
      <w:bookmarkEnd w:id="1"/>
      <w:bookmarkEnd w:id="2"/>
      <w:bookmarkEnd w:id="3"/>
      <w:bookmarkEnd w:id="4"/>
      <w:bookmarkEnd w:id="5"/>
      <w:bookmarkEnd w:id="6"/>
      <w:bookmarkEnd w:id="7"/>
      <w:bookmarkEnd w:id="9"/>
    </w:p>
    <w:p w14:paraId="2708A0EF">
      <w:pPr>
        <w:pStyle w:val="89"/>
        <w:shd w:val="clear"/>
        <w:ind w:firstLine="482"/>
        <w:jc w:val="center"/>
        <w:rPr>
          <w:b/>
          <w:color w:val="000000" w:themeColor="text1"/>
          <w:spacing w:val="100"/>
          <w:highlight w:val="none"/>
          <w14:textFill>
            <w14:solidFill>
              <w14:schemeClr w14:val="tx1"/>
            </w14:solidFill>
          </w14:textFill>
        </w:rPr>
      </w:pPr>
      <w:r>
        <w:rPr>
          <w:rFonts w:hint="eastAsia"/>
          <w:b/>
          <w:color w:val="000000" w:themeColor="text1"/>
          <w:highlight w:val="none"/>
          <w14:textFill>
            <w14:solidFill>
              <w14:schemeClr w14:val="tx1"/>
            </w14:solidFill>
          </w14:textFill>
        </w:rPr>
        <w:t>投标须知前附表</w:t>
      </w:r>
    </w:p>
    <w:p w14:paraId="501529D0">
      <w:pPr>
        <w:shd w:val="clear"/>
        <w:adjustRightInd w:val="0"/>
        <w:snapToGrid w:val="0"/>
        <w:spacing w:line="360" w:lineRule="auto"/>
        <w:ind w:right="31" w:rightChars="15"/>
        <w:rPr>
          <w:rFonts w:ascii="仿宋_GB2312" w:eastAsia="仿宋_GB2312"/>
          <w:color w:val="000000" w:themeColor="text1"/>
          <w:szCs w:val="21"/>
          <w:highlight w:val="none"/>
          <w14:textFill>
            <w14:solidFill>
              <w14:schemeClr w14:val="tx1"/>
            </w14:solidFill>
          </w14:textFill>
        </w:rPr>
      </w:pPr>
      <w:r>
        <w:rPr>
          <w:rFonts w:hint="eastAsia" w:ascii="仿宋_GB2312" w:hAnsi="宋体" w:eastAsia="仿宋_GB2312"/>
          <w:b/>
          <w:color w:val="000000" w:themeColor="text1"/>
          <w:szCs w:val="21"/>
          <w:highlight w:val="none"/>
          <w14:textFill>
            <w14:solidFill>
              <w14:schemeClr w14:val="tx1"/>
            </w14:solidFill>
          </w14:textFill>
        </w:rPr>
        <w:t>注：本项目启用的条款请在“编列内容规定”栏内以“■”标注。</w:t>
      </w:r>
    </w:p>
    <w:tbl>
      <w:tblPr>
        <w:tblStyle w:val="4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55"/>
        <w:gridCol w:w="6702"/>
      </w:tblGrid>
      <w:tr w14:paraId="3CD818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45" w:hRule="atLeast"/>
          <w:tblHeader/>
        </w:trPr>
        <w:tc>
          <w:tcPr>
            <w:tcW w:w="1276" w:type="dxa"/>
            <w:vAlign w:val="center"/>
          </w:tcPr>
          <w:p w14:paraId="2E1548B4">
            <w:pPr>
              <w:shd w:val="clear"/>
              <w:adjustRightInd w:val="0"/>
              <w:snapToGrid w:val="0"/>
              <w:spacing w:line="360" w:lineRule="auto"/>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条款号</w:t>
            </w:r>
          </w:p>
        </w:tc>
        <w:tc>
          <w:tcPr>
            <w:tcW w:w="1755" w:type="dxa"/>
            <w:vAlign w:val="center"/>
          </w:tcPr>
          <w:p w14:paraId="255A7195">
            <w:pPr>
              <w:shd w:val="clear"/>
              <w:adjustRightInd w:val="0"/>
              <w:snapToGrid w:val="0"/>
              <w:spacing w:line="360" w:lineRule="auto"/>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条款名称</w:t>
            </w:r>
          </w:p>
        </w:tc>
        <w:tc>
          <w:tcPr>
            <w:tcW w:w="6702" w:type="dxa"/>
            <w:vAlign w:val="center"/>
          </w:tcPr>
          <w:p w14:paraId="27020204">
            <w:pPr>
              <w:shd w:val="clear"/>
              <w:adjustRightInd w:val="0"/>
              <w:snapToGrid w:val="0"/>
              <w:spacing w:line="360" w:lineRule="auto"/>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编列内容规定</w:t>
            </w:r>
          </w:p>
        </w:tc>
      </w:tr>
      <w:tr w14:paraId="78B8E4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9733" w:type="dxa"/>
            <w:gridSpan w:val="3"/>
            <w:vAlign w:val="center"/>
          </w:tcPr>
          <w:p w14:paraId="4A76347E">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一、说明</w:t>
            </w:r>
          </w:p>
        </w:tc>
      </w:tr>
      <w:tr w14:paraId="61C22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vAlign w:val="center"/>
          </w:tcPr>
          <w:p w14:paraId="0BAE0D8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54C091CF">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采购项目</w:t>
            </w:r>
          </w:p>
        </w:tc>
        <w:tc>
          <w:tcPr>
            <w:tcW w:w="6702" w:type="dxa"/>
            <w:vAlign w:val="center"/>
          </w:tcPr>
          <w:p w14:paraId="4DCB20DD">
            <w:pPr>
              <w:shd w:val="clear"/>
              <w:adjustRightInd w:val="0"/>
              <w:snapToGrid w:val="0"/>
              <w:spacing w:before="156" w:beforeLines="50"/>
              <w:rPr>
                <w:rFonts w:hint="eastAsia" w:ascii="宋体" w:hAnsi="宋体" w:eastAsia="宋体"/>
                <w:color w:val="000000" w:themeColor="text1"/>
                <w:szCs w:val="2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岳阳市君山区人民医院全自动凝血分析仪等设备采购项目</w:t>
            </w:r>
          </w:p>
        </w:tc>
      </w:tr>
      <w:tr w14:paraId="4CE5B9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61D0DB9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04EE0D88">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w:t>
            </w:r>
          </w:p>
        </w:tc>
        <w:tc>
          <w:tcPr>
            <w:tcW w:w="6702" w:type="dxa"/>
            <w:vAlign w:val="center"/>
          </w:tcPr>
          <w:p w14:paraId="38A41984">
            <w:pPr>
              <w:shd w:val="clear"/>
              <w:textAlignment w:val="baseline"/>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采购人名称：</w:t>
            </w:r>
            <w:r>
              <w:rPr>
                <w:rFonts w:hint="eastAsia" w:ascii="宋体" w:hAnsi="宋体"/>
                <w:color w:val="000000" w:themeColor="text1"/>
                <w:szCs w:val="21"/>
                <w:highlight w:val="none"/>
                <w:lang w:eastAsia="zh-CN"/>
                <w14:textFill>
                  <w14:solidFill>
                    <w14:schemeClr w14:val="tx1"/>
                  </w14:solidFill>
                </w14:textFill>
              </w:rPr>
              <w:t>岳阳市君山区人民医院</w:t>
            </w:r>
            <w:r>
              <w:rPr>
                <w:rFonts w:hint="eastAsia" w:ascii="宋体" w:hAnsi="宋体"/>
                <w:color w:val="000000" w:themeColor="text1"/>
                <w:szCs w:val="21"/>
                <w:highlight w:val="none"/>
                <w14:textFill>
                  <w14:solidFill>
                    <w14:schemeClr w14:val="tx1"/>
                  </w14:solidFill>
                </w14:textFill>
              </w:rPr>
              <w:t xml:space="preserve"> </w:t>
            </w:r>
          </w:p>
          <w:p w14:paraId="1C16E72D">
            <w:pPr>
              <w:shd w:val="clear"/>
              <w:textAlignment w:val="baseline"/>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w:t>
            </w:r>
            <w:r>
              <w:rPr>
                <w:rFonts w:hint="eastAsia" w:ascii="宋体" w:hAnsi="宋体"/>
                <w:color w:val="000000" w:themeColor="text1"/>
                <w:szCs w:val="21"/>
                <w:highlight w:val="none"/>
                <w:lang w:eastAsia="zh-CN"/>
                <w14:textFill>
                  <w14:solidFill>
                    <w14:schemeClr w14:val="tx1"/>
                  </w14:solidFill>
                </w14:textFill>
              </w:rPr>
              <w:t>岳阳市君山区旅游路</w:t>
            </w:r>
          </w:p>
          <w:p w14:paraId="333B98D0">
            <w:pPr>
              <w:shd w:val="clear"/>
              <w:textAlignment w:val="baseline"/>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联系人：</w:t>
            </w:r>
            <w:r>
              <w:rPr>
                <w:rFonts w:hint="eastAsia" w:ascii="宋体" w:hAnsi="宋体"/>
                <w:color w:val="000000" w:themeColor="text1"/>
                <w:szCs w:val="21"/>
                <w:highlight w:val="none"/>
                <w:lang w:eastAsia="zh-CN"/>
                <w14:textFill>
                  <w14:solidFill>
                    <w14:schemeClr w14:val="tx1"/>
                  </w14:solidFill>
                </w14:textFill>
              </w:rPr>
              <w:t>刘先生</w:t>
            </w:r>
            <w:r>
              <w:rPr>
                <w:rFonts w:hint="eastAsia" w:ascii="宋体" w:hAnsi="宋体"/>
                <w:color w:val="000000" w:themeColor="text1"/>
                <w:szCs w:val="21"/>
                <w:highlight w:val="none"/>
                <w14:textFill>
                  <w14:solidFill>
                    <w14:schemeClr w14:val="tx1"/>
                  </w14:solidFill>
                </w14:textFill>
              </w:rPr>
              <w:t xml:space="preserve">       </w:t>
            </w:r>
          </w:p>
          <w:p w14:paraId="7F2F3E6B">
            <w:pPr>
              <w:shd w:val="clear"/>
              <w:adjustRightInd w:val="0"/>
              <w:snapToGrid w:val="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r>
              <w:rPr>
                <w:rFonts w:hint="eastAsia" w:ascii="宋体" w:hAnsi="宋体"/>
                <w:color w:val="000000" w:themeColor="text1"/>
                <w:szCs w:val="21"/>
                <w:highlight w:val="none"/>
                <w:lang w:eastAsia="zh-CN"/>
                <w14:textFill>
                  <w14:solidFill>
                    <w14:schemeClr w14:val="tx1"/>
                  </w14:solidFill>
                </w14:textFill>
              </w:rPr>
              <w:t>0730-8171246</w:t>
            </w:r>
          </w:p>
        </w:tc>
      </w:tr>
      <w:tr w14:paraId="4F02C1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240DE002">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165A08D6">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采购代理机构</w:t>
            </w:r>
          </w:p>
        </w:tc>
        <w:tc>
          <w:tcPr>
            <w:tcW w:w="6702" w:type="dxa"/>
            <w:vAlign w:val="center"/>
          </w:tcPr>
          <w:p w14:paraId="60FF2CFD">
            <w:pPr>
              <w:shd w:val="clear"/>
              <w:adjustRightInd w:val="0"/>
              <w:snapToGrid w:val="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名称：湖南泓盛项目管理有限公司</w:t>
            </w:r>
          </w:p>
          <w:p w14:paraId="74DF5D40">
            <w:pPr>
              <w:shd w:val="clear"/>
              <w:adjustRightInd w:val="0"/>
              <w:snapToGrid w:val="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地址：湖南省岳阳市岳阳楼区金鹗东路219号万象瑞城4栋1713室</w:t>
            </w:r>
          </w:p>
          <w:p w14:paraId="1E5BC268">
            <w:pPr>
              <w:shd w:val="clear"/>
              <w:adjustRightInd w:val="0"/>
              <w:snapToGrid w:val="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联系人：张燕          </w:t>
            </w:r>
          </w:p>
          <w:p w14:paraId="2F0F9D40">
            <w:pPr>
              <w:shd w:val="clear"/>
              <w:adjustRightInd w:val="0"/>
              <w:snapToGrid w:val="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 0730-8280355</w:t>
            </w:r>
          </w:p>
        </w:tc>
      </w:tr>
      <w:tr w14:paraId="60974F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4A2103B8">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w:t>
            </w:r>
            <w:r>
              <w:rPr>
                <w:rFonts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款</w:t>
            </w:r>
          </w:p>
        </w:tc>
        <w:tc>
          <w:tcPr>
            <w:tcW w:w="1755" w:type="dxa"/>
            <w:vAlign w:val="center"/>
          </w:tcPr>
          <w:p w14:paraId="3A44E541">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采购进口产品</w:t>
            </w:r>
          </w:p>
        </w:tc>
        <w:tc>
          <w:tcPr>
            <w:tcW w:w="6702" w:type="dxa"/>
            <w:vAlign w:val="center"/>
          </w:tcPr>
          <w:p w14:paraId="080E2CDF">
            <w:pPr>
              <w:shd w:val="clear"/>
              <w:adjustRightInd w:val="0"/>
              <w:snapToGrid w:val="0"/>
              <w:spacing w:before="156" w:beforeLines="50" w:after="156" w:afterLines="50" w:line="280" w:lineRule="exact"/>
              <w:rPr>
                <w:rFonts w:ascii="宋体" w:hAnsi="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本采购项目</w:t>
            </w:r>
            <w:r>
              <w:rPr>
                <w:rFonts w:hint="eastAsia" w:ascii="宋体" w:hAnsi="宋体" w:cs="宋体"/>
                <w:color w:val="000000" w:themeColor="text1"/>
                <w:kern w:val="0"/>
                <w:szCs w:val="21"/>
                <w:highlight w:val="none"/>
                <w14:textFill>
                  <w14:solidFill>
                    <w14:schemeClr w14:val="tx1"/>
                  </w14:solidFill>
                </w14:textFill>
              </w:rPr>
              <w:t>拒绝进口产品参加投标</w:t>
            </w:r>
          </w:p>
          <w:p w14:paraId="6E0ED966">
            <w:pPr>
              <w:shd w:val="clear"/>
              <w:adjustRightInd w:val="0"/>
              <w:snapToGrid w:val="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本采购项目已经</w:t>
            </w:r>
            <w:r>
              <w:rPr>
                <w:rFonts w:hint="eastAsia" w:ascii="宋体" w:hAnsi="宋体" w:cs="宋体"/>
                <w:color w:val="000000" w:themeColor="text1"/>
                <w:kern w:val="0"/>
                <w:szCs w:val="21"/>
                <w:highlight w:val="none"/>
                <w14:textFill>
                  <w14:solidFill>
                    <w14:schemeClr w14:val="tx1"/>
                  </w14:solidFill>
                </w14:textFill>
              </w:rPr>
              <w:t>财政部门审核同意购买进口产品</w:t>
            </w:r>
          </w:p>
        </w:tc>
      </w:tr>
      <w:tr w14:paraId="18B73E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6D13AAE2">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5ADAB1D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投标人</w:t>
            </w:r>
            <w:r>
              <w:rPr>
                <w:rFonts w:hint="eastAsia" w:ascii="宋体" w:hAnsi="宋体"/>
                <w:color w:val="000000" w:themeColor="text1"/>
                <w:szCs w:val="21"/>
                <w:highlight w:val="none"/>
                <w14:textFill>
                  <w14:solidFill>
                    <w14:schemeClr w14:val="tx1"/>
                  </w14:solidFill>
                </w14:textFill>
              </w:rPr>
              <w:t>资格条件</w:t>
            </w:r>
          </w:p>
        </w:tc>
        <w:tc>
          <w:tcPr>
            <w:tcW w:w="6702" w:type="dxa"/>
            <w:vAlign w:val="center"/>
          </w:tcPr>
          <w:p w14:paraId="673C4CB5">
            <w:pPr>
              <w:shd w:val="clear" w:color="auto"/>
              <w:adjustRightInd w:val="0"/>
              <w:snapToGrid w:val="0"/>
              <w:rPr>
                <w:rFonts w:ascii="宋体" w:hAnsi="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详见第一章【投标邀请】</w:t>
            </w:r>
          </w:p>
        </w:tc>
      </w:tr>
      <w:tr w14:paraId="3B6297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5D42D2EA">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第6.1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488B0B6C">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组织现场考察或者召开答疑会</w:t>
            </w:r>
          </w:p>
        </w:tc>
        <w:tc>
          <w:tcPr>
            <w:tcW w:w="6702" w:type="dxa"/>
            <w:vAlign w:val="center"/>
          </w:tcPr>
          <w:p w14:paraId="38E3A74E">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 不组织</w:t>
            </w:r>
          </w:p>
          <w:p w14:paraId="4710BEEC">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组织，时间：地点： 联系人：，或者在招标文件提供期限截止后以书面形式通知所有获取招标文件的潜在投标人。</w:t>
            </w:r>
          </w:p>
        </w:tc>
      </w:tr>
      <w:tr w14:paraId="7523BD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66210E5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第6.2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70A11A2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投标人要求澄清招标文件的时间</w:t>
            </w:r>
          </w:p>
        </w:tc>
        <w:tc>
          <w:tcPr>
            <w:tcW w:w="6702" w:type="dxa"/>
            <w:vAlign w:val="center"/>
          </w:tcPr>
          <w:p w14:paraId="7C4545D9">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w:t>
            </w:r>
          </w:p>
        </w:tc>
      </w:tr>
      <w:tr w14:paraId="75BFE2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733" w:type="dxa"/>
            <w:gridSpan w:val="3"/>
            <w:vAlign w:val="center"/>
          </w:tcPr>
          <w:p w14:paraId="475908C4">
            <w:pPr>
              <w:shd w:val="clear"/>
              <w:adjustRightInd w:val="0"/>
              <w:snapToGrid w:val="0"/>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二、招标文件</w:t>
            </w:r>
          </w:p>
        </w:tc>
      </w:tr>
      <w:tr w14:paraId="137440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3FCF980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第7.4</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70D1B80A">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招标文件公告期限</w:t>
            </w:r>
          </w:p>
        </w:tc>
        <w:tc>
          <w:tcPr>
            <w:tcW w:w="6702" w:type="dxa"/>
            <w:vAlign w:val="center"/>
          </w:tcPr>
          <w:p w14:paraId="6B589D8C">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2026年</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月</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18 </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起至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2026年</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月</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23</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止，每天9：00-17：00(北京时间）</w:t>
            </w:r>
          </w:p>
        </w:tc>
      </w:tr>
      <w:tr w14:paraId="64B3C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691D34F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第8.2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7D96F97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非实质性要求条款允许偏离的最多项数或范围</w:t>
            </w:r>
          </w:p>
        </w:tc>
        <w:tc>
          <w:tcPr>
            <w:tcW w:w="6702" w:type="dxa"/>
            <w:vAlign w:val="center"/>
          </w:tcPr>
          <w:p w14:paraId="14A01FFF">
            <w:pPr>
              <w:shd w:val="clea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非实质性要求条款允许偏离的最多项数</w:t>
            </w:r>
            <w:r>
              <w:rPr>
                <w:rFonts w:hint="eastAsia" w:ascii="宋体" w:hAnsi="宋体"/>
                <w:color w:val="000000" w:themeColor="text1"/>
                <w:szCs w:val="21"/>
                <w:highlight w:val="none"/>
                <w:lang w:val="en-US" w:eastAsia="zh-CN"/>
                <w14:textFill>
                  <w14:solidFill>
                    <w14:schemeClr w14:val="tx1"/>
                  </w14:solidFill>
                </w14:textFill>
              </w:rPr>
              <w:t>＞30</w:t>
            </w:r>
            <w:r>
              <w:rPr>
                <w:rFonts w:hint="eastAsia" w:ascii="宋体" w:hAnsi="宋体"/>
                <w:color w:val="000000" w:themeColor="text1"/>
                <w:szCs w:val="21"/>
                <w:highlight w:val="none"/>
                <w14:textFill>
                  <w14:solidFill>
                    <w14:schemeClr w14:val="tx1"/>
                  </w14:solidFill>
                </w14:textFill>
              </w:rPr>
              <w:t xml:space="preserve"> 项将导致投标无效。</w:t>
            </w:r>
          </w:p>
        </w:tc>
      </w:tr>
      <w:tr w14:paraId="0A624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1276" w:type="dxa"/>
            <w:vAlign w:val="center"/>
          </w:tcPr>
          <w:p w14:paraId="28E716E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第10.1</w:t>
            </w:r>
            <w:r>
              <w:rPr>
                <w:rFonts w:hint="eastAsia" w:ascii="宋体" w:hAnsi="宋体"/>
                <w:color w:val="000000" w:themeColor="text1"/>
                <w:szCs w:val="21"/>
                <w:highlight w:val="none"/>
                <w:lang w:val="zh-CN"/>
                <w14:textFill>
                  <w14:solidFill>
                    <w14:schemeClr w14:val="tx1"/>
                  </w14:solidFill>
                </w14:textFill>
              </w:rPr>
              <w:t>款</w:t>
            </w:r>
          </w:p>
        </w:tc>
        <w:tc>
          <w:tcPr>
            <w:tcW w:w="1755" w:type="dxa"/>
            <w:vAlign w:val="center"/>
          </w:tcPr>
          <w:p w14:paraId="7ACE8F54">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指定的媒体</w:t>
            </w:r>
          </w:p>
        </w:tc>
        <w:tc>
          <w:tcPr>
            <w:tcW w:w="6702" w:type="dxa"/>
            <w:vAlign w:val="center"/>
          </w:tcPr>
          <w:p w14:paraId="7F7BB8DE">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湖南省政府采购网</w:t>
            </w:r>
            <w:r>
              <w:rPr>
                <w:rFonts w:hint="eastAsia" w:ascii="宋体" w:hAnsi="宋体"/>
                <w:color w:val="000000" w:themeColor="text1"/>
                <w:szCs w:val="21"/>
                <w:highlight w:val="none"/>
                <w14:textFill>
                  <w14:solidFill>
                    <w14:schemeClr w14:val="tx1"/>
                  </w14:solidFill>
                </w14:textFill>
              </w:rPr>
              <w:t>（http://www.ccgp-hunan.gov.cn/）</w:t>
            </w:r>
          </w:p>
          <w:p w14:paraId="096BAEA9">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岳阳市公共资源交易网（http://ggzy.yueyang.gov.cn/）</w:t>
            </w:r>
          </w:p>
        </w:tc>
      </w:tr>
      <w:tr w14:paraId="4E4164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9733" w:type="dxa"/>
            <w:gridSpan w:val="3"/>
            <w:vAlign w:val="center"/>
          </w:tcPr>
          <w:p w14:paraId="53DD9B6C">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三、投标文件</w:t>
            </w:r>
          </w:p>
        </w:tc>
      </w:tr>
      <w:tr w14:paraId="13D791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vAlign w:val="center"/>
          </w:tcPr>
          <w:p w14:paraId="61D470D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第14.1款</w:t>
            </w:r>
          </w:p>
        </w:tc>
        <w:tc>
          <w:tcPr>
            <w:tcW w:w="1755" w:type="dxa"/>
            <w:vAlign w:val="center"/>
          </w:tcPr>
          <w:p w14:paraId="1933087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投标报价的规定</w:t>
            </w:r>
          </w:p>
        </w:tc>
        <w:tc>
          <w:tcPr>
            <w:tcW w:w="6702" w:type="dxa"/>
            <w:vAlign w:val="center"/>
          </w:tcPr>
          <w:p w14:paraId="4FA3205D">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投标人的投标报价不得超过采购预算，也不得超过最高限价(招标文件设定最高限价的)，否则其投标无效。</w:t>
            </w:r>
          </w:p>
        </w:tc>
      </w:tr>
      <w:tr w14:paraId="14DF8A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09351610">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第14.2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4D92D326">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采购预算、最高限价（如果设）</w:t>
            </w:r>
          </w:p>
        </w:tc>
        <w:tc>
          <w:tcPr>
            <w:tcW w:w="6702" w:type="dxa"/>
            <w:vAlign w:val="center"/>
          </w:tcPr>
          <w:p w14:paraId="1BB6C8E1">
            <w:pPr>
              <w:shd w:val="clear"/>
              <w:adjustRightInd w:val="0"/>
              <w:snapToGrid w:val="0"/>
              <w:spacing w:line="360" w:lineRule="auto"/>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采购预算：</w:t>
            </w:r>
            <w:r>
              <w:rPr>
                <w:rFonts w:hint="eastAsia"/>
                <w:color w:val="000000" w:themeColor="text1"/>
                <w:sz w:val="21"/>
                <w:szCs w:val="21"/>
                <w:highlight w:val="none"/>
                <w:lang w:val="en-US" w:eastAsia="zh-CN"/>
                <w14:textFill>
                  <w14:solidFill>
                    <w14:schemeClr w14:val="tx1"/>
                  </w14:solidFill>
                </w14:textFill>
              </w:rPr>
              <w:t>938300.00</w:t>
            </w:r>
            <w:r>
              <w:rPr>
                <w:rFonts w:hint="eastAsia"/>
                <w:color w:val="000000" w:themeColor="text1"/>
                <w:sz w:val="21"/>
                <w:szCs w:val="21"/>
                <w:highlight w:val="none"/>
                <w14:textFill>
                  <w14:solidFill>
                    <w14:schemeClr w14:val="tx1"/>
                  </w14:solidFill>
                </w14:textFill>
              </w:rPr>
              <w:t>元   最高限价：</w:t>
            </w:r>
            <w:r>
              <w:rPr>
                <w:rFonts w:hint="eastAsia"/>
                <w:color w:val="000000" w:themeColor="text1"/>
                <w:sz w:val="21"/>
                <w:szCs w:val="21"/>
                <w:highlight w:val="none"/>
                <w:lang w:val="en-US" w:eastAsia="zh-CN"/>
                <w14:textFill>
                  <w14:solidFill>
                    <w14:schemeClr w14:val="tx1"/>
                  </w14:solidFill>
                </w14:textFill>
              </w:rPr>
              <w:t>938300.00</w:t>
            </w:r>
            <w:r>
              <w:rPr>
                <w:rFonts w:hint="eastAsia"/>
                <w:color w:val="000000" w:themeColor="text1"/>
                <w:sz w:val="21"/>
                <w:szCs w:val="21"/>
                <w:highlight w:val="none"/>
                <w14:textFill>
                  <w14:solidFill>
                    <w14:schemeClr w14:val="tx1"/>
                  </w14:solidFill>
                </w14:textFill>
              </w:rPr>
              <w:t>元</w:t>
            </w:r>
            <w:r>
              <w:rPr>
                <w:rFonts w:hint="eastAsia"/>
                <w:color w:val="000000" w:themeColor="text1"/>
                <w:sz w:val="21"/>
                <w:szCs w:val="21"/>
                <w:highlight w:val="none"/>
                <w:lang w:eastAsia="zh-CN"/>
                <w14:textFill>
                  <w14:solidFill>
                    <w14:schemeClr w14:val="tx1"/>
                  </w14:solidFill>
                </w14:textFill>
              </w:rPr>
              <w:t>。</w:t>
            </w:r>
            <w:r>
              <w:rPr>
                <w:rFonts w:hint="eastAsia" w:ascii="Times New Roman" w:eastAsia="宋体"/>
                <w:color w:val="000000" w:themeColor="text1"/>
                <w:sz w:val="21"/>
                <w:szCs w:val="21"/>
                <w:highlight w:val="none"/>
                <w:lang w:val="en-US" w:eastAsia="zh-CN"/>
                <w14:textFill>
                  <w14:solidFill>
                    <w14:schemeClr w14:val="tx1"/>
                  </w14:solidFill>
                </w14:textFill>
              </w:rPr>
              <w:t xml:space="preserve">其中包1： </w:t>
            </w:r>
            <w:r>
              <w:rPr>
                <w:rFonts w:hint="eastAsia"/>
                <w:color w:val="000000" w:themeColor="text1"/>
                <w:sz w:val="21"/>
                <w:szCs w:val="21"/>
                <w:highlight w:val="none"/>
                <w14:textFill>
                  <w14:solidFill>
                    <w14:schemeClr w14:val="tx1"/>
                  </w14:solidFill>
                </w14:textFill>
              </w:rPr>
              <w:t>采购预算：</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242400.00</w:t>
            </w:r>
            <w:r>
              <w:rPr>
                <w:rFonts w:hint="eastAsia"/>
                <w:color w:val="000000" w:themeColor="text1"/>
                <w:sz w:val="21"/>
                <w:szCs w:val="21"/>
                <w:highlight w:val="none"/>
                <w14:textFill>
                  <w14:solidFill>
                    <w14:schemeClr w14:val="tx1"/>
                  </w14:solidFill>
                </w14:textFill>
              </w:rPr>
              <w:t>元   最高限价：</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242400.00</w:t>
            </w:r>
            <w:r>
              <w:rPr>
                <w:rFonts w:hint="eastAsia"/>
                <w:color w:val="000000" w:themeColor="text1"/>
                <w:sz w:val="21"/>
                <w:szCs w:val="21"/>
                <w:highlight w:val="none"/>
                <w14:textFill>
                  <w14:solidFill>
                    <w14:schemeClr w14:val="tx1"/>
                  </w14:solidFill>
                </w14:textFill>
              </w:rPr>
              <w:t>元</w:t>
            </w:r>
            <w:r>
              <w:rPr>
                <w:rFonts w:hint="eastAsia" w:eastAsia="宋体"/>
                <w:color w:val="000000" w:themeColor="text1"/>
                <w:sz w:val="21"/>
                <w:szCs w:val="21"/>
                <w:highlight w:val="none"/>
                <w:lang w:eastAsia="zh-CN"/>
                <w14:textFill>
                  <w14:solidFill>
                    <w14:schemeClr w14:val="tx1"/>
                  </w14:solidFill>
                </w14:textFill>
              </w:rPr>
              <w:t>；</w:t>
            </w:r>
            <w:r>
              <w:rPr>
                <w:rFonts w:hint="eastAsia" w:ascii="Times New Roman" w:eastAsia="宋体"/>
                <w:color w:val="000000" w:themeColor="text1"/>
                <w:sz w:val="21"/>
                <w:szCs w:val="21"/>
                <w:highlight w:val="none"/>
                <w:lang w:val="en-US" w:eastAsia="zh-CN"/>
                <w14:textFill>
                  <w14:solidFill>
                    <w14:schemeClr w14:val="tx1"/>
                  </w14:solidFill>
                </w14:textFill>
              </w:rPr>
              <w:t xml:space="preserve">包2： </w:t>
            </w:r>
            <w:r>
              <w:rPr>
                <w:rFonts w:hint="eastAsia"/>
                <w:color w:val="000000" w:themeColor="text1"/>
                <w:sz w:val="21"/>
                <w:szCs w:val="21"/>
                <w:highlight w:val="none"/>
                <w14:textFill>
                  <w14:solidFill>
                    <w14:schemeClr w14:val="tx1"/>
                  </w14:solidFill>
                </w14:textFill>
              </w:rPr>
              <w:t>采购预算：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695900.00</w:t>
            </w:r>
            <w:r>
              <w:rPr>
                <w:rFonts w:hint="eastAsia"/>
                <w:color w:val="000000" w:themeColor="text1"/>
                <w:sz w:val="21"/>
                <w:szCs w:val="21"/>
                <w:highlight w:val="none"/>
                <w14:textFill>
                  <w14:solidFill>
                    <w14:schemeClr w14:val="tx1"/>
                  </w14:solidFill>
                </w14:textFill>
              </w:rPr>
              <w:t>元   最高限价：</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695900.00</w:t>
            </w:r>
            <w:r>
              <w:rPr>
                <w:rFonts w:hint="eastAsia"/>
                <w:color w:val="000000" w:themeColor="text1"/>
                <w:sz w:val="21"/>
                <w:szCs w:val="21"/>
                <w:highlight w:val="none"/>
                <w14:textFill>
                  <w14:solidFill>
                    <w14:schemeClr w14:val="tx1"/>
                  </w14:solidFill>
                </w14:textFill>
              </w:rPr>
              <w:t>元</w:t>
            </w:r>
            <w:r>
              <w:rPr>
                <w:rFonts w:hint="eastAsia" w:eastAsia="宋体"/>
                <w:color w:val="000000" w:themeColor="text1"/>
                <w:sz w:val="21"/>
                <w:szCs w:val="21"/>
                <w:highlight w:val="none"/>
                <w:lang w:eastAsia="zh-CN"/>
                <w14:textFill>
                  <w14:solidFill>
                    <w14:schemeClr w14:val="tx1"/>
                  </w14:solidFill>
                </w14:textFill>
              </w:rPr>
              <w:t>。</w:t>
            </w:r>
          </w:p>
          <w:p w14:paraId="5ACB2958">
            <w:pPr>
              <w:widowControl w:val="0"/>
              <w:shd w:val="clear"/>
              <w:spacing w:after="120"/>
              <w:jc w:val="both"/>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（注：“第五章 采购需求”“一、采购清单一览表”中的所有设备均设置最高限价单价，各设备投标单价、投标总价均不得超过“采购清单一览表”中最高限价单价及每包最高限价总价。）</w:t>
            </w:r>
          </w:p>
        </w:tc>
      </w:tr>
      <w:tr w14:paraId="62B84A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273A733D">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第16.4款</w:t>
            </w:r>
          </w:p>
        </w:tc>
        <w:tc>
          <w:tcPr>
            <w:tcW w:w="1755" w:type="dxa"/>
            <w:vAlign w:val="center"/>
          </w:tcPr>
          <w:p w14:paraId="233AB190">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样品提供的规定</w:t>
            </w:r>
          </w:p>
        </w:tc>
        <w:tc>
          <w:tcPr>
            <w:tcW w:w="6702" w:type="dxa"/>
            <w:vAlign w:val="center"/>
          </w:tcPr>
          <w:p w14:paraId="7AFC4E2D">
            <w:pPr>
              <w:shd w:val="clear"/>
              <w:adjustRightInd w:val="0"/>
              <w:snapToGrid w:val="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■不要求提供</w:t>
            </w:r>
          </w:p>
          <w:p w14:paraId="6626033A">
            <w:pPr>
              <w:shd w:val="clear"/>
              <w:adjustRightInd w:val="0"/>
              <w:snapToGrid w:val="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2" w:char="00A3"/>
            </w:r>
            <w:r>
              <w:rPr>
                <w:rFonts w:hint="eastAsia" w:ascii="宋体" w:hAnsi="宋体"/>
                <w:color w:val="000000" w:themeColor="text1"/>
                <w:szCs w:val="21"/>
                <w:highlight w:val="none"/>
                <w14:textFill>
                  <w14:solidFill>
                    <w14:schemeClr w14:val="tx1"/>
                  </w14:solidFill>
                </w14:textFill>
              </w:rPr>
              <w:t>要求提供，提交的时间：</w:t>
            </w:r>
          </w:p>
        </w:tc>
      </w:tr>
      <w:tr w14:paraId="531B5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12C2CA9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第17.1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653634F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投标有效期</w:t>
            </w:r>
          </w:p>
        </w:tc>
        <w:tc>
          <w:tcPr>
            <w:tcW w:w="6702" w:type="dxa"/>
            <w:vAlign w:val="center"/>
          </w:tcPr>
          <w:p w14:paraId="589F1306">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90</w:t>
            </w:r>
            <w:r>
              <w:rPr>
                <w:rFonts w:hint="eastAsia" w:ascii="宋体" w:hAnsi="宋体"/>
                <w:color w:val="000000" w:themeColor="text1"/>
                <w:szCs w:val="21"/>
                <w:highlight w:val="none"/>
                <w14:textFill>
                  <w14:solidFill>
                    <w14:schemeClr w14:val="tx1"/>
                  </w14:solidFill>
                </w14:textFill>
              </w:rPr>
              <w:t>日（日历日）</w:t>
            </w:r>
          </w:p>
        </w:tc>
      </w:tr>
      <w:tr w14:paraId="39EF69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0F995DC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第18.1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6E262A6A">
            <w:pPr>
              <w:shd w:val="clear"/>
              <w:adjustRightInd w:val="0"/>
              <w:snapToGrid w:val="0"/>
              <w:spacing w:line="360" w:lineRule="auto"/>
              <w:ind w:left="-533" w:leftChars="-254" w:firstLine="533" w:firstLineChars="254"/>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投标保证金</w:t>
            </w:r>
          </w:p>
        </w:tc>
        <w:tc>
          <w:tcPr>
            <w:tcW w:w="6702" w:type="dxa"/>
            <w:vAlign w:val="center"/>
          </w:tcPr>
          <w:p w14:paraId="6854655A">
            <w:pPr>
              <w:shd w:val="clear"/>
              <w:adjustRightInd w:val="0"/>
              <w:snapToGrid w:val="0"/>
              <w:spacing w:before="156" w:beforeLines="50" w:line="36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Arial" w:hAnsi="Arial" w:cs="Arial"/>
                <w:color w:val="000000" w:themeColor="text1"/>
                <w:szCs w:val="21"/>
                <w:highlight w:val="none"/>
                <w14:textFill>
                  <w14:solidFill>
                    <w14:schemeClr w14:val="tx1"/>
                  </w14:solidFill>
                </w14:textFill>
              </w:rPr>
              <w:t>本项目</w:t>
            </w:r>
            <w:r>
              <w:rPr>
                <w:rFonts w:hint="eastAsia" w:ascii="宋体" w:hAnsi="宋体"/>
                <w:color w:val="000000" w:themeColor="text1"/>
                <w:szCs w:val="21"/>
                <w:highlight w:val="none"/>
                <w14:textFill>
                  <w14:solidFill>
                    <w14:schemeClr w14:val="tx1"/>
                  </w14:solidFill>
                </w14:textFill>
              </w:rPr>
              <w:t>不要求提供</w:t>
            </w:r>
          </w:p>
          <w:p w14:paraId="5EC47247">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□要求提供</w:t>
            </w:r>
          </w:p>
        </w:tc>
      </w:tr>
      <w:tr w14:paraId="3DCBF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07B64C2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第19.1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645D1A5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分包</w:t>
            </w:r>
          </w:p>
        </w:tc>
        <w:tc>
          <w:tcPr>
            <w:tcW w:w="6702" w:type="dxa"/>
            <w:vAlign w:val="center"/>
          </w:tcPr>
          <w:p w14:paraId="45CC0AD5">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sym w:font="Wingdings 2" w:char="00A3"/>
            </w:r>
            <w:r>
              <w:rPr>
                <w:rFonts w:hint="eastAsia" w:ascii="宋体" w:hAnsi="宋体"/>
                <w:color w:val="000000" w:themeColor="text1"/>
                <w:szCs w:val="21"/>
                <w:highlight w:val="none"/>
                <w14:textFill>
                  <w14:solidFill>
                    <w14:schemeClr w14:val="tx1"/>
                  </w14:solidFill>
                </w14:textFill>
              </w:rPr>
              <w:t>允许分包。分包内容：分包金额和资质要求等。</w:t>
            </w:r>
          </w:p>
          <w:p w14:paraId="6CBA073F">
            <w:pPr>
              <w:shd w:val="clear"/>
              <w:adjustRightInd w:val="0"/>
              <w:snapToGrid w:val="0"/>
              <w:spacing w:line="360" w:lineRule="auto"/>
              <w:rPr>
                <w:rFonts w:ascii="宋体" w:hAnsi="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不允许分包</w:t>
            </w:r>
          </w:p>
        </w:tc>
      </w:tr>
      <w:tr w14:paraId="4BB697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61A843A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第21.1款</w:t>
            </w:r>
          </w:p>
        </w:tc>
        <w:tc>
          <w:tcPr>
            <w:tcW w:w="1755" w:type="dxa"/>
            <w:vAlign w:val="center"/>
          </w:tcPr>
          <w:p w14:paraId="746F5B0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电子投标文件</w:t>
            </w:r>
          </w:p>
          <w:p w14:paraId="5656393A">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制作要求</w:t>
            </w:r>
          </w:p>
        </w:tc>
        <w:tc>
          <w:tcPr>
            <w:tcW w:w="6702" w:type="dxa"/>
            <w:vAlign w:val="center"/>
          </w:tcPr>
          <w:p w14:paraId="35C16E70">
            <w:pPr>
              <w:shd w:val="clea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电子投标文件必须使用岳阳市公共资源交易网发布的“电子投标文件制作工具”编制生成。</w:t>
            </w:r>
          </w:p>
        </w:tc>
      </w:tr>
      <w:tr w14:paraId="3900F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2A145C9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第20款</w:t>
            </w:r>
          </w:p>
        </w:tc>
        <w:tc>
          <w:tcPr>
            <w:tcW w:w="1755" w:type="dxa"/>
            <w:vAlign w:val="center"/>
          </w:tcPr>
          <w:p w14:paraId="3DD64DAA">
            <w:pPr>
              <w:shd w:val="clear"/>
              <w:spacing w:line="288"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投标文件份数</w:t>
            </w:r>
          </w:p>
        </w:tc>
        <w:tc>
          <w:tcPr>
            <w:tcW w:w="6702" w:type="dxa"/>
            <w:vAlign w:val="center"/>
          </w:tcPr>
          <w:p w14:paraId="34E8D557">
            <w:pPr>
              <w:shd w:val="clear"/>
              <w:adjustRightInd w:val="0"/>
              <w:snapToGrid w:val="0"/>
              <w:spacing w:before="156" w:beforeLines="50"/>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在投标截止时间前通过岳阳市公共资源交易平台递交电子投标文件，（中标单位在领取中标通知书之前，需要提供一正两副共三份完整的纸质投标文件用于备案，当提供的纸质文件资料与岳阳市公共资源交易网记录的电子文件资料不一致时，以电子文件资料为准。）</w:t>
            </w:r>
          </w:p>
        </w:tc>
      </w:tr>
      <w:tr w14:paraId="4CDECD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733" w:type="dxa"/>
            <w:gridSpan w:val="3"/>
            <w:vAlign w:val="center"/>
          </w:tcPr>
          <w:p w14:paraId="4009DFEA">
            <w:pPr>
              <w:shd w:val="clear"/>
              <w:adjustRightInd w:val="0"/>
              <w:snapToGrid w:val="0"/>
              <w:spacing w:line="360" w:lineRule="auto"/>
              <w:rPr>
                <w:rFonts w:ascii="宋体" w:hAnsi="宋体"/>
                <w:b/>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四、投标</w:t>
            </w:r>
          </w:p>
        </w:tc>
      </w:tr>
      <w:tr w14:paraId="0D668D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2A841883">
            <w:pPr>
              <w:shd w:val="clear"/>
              <w:adjustRightInd w:val="0"/>
              <w:snapToGrid w:val="0"/>
              <w:spacing w:line="360" w:lineRule="auto"/>
              <w:jc w:val="center"/>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lang w:val="en-US" w:eastAsia="zh-CN"/>
                <w14:textFill>
                  <w14:solidFill>
                    <w14:schemeClr w14:val="tx1"/>
                  </w14:solidFill>
                </w14:textFill>
              </w:rPr>
              <w:t>3</w:t>
            </w:r>
          </w:p>
        </w:tc>
        <w:tc>
          <w:tcPr>
            <w:tcW w:w="1755" w:type="dxa"/>
            <w:vAlign w:val="center"/>
          </w:tcPr>
          <w:p w14:paraId="098A54F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投标文件的递交</w:t>
            </w:r>
          </w:p>
        </w:tc>
        <w:tc>
          <w:tcPr>
            <w:tcW w:w="6702" w:type="dxa"/>
            <w:vAlign w:val="center"/>
          </w:tcPr>
          <w:p w14:paraId="5C8D5EDB">
            <w:pPr>
              <w:shd w:val="clear"/>
              <w:adjustRightInd w:val="0"/>
              <w:snapToGrid w:val="0"/>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实行网上投标，投标人必须在</w:t>
            </w:r>
            <w:r>
              <w:rPr>
                <w:rFonts w:hint="eastAsia" w:ascii="宋体" w:hAnsi="宋体"/>
                <w:color w:val="000000" w:themeColor="text1"/>
                <w:highlight w:val="none"/>
                <w:lang w:eastAsia="zh-CN"/>
                <w14:textFill>
                  <w14:solidFill>
                    <w14:schemeClr w14:val="tx1"/>
                  </w14:solidFill>
                </w14:textFill>
              </w:rPr>
              <w:t>招标文件</w:t>
            </w:r>
            <w:r>
              <w:rPr>
                <w:rFonts w:hint="eastAsia" w:ascii="宋体" w:hAnsi="宋体"/>
                <w:color w:val="000000" w:themeColor="text1"/>
                <w:highlight w:val="none"/>
                <w14:textFill>
                  <w14:solidFill>
                    <w14:schemeClr w14:val="tx1"/>
                  </w14:solidFill>
                </w14:textFill>
              </w:rPr>
              <w:t>规定的投标截止时间前用电子密钥登录</w:t>
            </w:r>
            <w:r>
              <w:rPr>
                <w:rFonts w:hint="eastAsia" w:ascii="宋体" w:hAnsi="宋体" w:cs="宋体"/>
                <w:color w:val="000000" w:themeColor="text1"/>
                <w:kern w:val="0"/>
                <w:szCs w:val="21"/>
                <w:highlight w:val="none"/>
                <w14:textFill>
                  <w14:solidFill>
                    <w14:schemeClr w14:val="tx1"/>
                  </w14:solidFill>
                </w14:textFill>
              </w:rPr>
              <w:t>“岳阳市公共资源交易中心</w:t>
            </w:r>
            <w:r>
              <w:rPr>
                <w:rFonts w:hint="eastAsia" w:ascii="宋体" w:hAnsi="宋体"/>
                <w:color w:val="000000" w:themeColor="text1"/>
                <w:szCs w:val="21"/>
                <w:highlight w:val="none"/>
                <w14:textFill>
                  <w14:solidFill>
                    <w14:schemeClr w14:val="tx1"/>
                  </w14:solidFill>
                </w14:textFill>
              </w:rPr>
              <w:t>电子交易平台”</w:t>
            </w:r>
            <w:r>
              <w:rPr>
                <w:rFonts w:ascii="宋体" w:hAnsi="宋体" w:cs="宋体"/>
                <w:color w:val="000000" w:themeColor="text1"/>
                <w:kern w:val="0"/>
                <w:szCs w:val="21"/>
                <w:highlight w:val="none"/>
                <w14:textFill>
                  <w14:solidFill>
                    <w14:schemeClr w14:val="tx1"/>
                  </w14:solidFill>
                </w14:textFill>
              </w:rPr>
              <w:t>（http</w:t>
            </w:r>
            <w:r>
              <w:rPr>
                <w:rFonts w:hint="eastAsia" w:ascii="宋体" w:hAnsi="宋体" w:cs="宋体"/>
                <w:color w:val="000000" w:themeColor="text1"/>
                <w:kern w:val="0"/>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//222.242.228.197</w:t>
            </w:r>
            <w:r>
              <w:rPr>
                <w:rFonts w:hint="eastAsia" w:ascii="宋体" w:hAnsi="宋体" w:cs="宋体"/>
                <w:color w:val="000000" w:themeColor="text1"/>
                <w:kern w:val="0"/>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8083/TPBidder/memberLogin）</w:t>
            </w:r>
            <w:r>
              <w:rPr>
                <w:rFonts w:hint="eastAsia" w:ascii="宋体" w:hAnsi="宋体"/>
                <w:color w:val="000000" w:themeColor="text1"/>
                <w:highlight w:val="none"/>
                <w14:textFill>
                  <w14:solidFill>
                    <w14:schemeClr w14:val="tx1"/>
                  </w14:solidFill>
                </w14:textFill>
              </w:rPr>
              <w:t>完成文件递交。</w:t>
            </w:r>
          </w:p>
          <w:p w14:paraId="14F49233">
            <w:pPr>
              <w:shd w:val="clear"/>
              <w:adjustRightInd w:val="0"/>
              <w:snapToGrid w:val="0"/>
              <w:spacing w:line="360" w:lineRule="auto"/>
              <w:rPr>
                <w:rFonts w:hint="eastAsia" w:ascii="宋体" w:hAnsi="宋体" w:eastAsia="宋体" w:cs="宋体"/>
                <w:b/>
                <w:bCs/>
                <w:color w:val="000000" w:themeColor="text1"/>
                <w:szCs w:val="21"/>
                <w:highlight w:val="none"/>
                <w:u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其递交的电子投标文件具备法律效力，逾期递交的电子投标文件，电子交易平台将予以拒收。</w:t>
            </w:r>
          </w:p>
        </w:tc>
      </w:tr>
      <w:tr w14:paraId="62F62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733" w:type="dxa"/>
            <w:gridSpan w:val="3"/>
            <w:vAlign w:val="center"/>
          </w:tcPr>
          <w:p w14:paraId="26EDBB2F">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五、开标、资格审查和评标</w:t>
            </w:r>
          </w:p>
        </w:tc>
      </w:tr>
      <w:tr w14:paraId="5622AF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76" w:type="dxa"/>
            <w:vAlign w:val="center"/>
          </w:tcPr>
          <w:p w14:paraId="7B215FF2">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第26.1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163AF7D0">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需要宣布的其他内容</w:t>
            </w:r>
          </w:p>
        </w:tc>
        <w:tc>
          <w:tcPr>
            <w:tcW w:w="6702" w:type="dxa"/>
            <w:vAlign w:val="center"/>
          </w:tcPr>
          <w:p w14:paraId="65837505">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无</w:t>
            </w:r>
          </w:p>
        </w:tc>
      </w:tr>
      <w:tr w14:paraId="2BDF14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07DB9330">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第26.2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409C1BD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解密时长</w:t>
            </w:r>
          </w:p>
        </w:tc>
        <w:tc>
          <w:tcPr>
            <w:tcW w:w="6702" w:type="dxa"/>
            <w:vAlign w:val="center"/>
          </w:tcPr>
          <w:p w14:paraId="483286AE">
            <w:pPr>
              <w:shd w:val="clea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30 分钟</w:t>
            </w:r>
          </w:p>
        </w:tc>
      </w:tr>
      <w:tr w14:paraId="28D4C8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733" w:type="dxa"/>
            <w:gridSpan w:val="3"/>
            <w:vAlign w:val="center"/>
          </w:tcPr>
          <w:p w14:paraId="25B17751">
            <w:pPr>
              <w:shd w:val="clear"/>
              <w:adjustRightInd w:val="0"/>
              <w:snapToGrid w:val="0"/>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六、中标信息公布</w:t>
            </w:r>
          </w:p>
        </w:tc>
      </w:tr>
      <w:tr w14:paraId="327ABE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2111F72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w:t>
            </w: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7694D59C">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确定中标人的方式</w:t>
            </w:r>
          </w:p>
        </w:tc>
        <w:tc>
          <w:tcPr>
            <w:tcW w:w="6702" w:type="dxa"/>
            <w:vAlign w:val="center"/>
          </w:tcPr>
          <w:p w14:paraId="2795D165">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 得分相同的，按投标报价由低到高顺序排列。得分且投标报价相同的并列。投标文件满足招标文件全部实质性要求，且按照评审因素的量化指标评审得分最高的投标人为排名第一的中标候选人。</w:t>
            </w:r>
          </w:p>
          <w:p w14:paraId="3E54947A">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随机抽取的方式。</w:t>
            </w:r>
          </w:p>
        </w:tc>
      </w:tr>
      <w:tr w14:paraId="74F414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733" w:type="dxa"/>
            <w:gridSpan w:val="3"/>
            <w:vAlign w:val="center"/>
          </w:tcPr>
          <w:p w14:paraId="562BCCF4">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七、合同签订</w:t>
            </w:r>
          </w:p>
        </w:tc>
      </w:tr>
      <w:tr w14:paraId="2FB4DA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1497149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14CF0514">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履约担保</w:t>
            </w:r>
          </w:p>
        </w:tc>
        <w:tc>
          <w:tcPr>
            <w:tcW w:w="6702" w:type="dxa"/>
            <w:vAlign w:val="center"/>
          </w:tcPr>
          <w:p w14:paraId="48D7B6CA">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不要求提供</w:t>
            </w:r>
          </w:p>
          <w:p w14:paraId="630A15AF">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要求提供，履约担保的金额为：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(现金或保函)。</w:t>
            </w:r>
          </w:p>
        </w:tc>
      </w:tr>
      <w:tr w14:paraId="052B61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733" w:type="dxa"/>
            <w:gridSpan w:val="3"/>
            <w:vAlign w:val="center"/>
          </w:tcPr>
          <w:p w14:paraId="2240EC4F">
            <w:pPr>
              <w:shd w:val="clear"/>
              <w:adjustRightInd w:val="0"/>
              <w:snapToGrid w:val="0"/>
              <w:spacing w:before="156" w:beforeLines="50"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八、其他规定</w:t>
            </w:r>
          </w:p>
        </w:tc>
      </w:tr>
      <w:tr w14:paraId="139685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1F64A88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w:t>
            </w:r>
            <w:r>
              <w:rPr>
                <w:rFonts w:ascii="宋体" w:hAnsi="宋体"/>
                <w:color w:val="000000" w:themeColor="text1"/>
                <w:szCs w:val="21"/>
                <w:highlight w:val="none"/>
                <w14:textFill>
                  <w14:solidFill>
                    <w14:schemeClr w14:val="tx1"/>
                  </w14:solidFill>
                </w14:textFill>
              </w:rPr>
              <w:t>8</w:t>
            </w:r>
            <w:r>
              <w:rPr>
                <w:rFonts w:hint="eastAsia" w:ascii="宋体" w:hAnsi="宋体"/>
                <w:color w:val="000000" w:themeColor="text1"/>
                <w:szCs w:val="21"/>
                <w:highlight w:val="none"/>
                <w14:textFill>
                  <w14:solidFill>
                    <w14:schemeClr w14:val="tx1"/>
                  </w14:solidFill>
                </w14:textFill>
              </w:rPr>
              <w:t>.1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348F65D8">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招标代理服务费</w:t>
            </w:r>
          </w:p>
        </w:tc>
        <w:tc>
          <w:tcPr>
            <w:tcW w:w="6702" w:type="dxa"/>
            <w:vAlign w:val="center"/>
          </w:tcPr>
          <w:p w14:paraId="4F81CB28">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招标代理服务费：</w:t>
            </w:r>
            <w:r>
              <w:rPr>
                <w:rFonts w:hint="eastAsia" w:ascii="宋体" w:hAnsi="宋体" w:cs="宋体"/>
                <w:color w:val="000000" w:themeColor="text1"/>
                <w:szCs w:val="21"/>
                <w:highlight w:val="none"/>
                <w:lang w:val="en-US" w:eastAsia="zh-CN"/>
                <w14:textFill>
                  <w14:solidFill>
                    <w14:schemeClr w14:val="tx1"/>
                  </w14:solidFill>
                </w14:textFill>
              </w:rPr>
              <w:t>11260.00</w:t>
            </w:r>
            <w:r>
              <w:rPr>
                <w:rFonts w:hint="eastAsia" w:ascii="宋体" w:hAnsi="宋体" w:cs="宋体"/>
                <w:color w:val="000000" w:themeColor="text1"/>
                <w:szCs w:val="21"/>
                <w:highlight w:val="none"/>
                <w14:textFill>
                  <w14:solidFill>
                    <w14:schemeClr w14:val="tx1"/>
                  </w14:solidFill>
                </w14:textFill>
              </w:rPr>
              <w:t>元，由采购人向代理机构支付。</w:t>
            </w:r>
          </w:p>
        </w:tc>
      </w:tr>
      <w:tr w14:paraId="11EE8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Align w:val="center"/>
          </w:tcPr>
          <w:p w14:paraId="1FF79D7C">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第3</w:t>
            </w:r>
            <w:r>
              <w:rPr>
                <w:rFonts w:ascii="宋体" w:hAnsi="宋体"/>
                <w:color w:val="000000" w:themeColor="text1"/>
                <w:szCs w:val="21"/>
                <w:highlight w:val="none"/>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.1</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1755" w:type="dxa"/>
            <w:vAlign w:val="center"/>
          </w:tcPr>
          <w:p w14:paraId="121860B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其他规定</w:t>
            </w:r>
          </w:p>
        </w:tc>
        <w:tc>
          <w:tcPr>
            <w:tcW w:w="6702" w:type="dxa"/>
            <w:vAlign w:val="center"/>
          </w:tcPr>
          <w:p w14:paraId="7F6D7624">
            <w:pPr>
              <w:shd w:val="clear"/>
              <w:adjustRightInd w:val="0"/>
              <w:snapToGrid w:val="0"/>
              <w:spacing w:before="156" w:beforeLines="50"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对列入失信被执行人、重大税收违法案件当事人名单、政府采购严重违法失信行为记录名单及其他不符合《中华人民共和国政府采购法》第二十二条规定条件的投标人，应当拒绝其参与政府采购活动。</w:t>
            </w:r>
          </w:p>
          <w:p w14:paraId="5EC60235">
            <w:pPr>
              <w:shd w:val="clear"/>
              <w:adjustRightInd w:val="0"/>
              <w:snapToGrid w:val="0"/>
              <w:spacing w:before="156" w:beforeLines="50"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两个以上的自然人、法人或者其他组织组成一个联合体，以一个投标人的身份共同参加政府采购活动的，应当对所有联合体成员进行信用记录查询，联合体成员存在不良信用记录的，视同联合体存在不良信用记录。</w:t>
            </w:r>
          </w:p>
          <w:p w14:paraId="238C30AB">
            <w:pPr>
              <w:shd w:val="clear"/>
              <w:adjustRightInd w:val="0"/>
              <w:snapToGrid w:val="0"/>
              <w:spacing w:before="156" w:beforeLines="50"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14:textFill>
                  <w14:solidFill>
                    <w14:schemeClr w14:val="tx1"/>
                  </w14:solidFill>
                </w14:textFill>
              </w:rPr>
              <w:t>信用信息查询的截止时点：至本项目首次响应文件的提交截止时间止。</w:t>
            </w:r>
          </w:p>
          <w:p w14:paraId="1B06C8E7">
            <w:pPr>
              <w:shd w:val="clear"/>
              <w:adjustRightInd w:val="0"/>
              <w:snapToGrid w:val="0"/>
              <w:spacing w:before="156" w:beforeLines="50"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信用信息查询记录的具体方式：由采购人或采购代理机构在“信用中国”网站(www. creditchina. gov.cn)、中国政府采购网(www.ccgp.gov.cn)查询相关主体信用记录。</w:t>
            </w:r>
          </w:p>
          <w:p w14:paraId="0BED2450">
            <w:pPr>
              <w:shd w:val="clear"/>
              <w:adjustRightInd w:val="0"/>
              <w:snapToGrid w:val="0"/>
              <w:spacing w:before="156" w:beforeLines="50"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信用信息查询记录证据留存的具体方式：查询记录的网上打印件。</w:t>
            </w:r>
          </w:p>
          <w:p w14:paraId="0E7E2F29">
            <w:pPr>
              <w:shd w:val="clear"/>
              <w:adjustRightInd w:val="0"/>
              <w:snapToGrid w:val="0"/>
              <w:spacing w:before="156" w:beforeLines="50"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信用信息的使用规则：对列入失信被执行人、重大税收违法案件当事人名单、政府采购严重违法失信行为记录名单的供应商，将拒绝其参与政府采购活动。</w:t>
            </w:r>
          </w:p>
        </w:tc>
      </w:tr>
    </w:tbl>
    <w:p w14:paraId="58210C94">
      <w:pPr>
        <w:shd w:val="clear"/>
        <w:adjustRightInd w:val="0"/>
        <w:snapToGrid w:val="0"/>
        <w:spacing w:line="360" w:lineRule="auto"/>
        <w:rPr>
          <w:rFonts w:ascii="黑体" w:hAnsi="宋体" w:eastAsia="黑体" w:cs="宋体"/>
          <w:color w:val="000000" w:themeColor="text1"/>
          <w:kern w:val="0"/>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br w:type="page"/>
      </w:r>
      <w:r>
        <w:rPr>
          <w:rFonts w:hint="eastAsia" w:ascii="黑体" w:hAnsi="宋体" w:eastAsia="黑体" w:cs="宋体"/>
          <w:color w:val="000000" w:themeColor="text1"/>
          <w:kern w:val="0"/>
          <w:szCs w:val="21"/>
          <w:highlight w:val="none"/>
          <w14:textFill>
            <w14:solidFill>
              <w14:schemeClr w14:val="tx1"/>
            </w14:solidFill>
          </w14:textFill>
        </w:rPr>
        <w:t>附页2-1</w:t>
      </w:r>
    </w:p>
    <w:p w14:paraId="2836A3E6">
      <w:pPr>
        <w:shd w:val="clear"/>
        <w:spacing w:line="360" w:lineRule="exact"/>
        <w:ind w:right="-58"/>
        <w:jc w:val="center"/>
        <w:rPr>
          <w:rFonts w:ascii="宋体" w:hAnsi="宋体" w:cs="仿宋_GB2312"/>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岳阳市公共资源交易事前信用承诺书</w:t>
      </w:r>
    </w:p>
    <w:p w14:paraId="3750756D">
      <w:pPr>
        <w:shd w:val="clear"/>
        <w:spacing w:line="560" w:lineRule="exact"/>
        <w:ind w:right="-58" w:firstLine="843" w:firstLineChars="300"/>
        <w:rPr>
          <w:rFonts w:ascii="宋体" w:hAnsi="宋体" w:cs="仿宋_GB2312"/>
          <w:color w:val="000000" w:themeColor="text1"/>
          <w:kern w:val="0"/>
          <w:sz w:val="32"/>
          <w:szCs w:val="32"/>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（投标人、供应商、竞买人、受让人等交易主体适用范本）</w:t>
      </w:r>
    </w:p>
    <w:p w14:paraId="4C405303">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为推进社会信用体系建设，营造诚实守信的公共资源交易环境，树立诚信守法、公平竞争的交易形象，本人作为（单位名称）的法定代表人代表本单位作出以下诚信承诺：</w:t>
      </w:r>
    </w:p>
    <w:p w14:paraId="1783E081">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（一）本单位填报或提交的单位基本信息、单位负责人、项目负责人、技术负责人、从业资质和资格、业绩、财务状况、信誉等所有资料和信息，均合法、真实、准确、有效，无任何伪造、篡改、虚假成份。</w:t>
      </w:r>
    </w:p>
    <w:p w14:paraId="0C5D39FE">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（二）严格依照国家、湖南省和岳阳市关于公共资源交易的法律、法规、规章、规范性文件，参加公共资源交易活动；积极履行社会责任，促进廉政建设。</w:t>
      </w:r>
    </w:p>
    <w:p w14:paraId="61DE9C0D">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（三）严格遵守岳阳市公共资源交易市场主体信息公示规定，及时维护和更新公共资源交易市场主体信息库中信息。</w:t>
      </w:r>
    </w:p>
    <w:p w14:paraId="2E71B4BD">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四）参与公共资源交易活动系本单位自愿行为。保证无组织或参与围标、串标、出卖（借）、转让资质证书或接受他人挂靠投标、以他人名义参与竞争或以其他方式弄虚作假骗取中标（成交）、恶意报价、恶意投诉等违法违规行为。</w:t>
      </w:r>
    </w:p>
    <w:p w14:paraId="58F86B0F">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（五）守合同、重信用，加强单位诚信建设。保证无恶意提高造价、违约毁约等行为。自觉维护公共资源交易良好秩序，自觉接受行政监督部门、纪检监察机关、行业组织、社会公众、新闻舆论的监督。</w:t>
      </w:r>
    </w:p>
    <w:p w14:paraId="20D8944C">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六）本单位自愿接受公共资源交易监督管理机构和有关行政监督部门的依法检查。如发生违法违规或不良行为，自愿接受有关行政监督部门依法给予的行政处罚（处理），执行诚信不良行为记录联合惩戒措施，触犯法律的，依法承担法律责任。</w:t>
      </w:r>
    </w:p>
    <w:p w14:paraId="4CB897E5">
      <w:pPr>
        <w:widowControl/>
        <w:shd w:val="clear"/>
        <w:spacing w:line="56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（七）本人郑重作出上述承诺。本人和单位员工均已熟悉诚信承诺内容并认真践行承诺。</w:t>
      </w:r>
    </w:p>
    <w:p w14:paraId="5327F710">
      <w:pPr>
        <w:widowControl/>
        <w:shd w:val="clear"/>
        <w:spacing w:line="560" w:lineRule="exact"/>
        <w:ind w:right="-57" w:firstLine="6090" w:firstLineChars="29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法定代表人签名：                                                </w:t>
      </w:r>
    </w:p>
    <w:p w14:paraId="52C4210A">
      <w:pPr>
        <w:widowControl/>
        <w:shd w:val="clear"/>
        <w:spacing w:line="560" w:lineRule="exact"/>
        <w:ind w:right="-57" w:firstLine="6090" w:firstLineChars="29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单位名称（盖章）：</w:t>
      </w:r>
    </w:p>
    <w:p w14:paraId="4B0E59AC">
      <w:pPr>
        <w:shd w:val="clear"/>
        <w:adjustRightInd w:val="0"/>
        <w:snapToGrid w:val="0"/>
        <w:spacing w:line="360" w:lineRule="auto"/>
        <w:jc w:val="left"/>
        <w:rPr>
          <w:b/>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年    月    日</w:t>
      </w:r>
    </w:p>
    <w:p w14:paraId="206EFD41">
      <w:pPr>
        <w:shd w:val="clear"/>
        <w:adjustRightInd w:val="0"/>
        <w:snapToGrid w:val="0"/>
        <w:spacing w:line="360" w:lineRule="auto"/>
        <w:jc w:val="center"/>
        <w:rPr>
          <w:rFonts w:ascii="黑体" w:hAnsi="宋体" w:eastAsia="黑体"/>
          <w:bCs/>
          <w:color w:val="000000" w:themeColor="text1"/>
          <w:szCs w:val="21"/>
          <w:highlight w:val="none"/>
          <w14:textFill>
            <w14:solidFill>
              <w14:schemeClr w14:val="tx1"/>
            </w14:solidFill>
          </w14:textFill>
        </w:rPr>
      </w:pPr>
      <w:r>
        <w:rPr>
          <w:rFonts w:hint="eastAsia" w:ascii="黑体" w:hAnsi="宋体" w:eastAsia="黑体"/>
          <w:bCs/>
          <w:color w:val="000000" w:themeColor="text1"/>
          <w:szCs w:val="21"/>
          <w:highlight w:val="none"/>
          <w14:textFill>
            <w14:solidFill>
              <w14:schemeClr w14:val="tx1"/>
            </w14:solidFill>
          </w14:textFill>
        </w:rPr>
        <w:br w:type="page"/>
      </w:r>
    </w:p>
    <w:p w14:paraId="5D2D538C">
      <w:pPr>
        <w:shd w:val="clear"/>
        <w:adjustRightInd w:val="0"/>
        <w:snapToGrid w:val="0"/>
        <w:spacing w:line="360" w:lineRule="auto"/>
        <w:rPr>
          <w:rFonts w:ascii="黑体" w:hAnsi="宋体" w:eastAsia="黑体"/>
          <w:bCs/>
          <w:color w:val="000000" w:themeColor="text1"/>
          <w:szCs w:val="21"/>
          <w:highlight w:val="none"/>
          <w14:textFill>
            <w14:solidFill>
              <w14:schemeClr w14:val="tx1"/>
            </w14:solidFill>
          </w14:textFill>
        </w:rPr>
      </w:pPr>
      <w:r>
        <w:rPr>
          <w:rFonts w:hint="eastAsia" w:ascii="黑体" w:hAnsi="宋体" w:eastAsia="黑体"/>
          <w:bCs/>
          <w:color w:val="000000" w:themeColor="text1"/>
          <w:szCs w:val="21"/>
          <w:highlight w:val="none"/>
          <w14:textFill>
            <w14:solidFill>
              <w14:schemeClr w14:val="tx1"/>
            </w14:solidFill>
          </w14:textFill>
        </w:rPr>
        <w:t>附页2-2</w:t>
      </w:r>
    </w:p>
    <w:p w14:paraId="409EE890">
      <w:pPr>
        <w:pStyle w:val="38"/>
        <w:keepNext w:val="0"/>
        <w:keepLines w:val="0"/>
        <w:widowControl/>
        <w:suppressLineNumbers w:val="0"/>
        <w:shd w:val="clear"/>
        <w:spacing w:before="0" w:beforeAutospacing="0" w:after="0" w:afterAutospacing="0"/>
        <w:ind w:left="0" w:right="0"/>
        <w:jc w:val="center"/>
        <w:rPr>
          <w:color w:val="000000" w:themeColor="text1"/>
          <w:highlight w:val="none"/>
          <w14:textFill>
            <w14:solidFill>
              <w14:schemeClr w14:val="tx1"/>
            </w14:solidFill>
          </w14:textFill>
        </w:rPr>
      </w:pPr>
      <w:r>
        <w:rPr>
          <w:rFonts w:hint="eastAsia" w:ascii="宋体" w:hAnsi="宋体" w:eastAsia="宋体" w:cs="宋体"/>
          <w:b/>
          <w:bCs/>
          <w:i w:val="0"/>
          <w:iCs w:val="0"/>
          <w:color w:val="000000" w:themeColor="text1"/>
          <w:spacing w:val="0"/>
          <w:w w:val="100"/>
          <w:sz w:val="28"/>
          <w:szCs w:val="28"/>
          <w:highlight w:val="none"/>
          <w:vertAlign w:val="baseline"/>
          <w14:textFill>
            <w14:solidFill>
              <w14:schemeClr w14:val="tx1"/>
            </w14:solidFill>
          </w14:textFill>
        </w:rPr>
        <w:t>岳阳市政府采购合同融资合作银行及联系人名单</w:t>
      </w:r>
    </w:p>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096"/>
        <w:gridCol w:w="756"/>
        <w:gridCol w:w="2586"/>
        <w:gridCol w:w="2084"/>
      </w:tblGrid>
      <w:tr w14:paraId="64E9E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1" w:hRule="atLeast"/>
        </w:trPr>
        <w:tc>
          <w:tcPr>
            <w:tcW w:w="3096" w:type="dxa"/>
            <w:tcBorders>
              <w:top w:val="single" w:color="auto" w:sz="4"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11137777">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银行名称</w:t>
            </w:r>
          </w:p>
        </w:tc>
        <w:tc>
          <w:tcPr>
            <w:tcW w:w="756" w:type="dxa"/>
            <w:tcBorders>
              <w:top w:val="single" w:color="auto" w:sz="4"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E2328EC">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联系人</w:t>
            </w:r>
          </w:p>
        </w:tc>
        <w:tc>
          <w:tcPr>
            <w:tcW w:w="2586" w:type="dxa"/>
            <w:tcBorders>
              <w:top w:val="single" w:color="auto" w:sz="4"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7C9BBB72">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职 务</w:t>
            </w:r>
          </w:p>
        </w:tc>
        <w:tc>
          <w:tcPr>
            <w:tcW w:w="2084" w:type="dxa"/>
            <w:tcBorders>
              <w:top w:val="single" w:color="auto" w:sz="4"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1DF077FE">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联系电话</w:t>
            </w:r>
          </w:p>
        </w:tc>
      </w:tr>
      <w:tr w14:paraId="151C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2DD5B6F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交通银行岳阳分行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5C43D6A0">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黄 颖</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3D7B213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公司、普惠部总经理</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183570C6">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18873011060</w:t>
            </w:r>
          </w:p>
        </w:tc>
      </w:tr>
      <w:tr w14:paraId="69FA6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0BA9AF3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交通银行岳阳分行府东支行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1E124390">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蒋莉华</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8C42F4D">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支行行长</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7D90AEA5">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13973004180</w:t>
            </w:r>
          </w:p>
        </w:tc>
      </w:tr>
      <w:tr w14:paraId="17D4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7194394E">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湖南岳阳农村商业银行股份有限公司</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772D7E8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徐顶龙</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74EB0C2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总行副行长</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79CC4AD0">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18173002929</w:t>
            </w:r>
          </w:p>
        </w:tc>
      </w:tr>
      <w:tr w14:paraId="1C21C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10081E5D">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湖南岳阳农村商业银行股份有限公司</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775D3633">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彭靖夫</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61917F97">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总行营业部副主任</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16155655">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18273053888</w:t>
            </w:r>
          </w:p>
        </w:tc>
      </w:tr>
      <w:tr w14:paraId="6C55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078B67E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农业银行岳阳分行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5E6A16D5">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黄立军</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3AC4B53A">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普惠部负责人</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6CE98DD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18973061212</w:t>
            </w:r>
          </w:p>
        </w:tc>
      </w:tr>
      <w:tr w14:paraId="4C37E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140F06DA">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农业银行岳阳分行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1B837396">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周 芊</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7FEF0932">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普惠部经办人</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7C9B9C9E">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13975036393</w:t>
            </w:r>
          </w:p>
        </w:tc>
      </w:tr>
      <w:tr w14:paraId="2252D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2CDAA2C0">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湖南银行岳阳分行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17A3530B">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何昌林</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543E43EB">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分行副行长</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625923B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15707306666</w:t>
            </w:r>
          </w:p>
        </w:tc>
      </w:tr>
      <w:tr w14:paraId="06E0F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54A99220">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湖南银行岳阳分行财源支行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605DA941">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张 璐</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04B1846">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客户经理</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1C5BF4C2">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13707308320</w:t>
            </w:r>
          </w:p>
        </w:tc>
      </w:tr>
      <w:tr w14:paraId="6BE7E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6F1BEFB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巴陵农村商业银行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29197E20">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柳 斌</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33A8B7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总行党委-副行长</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3A9F53EE">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13789029698</w:t>
            </w:r>
          </w:p>
        </w:tc>
      </w:tr>
      <w:tr w14:paraId="3582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13833A65">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巴陵农商行德胜路分理处</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545147EA">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付素洁</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718049A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支行副行长</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2C524DBA">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13907309327</w:t>
            </w:r>
          </w:p>
        </w:tc>
      </w:tr>
      <w:tr w14:paraId="695DB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0A906066">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中国建设银行岳阳市分行营业部</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5ADF4E8E">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邹鸿志</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47A923A">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分行营业部副行长</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795B60F1">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18711236688</w:t>
            </w:r>
          </w:p>
        </w:tc>
      </w:tr>
      <w:tr w14:paraId="5E27A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69047A38">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中国建设银行岳阳市分行营业部</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6910C2F3">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刘紫薇</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42E44AA">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分行普惠部客户经理</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35DBD902">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19967060009</w:t>
            </w:r>
          </w:p>
        </w:tc>
      </w:tr>
      <w:tr w14:paraId="3B66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3A21813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中国建设银行岳阳市分行营业部</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6F9C303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李润泽</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03771DAE">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分行营业部客户经理</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16648262">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13337309009</w:t>
            </w:r>
          </w:p>
        </w:tc>
      </w:tr>
      <w:tr w14:paraId="26291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2FCA0948">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兴业银行岳阳分行营业部</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C2339E6">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谭 丽</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35A738C3">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总经理</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381B3801">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18773081188</w:t>
            </w:r>
          </w:p>
        </w:tc>
      </w:tr>
      <w:tr w14:paraId="5BFB4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073D16D4">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兴业银行岳阳分行营业部</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3C0D26DB">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李江天</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6973B4F0">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客户经理</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0A947C2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19573070611</w:t>
            </w:r>
          </w:p>
        </w:tc>
      </w:tr>
      <w:tr w14:paraId="5F76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671DE0DF">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中信银行岳阳分行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3750B78D">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李箐笛</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150389EF">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公司部客户经理</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6DDB1C51">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13117516881</w:t>
            </w:r>
          </w:p>
        </w:tc>
      </w:tr>
      <w:tr w14:paraId="58361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38EA7222">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工商银行岳阳分行</w:t>
            </w:r>
          </w:p>
        </w:tc>
        <w:tc>
          <w:tcPr>
            <w:tcW w:w="75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71394D0B">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杨文韬</w:t>
            </w:r>
          </w:p>
        </w:tc>
        <w:tc>
          <w:tcPr>
            <w:tcW w:w="2586"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37E3B44D">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普惠部负责人</w:t>
            </w:r>
          </w:p>
        </w:tc>
        <w:tc>
          <w:tcPr>
            <w:tcW w:w="2084"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72018DD3">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13789018303</w:t>
            </w:r>
          </w:p>
        </w:tc>
      </w:tr>
      <w:tr w14:paraId="2905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3096" w:type="dxa"/>
            <w:tcBorders>
              <w:top w:val="single" w:color="auto" w:sz="6" w:space="0"/>
              <w:left w:val="single" w:color="auto" w:sz="4" w:space="0"/>
              <w:bottom w:val="single" w:color="auto" w:sz="4" w:space="0"/>
              <w:right w:val="single" w:color="auto" w:sz="6" w:space="0"/>
            </w:tcBorders>
            <w:shd w:val="clear" w:color="auto" w:fill="auto"/>
            <w:tcMar>
              <w:top w:w="0" w:type="dxa"/>
              <w:left w:w="108" w:type="dxa"/>
              <w:bottom w:w="0" w:type="dxa"/>
              <w:right w:w="108" w:type="dxa"/>
            </w:tcMar>
            <w:vAlign w:val="center"/>
          </w:tcPr>
          <w:p w14:paraId="10DC089F">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工商银行岳阳分行</w:t>
            </w:r>
          </w:p>
        </w:tc>
        <w:tc>
          <w:tcPr>
            <w:tcW w:w="756" w:type="dxa"/>
            <w:tcBorders>
              <w:top w:val="single" w:color="auto" w:sz="6" w:space="0"/>
              <w:left w:val="single" w:color="auto" w:sz="6" w:space="0"/>
              <w:bottom w:val="single" w:color="auto" w:sz="4" w:space="0"/>
              <w:right w:val="single" w:color="auto" w:sz="6" w:space="0"/>
            </w:tcBorders>
            <w:shd w:val="clear" w:color="auto" w:fill="auto"/>
            <w:tcMar>
              <w:top w:w="0" w:type="dxa"/>
              <w:left w:w="108" w:type="dxa"/>
              <w:bottom w:w="0" w:type="dxa"/>
              <w:right w:w="108" w:type="dxa"/>
            </w:tcMar>
            <w:vAlign w:val="center"/>
          </w:tcPr>
          <w:p w14:paraId="5506F27A">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陈 盈</w:t>
            </w:r>
          </w:p>
        </w:tc>
        <w:tc>
          <w:tcPr>
            <w:tcW w:w="2586" w:type="dxa"/>
            <w:tcBorders>
              <w:top w:val="single" w:color="auto" w:sz="6" w:space="0"/>
              <w:left w:val="single" w:color="auto" w:sz="6" w:space="0"/>
              <w:bottom w:val="single" w:color="auto" w:sz="4" w:space="0"/>
              <w:right w:val="single" w:color="auto" w:sz="6" w:space="0"/>
            </w:tcBorders>
            <w:shd w:val="clear" w:color="auto" w:fill="auto"/>
            <w:tcMar>
              <w:top w:w="0" w:type="dxa"/>
              <w:left w:w="108" w:type="dxa"/>
              <w:bottom w:w="0" w:type="dxa"/>
              <w:right w:w="108" w:type="dxa"/>
            </w:tcMar>
            <w:vAlign w:val="center"/>
          </w:tcPr>
          <w:p w14:paraId="3AFC2D29">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普惠部经办人</w:t>
            </w:r>
          </w:p>
        </w:tc>
        <w:tc>
          <w:tcPr>
            <w:tcW w:w="2084" w:type="dxa"/>
            <w:tcBorders>
              <w:top w:val="single" w:color="auto" w:sz="6" w:space="0"/>
              <w:left w:val="single" w:color="auto" w:sz="6" w:space="0"/>
              <w:bottom w:val="single" w:color="auto" w:sz="4" w:space="0"/>
              <w:right w:val="single" w:color="auto" w:sz="4" w:space="0"/>
            </w:tcBorders>
            <w:shd w:val="clear" w:color="auto" w:fill="auto"/>
            <w:tcMar>
              <w:top w:w="0" w:type="dxa"/>
              <w:left w:w="108" w:type="dxa"/>
              <w:bottom w:w="0" w:type="dxa"/>
              <w:right w:w="108" w:type="dxa"/>
            </w:tcMar>
            <w:vAlign w:val="center"/>
          </w:tcPr>
          <w:p w14:paraId="784C7697">
            <w:pPr>
              <w:pStyle w:val="38"/>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18"/>
                <w:szCs w:val="18"/>
                <w:highlight w:val="none"/>
                <w:vertAlign w:val="baseline"/>
                <w14:textFill>
                  <w14:solidFill>
                    <w14:schemeClr w14:val="tx1"/>
                  </w14:solidFill>
                </w14:textFill>
              </w:rPr>
              <w:t>17872007507</w:t>
            </w:r>
          </w:p>
        </w:tc>
      </w:tr>
    </w:tbl>
    <w:p w14:paraId="6207677D">
      <w:pPr>
        <w:pStyle w:val="4"/>
        <w:keepNext w:val="0"/>
        <w:keepLines w:val="0"/>
        <w:widowControl/>
        <w:suppressLineNumbers w:val="0"/>
        <w:shd w:val="clear"/>
        <w:spacing w:before="0" w:beforeAutospacing="0" w:after="0" w:afterAutospacing="0" w:line="23" w:lineRule="atLeast"/>
        <w:ind w:left="0" w:right="0"/>
        <w:jc w:val="center"/>
        <w:rPr>
          <w:color w:val="000000" w:themeColor="text1"/>
          <w:highlight w:val="none"/>
          <w14:textFill>
            <w14:solidFill>
              <w14:schemeClr w14:val="tx1"/>
            </w14:solidFill>
          </w14:textFill>
        </w:rPr>
      </w:pPr>
      <w:r>
        <w:rPr>
          <w:rFonts w:hint="eastAsia" w:ascii="宋体" w:hAnsi="宋体" w:eastAsia="宋体" w:cs="宋体"/>
          <w:b/>
          <w:bCs/>
          <w:i w:val="0"/>
          <w:iCs w:val="0"/>
          <w:color w:val="000000" w:themeColor="text1"/>
          <w:spacing w:val="0"/>
          <w:w w:val="100"/>
          <w:sz w:val="28"/>
          <w:szCs w:val="28"/>
          <w:highlight w:val="none"/>
          <w:vertAlign w:val="baseline"/>
          <w14:textFill>
            <w14:solidFill>
              <w14:schemeClr w14:val="tx1"/>
            </w14:solidFill>
          </w14:textFill>
        </w:rPr>
        <w:t>岳阳市政府采购信用担保试点工作的信用担保机构名单</w:t>
      </w:r>
    </w:p>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357"/>
        <w:gridCol w:w="1088"/>
        <w:gridCol w:w="3191"/>
      </w:tblGrid>
      <w:tr w14:paraId="6C6B0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29" w:hRule="atLeast"/>
        </w:trPr>
        <w:tc>
          <w:tcPr>
            <w:tcW w:w="4357" w:type="dxa"/>
            <w:tcBorders>
              <w:top w:val="single" w:color="auto" w:sz="4"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6D5344B9">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bCs/>
                <w:i w:val="0"/>
                <w:iCs w:val="0"/>
                <w:color w:val="000000" w:themeColor="text1"/>
                <w:spacing w:val="0"/>
                <w:w w:val="100"/>
                <w:sz w:val="22"/>
                <w:szCs w:val="22"/>
                <w:highlight w:val="none"/>
                <w:vertAlign w:val="baseline"/>
                <w14:textFill>
                  <w14:solidFill>
                    <w14:schemeClr w14:val="tx1"/>
                  </w14:solidFill>
                </w14:textFill>
              </w:rPr>
              <w:t>信用担保机构</w:t>
            </w:r>
          </w:p>
        </w:tc>
        <w:tc>
          <w:tcPr>
            <w:tcW w:w="1088" w:type="dxa"/>
            <w:tcBorders>
              <w:top w:val="single" w:color="auto" w:sz="4"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4C50BA2C">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bCs/>
                <w:i w:val="0"/>
                <w:iCs w:val="0"/>
                <w:color w:val="000000" w:themeColor="text1"/>
                <w:spacing w:val="0"/>
                <w:w w:val="100"/>
                <w:sz w:val="22"/>
                <w:szCs w:val="22"/>
                <w:highlight w:val="none"/>
                <w:vertAlign w:val="baseline"/>
                <w14:textFill>
                  <w14:solidFill>
                    <w14:schemeClr w14:val="tx1"/>
                  </w14:solidFill>
                </w14:textFill>
              </w:rPr>
              <w:t>联系人</w:t>
            </w:r>
          </w:p>
        </w:tc>
        <w:tc>
          <w:tcPr>
            <w:tcW w:w="3191" w:type="dxa"/>
            <w:tcBorders>
              <w:top w:val="single" w:color="auto" w:sz="4"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45A196B4">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bCs/>
                <w:i w:val="0"/>
                <w:iCs w:val="0"/>
                <w:color w:val="000000" w:themeColor="text1"/>
                <w:spacing w:val="0"/>
                <w:w w:val="100"/>
                <w:sz w:val="22"/>
                <w:szCs w:val="22"/>
                <w:highlight w:val="none"/>
                <w:vertAlign w:val="baseline"/>
                <w14:textFill>
                  <w14:solidFill>
                    <w14:schemeClr w14:val="tx1"/>
                  </w14:solidFill>
                </w14:textFill>
              </w:rPr>
              <w:t>联系电话</w:t>
            </w:r>
          </w:p>
        </w:tc>
      </w:tr>
      <w:tr w14:paraId="256A8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04" w:hRule="atLeast"/>
        </w:trPr>
        <w:tc>
          <w:tcPr>
            <w:tcW w:w="4357"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476E88C9">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岳阳市融资担保有限责任公司</w:t>
            </w:r>
          </w:p>
        </w:tc>
        <w:tc>
          <w:tcPr>
            <w:tcW w:w="1088"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0DAA15EE">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陈会亮</w:t>
            </w:r>
          </w:p>
        </w:tc>
        <w:tc>
          <w:tcPr>
            <w:tcW w:w="3191"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4CE64709">
            <w:pPr>
              <w:pStyle w:val="38"/>
              <w:keepNext w:val="0"/>
              <w:keepLines w:val="0"/>
              <w:widowControl/>
              <w:suppressLineNumbers w:val="0"/>
              <w:shd w:val="clear"/>
              <w:spacing w:before="0" w:beforeAutospacing="0" w:after="0" w:afterAutospacing="0" w:line="320" w:lineRule="exact"/>
              <w:ind w:left="0" w:right="0"/>
              <w:jc w:val="left"/>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0730-8717032/18907300076</w:t>
            </w:r>
          </w:p>
        </w:tc>
      </w:tr>
      <w:tr w14:paraId="6DC5F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04" w:hRule="atLeast"/>
        </w:trPr>
        <w:tc>
          <w:tcPr>
            <w:tcW w:w="4357" w:type="dxa"/>
            <w:tcBorders>
              <w:top w:val="single" w:color="auto" w:sz="6" w:space="0"/>
              <w:left w:val="single" w:color="auto" w:sz="4" w:space="0"/>
              <w:bottom w:val="single" w:color="auto" w:sz="6" w:space="0"/>
              <w:right w:val="single" w:color="auto" w:sz="6" w:space="0"/>
            </w:tcBorders>
            <w:shd w:val="clear" w:color="auto" w:fill="auto"/>
            <w:tcMar>
              <w:top w:w="0" w:type="dxa"/>
              <w:left w:w="108" w:type="dxa"/>
              <w:bottom w:w="0" w:type="dxa"/>
              <w:right w:w="108" w:type="dxa"/>
            </w:tcMar>
            <w:vAlign w:val="center"/>
          </w:tcPr>
          <w:p w14:paraId="1E5B8B82">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岳阳市融资担保有限责任公司</w:t>
            </w:r>
          </w:p>
        </w:tc>
        <w:tc>
          <w:tcPr>
            <w:tcW w:w="1088" w:type="dxa"/>
            <w:tcBorders>
              <w:top w:val="single" w:color="auto" w:sz="6" w:space="0"/>
              <w:left w:val="single" w:color="auto" w:sz="6" w:space="0"/>
              <w:bottom w:val="single" w:color="auto" w:sz="6" w:space="0"/>
              <w:right w:val="single" w:color="auto" w:sz="6" w:space="0"/>
            </w:tcBorders>
            <w:shd w:val="clear" w:color="auto" w:fill="auto"/>
            <w:tcMar>
              <w:top w:w="0" w:type="dxa"/>
              <w:left w:w="108" w:type="dxa"/>
              <w:bottom w:w="0" w:type="dxa"/>
              <w:right w:w="108" w:type="dxa"/>
            </w:tcMar>
            <w:vAlign w:val="center"/>
          </w:tcPr>
          <w:p w14:paraId="1DB0D443">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黎子龙</w:t>
            </w:r>
          </w:p>
        </w:tc>
        <w:tc>
          <w:tcPr>
            <w:tcW w:w="3191" w:type="dxa"/>
            <w:tcBorders>
              <w:top w:val="single" w:color="auto" w:sz="6" w:space="0"/>
              <w:left w:val="single" w:color="auto" w:sz="6" w:space="0"/>
              <w:bottom w:val="single" w:color="auto" w:sz="6" w:space="0"/>
              <w:right w:val="single" w:color="auto" w:sz="4" w:space="0"/>
            </w:tcBorders>
            <w:shd w:val="clear" w:color="auto" w:fill="auto"/>
            <w:tcMar>
              <w:top w:w="0" w:type="dxa"/>
              <w:left w:w="108" w:type="dxa"/>
              <w:bottom w:w="0" w:type="dxa"/>
              <w:right w:w="108" w:type="dxa"/>
            </w:tcMar>
            <w:vAlign w:val="center"/>
          </w:tcPr>
          <w:p w14:paraId="34C95B27">
            <w:pPr>
              <w:pStyle w:val="38"/>
              <w:keepNext w:val="0"/>
              <w:keepLines w:val="0"/>
              <w:widowControl/>
              <w:suppressLineNumbers w:val="0"/>
              <w:shd w:val="clear"/>
              <w:spacing w:before="0" w:beforeAutospacing="0" w:after="0" w:afterAutospacing="0" w:line="320" w:lineRule="exact"/>
              <w:ind w:left="0" w:right="0"/>
              <w:jc w:val="left"/>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0730-8717032/17773021899</w:t>
            </w:r>
          </w:p>
        </w:tc>
      </w:tr>
      <w:tr w14:paraId="57FFA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04" w:hRule="atLeast"/>
        </w:trPr>
        <w:tc>
          <w:tcPr>
            <w:tcW w:w="4357" w:type="dxa"/>
            <w:tcBorders>
              <w:top w:val="single" w:color="auto" w:sz="6" w:space="0"/>
              <w:left w:val="single" w:color="auto" w:sz="4" w:space="0"/>
              <w:bottom w:val="single" w:color="auto" w:sz="4" w:space="0"/>
              <w:right w:val="single" w:color="auto" w:sz="6" w:space="0"/>
            </w:tcBorders>
            <w:shd w:val="clear" w:color="auto" w:fill="auto"/>
            <w:tcMar>
              <w:top w:w="0" w:type="dxa"/>
              <w:left w:w="108" w:type="dxa"/>
              <w:bottom w:w="0" w:type="dxa"/>
              <w:right w:w="108" w:type="dxa"/>
            </w:tcMar>
            <w:vAlign w:val="center"/>
          </w:tcPr>
          <w:p w14:paraId="222EAE66">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湖南省农业信用担保有限公司</w:t>
            </w:r>
          </w:p>
          <w:p w14:paraId="1C51ADEF">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岳阳市分公司</w:t>
            </w:r>
          </w:p>
        </w:tc>
        <w:tc>
          <w:tcPr>
            <w:tcW w:w="1088" w:type="dxa"/>
            <w:tcBorders>
              <w:top w:val="single" w:color="auto" w:sz="6" w:space="0"/>
              <w:left w:val="single" w:color="auto" w:sz="6" w:space="0"/>
              <w:bottom w:val="single" w:color="auto" w:sz="4" w:space="0"/>
              <w:right w:val="single" w:color="auto" w:sz="6" w:space="0"/>
            </w:tcBorders>
            <w:shd w:val="clear" w:color="auto" w:fill="auto"/>
            <w:tcMar>
              <w:top w:w="0" w:type="dxa"/>
              <w:left w:w="108" w:type="dxa"/>
              <w:bottom w:w="0" w:type="dxa"/>
              <w:right w:w="108" w:type="dxa"/>
            </w:tcMar>
            <w:vAlign w:val="center"/>
          </w:tcPr>
          <w:p w14:paraId="07EAFE2A">
            <w:pPr>
              <w:pStyle w:val="38"/>
              <w:keepNext w:val="0"/>
              <w:keepLines w:val="0"/>
              <w:widowControl/>
              <w:suppressLineNumbers w:val="0"/>
              <w:shd w:val="clear"/>
              <w:spacing w:before="0" w:beforeAutospacing="0" w:after="0" w:afterAutospacing="0" w:line="320" w:lineRule="exact"/>
              <w:ind w:left="0" w:right="0"/>
              <w:jc w:val="center"/>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张 武</w:t>
            </w:r>
          </w:p>
        </w:tc>
        <w:tc>
          <w:tcPr>
            <w:tcW w:w="3191" w:type="dxa"/>
            <w:tcBorders>
              <w:top w:val="single" w:color="auto" w:sz="6" w:space="0"/>
              <w:left w:val="single" w:color="auto" w:sz="6" w:space="0"/>
              <w:bottom w:val="single" w:color="auto" w:sz="4" w:space="0"/>
              <w:right w:val="single" w:color="auto" w:sz="4" w:space="0"/>
            </w:tcBorders>
            <w:shd w:val="clear" w:color="auto" w:fill="auto"/>
            <w:tcMar>
              <w:top w:w="0" w:type="dxa"/>
              <w:left w:w="108" w:type="dxa"/>
              <w:bottom w:w="0" w:type="dxa"/>
              <w:right w:w="108" w:type="dxa"/>
            </w:tcMar>
            <w:vAlign w:val="center"/>
          </w:tcPr>
          <w:p w14:paraId="6FC806A6">
            <w:pPr>
              <w:pStyle w:val="38"/>
              <w:keepNext w:val="0"/>
              <w:keepLines w:val="0"/>
              <w:widowControl/>
              <w:suppressLineNumbers w:val="0"/>
              <w:shd w:val="clear"/>
              <w:spacing w:before="0" w:beforeAutospacing="0" w:after="0" w:afterAutospacing="0" w:line="320" w:lineRule="exact"/>
              <w:ind w:left="0" w:right="0"/>
              <w:jc w:val="left"/>
              <w:rPr>
                <w:color w:val="000000" w:themeColor="text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2"/>
                <w:szCs w:val="22"/>
                <w:highlight w:val="none"/>
                <w:vertAlign w:val="baseline"/>
                <w14:textFill>
                  <w14:solidFill>
                    <w14:schemeClr w14:val="tx1"/>
                  </w14:solidFill>
                </w14:textFill>
              </w:rPr>
              <w:t>0730-5220262/18973170258</w:t>
            </w:r>
          </w:p>
        </w:tc>
      </w:tr>
    </w:tbl>
    <w:p w14:paraId="749A60AF">
      <w:pPr>
        <w:widowControl/>
        <w:shd w:val="clear"/>
        <w:jc w:val="center"/>
        <w:rPr>
          <w:rFonts w:ascii="黑体" w:hAnsi="华文中宋" w:eastAsia="黑体"/>
          <w:b/>
          <w:color w:val="000000" w:themeColor="text1"/>
          <w:sz w:val="28"/>
          <w:szCs w:val="28"/>
          <w:highlight w:val="none"/>
          <w14:textFill>
            <w14:solidFill>
              <w14:schemeClr w14:val="tx1"/>
            </w14:solidFill>
          </w14:textFill>
        </w:rPr>
      </w:pPr>
      <w:r>
        <w:rPr>
          <w:rFonts w:ascii="黑体" w:hAnsi="华文中宋" w:eastAsia="黑体"/>
          <w:b/>
          <w:color w:val="000000" w:themeColor="text1"/>
          <w:sz w:val="28"/>
          <w:szCs w:val="28"/>
          <w:highlight w:val="none"/>
          <w14:textFill>
            <w14:solidFill>
              <w14:schemeClr w14:val="tx1"/>
            </w14:solidFill>
          </w14:textFill>
        </w:rPr>
        <w:br w:type="page"/>
      </w:r>
      <w:r>
        <w:rPr>
          <w:rFonts w:hint="eastAsia" w:ascii="黑体" w:hAnsi="华文中宋" w:eastAsia="黑体"/>
          <w:b/>
          <w:color w:val="000000" w:themeColor="text1"/>
          <w:sz w:val="28"/>
          <w:szCs w:val="28"/>
          <w:highlight w:val="none"/>
          <w14:textFill>
            <w14:solidFill>
              <w14:schemeClr w14:val="tx1"/>
            </w14:solidFill>
          </w14:textFill>
        </w:rPr>
        <w:t>正文</w:t>
      </w:r>
    </w:p>
    <w:p w14:paraId="79249943">
      <w:pPr>
        <w:pStyle w:val="89"/>
        <w:shd w:val="clear"/>
        <w:ind w:firstLine="0" w:firstLineChars="0"/>
        <w:jc w:val="left"/>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一、总则</w:t>
      </w:r>
    </w:p>
    <w:p w14:paraId="2396802A">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1.适用范围</w:t>
      </w:r>
    </w:p>
    <w:p w14:paraId="3EA01392">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1.1本招标文件仅适用于本章“投标须知前附表”（以下简称</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）中所叙述的采购项目。</w:t>
      </w:r>
    </w:p>
    <w:p w14:paraId="749266EE">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规定采购项目专门面向中小企业采购的，如投标人为非中小企业，其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5C71A298">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2.定义</w:t>
      </w:r>
    </w:p>
    <w:p w14:paraId="0E0D00A8">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2.1采购人名称、地址、电话、联系人见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w:t>
      </w:r>
    </w:p>
    <w:p w14:paraId="4967DEC1">
      <w:pPr>
        <w:shd w:val="clear"/>
        <w:adjustRightInd w:val="0"/>
        <w:snapToGrid w:val="0"/>
        <w:spacing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2.2采购代理机构名称、地址、电话、联系人见</w:t>
      </w:r>
      <w:r>
        <w:rPr>
          <w:rFonts w:hint="eastAsia" w:ascii="宋体" w:hAnsi="宋体"/>
          <w:b/>
          <w:color w:val="000000" w:themeColor="text1"/>
          <w:szCs w:val="21"/>
          <w:highlight w:val="none"/>
          <w14:textFill>
            <w14:solidFill>
              <w14:schemeClr w14:val="tx1"/>
            </w14:solidFill>
          </w14:textFill>
        </w:rPr>
        <w:t>【投标须知前附表】。</w:t>
      </w:r>
    </w:p>
    <w:p w14:paraId="58963DEF">
      <w:pPr>
        <w:shd w:val="clear"/>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2.3投标人系指响应招标、参加投标竞争的法人、其他组织或自然人。</w:t>
      </w:r>
    </w:p>
    <w:p w14:paraId="40011FF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2.4货物是指各种形态和种类的物品，包括原材料、燃料、设备、产品等，详见</w:t>
      </w:r>
      <w:r>
        <w:rPr>
          <w:color w:val="000000" w:themeColor="text1"/>
          <w:highlight w:val="none"/>
          <w14:textFill>
            <w14:solidFill>
              <w14:schemeClr w14:val="tx1"/>
            </w14:solidFill>
          </w14:textFill>
        </w:rPr>
        <w:t>《政府采购品目分类目录（2022年版）》（财库〔2022〕31号）</w:t>
      </w:r>
      <w:r>
        <w:rPr>
          <w:rFonts w:hint="eastAsia" w:ascii="宋体" w:hAnsi="宋体"/>
          <w:color w:val="000000" w:themeColor="text1"/>
          <w:szCs w:val="21"/>
          <w:highlight w:val="none"/>
          <w14:textFill>
            <w14:solidFill>
              <w14:schemeClr w14:val="tx1"/>
            </w14:solidFill>
          </w14:textFill>
        </w:rPr>
        <w:t>。</w:t>
      </w:r>
    </w:p>
    <w:p w14:paraId="7DE1C519">
      <w:pPr>
        <w:shd w:val="clear"/>
        <w:adjustRightInd w:val="0"/>
        <w:snapToGrid w:val="0"/>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2.5服务是政府自身需要的服务和政府向社会公众提供的服务，，详见</w:t>
      </w:r>
      <w:r>
        <w:rPr>
          <w:color w:val="000000" w:themeColor="text1"/>
          <w:highlight w:val="none"/>
          <w14:textFill>
            <w14:solidFill>
              <w14:schemeClr w14:val="tx1"/>
            </w14:solidFill>
          </w14:textFill>
        </w:rPr>
        <w:t>《政府采购品目分类目录（2022年版）》（财库〔2022〕31号）</w:t>
      </w:r>
      <w:r>
        <w:rPr>
          <w:rFonts w:hint="eastAsia" w:ascii="宋体" w:hAnsi="宋体"/>
          <w:color w:val="000000" w:themeColor="text1"/>
          <w:szCs w:val="21"/>
          <w:highlight w:val="none"/>
          <w14:textFill>
            <w14:solidFill>
              <w14:schemeClr w14:val="tx1"/>
            </w14:solidFill>
          </w14:textFill>
        </w:rPr>
        <w:t>。</w:t>
      </w:r>
    </w:p>
    <w:p w14:paraId="7386633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w:t>
      </w:r>
      <w:r>
        <w:rPr>
          <w:rFonts w:hint="eastAsia" w:ascii="宋体" w:hAnsi="宋体" w:cs="宋体"/>
          <w:color w:val="000000" w:themeColor="text1"/>
          <w:kern w:val="0"/>
          <w:szCs w:val="21"/>
          <w:highlight w:val="none"/>
          <w14:textFill>
            <w14:solidFill>
              <w14:schemeClr w14:val="tx1"/>
            </w14:solidFill>
          </w14:textFill>
        </w:rPr>
        <w:t>进口产品是指通过中国海关报关验放进入中国境内且产自关境外的产品，详见《关于政府采购进口产品管理有关问题的通知》（财库[2007]119号）。除</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s="宋体"/>
          <w:color w:val="000000" w:themeColor="text1"/>
          <w:kern w:val="0"/>
          <w:szCs w:val="21"/>
          <w:highlight w:val="none"/>
          <w14:textFill>
            <w14:solidFill>
              <w14:schemeClr w14:val="tx1"/>
            </w14:solidFill>
          </w14:textFill>
        </w:rPr>
        <w:t>另有规定外，采购项目拒绝进口产品参加投标。本款规定同意购买进口产品的，不限制满足招标文件要求的国内产品参与投标竞争。</w:t>
      </w:r>
    </w:p>
    <w:p w14:paraId="3A210FF5">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3.投标人的资格要求</w:t>
      </w:r>
    </w:p>
    <w:p w14:paraId="5104B75C">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3.1投标人应当符合</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规定的投标人资格条件。</w:t>
      </w:r>
    </w:p>
    <w:p w14:paraId="78B9DFF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 xml:space="preserve">规定接受联合体形式投标的，投标人除应符合本章第3.1款规定外，还应遵守以下规定： </w:t>
      </w:r>
    </w:p>
    <w:p w14:paraId="0990348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）联合体中有同类资质的供应商按照联合体分工承担相同工作的，应当按照资质等级较低的供应商确定资质等级。</w:t>
      </w:r>
    </w:p>
    <w:p w14:paraId="339DFBC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（2）联合体各方应按招标文件提供的格式签订联合体协议书，明确联合体牵头人和各方的权利义务、合同工作量比例；</w:t>
      </w:r>
    </w:p>
    <w:p w14:paraId="59D07E2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（3）联合体各方签订联合体协议书后，不得再单独参加或者与其他投标人组成新的联合体参加同一合同项下的采购活动。</w:t>
      </w:r>
    </w:p>
    <w:p w14:paraId="19F07138">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3.3投标人不得存在下列情形之一：</w:t>
      </w:r>
    </w:p>
    <w:p w14:paraId="29E22D8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）与采购人、采购代理机构存在</w:t>
      </w:r>
      <w:r>
        <w:rPr>
          <w:rFonts w:hint="eastAsia" w:ascii="宋体" w:hAnsi="宋体"/>
          <w:bCs/>
          <w:color w:val="000000" w:themeColor="text1"/>
          <w:szCs w:val="21"/>
          <w:highlight w:val="none"/>
          <w14:textFill>
            <w14:solidFill>
              <w14:schemeClr w14:val="tx1"/>
            </w14:solidFill>
          </w14:textFill>
        </w:rPr>
        <w:t>隶属关系或者其他利害关系</w:t>
      </w:r>
      <w:r>
        <w:rPr>
          <w:rFonts w:hint="eastAsia" w:ascii="宋体" w:hAnsi="宋体"/>
          <w:color w:val="000000" w:themeColor="text1"/>
          <w:szCs w:val="21"/>
          <w:highlight w:val="none"/>
          <w14:textFill>
            <w14:solidFill>
              <w14:schemeClr w14:val="tx1"/>
            </w14:solidFill>
          </w14:textFill>
        </w:rPr>
        <w:t>。</w:t>
      </w:r>
    </w:p>
    <w:p w14:paraId="43E4AE6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（2）单位负责人为同一人或者存在直接控股、管理关系的不同投标人，不得参加同一合同项下的采购活动。</w:t>
      </w:r>
    </w:p>
    <w:p w14:paraId="782C5056">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（3）为采购项目提供整体设计、规范编制或者项目管理、监理、检测等服务的投标人，不得再参加该采购项目的其他采购活动。</w:t>
      </w:r>
    </w:p>
    <w:p w14:paraId="2F17CDD6">
      <w:pPr>
        <w:shd w:val="clear"/>
        <w:adjustRightInd w:val="0"/>
        <w:snapToGrid w:val="0"/>
        <w:spacing w:line="360" w:lineRule="auto"/>
        <w:ind w:firstLine="420" w:firstLineChars="200"/>
        <w:jc w:val="left"/>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4）列入失信被执行人、重大税收违法失信主体名单、政府采购严重违法失信行为记录名单及其他不符合《中华人民共和国政府采购法》第二十二条规定条件（联合体形式投标的，联合体成员存在不良信用记录，视同联合体存在不良信用记录）。</w:t>
      </w:r>
    </w:p>
    <w:p w14:paraId="11B8571E">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 xml:space="preserve">4.投标费用 </w:t>
      </w:r>
    </w:p>
    <w:p w14:paraId="6E1BF97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4.1投标人应自行承担所有参与投标的相关费用，不论投标的结果如何，采购人或者采购代理机构均无义务和责任承担这些费用。</w:t>
      </w:r>
    </w:p>
    <w:p w14:paraId="38086EB9">
      <w:pPr>
        <w:shd w:val="clear"/>
        <w:adjustRightInd w:val="0"/>
        <w:snapToGrid w:val="0"/>
        <w:spacing w:line="360" w:lineRule="auto"/>
        <w:jc w:val="left"/>
        <w:rPr>
          <w:rFonts w:ascii="宋体" w:hAnsi="宋体"/>
          <w:b/>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5.</w:t>
      </w:r>
      <w:r>
        <w:rPr>
          <w:rFonts w:hint="eastAsia" w:ascii="宋体" w:hAnsi="宋体"/>
          <w:b/>
          <w:color w:val="000000" w:themeColor="text1"/>
          <w:highlight w:val="none"/>
          <w14:textFill>
            <w14:solidFill>
              <w14:schemeClr w14:val="tx1"/>
            </w14:solidFill>
          </w14:textFill>
        </w:rPr>
        <w:t>保密</w:t>
      </w:r>
    </w:p>
    <w:p w14:paraId="64403250">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5.1参与招标投标活动的各方应对招标文件和投标文件中的商业和技术等秘密保密，违者应对由此造成的后果承担法律责任。</w:t>
      </w:r>
    </w:p>
    <w:p w14:paraId="7ABE64AB">
      <w:pPr>
        <w:shd w:val="clear"/>
        <w:adjustRightInd w:val="0"/>
        <w:snapToGrid w:val="0"/>
        <w:spacing w:line="360" w:lineRule="auto"/>
        <w:jc w:val="left"/>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6．组织现场考察或者召开答疑会</w:t>
      </w:r>
    </w:p>
    <w:p w14:paraId="107E4F8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1采购人或者采购代理机构组织现场考察或者召开开标前答疑会的，获取招标文件的潜在投标人应按【投标须知前附表】规定参加现场考察或者答疑会；如不参加，其风险由其自行承担。</w:t>
      </w:r>
    </w:p>
    <w:p w14:paraId="5163D9F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6.2采购人或者采购代理机构召开开标前答疑会的，获取招标文件的潜在投标人应按</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规定的时间，以书面形式将提出的问题送达采购代理机构，以便采购人或者采购代理机构在会议期间澄清。答疑会后，对投标人所提问题的澄清，采购代理机构将按本章第10.1款或第10.2款相应规定办理。</w:t>
      </w:r>
    </w:p>
    <w:p w14:paraId="5998A0CD">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6.3潜在投标人现场考察或者参加答疑会的费用由自己承担，现场考察期间所发生的人身伤害及财产损失由自己负责。</w:t>
      </w:r>
    </w:p>
    <w:p w14:paraId="214C4350">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6.4采购人或者采购代理机构不对投标人据此而做出的推论、理解和结论负责。投标人一旦中标，不得以任何借口，提出额外补偿，或延长合同期限的要求。</w:t>
      </w:r>
    </w:p>
    <w:p w14:paraId="00CBFA33">
      <w:pPr>
        <w:shd w:val="clear"/>
        <w:adjustRightInd w:val="0"/>
        <w:snapToGrid w:val="0"/>
        <w:spacing w:line="360" w:lineRule="auto"/>
        <w:jc w:val="left"/>
        <w:rPr>
          <w:rFonts w:ascii="宋体" w:hAnsi="宋体"/>
          <w:color w:val="000000" w:themeColor="text1"/>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二、招标文件</w:t>
      </w:r>
    </w:p>
    <w:p w14:paraId="64BE8493">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7.招标文件的构成</w:t>
      </w:r>
    </w:p>
    <w:p w14:paraId="38825F2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 招标文件共六章，各章内容如下：</w:t>
      </w:r>
    </w:p>
    <w:p w14:paraId="486A01E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第一章 投标邀请</w:t>
      </w:r>
    </w:p>
    <w:p w14:paraId="1F111BE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第二章 投标须知</w:t>
      </w:r>
    </w:p>
    <w:p w14:paraId="0BAAE1C8">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第三章 资格审查</w:t>
      </w:r>
    </w:p>
    <w:p w14:paraId="61CB78A8">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第四章 评标方法及标准</w:t>
      </w:r>
    </w:p>
    <w:p w14:paraId="1F1C722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 采购需求</w:t>
      </w:r>
    </w:p>
    <w:p w14:paraId="442B591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第六章 政府采购合同</w:t>
      </w:r>
    </w:p>
    <w:p w14:paraId="2ADDDD38">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第七章 投标文件的组成</w:t>
      </w:r>
    </w:p>
    <w:p w14:paraId="71F1232A">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7.2采购人、采购代理机构在提交投标文件截止时间前</w:t>
      </w:r>
      <w:r>
        <w:rPr>
          <w:rFonts w:hint="eastAsia" w:ascii="宋体" w:hAnsi="宋体" w:cs="宋体"/>
          <w:color w:val="000000" w:themeColor="text1"/>
          <w:szCs w:val="21"/>
          <w:highlight w:val="none"/>
          <w14:textFill>
            <w14:solidFill>
              <w14:schemeClr w14:val="tx1"/>
            </w14:solidFill>
          </w14:textFill>
        </w:rPr>
        <w:t>对招标文件所作的澄清或者修改，构成招标文件的组成部分。</w:t>
      </w:r>
    </w:p>
    <w:p w14:paraId="56B76008">
      <w:pPr>
        <w:shd w:val="clear"/>
        <w:adjustRightInd w:val="0"/>
        <w:snapToGrid w:val="0"/>
        <w:spacing w:line="360" w:lineRule="auto"/>
        <w:jc w:val="left"/>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8．偏离与实质性响应</w:t>
      </w:r>
    </w:p>
    <w:p w14:paraId="6E37633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8.1投标人应当按照招标文件的要求编制投标文件。投标文件应当对招标文件提出的要求和条件作出明确响应。</w:t>
      </w:r>
    </w:p>
    <w:p w14:paraId="027F1B98">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8.2偏离是指投标文件不响应或者不满足招标文件提出的要求和条件，分为实质性偏离和非实质性偏离。</w:t>
      </w:r>
    </w:p>
    <w:p w14:paraId="5505672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8.3除法律、法规和招标文件规定的其他投标无效情形外，招标文件中用“★”符号标明的条款为实质性要求和条件，对其中任何一条的偏离，为实质性偏离，其投标无效。</w:t>
      </w:r>
    </w:p>
    <w:p w14:paraId="150BCB4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8.4投标文件偏离招标文件的非实质性要求和条件，为非实质性偏离。非实质性偏离的范围和幅度应当符合【投标须知前附表】的规定，否则投标无效。</w:t>
      </w:r>
    </w:p>
    <w:p w14:paraId="23E39ED1">
      <w:pPr>
        <w:shd w:val="clear"/>
        <w:adjustRightInd w:val="0"/>
        <w:snapToGrid w:val="0"/>
        <w:spacing w:line="360" w:lineRule="auto"/>
        <w:jc w:val="left"/>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9.询问</w:t>
      </w:r>
    </w:p>
    <w:p w14:paraId="555852A0">
      <w:pPr>
        <w:shd w:val="clear"/>
        <w:spacing w:line="400" w:lineRule="exact"/>
        <w:ind w:firstLine="420" w:firstLineChars="200"/>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9.1潜在投标人应仔细阅读和检查招标文件的全部内容。如有疑问，可以向采购人或者采购代理机构提出询问。</w:t>
      </w:r>
    </w:p>
    <w:p w14:paraId="1E38631E">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10.招标文件的澄清或者修改</w:t>
      </w:r>
    </w:p>
    <w:p w14:paraId="540E59D1">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10.1采购人、采购代理机构对已发出的招标文件进行必要澄清或者修改的，将在</w:t>
      </w:r>
      <w:r>
        <w:rPr>
          <w:rFonts w:hint="eastAsia" w:ascii="宋体" w:hAnsi="宋体"/>
          <w:b/>
          <w:color w:val="000000" w:themeColor="text1"/>
          <w:highlight w:val="none"/>
          <w14:textFill>
            <w14:solidFill>
              <w14:schemeClr w14:val="tx1"/>
            </w14:solidFill>
          </w14:textFill>
        </w:rPr>
        <w:t>【投标须知前附表】</w:t>
      </w:r>
      <w:r>
        <w:rPr>
          <w:rFonts w:hint="eastAsia" w:ascii="宋体" w:hAnsi="宋体"/>
          <w:color w:val="000000" w:themeColor="text1"/>
          <w:highlight w:val="none"/>
          <w14:textFill>
            <w14:solidFill>
              <w14:schemeClr w14:val="tx1"/>
            </w14:solidFill>
          </w14:textFill>
        </w:rPr>
        <w:t>规定的招标公告指定媒体上发布澄清或者修改公告。</w:t>
      </w:r>
    </w:p>
    <w:p w14:paraId="783F9BDA">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10.2澄清或者修改的内容可能影响投标文件编制的，采购人、采购代理机构将在提交投标文件截止时间15日前，以书面形式通知所有获取招标文件的潜在投标人；不足15日的，将相应延长提交投标文件的截止时间。</w:t>
      </w:r>
    </w:p>
    <w:p w14:paraId="54301D40">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10.3招标文件的提供期限届满后，获取招标文件的潜在投标人不足3家的，可以顺延提供期限，并在指定媒体上发布修改公告。</w:t>
      </w:r>
    </w:p>
    <w:p w14:paraId="29359663">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10.4 通过电子招标投标交易平台下载招标文件的，请获取招标文件的潜在投标人及时关注招标公告指定媒体发布的澄清或者修改公告，采购人、采购代理机构不再书面通知。</w:t>
      </w:r>
    </w:p>
    <w:p w14:paraId="247BE9DB">
      <w:pPr>
        <w:shd w:val="clear"/>
        <w:adjustRightInd w:val="0"/>
        <w:snapToGrid w:val="0"/>
        <w:spacing w:line="360" w:lineRule="auto"/>
        <w:jc w:val="lef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三、投标文件</w:t>
      </w:r>
    </w:p>
    <w:p w14:paraId="310B9EB2">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11.投标语言</w:t>
      </w:r>
    </w:p>
    <w:p w14:paraId="28553BFE">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11.1除专用术语外，投标人提交的投标文件及投标人与采购代理机构就有关投标的所有来往函电均使用中文。投标人可以提交其它语言的资料，但应附有中文注释，有差异时以中文为准。</w:t>
      </w:r>
    </w:p>
    <w:p w14:paraId="540B82F5">
      <w:pPr>
        <w:shd w:val="clear"/>
        <w:adjustRightInd w:val="0"/>
        <w:snapToGrid w:val="0"/>
        <w:spacing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12.</w:t>
      </w:r>
      <w:r>
        <w:rPr>
          <w:rFonts w:hint="eastAsia" w:ascii="宋体" w:hAnsi="宋体"/>
          <w:b/>
          <w:color w:val="000000" w:themeColor="text1"/>
          <w:szCs w:val="21"/>
          <w:highlight w:val="none"/>
          <w14:textFill>
            <w14:solidFill>
              <w14:schemeClr w14:val="tx1"/>
            </w14:solidFill>
          </w14:textFill>
        </w:rPr>
        <w:t xml:space="preserve"> 计量单位</w:t>
      </w:r>
    </w:p>
    <w:p w14:paraId="20C6408B">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12.1所有计量均采用中华人民共和国法定计量单位。</w:t>
      </w:r>
    </w:p>
    <w:p w14:paraId="77552459">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13.</w:t>
      </w:r>
      <w:r>
        <w:rPr>
          <w:rFonts w:hint="eastAsia" w:ascii="宋体" w:hAnsi="宋体"/>
          <w:b/>
          <w:bCs/>
          <w:color w:val="000000" w:themeColor="text1"/>
          <w:szCs w:val="21"/>
          <w:highlight w:val="none"/>
          <w14:textFill>
            <w14:solidFill>
              <w14:schemeClr w14:val="tx1"/>
            </w14:solidFill>
          </w14:textFill>
        </w:rPr>
        <w:t xml:space="preserve"> 投标文件的组成</w:t>
      </w:r>
    </w:p>
    <w:p w14:paraId="4AAEE65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13.1投标文件由如下内容组成：</w:t>
      </w:r>
    </w:p>
    <w:p w14:paraId="18E30B26">
      <w:pPr>
        <w:shd w:val="clear"/>
        <w:adjustRightInd w:val="0"/>
        <w:snapToGrid w:val="0"/>
        <w:spacing w:before="156" w:beforeLines="50" w:line="360" w:lineRule="auto"/>
        <w:ind w:firstLine="422"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第一部分 资格证明文件</w:t>
      </w:r>
    </w:p>
    <w:p w14:paraId="797D11F9">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（1）开标一览表</w:t>
      </w:r>
    </w:p>
    <w:p w14:paraId="3E9BB3E9">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（2）投标保</w:t>
      </w:r>
      <w:r>
        <w:rPr>
          <w:rFonts w:hint="eastAsia" w:ascii="宋体" w:hAnsi="宋体"/>
          <w:bCs/>
          <w:color w:val="000000" w:themeColor="text1"/>
          <w:szCs w:val="21"/>
          <w:highlight w:val="none"/>
          <w14:textFill>
            <w14:solidFill>
              <w14:schemeClr w14:val="tx1"/>
            </w14:solidFill>
          </w14:textFill>
        </w:rPr>
        <w:t>证金</w:t>
      </w:r>
    </w:p>
    <w:p w14:paraId="06411C05">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（3）法定代表人（单位负责人）身份证明或授权委托书</w:t>
      </w:r>
    </w:p>
    <w:p w14:paraId="46BB68BF">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（4）投标人提供的资格证明文件</w:t>
      </w:r>
    </w:p>
    <w:p w14:paraId="0C746E08">
      <w:pPr>
        <w:shd w:val="clear"/>
        <w:adjustRightInd w:val="0"/>
        <w:snapToGrid w:val="0"/>
        <w:spacing w:before="156" w:beforeLines="50" w:line="360" w:lineRule="auto"/>
        <w:ind w:firstLine="422"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第二部分 商务和技术文件</w:t>
      </w:r>
    </w:p>
    <w:p w14:paraId="3167510A">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（5）投标函</w:t>
      </w:r>
    </w:p>
    <w:p w14:paraId="585DAF6A">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（6）分项报价</w:t>
      </w:r>
    </w:p>
    <w:p w14:paraId="1487C65A">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（7）采购需求响应</w:t>
      </w:r>
    </w:p>
    <w:p w14:paraId="2DDE668E">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（8）合同条款偏离表</w:t>
      </w:r>
    </w:p>
    <w:p w14:paraId="240A4444">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（9）采购需求偏离表</w:t>
      </w:r>
    </w:p>
    <w:p w14:paraId="0090BA2D">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（10）享受政府采购政策优惠的证明资料</w:t>
      </w:r>
    </w:p>
    <w:p w14:paraId="064D77A0">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（11）投标货物符合招标文件规定的证明文件</w:t>
      </w:r>
    </w:p>
    <w:p w14:paraId="132C66E1">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（12）投标人认为需提供的其他资料</w:t>
      </w:r>
    </w:p>
    <w:p w14:paraId="7CABC49D">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13.2投标人可以编制资格审查索引表、符合性审查索引表、评审索引表，以方便采购人、采购代理机构、评标委员会在资格审查及评审时查阅。</w:t>
      </w:r>
    </w:p>
    <w:p w14:paraId="7AACA8D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13.3根据《</w:t>
      </w:r>
      <w:r>
        <w:rPr>
          <w:rFonts w:hint="eastAsia" w:ascii="宋体" w:hAnsi="宋体"/>
          <w:color w:val="000000" w:themeColor="text1"/>
          <w:szCs w:val="21"/>
          <w:highlight w:val="none"/>
          <w:lang w:eastAsia="zh-CN"/>
          <w14:textFill>
            <w14:solidFill>
              <w14:schemeClr w14:val="tx1"/>
            </w14:solidFill>
          </w14:textFill>
        </w:rPr>
        <w:t>中华人民共和国政府采购法</w:t>
      </w:r>
      <w:r>
        <w:rPr>
          <w:rFonts w:hint="eastAsia" w:ascii="宋体" w:hAnsi="宋体"/>
          <w:color w:val="000000" w:themeColor="text1"/>
          <w:szCs w:val="21"/>
          <w:highlight w:val="none"/>
          <w14:textFill>
            <w14:solidFill>
              <w14:schemeClr w14:val="tx1"/>
            </w14:solidFill>
          </w14:textFill>
        </w:rPr>
        <w:t>》第四十二条的规定，投标人无论中标与否，其投标文件不予退还。</w:t>
      </w:r>
    </w:p>
    <w:p w14:paraId="15351E92">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14. 投标报价</w:t>
      </w:r>
    </w:p>
    <w:p w14:paraId="3FA7425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734211E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2投标人的投标报价不得超过采购预算，也不得超过最高限价(如果设定)，否则其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。采购项目预算、最高限价见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w:t>
      </w:r>
    </w:p>
    <w:p w14:paraId="5CAC8A99">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14.3 投标人应在分项报价明细表中对每项内容给予详细分项</w:t>
      </w:r>
      <w:r>
        <w:rPr>
          <w:rFonts w:hint="eastAsia" w:ascii="宋体" w:hAnsi="宋体"/>
          <w:color w:val="000000" w:themeColor="text1"/>
          <w:highlight w:val="none"/>
          <w14:textFill>
            <w14:solidFill>
              <w14:schemeClr w14:val="tx1"/>
            </w14:solidFill>
          </w14:textFill>
        </w:rPr>
        <w:t>报价。</w:t>
      </w:r>
    </w:p>
    <w:p w14:paraId="3E5103AC">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14.4投标人对采购项目内容只允许有一个投标报价，否则其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highlight w:val="none"/>
          <w14:textFill>
            <w14:solidFill>
              <w14:schemeClr w14:val="tx1"/>
            </w14:solidFill>
          </w14:textFill>
        </w:rPr>
        <w:t>。</w:t>
      </w:r>
    </w:p>
    <w:p w14:paraId="00F3D159">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14.5采购人不接受投标人给予的赠品、回扣或者与采购无关的其他商品、服务。如有赠与行为，其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highlight w:val="none"/>
          <w14:textFill>
            <w14:solidFill>
              <w14:schemeClr w14:val="tx1"/>
            </w14:solidFill>
          </w14:textFill>
        </w:rPr>
        <w:t>。</w:t>
      </w:r>
    </w:p>
    <w:p w14:paraId="5506D3C1">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14.6</w:t>
      </w:r>
      <w:r>
        <w:rPr>
          <w:rFonts w:hint="eastAsia" w:ascii="宋体" w:hAnsi="宋体"/>
          <w:color w:val="000000" w:themeColor="text1"/>
          <w:highlight w:val="none"/>
          <w14:textFill>
            <w14:solidFill>
              <w14:schemeClr w14:val="tx1"/>
            </w14:solidFill>
          </w14:textFill>
        </w:rPr>
        <w:t>投标文件中标明的价格在合同执行过程中是固定不变的，不得以任何理由予以变更。任何包含价格调整要求和条件的投标，其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highlight w:val="none"/>
          <w14:textFill>
            <w14:solidFill>
              <w14:schemeClr w14:val="tx1"/>
            </w14:solidFill>
          </w14:textFill>
        </w:rPr>
        <w:t>。</w:t>
      </w:r>
    </w:p>
    <w:p w14:paraId="62B3FC9F">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5AB37E26">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14.8投标报价的其他要求见</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highlight w:val="none"/>
          <w14:textFill>
            <w14:solidFill>
              <w14:schemeClr w14:val="tx1"/>
            </w14:solidFill>
          </w14:textFill>
        </w:rPr>
        <w:t>。</w:t>
      </w:r>
    </w:p>
    <w:p w14:paraId="5D03E8C4">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 xml:space="preserve">15. </w:t>
      </w:r>
      <w:r>
        <w:rPr>
          <w:rFonts w:hint="eastAsia" w:ascii="宋体" w:hAnsi="宋体"/>
          <w:b/>
          <w:bCs/>
          <w:color w:val="000000" w:themeColor="text1"/>
          <w:szCs w:val="21"/>
          <w:highlight w:val="none"/>
          <w14:textFill>
            <w14:solidFill>
              <w14:schemeClr w14:val="tx1"/>
            </w14:solidFill>
          </w14:textFill>
        </w:rPr>
        <w:t>投标人的资格证明文件</w:t>
      </w:r>
    </w:p>
    <w:p w14:paraId="5995E39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15.1除【投标须知前附表】另有规定外，投标人应按下列规定提供资格证明文件。</w:t>
      </w:r>
    </w:p>
    <w:p w14:paraId="1E01141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法人或者其他组织的营业执照等主体资格证明文件，自然人的身份证明：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57BF9E9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（2）投标人资格声明(格式)</w:t>
      </w:r>
    </w:p>
    <w:p w14:paraId="742E7B8B">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（3）符合特定资格条件证明材料复印件或者情况说明原件。具体要求见【投标须知前附表】。</w:t>
      </w:r>
    </w:p>
    <w:p w14:paraId="7F30A02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15.2投标人以联合体形式投标的，除应提交联合协议(格式)外，参加联合体的各方均应提交上款资格证明材料。</w:t>
      </w:r>
    </w:p>
    <w:p w14:paraId="55271EA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15.3投标人的资格证明文件均应为有效文件并加盖投标人单位章，并按招标文件规定签署。</w:t>
      </w:r>
    </w:p>
    <w:p w14:paraId="18B050F6">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16. 投标货物符合招标文件规定的证明文件</w:t>
      </w:r>
    </w:p>
    <w:p w14:paraId="6447641B">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16.1 投标人应当提交其拟供的合同项下货物及其服务符合招标文件规定的证明文件,该证明文件作为投标文件的一部分。</w:t>
      </w:r>
    </w:p>
    <w:p w14:paraId="5A99C3CE">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16.2 投标人在货物说明一览表中应当说明货物的品牌型号、规格参数、制造商及原产地等，交货时应出具原产地证明及出厂合格证明。</w:t>
      </w:r>
    </w:p>
    <w:p w14:paraId="36FEC31E">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16.3 上述证明文件可以是文字资料、图纸和数据，并须提供：</w:t>
      </w:r>
    </w:p>
    <w:p w14:paraId="6434C3B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（1）货物主要性能和参数的详细说明； </w:t>
      </w:r>
    </w:p>
    <w:p w14:paraId="394E16C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（2）对照招标文件技术规格，逐条说明所提供货物和服务对招标文件的技术规格条文的响应与偏离。对有具体参数要求的指标，投标人应提供具体参数值。</w:t>
      </w:r>
    </w:p>
    <w:p w14:paraId="5A34178A">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16.4 采购人、采购代理机构一般不得要求投标人提供样品，仅凭书面方式不能准确描述采购需求或者需要对样品进行主观判断以确认是否满足采购需求等特殊情况除外。</w:t>
      </w:r>
    </w:p>
    <w:p w14:paraId="19856F74">
      <w:pPr>
        <w:shd w:val="clear"/>
        <w:adjustRightInd w:val="0"/>
        <w:snapToGrid w:val="0"/>
        <w:spacing w:before="156" w:beforeLines="50" w:line="360" w:lineRule="auto"/>
        <w:ind w:firstLine="422"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规定投标人在投标时提供样品的，投标人</w:t>
      </w:r>
      <w:r>
        <w:rPr>
          <w:color w:val="000000" w:themeColor="text1"/>
          <w:szCs w:val="21"/>
          <w:highlight w:val="none"/>
          <w14:textFill>
            <w14:solidFill>
              <w14:schemeClr w14:val="tx1"/>
            </w14:solidFill>
          </w14:textFill>
        </w:rPr>
        <w:t>有以下情形之一的</w:t>
      </w:r>
      <w:r>
        <w:rPr>
          <w:rFonts w:hint="eastAsia"/>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在评标时将其视为无效投标。</w:t>
      </w:r>
    </w:p>
    <w:p w14:paraId="1D92B38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（1）未在投标须知前附表规定的提交时间、地点提交</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w:t>
      </w:r>
    </w:p>
    <w:p w14:paraId="2C72EB2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（2）投标人提供的样品与投标文件提供样品的规格、型号不一致</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w:t>
      </w:r>
    </w:p>
    <w:p w14:paraId="70EC8B10">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17. 投标有效期</w:t>
      </w:r>
    </w:p>
    <w:p w14:paraId="5876118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17.1 除</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另有规定外，投标有效期为90日，</w:t>
      </w:r>
      <w:r>
        <w:rPr>
          <w:rFonts w:hint="eastAsia" w:ascii="宋体" w:hAnsi="宋体" w:cs="Arial"/>
          <w:color w:val="000000" w:themeColor="text1"/>
          <w:szCs w:val="21"/>
          <w:highlight w:val="none"/>
          <w14:textFill>
            <w14:solidFill>
              <w14:schemeClr w14:val="tx1"/>
            </w14:solidFill>
          </w14:textFill>
        </w:rPr>
        <w:t>投标有效期从提交投标文件的截止之日起算。</w:t>
      </w:r>
      <w:r>
        <w:rPr>
          <w:rFonts w:hint="eastAsia" w:ascii="宋体" w:hAnsi="宋体"/>
          <w:color w:val="000000" w:themeColor="text1"/>
          <w:szCs w:val="21"/>
          <w:highlight w:val="none"/>
          <w14:textFill>
            <w14:solidFill>
              <w14:schemeClr w14:val="tx1"/>
            </w14:solidFill>
          </w14:textFill>
        </w:rPr>
        <w:t>投标有效期不足的投标，在评标时将其视为投标无效。</w:t>
      </w:r>
    </w:p>
    <w:p w14:paraId="5807B4C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17.2 特殊情况需延长投标有效期的，采购代理机构可于投标有效期届满之前，要求投标人同意延长有效期，采购代理机构的要求与投标人的答复均应为书面形式。投标人拒绝延长的，其投标在原投标有效期期届满后将不再有效，但有权收回其投标保证金；投标人同意延长的，应相应延长其投标保证金的有效期，但不允许修改或撤回投标文件。</w:t>
      </w:r>
    </w:p>
    <w:p w14:paraId="7B79203D">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18. 投标保证金（本项目不缴纳投标保证金）</w:t>
      </w:r>
    </w:p>
    <w:p w14:paraId="3364B0C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18.1 </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要求投标人提交</w:t>
      </w:r>
      <w:r>
        <w:rPr>
          <w:rFonts w:hint="eastAsia" w:ascii="宋体" w:hAnsi="宋体"/>
          <w:bCs/>
          <w:color w:val="000000" w:themeColor="text1"/>
          <w:szCs w:val="21"/>
          <w:highlight w:val="none"/>
          <w14:textFill>
            <w14:solidFill>
              <w14:schemeClr w14:val="tx1"/>
            </w14:solidFill>
          </w14:textFill>
        </w:rPr>
        <w:t>投标保证金的</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投标人应</w:t>
      </w:r>
      <w:r>
        <w:rPr>
          <w:rFonts w:hint="eastAsia" w:ascii="宋体" w:hAnsi="宋体"/>
          <w:color w:val="000000" w:themeColor="text1"/>
          <w:szCs w:val="21"/>
          <w:highlight w:val="none"/>
          <w14:textFill>
            <w14:solidFill>
              <w14:schemeClr w14:val="tx1"/>
            </w14:solidFill>
          </w14:textFill>
        </w:rPr>
        <w:t>以支票、汇票、本票或金融机构、担保机构出具的保函等非现金形式，</w:t>
      </w:r>
      <w:r>
        <w:rPr>
          <w:rFonts w:hint="eastAsia" w:ascii="宋体" w:hAnsi="宋体"/>
          <w:bCs/>
          <w:color w:val="000000" w:themeColor="text1"/>
          <w:szCs w:val="21"/>
          <w:highlight w:val="none"/>
          <w14:textFill>
            <w14:solidFill>
              <w14:schemeClr w14:val="tx1"/>
            </w14:solidFill>
          </w14:textFill>
        </w:rPr>
        <w:t>在</w:t>
      </w:r>
      <w:r>
        <w:rPr>
          <w:rFonts w:hint="eastAsia" w:ascii="宋体" w:hAnsi="宋体"/>
          <w:color w:val="000000" w:themeColor="text1"/>
          <w:szCs w:val="21"/>
          <w:highlight w:val="none"/>
          <w14:textFill>
            <w14:solidFill>
              <w14:schemeClr w14:val="tx1"/>
            </w14:solidFill>
          </w14:textFill>
        </w:rPr>
        <w:t>提交投标文件的截止时间</w:t>
      </w:r>
      <w:r>
        <w:rPr>
          <w:rFonts w:hint="eastAsia" w:ascii="宋体" w:hAnsi="宋体"/>
          <w:bCs/>
          <w:color w:val="000000" w:themeColor="text1"/>
          <w:szCs w:val="21"/>
          <w:highlight w:val="none"/>
          <w14:textFill>
            <w14:solidFill>
              <w14:schemeClr w14:val="tx1"/>
            </w14:solidFill>
          </w14:textFill>
        </w:rPr>
        <w:t>前提交投标保证金</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投标保证金有效期应与投标有效期一致。</w:t>
      </w:r>
    </w:p>
    <w:p w14:paraId="19CD106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18.2 投标保证金应以投标人自身名义缴纳，其名称应与投标人名称一致，不得以分支机构等他人名义缴纳。联合体投标的，其投标保证金由牵头方缴纳。</w:t>
      </w:r>
    </w:p>
    <w:p w14:paraId="1C1AD7F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18.3 联合体投标的，可以由联合体中的一方或者共同提交投标保证金。以一方名义提交投标保证金的，对联合体各方均具有约束力。</w:t>
      </w:r>
    </w:p>
    <w:p w14:paraId="5780A4A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18.4投标保证金的退还按以下规定办理：</w:t>
      </w:r>
    </w:p>
    <w:p w14:paraId="4203085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（1）中标投标人的投标保证金，将在政府采购合同签订后5个工作日内退还。</w:t>
      </w:r>
    </w:p>
    <w:p w14:paraId="46E92AF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（2）未中标的投标人的投标保证金，将在中标通知书发出后5个工作日内退还。</w:t>
      </w:r>
    </w:p>
    <w:p w14:paraId="76CDED7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（3）终止招标的。对于已递交投标保证金的，采购代理机构在终止招标公告发布后5个工作日内退还。</w:t>
      </w:r>
    </w:p>
    <w:p w14:paraId="2C8AD70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（4）在投标截止日前撤回投标的，对于已递交投标保证金的，采购代理机构在收到投标人书面撤回投标通知之日起5个工作日内退还。</w:t>
      </w:r>
    </w:p>
    <w:p w14:paraId="2F1748E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18.5 有以下情形之一的，投标保证金将不予退还，上缴国库：</w:t>
      </w:r>
    </w:p>
    <w:p w14:paraId="2C273A6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（1）投标人在投标有效期内撤销投标文件； </w:t>
      </w:r>
    </w:p>
    <w:p w14:paraId="0E0E8DF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（2）提供虚假材料谋取中标的；</w:t>
      </w:r>
    </w:p>
    <w:p w14:paraId="0777FCC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（3）确定为中标人后，中标人放弃中标的；</w:t>
      </w:r>
    </w:p>
    <w:p w14:paraId="0590F0A8">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（4）中标通知书发出后，中标人不签订合同或转让、分包项目以及拒绝履行合同义务的；</w:t>
      </w:r>
    </w:p>
    <w:p w14:paraId="6A40958C">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（5）投标人有25.1和25.2规定的串通投标行为的</w:t>
      </w:r>
    </w:p>
    <w:p w14:paraId="4EE8694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（6）法律法规或招标文件规定的其他情形。</w:t>
      </w:r>
    </w:p>
    <w:p w14:paraId="46B901CC">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上款第（3）、（4）项对因严重自然灾害和其他不可抗力事件产生的情形除外。</w:t>
      </w:r>
    </w:p>
    <w:p w14:paraId="46807FFE">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19.分包</w:t>
      </w:r>
    </w:p>
    <w:p w14:paraId="753E3E94">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19.1投标人拟在中标后将中</w:t>
      </w:r>
      <w:r>
        <w:rPr>
          <w:rFonts w:hint="eastAsia" w:ascii="宋体" w:hAnsi="宋体"/>
          <w:color w:val="000000" w:themeColor="text1"/>
          <w:szCs w:val="21"/>
          <w:highlight w:val="none"/>
          <w14:textFill>
            <w14:solidFill>
              <w14:schemeClr w14:val="tx1"/>
            </w14:solidFill>
          </w14:textFill>
        </w:rPr>
        <w:t>标项目的非主体、非关键性工作进行分包的，应符合</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规定的分包内容、分包金</w:t>
      </w:r>
      <w:r>
        <w:rPr>
          <w:rFonts w:hint="eastAsia" w:ascii="宋体" w:hAnsi="宋体"/>
          <w:color w:val="000000" w:themeColor="text1"/>
          <w:highlight w:val="none"/>
          <w14:textFill>
            <w14:solidFill>
              <w14:schemeClr w14:val="tx1"/>
            </w14:solidFill>
          </w14:textFill>
        </w:rPr>
        <w:t>额和资质要求等限制性条件，并在投标文件中载明分包承担主体，且分包承担主体不得再次分包。</w:t>
      </w:r>
    </w:p>
    <w:p w14:paraId="3625C25F">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19.2中标人应当就分包项目向采购人负责，分包承担主体就分包项目承担连带责任。</w:t>
      </w:r>
    </w:p>
    <w:p w14:paraId="5707FA33">
      <w:pPr>
        <w:shd w:val="clear"/>
        <w:adjustRightInd w:val="0"/>
        <w:snapToGrid w:val="0"/>
        <w:spacing w:before="156" w:beforeLines="50"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19.3不符合招标文件中有关分包规定的，其</w:t>
      </w:r>
      <w:r>
        <w:rPr>
          <w:rFonts w:hint="eastAsia" w:ascii="宋体" w:hAnsi="宋体"/>
          <w:b/>
          <w:color w:val="000000" w:themeColor="text1"/>
          <w:highlight w:val="none"/>
          <w14:textFill>
            <w14:solidFill>
              <w14:schemeClr w14:val="tx1"/>
            </w14:solidFill>
          </w14:textFill>
        </w:rPr>
        <w:t>投标无效</w:t>
      </w:r>
      <w:r>
        <w:rPr>
          <w:rFonts w:hint="eastAsia" w:ascii="宋体" w:hAnsi="宋体"/>
          <w:color w:val="000000" w:themeColor="text1"/>
          <w:highlight w:val="none"/>
          <w14:textFill>
            <w14:solidFill>
              <w14:schemeClr w14:val="tx1"/>
            </w14:solidFill>
          </w14:textFill>
        </w:rPr>
        <w:t>。</w:t>
      </w:r>
    </w:p>
    <w:p w14:paraId="07743793">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20. 投标文件的签署</w:t>
      </w:r>
    </w:p>
    <w:p w14:paraId="2D7058BA">
      <w:pPr>
        <w:shd w:val="clear"/>
        <w:spacing w:line="40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20.1电子投标文件：投标人应按照电子招标文件要求制作投标文件，并进行电子签名和盖章。</w:t>
      </w:r>
    </w:p>
    <w:p w14:paraId="6E7D6195">
      <w:pPr>
        <w:shd w:val="clear"/>
        <w:spacing w:line="400" w:lineRule="exact"/>
        <w:ind w:right="3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20.2投标人确认投标后，应从交易平台上下载“政府采购电子招标文件制作工具”，并使用此工具编制电子投标文件，否则将可能影响电子投标文件的上传而导致投标无效。</w:t>
      </w:r>
    </w:p>
    <w:p w14:paraId="2BCA5443">
      <w:pPr>
        <w:shd w:val="clear"/>
        <w:spacing w:line="400" w:lineRule="exact"/>
        <w:ind w:right="3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20.3投标人因自身原因导致电子投标文件无法导入电子评标系统的，该投标文件视为无效投标文件。</w:t>
      </w:r>
    </w:p>
    <w:p w14:paraId="2513902E">
      <w:pPr>
        <w:shd w:val="clear"/>
        <w:spacing w:line="400" w:lineRule="exact"/>
        <w:ind w:right="31"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20.4电子招投标文件具有法律效力，若投标文件与招标文件要求不一致，其内容影响中标结果时，责任由投标人自行承担。</w:t>
      </w:r>
    </w:p>
    <w:p w14:paraId="4107F8C4">
      <w:pPr>
        <w:shd w:val="clear"/>
        <w:adjustRightInd w:val="0"/>
        <w:snapToGrid w:val="0"/>
        <w:spacing w:line="360" w:lineRule="auto"/>
        <w:jc w:val="lef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四、投标</w:t>
      </w:r>
    </w:p>
    <w:p w14:paraId="0BE6DC1F">
      <w:pPr>
        <w:shd w:val="clear"/>
        <w:spacing w:line="360" w:lineRule="atLeast"/>
        <w:ind w:firstLine="315" w:firstLineChars="150"/>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21．投标人应准备所投项目的电子投标文件一份，此投标文件须根据招标人提供的后缀名为YYZY</w:t>
      </w:r>
      <w:r>
        <w:rPr>
          <w:rFonts w:hint="eastAsia" w:ascii="宋体" w:hAnsi="宋体"/>
          <w:color w:val="000000" w:themeColor="text1"/>
          <w:szCs w:val="21"/>
          <w:highlight w:val="none"/>
          <w14:textFill>
            <w14:solidFill>
              <w14:schemeClr w14:val="tx1"/>
            </w14:solidFill>
          </w14:textFill>
        </w:rPr>
        <w:t>格式</w:t>
      </w:r>
      <w:r>
        <w:rPr>
          <w:rFonts w:hint="eastAsia" w:ascii="宋体" w:hAnsi="宋体"/>
          <w:color w:val="000000" w:themeColor="text1"/>
          <w:highlight w:val="none"/>
          <w14:textFill>
            <w14:solidFill>
              <w14:schemeClr w14:val="tx1"/>
            </w14:solidFill>
          </w14:textFill>
        </w:rPr>
        <w:t>的电子招标文件进行制作，电子投标文件制作工具可登录</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岳阳市公共资源交易</w:t>
      </w:r>
      <w:r>
        <w:rPr>
          <w:rFonts w:hint="eastAsia" w:ascii="宋体" w:hAnsi="宋体" w:cs="宋体"/>
          <w:color w:val="000000" w:themeColor="text1"/>
          <w:szCs w:val="21"/>
          <w:highlight w:val="none"/>
          <w14:textFill>
            <w14:solidFill>
              <w14:schemeClr w14:val="tx1"/>
            </w14:solidFill>
          </w14:textFill>
        </w:rPr>
        <w:t>网</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http</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//ggzy.yueyang.gov.cn/）</w:t>
      </w:r>
      <w:r>
        <w:rPr>
          <w:rFonts w:hint="eastAsia" w:hAnsi="宋体"/>
          <w:color w:val="000000" w:themeColor="text1"/>
          <w:highlight w:val="none"/>
          <w14:textFill>
            <w14:solidFill>
              <w14:schemeClr w14:val="tx1"/>
            </w14:solidFill>
          </w14:textFill>
        </w:rPr>
        <w:t>服务指南中及时下载安装最新版本“</w:t>
      </w:r>
      <w:r>
        <w:rPr>
          <w:rFonts w:hint="eastAsia" w:hAnsi="宋体"/>
          <w:color w:val="000000" w:themeColor="text1"/>
          <w:highlight w:val="none"/>
          <w:lang w:eastAsia="zh-CN"/>
          <w14:textFill>
            <w14:solidFill>
              <w14:schemeClr w14:val="tx1"/>
            </w14:solidFill>
          </w14:textFill>
        </w:rPr>
        <w:t>新点投标文件制作软件（湖南版）</w:t>
      </w:r>
      <w:r>
        <w:rPr>
          <w:rFonts w:hint="eastAsia"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在安装此软件之前，须先安装</w:t>
      </w:r>
      <w:r>
        <w:rPr>
          <w:rFonts w:hint="eastAsia" w:ascii="宋体" w:hAnsi="宋体"/>
          <w:color w:val="000000" w:themeColor="text1"/>
          <w:highlight w:val="none"/>
          <w:lang w:eastAsia="zh-CN"/>
          <w14:textFill>
            <w14:solidFill>
              <w14:schemeClr w14:val="tx1"/>
            </w14:solidFill>
          </w14:textFill>
        </w:rPr>
        <w:t>Office 2010</w:t>
      </w:r>
      <w:r>
        <w:rPr>
          <w:rFonts w:hint="eastAsia" w:ascii="宋体" w:hAnsi="宋体"/>
          <w:color w:val="000000" w:themeColor="text1"/>
          <w:highlight w:val="none"/>
          <w14:textFill>
            <w14:solidFill>
              <w14:schemeClr w14:val="tx1"/>
            </w14:solidFill>
          </w14:textFill>
        </w:rPr>
        <w:t>及以上版本。）</w:t>
      </w:r>
    </w:p>
    <w:p w14:paraId="37DBE779">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22．投标文件的编制</w:t>
      </w:r>
    </w:p>
    <w:p w14:paraId="4690CD68">
      <w:pPr>
        <w:shd w:val="clear"/>
        <w:adjustRightInd w:val="0"/>
        <w:snapToGrid w:val="0"/>
        <w:spacing w:line="360" w:lineRule="auto"/>
        <w:ind w:firstLine="422" w:firstLineChars="200"/>
        <w:jc w:val="left"/>
        <w:rPr>
          <w:rFonts w:ascii="宋体" w:hAnsi="宋体"/>
          <w:b/>
          <w:color w:val="000000" w:themeColor="text1"/>
          <w:szCs w:val="21"/>
          <w:highlight w:val="none"/>
          <w14:textFill>
            <w14:solidFill>
              <w14:schemeClr w14:val="tx1"/>
            </w14:solidFill>
          </w14:textFill>
        </w:rPr>
      </w:pPr>
      <w:bookmarkStart w:id="10" w:name="_Hlt193622730"/>
      <w:bookmarkEnd w:id="10"/>
      <w:bookmarkStart w:id="11" w:name="_Hlt226715444"/>
      <w:bookmarkEnd w:id="11"/>
      <w:bookmarkStart w:id="12" w:name="_Hlk499715941"/>
      <w:r>
        <w:rPr>
          <w:rFonts w:hint="eastAsia" w:ascii="宋体" w:hAnsi="宋体"/>
          <w:b/>
          <w:color w:val="000000" w:themeColor="text1"/>
          <w:szCs w:val="21"/>
          <w:highlight w:val="none"/>
          <w14:textFill>
            <w14:solidFill>
              <w14:schemeClr w14:val="tx1"/>
            </w14:solidFill>
          </w14:textFill>
        </w:rPr>
        <w:t>22.1 电子投标文件的编制</w:t>
      </w:r>
    </w:p>
    <w:p w14:paraId="75CB172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22.1．1投标人应当使用岳阳市公共资源交易中心电子交易平台认可的“</w:t>
      </w:r>
      <w:r>
        <w:rPr>
          <w:rFonts w:hint="eastAsia" w:ascii="宋体" w:hAnsi="宋体"/>
          <w:color w:val="000000" w:themeColor="text1"/>
          <w:szCs w:val="21"/>
          <w:highlight w:val="none"/>
          <w:lang w:eastAsia="zh-CN"/>
          <w14:textFill>
            <w14:solidFill>
              <w14:schemeClr w14:val="tx1"/>
            </w14:solidFill>
          </w14:textFill>
        </w:rPr>
        <w:t>新点投标文件制作软件（湖南版）</w:t>
      </w:r>
      <w:r>
        <w:rPr>
          <w:rFonts w:hint="eastAsia" w:ascii="宋体" w:hAnsi="宋体"/>
          <w:color w:val="000000" w:themeColor="text1"/>
          <w:szCs w:val="21"/>
          <w:highlight w:val="none"/>
          <w14:textFill>
            <w14:solidFill>
              <w14:schemeClr w14:val="tx1"/>
            </w14:solidFill>
          </w14:textFill>
        </w:rPr>
        <w:t>”制作投标文件（ 含澄清、说明文件）并进行固化、加密；</w:t>
      </w:r>
    </w:p>
    <w:p w14:paraId="73F5B22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22.1．2“电子标书软件加密锁” 具有唯一性，仅限于本单位在电子化招标投标活动中使用，不得转让和出借；</w:t>
      </w:r>
    </w:p>
    <w:p w14:paraId="27BBB102">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22.1.3投标人在编制电子投标文件时应当建立分级目录，并按照标签提示导入相关内容，请投标人注意压缩文件；</w:t>
      </w:r>
    </w:p>
    <w:p w14:paraId="3E332C8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电子投标文件盖章及签字</w:t>
      </w:r>
    </w:p>
    <w:p w14:paraId="750E7F1A">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投标文件的指定盖章处应采用电子平台认可的CA数字证书（含电子印章）</w:t>
      </w:r>
    </w:p>
    <w:bookmarkEnd w:id="12"/>
    <w:p w14:paraId="1A7728C0">
      <w:pPr>
        <w:shd w:val="clear"/>
        <w:spacing w:line="360" w:lineRule="exact"/>
        <w:ind w:firstLine="411" w:firstLineChars="196"/>
        <w:rPr>
          <w:rFonts w:ascii="宋体" w:hAnsi="宋体"/>
          <w:b/>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22.1.</w:t>
      </w:r>
      <w:r>
        <w:rPr>
          <w:rFonts w:ascii="宋体" w:hAnsi="宋体"/>
          <w:color w:val="000000" w:themeColor="text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投标人在编辑投标文件时，</w:t>
      </w:r>
      <w:r>
        <w:rPr>
          <w:rFonts w:hint="eastAsia" w:ascii="宋体" w:hAnsi="宋体"/>
          <w:b/>
          <w:color w:val="000000" w:themeColor="text1"/>
          <w:highlight w:val="none"/>
          <w14:textFill>
            <w14:solidFill>
              <w14:schemeClr w14:val="tx1"/>
            </w14:solidFill>
          </w14:textFill>
        </w:rPr>
        <w:t>在投标文件目录中属于本节点内容的必须上传或填写在本节点的对应位置，未按要求填写或上传的，相应责任由投标人自行承担。</w:t>
      </w:r>
    </w:p>
    <w:p w14:paraId="7E85B57D">
      <w:pPr>
        <w:shd w:val="clear"/>
        <w:spacing w:line="360" w:lineRule="exact"/>
        <w:ind w:firstLine="411" w:firstLineChars="196"/>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22.1.</w:t>
      </w:r>
      <w:r>
        <w:rPr>
          <w:rFonts w:ascii="宋体" w:hAnsi="宋体"/>
          <w:color w:val="000000" w:themeColor="text1"/>
          <w:highlight w:val="none"/>
          <w14:textFill>
            <w14:solidFill>
              <w14:schemeClr w14:val="tx1"/>
            </w14:solidFill>
          </w14:textFill>
        </w:rPr>
        <w:t>6</w:t>
      </w:r>
      <w:r>
        <w:rPr>
          <w:rFonts w:hint="eastAsia" w:ascii="宋体" w:hAnsi="宋体"/>
          <w:color w:val="000000" w:themeColor="text1"/>
          <w:highlight w:val="none"/>
          <w14:textFill>
            <w14:solidFill>
              <w14:schemeClr w14:val="tx1"/>
            </w14:solidFill>
          </w14:textFill>
        </w:rPr>
        <w:t>投标书编写完成后，</w:t>
      </w:r>
      <w:r>
        <w:rPr>
          <w:rFonts w:hint="eastAsia" w:ascii="宋体" w:hAnsi="宋体"/>
          <w:b/>
          <w:color w:val="000000" w:themeColor="text1"/>
          <w:highlight w:val="none"/>
          <w14:textFill>
            <w14:solidFill>
              <w14:schemeClr w14:val="tx1"/>
            </w14:solidFill>
          </w14:textFill>
        </w:rPr>
        <w:t>必须用本系统自带的电子密钥进行加密，如果误选了非本项目的规则文件导致不能在开标时解密投标文件，该投标文件将被电子开标系统拒绝，将导致投标文件无效。</w:t>
      </w:r>
    </w:p>
    <w:p w14:paraId="07299D57">
      <w:pPr>
        <w:shd w:val="clear"/>
        <w:spacing w:line="360" w:lineRule="exact"/>
        <w:ind w:firstLine="411" w:firstLineChars="196"/>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22.1.</w:t>
      </w:r>
      <w:r>
        <w:rPr>
          <w:rFonts w:ascii="宋体" w:hAnsi="宋体"/>
          <w:color w:val="000000" w:themeColor="text1"/>
          <w:highlight w:val="none"/>
          <w14:textFill>
            <w14:solidFill>
              <w14:schemeClr w14:val="tx1"/>
            </w14:solidFill>
          </w14:textFill>
        </w:rPr>
        <w:t>7岳阳市</w:t>
      </w:r>
      <w:r>
        <w:rPr>
          <w:rFonts w:hint="eastAsia" w:ascii="宋体" w:hAnsi="宋体"/>
          <w:color w:val="000000" w:themeColor="text1"/>
          <w:highlight w:val="none"/>
          <w14:textFill>
            <w14:solidFill>
              <w14:schemeClr w14:val="tx1"/>
            </w14:solidFill>
          </w14:textFill>
        </w:rPr>
        <w:t>公共资源交易中心不接受投标截止时间后递交的纸质、电子、传真等所有形式的投标文件。由于对网上招投标操作不熟悉或自身电脑、个人网络等原因导致不能在投标截止时间之前上传投标文件的，相</w:t>
      </w:r>
      <w:r>
        <w:rPr>
          <w:rFonts w:hint="eastAsia" w:ascii="宋体" w:hAnsi="宋体"/>
          <w:b/>
          <w:color w:val="000000" w:themeColor="text1"/>
          <w:highlight w:val="none"/>
          <w14:textFill>
            <w14:solidFill>
              <w14:schemeClr w14:val="tx1"/>
            </w14:solidFill>
          </w14:textFill>
        </w:rPr>
        <w:t>应责任由投标人自行承担</w:t>
      </w:r>
      <w:r>
        <w:rPr>
          <w:rFonts w:hint="eastAsia" w:ascii="宋体" w:hAnsi="宋体"/>
          <w:color w:val="000000" w:themeColor="text1"/>
          <w:highlight w:val="none"/>
          <w14:textFill>
            <w14:solidFill>
              <w14:schemeClr w14:val="tx1"/>
            </w14:solidFill>
          </w14:textFill>
        </w:rPr>
        <w:t>。建议于开标前一个工作日完成投标文件的制作与上传，如果上传有困难，请及时咨询。</w:t>
      </w:r>
    </w:p>
    <w:p w14:paraId="66CBEB49">
      <w:pPr>
        <w:shd w:val="clear"/>
        <w:spacing w:line="360" w:lineRule="exact"/>
        <w:ind w:firstLine="411" w:firstLineChars="196"/>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22.1.</w:t>
      </w:r>
      <w:r>
        <w:rPr>
          <w:rFonts w:ascii="宋体" w:hAnsi="宋体"/>
          <w:color w:val="000000" w:themeColor="text1"/>
          <w:highlight w:val="none"/>
          <w14:textFill>
            <w14:solidFill>
              <w14:schemeClr w14:val="tx1"/>
            </w14:solidFill>
          </w14:textFill>
        </w:rPr>
        <w:t>8</w:t>
      </w:r>
      <w:r>
        <w:rPr>
          <w:rFonts w:hint="eastAsia" w:ascii="宋体" w:hAnsi="宋体"/>
          <w:color w:val="000000" w:themeColor="text1"/>
          <w:highlight w:val="none"/>
          <w14:textFill>
            <w14:solidFill>
              <w14:schemeClr w14:val="tx1"/>
            </w14:solidFill>
          </w14:textFill>
        </w:rPr>
        <w:t>如果开标时出现网络故障、技术故障，影响了招投标活动，采购人可采取措施如延期、延长上传的投标书和解密时间等，以保障招投标活动的公开、公平和公正，投标人不得对此持有异议。</w:t>
      </w:r>
    </w:p>
    <w:p w14:paraId="1D2D2ED8">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p>
    <w:p w14:paraId="05E07AE3">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23. 投标文件的递交</w:t>
      </w:r>
    </w:p>
    <w:p w14:paraId="3B71F3A4">
      <w:pPr>
        <w:shd w:val="clear"/>
        <w:spacing w:line="360" w:lineRule="exact"/>
        <w:ind w:firstLine="411" w:firstLineChars="196"/>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23</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1电子标实行网上投标，</w:t>
      </w:r>
      <w:r>
        <w:rPr>
          <w:rFonts w:ascii="宋体" w:hAnsi="宋体"/>
          <w:color w:val="000000" w:themeColor="text1"/>
          <w:highlight w:val="none"/>
          <w14:textFill>
            <w14:solidFill>
              <w14:schemeClr w14:val="tx1"/>
            </w14:solidFill>
          </w14:textFill>
        </w:rPr>
        <w:t>投标人必须</w:t>
      </w:r>
      <w:r>
        <w:rPr>
          <w:rFonts w:hint="eastAsia" w:ascii="宋体" w:hAnsi="宋体"/>
          <w:color w:val="000000" w:themeColor="text1"/>
          <w:highlight w:val="none"/>
          <w14:textFill>
            <w14:solidFill>
              <w14:schemeClr w14:val="tx1"/>
            </w14:solidFill>
          </w14:textFill>
        </w:rPr>
        <w:t>在</w:t>
      </w:r>
      <w:r>
        <w:rPr>
          <w:rFonts w:hint="eastAsia" w:ascii="宋体" w:hAnsi="宋体"/>
          <w:color w:val="000000" w:themeColor="text1"/>
          <w:highlight w:val="none"/>
          <w:lang w:eastAsia="zh-CN"/>
          <w14:textFill>
            <w14:solidFill>
              <w14:schemeClr w14:val="tx1"/>
            </w14:solidFill>
          </w14:textFill>
        </w:rPr>
        <w:t>招标文件</w:t>
      </w:r>
      <w:r>
        <w:rPr>
          <w:rFonts w:ascii="宋体" w:hAnsi="宋体"/>
          <w:color w:val="000000" w:themeColor="text1"/>
          <w:highlight w:val="none"/>
          <w14:textFill>
            <w14:solidFill>
              <w14:schemeClr w14:val="tx1"/>
            </w14:solidFill>
          </w14:textFill>
        </w:rPr>
        <w:t>规定的投标截止时间前</w:t>
      </w:r>
      <w:r>
        <w:rPr>
          <w:rFonts w:hint="eastAsia" w:ascii="宋体" w:hAnsi="宋体"/>
          <w:color w:val="000000" w:themeColor="text1"/>
          <w:highlight w:val="none"/>
          <w14:textFill>
            <w14:solidFill>
              <w14:schemeClr w14:val="tx1"/>
            </w14:solidFill>
          </w14:textFill>
        </w:rPr>
        <w:t>用电子密钥在“岳阳市公共资源交易网</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w:t>
      </w:r>
      <w:r>
        <w:rPr>
          <w:color w:val="000000" w:themeColor="text1"/>
          <w:szCs w:val="21"/>
          <w:highlight w:val="none"/>
          <w14:textFill>
            <w14:solidFill>
              <w14:schemeClr w14:val="tx1"/>
            </w14:solidFill>
          </w14:textFill>
        </w:rPr>
        <w:t>http</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//ggzy.yueyang.gov.cn/</w:t>
      </w:r>
      <w:r>
        <w:rPr>
          <w:rFonts w:hint="eastAsia"/>
          <w:color w:val="000000" w:themeColor="text1"/>
          <w:highlight w:val="none"/>
          <w14:textFill>
            <w14:solidFill>
              <w14:schemeClr w14:val="tx1"/>
            </w14:solidFill>
          </w14:textFill>
        </w:rPr>
        <w:t>）中</w:t>
      </w:r>
      <w:r>
        <w:rPr>
          <w:rFonts w:hint="eastAsia" w:ascii="宋体" w:hAnsi="宋体" w:cs="宋体"/>
          <w:color w:val="000000" w:themeColor="text1"/>
          <w:kern w:val="0"/>
          <w:szCs w:val="21"/>
          <w:highlight w:val="none"/>
          <w14:textFill>
            <w14:solidFill>
              <w14:schemeClr w14:val="tx1"/>
            </w14:solidFill>
          </w14:textFill>
        </w:rPr>
        <w:t>登录“岳阳市公共资源交易中心</w:t>
      </w:r>
      <w:r>
        <w:rPr>
          <w:rFonts w:hint="eastAsia" w:ascii="宋体" w:hAnsi="宋体"/>
          <w:color w:val="000000" w:themeColor="text1"/>
          <w:szCs w:val="21"/>
          <w:highlight w:val="none"/>
          <w14:textFill>
            <w14:solidFill>
              <w14:schemeClr w14:val="tx1"/>
            </w14:solidFill>
          </w14:textFill>
        </w:rPr>
        <w:t>电子交易平台</w:t>
      </w:r>
      <w:r>
        <w:rPr>
          <w:rFonts w:hint="eastAsia" w:ascii="宋体" w:hAnsi="宋体" w:cs="宋体"/>
          <w:color w:val="000000" w:themeColor="text1"/>
          <w:kern w:val="0"/>
          <w:szCs w:val="21"/>
          <w:highlight w:val="none"/>
          <w14:textFill>
            <w14:solidFill>
              <w14:schemeClr w14:val="tx1"/>
            </w14:solidFill>
          </w14:textFill>
        </w:rPr>
        <w:t>”上传投标文件</w:t>
      </w:r>
      <w:r>
        <w:rPr>
          <w:rFonts w:hint="eastAsia" w:ascii="宋体" w:hAnsi="宋体"/>
          <w:color w:val="000000" w:themeColor="text1"/>
          <w:highlight w:val="none"/>
          <w14:textFill>
            <w14:solidFill>
              <w14:schemeClr w14:val="tx1"/>
            </w14:solidFill>
          </w14:textFill>
        </w:rPr>
        <w:t>。本项目电子投标文件最大容量为200MB，超过此容量的文件将被拒绝。如果多次上传均告失败，请拨打咨询电话（</w:t>
      </w:r>
      <w:r>
        <w:rPr>
          <w:rFonts w:hint="eastAsia" w:ascii="宋体" w:hAnsi="宋体"/>
          <w:color w:val="000000" w:themeColor="text1"/>
          <w:highlight w:val="none"/>
          <w:u w:val="single"/>
          <w14:textFill>
            <w14:solidFill>
              <w14:schemeClr w14:val="tx1"/>
            </w14:solidFill>
          </w14:textFill>
        </w:rPr>
        <w:t>0730-2966692 信息技术科</w:t>
      </w:r>
      <w:r>
        <w:rPr>
          <w:rFonts w:hint="eastAsia" w:ascii="宋体" w:hAnsi="宋体"/>
          <w:color w:val="000000" w:themeColor="text1"/>
          <w:highlight w:val="none"/>
          <w14:textFill>
            <w14:solidFill>
              <w14:schemeClr w14:val="tx1"/>
            </w14:solidFill>
          </w14:textFill>
        </w:rPr>
        <w:t>）。</w:t>
      </w:r>
    </w:p>
    <w:p w14:paraId="7A511218">
      <w:pPr>
        <w:shd w:val="clear"/>
        <w:spacing w:line="360" w:lineRule="exact"/>
        <w:ind w:firstLine="411" w:firstLineChars="196"/>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23.1.1按本通用条款第10条规定，招标文件发生实质性修改后，投标人须撤回原电子投标文件，根据最新招标文件重新制作投标文件并再次上传。</w:t>
      </w:r>
    </w:p>
    <w:p w14:paraId="56F3AF8F">
      <w:pPr>
        <w:shd w:val="clear"/>
        <w:spacing w:line="360" w:lineRule="exact"/>
        <w:ind w:firstLine="411" w:firstLineChars="196"/>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23</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1.2投标截止时间到达以后不再接收投标文件。</w:t>
      </w:r>
    </w:p>
    <w:p w14:paraId="07B73BFC">
      <w:pPr>
        <w:shd w:val="clear"/>
        <w:tabs>
          <w:tab w:val="left" w:pos="6195"/>
        </w:tabs>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24. 投标文件的修改和撤回</w:t>
      </w:r>
      <w:r>
        <w:rPr>
          <w:rFonts w:ascii="宋体" w:hAnsi="宋体"/>
          <w:b/>
          <w:bCs/>
          <w:color w:val="000000" w:themeColor="text1"/>
          <w:szCs w:val="21"/>
          <w:highlight w:val="none"/>
          <w14:textFill>
            <w14:solidFill>
              <w14:schemeClr w14:val="tx1"/>
            </w14:solidFill>
          </w14:textFill>
        </w:rPr>
        <w:tab/>
      </w:r>
    </w:p>
    <w:p w14:paraId="162E7D07">
      <w:pPr>
        <w:shd w:val="clear"/>
        <w:spacing w:line="360" w:lineRule="auto"/>
        <w:ind w:firstLine="411" w:firstLineChars="196"/>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24.1</w:t>
      </w:r>
      <w:r>
        <w:rPr>
          <w:rFonts w:ascii="宋体" w:hAnsi="宋体"/>
          <w:color w:val="000000" w:themeColor="text1"/>
          <w:highlight w:val="none"/>
          <w14:textFill>
            <w14:solidFill>
              <w14:schemeClr w14:val="tx1"/>
            </w14:solidFill>
          </w14:textFill>
        </w:rPr>
        <w:t>投标方在提交</w:t>
      </w:r>
      <w:r>
        <w:rPr>
          <w:rFonts w:hint="eastAsia" w:ascii="宋体" w:hAnsi="宋体"/>
          <w:color w:val="000000" w:themeColor="text1"/>
          <w:szCs w:val="21"/>
          <w:highlight w:val="none"/>
          <w14:textFill>
            <w14:solidFill>
              <w14:schemeClr w14:val="tx1"/>
            </w14:solidFill>
          </w14:textFill>
        </w:rPr>
        <w:t>电子</w:t>
      </w:r>
      <w:r>
        <w:rPr>
          <w:rFonts w:ascii="宋体" w:hAnsi="宋体"/>
          <w:color w:val="000000" w:themeColor="text1"/>
          <w:highlight w:val="none"/>
          <w14:textFill>
            <w14:solidFill>
              <w14:schemeClr w14:val="tx1"/>
            </w14:solidFill>
          </w14:textFill>
        </w:rPr>
        <w:t>投标文件后可对其投标文件进行修改</w:t>
      </w:r>
      <w:r>
        <w:rPr>
          <w:rFonts w:hint="eastAsia" w:ascii="宋体" w:hAnsi="宋体"/>
          <w:color w:val="000000" w:themeColor="text1"/>
          <w:highlight w:val="none"/>
          <w14:textFill>
            <w14:solidFill>
              <w14:schemeClr w14:val="tx1"/>
            </w14:solidFill>
          </w14:textFill>
        </w:rPr>
        <w:t>并重新上传投标文件</w:t>
      </w:r>
      <w:r>
        <w:rPr>
          <w:rFonts w:ascii="宋体" w:hAnsi="宋体"/>
          <w:color w:val="000000" w:themeColor="text1"/>
          <w:highlight w:val="none"/>
          <w14:textFill>
            <w14:solidFill>
              <w14:schemeClr w14:val="tx1"/>
            </w14:solidFill>
          </w14:textFill>
        </w:rPr>
        <w:t>或</w:t>
      </w:r>
      <w:r>
        <w:rPr>
          <w:rFonts w:hint="eastAsia" w:ascii="宋体" w:hAnsi="宋体"/>
          <w:color w:val="000000" w:themeColor="text1"/>
          <w:highlight w:val="none"/>
          <w14:textFill>
            <w14:solidFill>
              <w14:schemeClr w14:val="tx1"/>
            </w14:solidFill>
          </w14:textFill>
        </w:rPr>
        <w:t>在网上进行</w:t>
      </w:r>
      <w:r>
        <w:rPr>
          <w:rFonts w:ascii="宋体" w:hAnsi="宋体"/>
          <w:color w:val="000000" w:themeColor="text1"/>
          <w:highlight w:val="none"/>
          <w14:textFill>
            <w14:solidFill>
              <w14:schemeClr w14:val="tx1"/>
            </w14:solidFill>
          </w14:textFill>
        </w:rPr>
        <w:t>撤销</w:t>
      </w:r>
      <w:r>
        <w:rPr>
          <w:rFonts w:hint="eastAsia" w:ascii="宋体" w:hAnsi="宋体"/>
          <w:color w:val="000000" w:themeColor="text1"/>
          <w:highlight w:val="none"/>
          <w14:textFill>
            <w14:solidFill>
              <w14:schemeClr w14:val="tx1"/>
            </w14:solidFill>
          </w14:textFill>
        </w:rPr>
        <w:t>投标的操作</w:t>
      </w:r>
      <w:r>
        <w:rPr>
          <w:rFonts w:ascii="宋体" w:hAnsi="宋体"/>
          <w:color w:val="000000" w:themeColor="text1"/>
          <w:highlight w:val="none"/>
          <w14:textFill>
            <w14:solidFill>
              <w14:schemeClr w14:val="tx1"/>
            </w14:solidFill>
          </w14:textFill>
        </w:rPr>
        <w:t>。</w:t>
      </w:r>
    </w:p>
    <w:p w14:paraId="06167D32">
      <w:pPr>
        <w:shd w:val="clear"/>
        <w:spacing w:line="360" w:lineRule="auto"/>
        <w:ind w:firstLine="411" w:firstLineChars="196"/>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4</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2</w:t>
      </w:r>
      <w:r>
        <w:rPr>
          <w:rFonts w:ascii="宋体" w:hAnsi="宋体"/>
          <w:color w:val="000000" w:themeColor="text1"/>
          <w:highlight w:val="none"/>
          <w14:textFill>
            <w14:solidFill>
              <w14:schemeClr w14:val="tx1"/>
            </w14:solidFill>
          </w14:textFill>
        </w:rPr>
        <w:t>投标截止时间以后不得修改投标文件。</w:t>
      </w:r>
    </w:p>
    <w:p w14:paraId="1B33AFD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24.3投标人在提交投标文件的截止时间前撤回已提交的投标文件的，采购代理机构应当自收到投标人撤回通知之日起５个工作日内，退还已收取的投标保证金，但因投标人自身原因导致无法及时退还的除外。</w:t>
      </w:r>
    </w:p>
    <w:p w14:paraId="4FC026D8">
      <w:pPr>
        <w:shd w:val="clear"/>
        <w:adjustRightInd w:val="0"/>
        <w:snapToGrid w:val="0"/>
        <w:spacing w:line="360" w:lineRule="auto"/>
        <w:jc w:val="left"/>
        <w:rPr>
          <w:rFonts w:ascii="宋体" w:hAnsi="宋体" w:cs="Arial"/>
          <w:b/>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25.</w:t>
      </w:r>
      <w:r>
        <w:rPr>
          <w:rFonts w:hint="eastAsia" w:ascii="宋体" w:hAnsi="宋体" w:cs="Arial"/>
          <w:b/>
          <w:color w:val="000000" w:themeColor="text1"/>
          <w:highlight w:val="none"/>
          <w14:textFill>
            <w14:solidFill>
              <w14:schemeClr w14:val="tx1"/>
            </w14:solidFill>
          </w14:textFill>
        </w:rPr>
        <w:t xml:space="preserve"> 串通</w:t>
      </w:r>
      <w:r>
        <w:rPr>
          <w:rFonts w:hint="eastAsia" w:ascii="宋体" w:hAnsi="宋体"/>
          <w:b/>
          <w:color w:val="000000" w:themeColor="text1"/>
          <w:highlight w:val="none"/>
          <w14:textFill>
            <w14:solidFill>
              <w14:schemeClr w14:val="tx1"/>
            </w14:solidFill>
          </w14:textFill>
        </w:rPr>
        <w:t>投标行为</w:t>
      </w:r>
    </w:p>
    <w:p w14:paraId="0D73032B">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25.1有下列情形之一的，属于恶意串通，对投标人依照政府采购法第七十七条第一款的规定追究法律责任：</w:t>
      </w:r>
    </w:p>
    <w:p w14:paraId="73D7D2A4">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（1）投标人直接或者间接从采购人或者采购代理机构处获得其他投标人的相关情况并修改其投标文件；</w:t>
      </w:r>
    </w:p>
    <w:p w14:paraId="7D04BE8E">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（2）投标人按照采购人或者采购代理机构的授意撤换、修改投标文件；</w:t>
      </w:r>
    </w:p>
    <w:p w14:paraId="1DA34997">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（3）投标人之间协商报价、技术方案等投标文件的实质性内容；</w:t>
      </w:r>
    </w:p>
    <w:p w14:paraId="7E4E21BD">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（4）属于同一集团、协会、商会等组织成员的投标人按照该组织要求协同参加政府采购活动；</w:t>
      </w:r>
    </w:p>
    <w:p w14:paraId="6D293325">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（5）投标人之间事先约定由某一特定投标人中标；</w:t>
      </w:r>
    </w:p>
    <w:p w14:paraId="5221FBDD">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（6）投标人之间商定部分投标人放弃参加政府采购活动或者放弃中标；</w:t>
      </w:r>
    </w:p>
    <w:p w14:paraId="1113C045">
      <w:pPr>
        <w:shd w:val="clear"/>
        <w:adjustRightInd w:val="0"/>
        <w:snapToGrid w:val="0"/>
        <w:spacing w:line="360" w:lineRule="auto"/>
        <w:ind w:firstLine="396" w:firstLineChars="200"/>
        <w:jc w:val="left"/>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（7）投标人与采购人或者采购代理机构之间、投标人相互之间，为谋求特定投标人中标或者排斥其他投标人的其他串通行为。</w:t>
      </w:r>
    </w:p>
    <w:p w14:paraId="5DDCCA6B">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25.2有下列情形之一的，视为投标人串通投标，其投标无效：</w:t>
      </w:r>
    </w:p>
    <w:p w14:paraId="5E1CABC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（1）不同投标人的投标文件由同一单位或者个人编制；</w:t>
      </w:r>
    </w:p>
    <w:p w14:paraId="5F50397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（2）不同投标人委托同一单位或者个人办理投标事宜；</w:t>
      </w:r>
    </w:p>
    <w:p w14:paraId="70794F4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（3）不同投标人的投标文件载明的项目管理成员或者联系人员为同一人；</w:t>
      </w:r>
    </w:p>
    <w:p w14:paraId="13137CB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（4）不同投标人的投标文件异常一致或者投标报价呈规律性差异；</w:t>
      </w:r>
    </w:p>
    <w:p w14:paraId="31FE8B8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（5）不同投标人的投标文件相互混装；</w:t>
      </w:r>
    </w:p>
    <w:p w14:paraId="70E4A15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（6）不同投标人的投标保证金从同一单位或者个人的账户转出。</w:t>
      </w:r>
    </w:p>
    <w:p w14:paraId="73C3A7AE">
      <w:pPr>
        <w:shd w:val="clear"/>
        <w:adjustRightInd w:val="0"/>
        <w:snapToGrid w:val="0"/>
        <w:spacing w:line="360" w:lineRule="auto"/>
        <w:jc w:val="lef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五、开标，资格审查和评标</w:t>
      </w:r>
    </w:p>
    <w:p w14:paraId="10626EA6">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26. 开标</w:t>
      </w:r>
    </w:p>
    <w:p w14:paraId="05B5A683">
      <w:pPr>
        <w:shd w:val="clear"/>
        <w:spacing w:line="360" w:lineRule="auto"/>
        <w:ind w:firstLine="315" w:firstLineChars="1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26.1采购代理机构在规定时间组织网上开标。投标人在岳阳市公共资源交易电子服务平台中</w:t>
      </w:r>
      <w:r>
        <w:rPr>
          <w:rFonts w:hint="eastAsia" w:ascii="宋体" w:hAnsi="宋体"/>
          <w:color w:val="000000" w:themeColor="text1"/>
          <w:szCs w:val="21"/>
          <w:highlight w:val="none"/>
          <w:lang w:eastAsia="zh-CN"/>
          <w14:textFill>
            <w14:solidFill>
              <w14:schemeClr w14:val="tx1"/>
            </w14:solidFill>
          </w14:textFill>
        </w:rPr>
        <w:t>登录</w:t>
      </w:r>
      <w:r>
        <w:rPr>
          <w:rFonts w:hint="eastAsia" w:ascii="宋体" w:hAnsi="宋体"/>
          <w:color w:val="000000" w:themeColor="text1"/>
          <w:szCs w:val="21"/>
          <w:highlight w:val="none"/>
          <w14:textFill>
            <w14:solidFill>
              <w14:schemeClr w14:val="tx1"/>
            </w14:solidFill>
          </w14:textFill>
        </w:rPr>
        <w:t>“岳阳政府采购不见面开标大厅”，参与项目网上开标会。</w:t>
      </w:r>
    </w:p>
    <w:p w14:paraId="4138DA14">
      <w:pPr>
        <w:shd w:val="clear"/>
        <w:spacing w:line="360" w:lineRule="auto"/>
        <w:ind w:firstLine="315" w:firstLineChars="1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26.2投标截止时间到达以后，投标人在规定时限内对电子投标文件进行解密并在网上进行开标、唱标，同步在网上公布开标结果。</w:t>
      </w:r>
    </w:p>
    <w:p w14:paraId="65B1D8A0">
      <w:pPr>
        <w:shd w:val="clear"/>
        <w:spacing w:line="360" w:lineRule="exact"/>
        <w:ind w:firstLine="315" w:firstLineChars="150"/>
        <w:rPr>
          <w:rFonts w:ascii="仿宋" w:hAnsi="仿宋" w:eastAsia="仿宋"/>
          <w:color w:val="000000" w:themeColor="text1"/>
          <w:sz w:val="32"/>
          <w:szCs w:val="3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26.3开标注意事项：因投标人原因未按时限解密或无法解密的投标文件视为无效投标文件，相应责任由投标人自行承担。</w:t>
      </w:r>
    </w:p>
    <w:p w14:paraId="55FE9555">
      <w:pPr>
        <w:shd w:val="clear"/>
        <w:adjustRightInd w:val="0"/>
        <w:snapToGrid w:val="0"/>
        <w:spacing w:line="360" w:lineRule="auto"/>
        <w:jc w:val="left"/>
        <w:rPr>
          <w:rFonts w:ascii="宋体" w:hAnsi="宋体"/>
          <w:b/>
          <w:color w:val="000000" w:themeColor="text1"/>
          <w:szCs w:val="21"/>
          <w:highlight w:val="none"/>
          <w14:textFill>
            <w14:solidFill>
              <w14:schemeClr w14:val="tx1"/>
            </w14:solidFill>
          </w14:textFill>
        </w:rPr>
      </w:pPr>
      <w:r>
        <w:rPr>
          <w:rStyle w:val="46"/>
          <w:rFonts w:hint="eastAsia" w:ascii="宋体" w:hAnsi="宋体" w:cs="Arial"/>
          <w:color w:val="000000" w:themeColor="text1"/>
          <w:szCs w:val="21"/>
          <w:highlight w:val="none"/>
          <w14:textFill>
            <w14:solidFill>
              <w14:schemeClr w14:val="tx1"/>
            </w14:solidFill>
          </w14:textFill>
        </w:rPr>
        <w:t>27.</w:t>
      </w:r>
      <w:r>
        <w:rPr>
          <w:rFonts w:hint="eastAsia" w:ascii="宋体" w:hAnsi="宋体"/>
          <w:b/>
          <w:bCs/>
          <w:color w:val="000000" w:themeColor="text1"/>
          <w:szCs w:val="21"/>
          <w:highlight w:val="none"/>
          <w14:textFill>
            <w14:solidFill>
              <w14:schemeClr w14:val="tx1"/>
            </w14:solidFill>
          </w14:textFill>
        </w:rPr>
        <w:t>资格审查</w:t>
      </w:r>
    </w:p>
    <w:p w14:paraId="09479F8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27.1开标结束后，采购人及采购代理机构将依法对投标人的资格进行审查。</w:t>
      </w:r>
    </w:p>
    <w:p w14:paraId="4BC7443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投标文件属下列情况之一的，投标无效：</w:t>
      </w:r>
    </w:p>
    <w:p w14:paraId="69EAB88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（1）不符合本章第3条投标人的资格要求的；</w:t>
      </w:r>
    </w:p>
    <w:p w14:paraId="45B98A6A">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（2）联合体没有提交联合体协议书，或未提交联合体各方资格证明文件的；</w:t>
      </w:r>
    </w:p>
    <w:p w14:paraId="0C1582E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未按招标文件要求提交资格证明文件或</w:t>
      </w:r>
      <w:r>
        <w:rPr>
          <w:rFonts w:hint="eastAsia" w:ascii="宋体" w:hAnsi="宋体"/>
          <w:color w:val="000000" w:themeColor="text1"/>
          <w:szCs w:val="21"/>
          <w:highlight w:val="none"/>
          <w14:textFill>
            <w14:solidFill>
              <w14:schemeClr w14:val="tx1"/>
            </w14:solidFill>
          </w14:textFill>
        </w:rPr>
        <w:t>投标文件中资格证明文件未按照招标文件要求签署、盖章的；</w:t>
      </w:r>
    </w:p>
    <w:p w14:paraId="00F32342">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（4）应缴未缴投标保证金或金额不足、投标保证金缴纳形式不符合招标文件要求的。</w:t>
      </w:r>
    </w:p>
    <w:p w14:paraId="741B80E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（5）不符合法律、法规和招标文件规定的其他投标无效情形的。</w:t>
      </w:r>
    </w:p>
    <w:p w14:paraId="0D5724A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w:t>
      </w:r>
      <w:r>
        <w:rPr>
          <w:rFonts w:hint="eastAsia" w:ascii="宋体" w:hAnsi="宋体"/>
          <w:color w:val="000000" w:themeColor="text1"/>
          <w:szCs w:val="21"/>
          <w:highlight w:val="none"/>
          <w:lang w:val="en-US"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对未通过资格审查的投标人，采购人及采购代理机构应当告知其未通过的原因。</w:t>
      </w:r>
    </w:p>
    <w:p w14:paraId="7B4D9482">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合格投标人不足3家的，不得进入评标环节。</w:t>
      </w:r>
    </w:p>
    <w:p w14:paraId="3EE5DC6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已进行资格预审的，可以不再对投标人资格进行审查。资格预审合格的投标人在提交投标文件的截止时间前资格发生变化的，应当通知采购人和采购代理机构，并按新情况更新或补充其在申请资格预审时提供的证明资料，以证实其各项资格条件仍能继续满足资格预审公告的要求。</w:t>
      </w:r>
    </w:p>
    <w:p w14:paraId="0F97246B">
      <w:pPr>
        <w:shd w:val="clear"/>
        <w:adjustRightInd w:val="0"/>
        <w:snapToGrid w:val="0"/>
        <w:spacing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28.</w:t>
      </w:r>
      <w:r>
        <w:rPr>
          <w:rFonts w:hint="eastAsia" w:ascii="宋体" w:hAnsi="宋体"/>
          <w:b/>
          <w:color w:val="000000" w:themeColor="text1"/>
          <w:szCs w:val="21"/>
          <w:highlight w:val="none"/>
          <w14:textFill>
            <w14:solidFill>
              <w14:schemeClr w14:val="tx1"/>
            </w14:solidFill>
          </w14:textFill>
        </w:rPr>
        <w:t xml:space="preserve"> 评标委员会</w:t>
      </w:r>
    </w:p>
    <w:p w14:paraId="38C0B9D2">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28.1评标由依法组建的评标委员会负责，评标委员会由采购人代表和评审专家组成。</w:t>
      </w:r>
    </w:p>
    <w:p w14:paraId="0340966E">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28.2评标委员会成员有下列情形之一的，应当回避：</w:t>
      </w:r>
    </w:p>
    <w:p w14:paraId="23098DB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（1）参加采购活动前3年内与投标人存在劳动关系；</w:t>
      </w:r>
    </w:p>
    <w:p w14:paraId="31B50B22">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（2）参加采购活动前3年内担任投标人的董事、监事；</w:t>
      </w:r>
    </w:p>
    <w:p w14:paraId="00B93606">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（3）参加采购活动前3年内是投标人的控股股东或者实际控制人；</w:t>
      </w:r>
    </w:p>
    <w:p w14:paraId="6C4958F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（4）与投标人的法定代表人或者负责人有夫妻、直系血亲、三代以内旁系血亲或者近姻亲关系；</w:t>
      </w:r>
    </w:p>
    <w:p w14:paraId="476337C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（5）与投标人有其他可能影响采购活动公平、公正进行的关系。</w:t>
      </w:r>
    </w:p>
    <w:p w14:paraId="2268DC9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28.3评标委员会负责具体评标事务，并独立履行下列职责：</w:t>
      </w:r>
    </w:p>
    <w:p w14:paraId="6E0D310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（1）审查、评价投标文件是否符合招标文件的商务、技术等实质性要求；</w:t>
      </w:r>
    </w:p>
    <w:p w14:paraId="7F9DF59A">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（2）要求投标人对投标文件有关事项作出澄清或者说明；</w:t>
      </w:r>
    </w:p>
    <w:p w14:paraId="26D4696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（3）对投标文件进行比较和评价；</w:t>
      </w:r>
    </w:p>
    <w:p w14:paraId="5BAA1DF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（4）确定中标候选人名单，以及根据采购人委托直接确定中标人。</w:t>
      </w:r>
    </w:p>
    <w:p w14:paraId="0390F6BF">
      <w:pPr>
        <w:shd w:val="clear"/>
        <w:adjustRightInd w:val="0"/>
        <w:snapToGrid w:val="0"/>
        <w:spacing w:line="360" w:lineRule="auto"/>
        <w:jc w:val="left"/>
        <w:rPr>
          <w:rFonts w:ascii="宋体" w:hAnsi="宋体"/>
          <w:b/>
          <w:bCs/>
          <w:color w:val="000000" w:themeColor="text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29.</w:t>
      </w:r>
      <w:r>
        <w:rPr>
          <w:rFonts w:hint="eastAsia" w:ascii="宋体" w:hAnsi="宋体"/>
          <w:b/>
          <w:bCs/>
          <w:color w:val="000000" w:themeColor="text1"/>
          <w:highlight w:val="none"/>
          <w14:textFill>
            <w14:solidFill>
              <w14:schemeClr w14:val="tx1"/>
            </w14:solidFill>
          </w14:textFill>
        </w:rPr>
        <w:t xml:space="preserve"> 评标</w:t>
      </w:r>
    </w:p>
    <w:p w14:paraId="5E7DE92C">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29.1 评标委员会按照</w:t>
      </w:r>
      <w:r>
        <w:rPr>
          <w:rFonts w:hint="eastAsia" w:ascii="宋体" w:hAnsi="宋体"/>
          <w:bCs/>
          <w:color w:val="000000" w:themeColor="text1"/>
          <w:highlight w:val="none"/>
          <w14:textFill>
            <w14:solidFill>
              <w14:schemeClr w14:val="tx1"/>
            </w14:solidFill>
          </w14:textFill>
        </w:rPr>
        <w:t>第三章评标方法及标准</w:t>
      </w:r>
      <w:r>
        <w:rPr>
          <w:rFonts w:hint="eastAsia" w:ascii="宋体" w:hAnsi="宋体"/>
          <w:color w:val="000000" w:themeColor="text1"/>
          <w:highlight w:val="none"/>
          <w14:textFill>
            <w14:solidFill>
              <w14:schemeClr w14:val="tx1"/>
            </w14:solidFill>
          </w14:textFill>
        </w:rPr>
        <w:t>规定的评标方法、评审因素、标准和程序以及有关法律、法规及规章对投标文件进行评审。</w:t>
      </w:r>
    </w:p>
    <w:p w14:paraId="0864F01B">
      <w:pPr>
        <w:shd w:val="clea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30.电子招投标的应急措施</w:t>
      </w:r>
    </w:p>
    <w:p w14:paraId="0D3254A4">
      <w:pPr>
        <w:shd w:val="clear"/>
        <w:adjustRightInd w:val="0"/>
        <w:snapToGrid w:val="0"/>
        <w:spacing w:line="360" w:lineRule="auto"/>
        <w:ind w:firstLine="420" w:firstLineChars="200"/>
        <w:jc w:val="left"/>
        <w:rPr>
          <w:rFonts w:ascii="宋体" w:hAnsi="宋体"/>
          <w:color w:val="000000" w:themeColor="text1"/>
          <w:sz w:val="28"/>
          <w:szCs w:val="28"/>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在电子化政府采购交易过程中，如遇不可抗力及停电、系统故障等情况短时内无法恢复正常的，采购人应暂停开、评标等交易活动，并如实记录相关情况。待故障和问题解除后，恢复交易活动。</w:t>
      </w:r>
    </w:p>
    <w:p w14:paraId="52345F40">
      <w:pPr>
        <w:shd w:val="clear"/>
        <w:adjustRightInd w:val="0"/>
        <w:snapToGrid w:val="0"/>
        <w:spacing w:line="360" w:lineRule="auto"/>
        <w:jc w:val="lef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六、中标信息公布</w:t>
      </w:r>
    </w:p>
    <w:p w14:paraId="5FFFFB40">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31.</w:t>
      </w:r>
      <w:r>
        <w:rPr>
          <w:rFonts w:hint="eastAsia" w:ascii="宋体" w:hAnsi="宋体"/>
          <w:b/>
          <w:bCs/>
          <w:color w:val="000000" w:themeColor="text1"/>
          <w:szCs w:val="21"/>
          <w:highlight w:val="none"/>
          <w14:textFill>
            <w14:solidFill>
              <w14:schemeClr w14:val="tx1"/>
            </w14:solidFill>
          </w14:textFill>
        </w:rPr>
        <w:t>中标通知书与中标信息公布</w:t>
      </w:r>
    </w:p>
    <w:p w14:paraId="0A659158">
      <w:pPr>
        <w:shd w:val="clear"/>
        <w:adjustRightInd w:val="0"/>
        <w:snapToGrid w:val="0"/>
        <w:spacing w:line="360" w:lineRule="auto"/>
        <w:ind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31.1采购代理机构应当在评标结束后2个工作日内将</w:t>
      </w:r>
      <w:r>
        <w:rPr>
          <w:rFonts w:hint="eastAsia" w:ascii="宋体" w:hAnsi="宋体"/>
          <w:bCs/>
          <w:color w:val="000000" w:themeColor="text1"/>
          <w:highlight w:val="none"/>
          <w14:textFill>
            <w14:solidFill>
              <w14:schemeClr w14:val="tx1"/>
            </w14:solidFill>
          </w14:textFill>
        </w:rPr>
        <w:t>资格审查报告和评标报告送采购人。</w:t>
      </w:r>
    </w:p>
    <w:p w14:paraId="0FD7164F">
      <w:pPr>
        <w:shd w:val="clear"/>
        <w:adjustRightInd w:val="0"/>
        <w:snapToGrid w:val="0"/>
        <w:spacing w:line="360" w:lineRule="auto"/>
        <w:ind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31.2采购人应当自收到资格审查报告和评标报告之日起５个工作日内，在评标报告确定的中标候选人名单中按顺序确定中标人。中标候选人并列的，由采购人或者采购人委托评标委员会按照【</w:t>
      </w:r>
      <w:r>
        <w:rPr>
          <w:rFonts w:hint="eastAsia" w:ascii="宋体" w:hAnsi="宋体"/>
          <w:b/>
          <w:bCs/>
          <w:color w:val="000000" w:themeColor="text1"/>
          <w:highlight w:val="none"/>
          <w14:textFill>
            <w14:solidFill>
              <w14:schemeClr w14:val="tx1"/>
            </w14:solidFill>
          </w14:textFill>
        </w:rPr>
        <w:t>投标须知前附表</w:t>
      </w:r>
      <w:r>
        <w:rPr>
          <w:rFonts w:hint="eastAsia" w:ascii="宋体" w:hAnsi="宋体"/>
          <w:bCs/>
          <w:color w:val="000000" w:themeColor="text1"/>
          <w:highlight w:val="none"/>
          <w14:textFill>
            <w14:solidFill>
              <w14:schemeClr w14:val="tx1"/>
            </w14:solidFill>
          </w14:textFill>
        </w:rPr>
        <w:t>】规定的方式确定中标人；招标文件未规定的，采取随机抽取的方式确定。</w:t>
      </w:r>
    </w:p>
    <w:p w14:paraId="46FCC930">
      <w:pPr>
        <w:shd w:val="clear"/>
        <w:adjustRightInd w:val="0"/>
        <w:snapToGrid w:val="0"/>
        <w:spacing w:line="360" w:lineRule="auto"/>
        <w:ind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31.3采购代理机构应当自采购人确定中标投标人之日起2个工作日内，发出中标通知书，并在招标文件指定的媒体公告中标结果，招标文件随中标结果同时公告，中标结果公告期限为１个工作日。</w:t>
      </w:r>
    </w:p>
    <w:p w14:paraId="49AD6469">
      <w:pPr>
        <w:shd w:val="clear"/>
        <w:adjustRightInd w:val="0"/>
        <w:snapToGrid w:val="0"/>
        <w:spacing w:line="360" w:lineRule="auto"/>
        <w:ind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31.4采用综合评分法评审的，还应当告知未中标人本人的评审得分与排序。</w:t>
      </w:r>
    </w:p>
    <w:p w14:paraId="3E5CD2F7">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 xml:space="preserve"> 投标人询问及</w:t>
      </w:r>
      <w:r>
        <w:rPr>
          <w:rFonts w:hint="eastAsia" w:ascii="宋体" w:hAnsi="宋体"/>
          <w:b/>
          <w:bCs/>
          <w:color w:val="000000" w:themeColor="text1"/>
          <w:szCs w:val="21"/>
          <w:highlight w:val="none"/>
          <w14:textFill>
            <w14:solidFill>
              <w14:schemeClr w14:val="tx1"/>
            </w14:solidFill>
          </w14:textFill>
        </w:rPr>
        <w:t>质疑</w:t>
      </w:r>
    </w:p>
    <w:p w14:paraId="579EFB6F">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32.1投标人对采购活动事项有疑问的，可以向采购人或采购代理机构提出询问。采购人或采购代理机构将在3个工作日内作出答复。</w:t>
      </w:r>
    </w:p>
    <w:p w14:paraId="0A9C40D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32.2投标人认为招标文件、采购过程和中标结果使自己的权益受到损害的，可以在知道或者应知其权益受到损害之日起7个工作日内，以书面形式向采购人提出质疑。</w:t>
      </w:r>
    </w:p>
    <w:p w14:paraId="44C42EB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32.3本章第3</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.2款所称投标人应知其权益受到损害之日，是指：</w:t>
      </w:r>
    </w:p>
    <w:p w14:paraId="369CEF66">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（1）对可以质疑的招标文件提出质疑的，为收到招标文件之日或者招标公告期限届满之日；</w:t>
      </w:r>
    </w:p>
    <w:p w14:paraId="782D7CBE">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（2）对采购过程提出质疑的，为各采购程序环节结束之日；</w:t>
      </w:r>
    </w:p>
    <w:p w14:paraId="522E679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（3）对中标结果提出质疑的，为中标结果公告期限届满之日。</w:t>
      </w:r>
    </w:p>
    <w:p w14:paraId="772DF7C9">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32.4投标人提出质疑的，应提供质疑书原件。采购人或采购代理机构应当向质疑投标人签收回执。</w:t>
      </w:r>
    </w:p>
    <w:p w14:paraId="3606358F">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32.5质疑书应当包括下列内容：</w:t>
      </w:r>
    </w:p>
    <w:p w14:paraId="71F0FB44">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（1）质疑投标人的名称、地址及有效联系方式；</w:t>
      </w:r>
    </w:p>
    <w:p w14:paraId="2F3BA24B">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（2）质疑事项；</w:t>
      </w:r>
    </w:p>
    <w:p w14:paraId="6445A22B">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（3）事实依据及相关证明材料；</w:t>
      </w:r>
    </w:p>
    <w:p w14:paraId="596FF1BE">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（4）相关请求及主张。</w:t>
      </w:r>
    </w:p>
    <w:p w14:paraId="048AFA05">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32.6</w:t>
      </w:r>
      <w:r>
        <w:rPr>
          <w:rFonts w:hint="eastAsia" w:ascii="宋体" w:hAnsi="宋体"/>
          <w:color w:val="000000" w:themeColor="text1"/>
          <w:highlight w:val="none"/>
          <w14:textFill>
            <w14:solidFill>
              <w14:schemeClr w14:val="tx1"/>
            </w14:solidFill>
          </w14:textFill>
        </w:rPr>
        <w:t>质疑书应当由投标人法定代表人或其授权的代理人签字并加盖投标人单位章。质疑书由授权代理人签字的应附投标人法定代表人委托授权书。</w:t>
      </w:r>
    </w:p>
    <w:p w14:paraId="2FA495C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32.7采购人或采购代理机构将在签收回执之日起7个工作日内作出书面答复，并以书面形式通知质疑投标人和其他有关的投标人。</w:t>
      </w:r>
    </w:p>
    <w:p w14:paraId="2DE0BAC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8投标人对采购人或采购代理机构的答复不满意，或采购人或采购代理机构未在规定的期限作出答复的，可在答复期满后15个工作日内，按政府采购相关法律法规规章的规定及程序，向同级财政部门提出投诉。</w:t>
      </w:r>
    </w:p>
    <w:p w14:paraId="6DAEBF0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32.9投标人提出质疑的，应提供质疑函原件，并应以直接送达（专人送达）或邮寄送达。接收质疑函的联系部门、联系电话和通讯地址见【投标须知前附表】。采购人或采购代理机构不接受电子送达（传真、电子邮件、微信等）。采购人或采购代理机构应当向质疑供应商签收回执。</w:t>
      </w:r>
    </w:p>
    <w:p w14:paraId="55D1BEFE">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32.10以联合体形式参加采购活动的，联合体组成后提出的质疑事项应当由组成联合体的所有供应商共同提出。</w:t>
      </w:r>
    </w:p>
    <w:p w14:paraId="77E9A563">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32.11质疑函按中国政府采购网（www.ccgp.gov.cn）“下载专区”的“政府采购供应质疑函范本”和“质疑函制作说明”制作。</w:t>
      </w:r>
    </w:p>
    <w:p w14:paraId="59BB42ED">
      <w:pPr>
        <w:shd w:val="clear"/>
        <w:adjustRightInd w:val="0"/>
        <w:snapToGrid w:val="0"/>
        <w:spacing w:line="360" w:lineRule="auto"/>
        <w:jc w:val="lef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七、合同签订</w:t>
      </w:r>
    </w:p>
    <w:p w14:paraId="7261A110">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33.</w:t>
      </w:r>
      <w:r>
        <w:rPr>
          <w:rFonts w:hint="eastAsia" w:ascii="宋体" w:hAnsi="宋体"/>
          <w:b/>
          <w:bCs/>
          <w:color w:val="000000" w:themeColor="text1"/>
          <w:szCs w:val="21"/>
          <w:highlight w:val="none"/>
          <w14:textFill>
            <w14:solidFill>
              <w14:schemeClr w14:val="tx1"/>
            </w14:solidFill>
          </w14:textFill>
        </w:rPr>
        <w:t xml:space="preserve"> 签订合同</w:t>
      </w:r>
    </w:p>
    <w:p w14:paraId="32ADC964">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33.1 采购人应自中标通知书发出之日起30日内，按中标通知书指定的时间、地点与中标人签订采购合同。所签订的合同不得对招标文件确定的事项和中标人投标文件作实质性修改。</w:t>
      </w:r>
    </w:p>
    <w:p w14:paraId="36EFEB4D">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33.2 招标文件、中标人的投标文件均为签订合同的依据。</w:t>
      </w:r>
    </w:p>
    <w:p w14:paraId="6EA13F1B">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s="微软雅黑"/>
          <w:color w:val="000000" w:themeColor="text1"/>
          <w:kern w:val="0"/>
          <w:szCs w:val="21"/>
          <w:highlight w:val="none"/>
          <w14:textFill>
            <w14:solidFill>
              <w14:schemeClr w14:val="tx1"/>
            </w14:solidFill>
          </w14:textFill>
        </w:rPr>
        <w:t xml:space="preserve">33.3 </w:t>
      </w:r>
      <w:r>
        <w:rPr>
          <w:rFonts w:hint="eastAsia" w:ascii="宋体" w:hAnsi="宋体"/>
          <w:color w:val="000000" w:themeColor="text1"/>
          <w:highlight w:val="none"/>
          <w14:textFill>
            <w14:solidFill>
              <w14:schemeClr w14:val="tx1"/>
            </w14:solidFill>
          </w14:textFill>
        </w:rPr>
        <w:t>联合体中标的，联合体各方应当共同与采购人签订合同，就中标项目向采购人承担连带责任。</w:t>
      </w:r>
    </w:p>
    <w:p w14:paraId="4BDBD3F9">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3</w:t>
      </w:r>
      <w:r>
        <w:rPr>
          <w:rFonts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14:textFill>
            <w14:solidFill>
              <w14:schemeClr w14:val="tx1"/>
            </w14:solidFill>
          </w14:textFill>
        </w:rPr>
        <w:t>中标合同将在招标文件指定的媒体上公告，但合同中涉及国家秘密、商业秘密的内容除外。</w:t>
      </w:r>
    </w:p>
    <w:p w14:paraId="26AD4F69">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33.5 中标人应当按照合同约定依法履行合同义务。采购合同的履行、违约责任和解决争议的方法等适用《中华人民共和国民法典》。</w:t>
      </w:r>
    </w:p>
    <w:p w14:paraId="39829F5C">
      <w:pPr>
        <w:shd w:val="clear"/>
        <w:adjustRightInd w:val="0"/>
        <w:snapToGrid w:val="0"/>
        <w:spacing w:line="360" w:lineRule="auto"/>
        <w:jc w:val="left"/>
        <w:rPr>
          <w:rFonts w:ascii="宋体" w:hAnsi="宋体" w:cs="宋体"/>
          <w:b/>
          <w:color w:val="000000" w:themeColor="text1"/>
          <w:kern w:val="0"/>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34.</w:t>
      </w:r>
      <w:r>
        <w:rPr>
          <w:rFonts w:hint="eastAsia" w:ascii="宋体" w:hAnsi="宋体" w:cs="宋体"/>
          <w:b/>
          <w:color w:val="000000" w:themeColor="text1"/>
          <w:kern w:val="0"/>
          <w:szCs w:val="21"/>
          <w:highlight w:val="none"/>
          <w14:textFill>
            <w14:solidFill>
              <w14:schemeClr w14:val="tx1"/>
            </w14:solidFill>
          </w14:textFill>
        </w:rPr>
        <w:t xml:space="preserve"> 履约担保</w:t>
      </w:r>
    </w:p>
    <w:p w14:paraId="7DD30F8B">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34.1</w:t>
      </w:r>
      <w:r>
        <w:rPr>
          <w:rFonts w:hint="eastAsia" w:ascii="宋体" w:hAnsi="宋体"/>
          <w:color w:val="000000" w:themeColor="text1"/>
          <w:szCs w:val="21"/>
          <w:highlight w:val="none"/>
          <w14:textFill>
            <w14:solidFill>
              <w14:schemeClr w14:val="tx1"/>
            </w14:solidFill>
          </w14:textFill>
        </w:rPr>
        <w:t>中标人在收到采购代理机构的《中标通知书》后10日内，需向采购人提交履约担保的，应按照</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的规定提交。联合体中标的，履约担保由联合体各方或联合体中牵头人的名义提交。</w:t>
      </w:r>
    </w:p>
    <w:p w14:paraId="1B0935B0">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34.2 中标人</w:t>
      </w:r>
      <w:r>
        <w:rPr>
          <w:rFonts w:hint="eastAsia" w:ascii="宋体" w:hAnsi="宋体"/>
          <w:color w:val="000000" w:themeColor="text1"/>
          <w:spacing w:val="4"/>
          <w:szCs w:val="21"/>
          <w:highlight w:val="none"/>
          <w14:textFill>
            <w14:solidFill>
              <w14:schemeClr w14:val="tx1"/>
            </w14:solidFill>
          </w14:textFill>
        </w:rPr>
        <w:t>没有按照本章第3</w:t>
      </w:r>
      <w:r>
        <w:rPr>
          <w:rFonts w:ascii="宋体" w:hAnsi="宋体"/>
          <w:color w:val="000000" w:themeColor="text1"/>
          <w:spacing w:val="4"/>
          <w:szCs w:val="21"/>
          <w:highlight w:val="none"/>
          <w14:textFill>
            <w14:solidFill>
              <w14:schemeClr w14:val="tx1"/>
            </w14:solidFill>
          </w14:textFill>
        </w:rPr>
        <w:t>4</w:t>
      </w:r>
      <w:r>
        <w:rPr>
          <w:rFonts w:hint="eastAsia" w:ascii="宋体" w:hAnsi="宋体"/>
          <w:color w:val="000000" w:themeColor="text1"/>
          <w:spacing w:val="4"/>
          <w:szCs w:val="21"/>
          <w:highlight w:val="none"/>
          <w14:textFill>
            <w14:solidFill>
              <w14:schemeClr w14:val="tx1"/>
            </w14:solidFill>
          </w14:textFill>
        </w:rPr>
        <w:t>.1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pacing w:val="4"/>
          <w:szCs w:val="21"/>
          <w:highlight w:val="none"/>
          <w14:textFill>
            <w14:solidFill>
              <w14:schemeClr w14:val="tx1"/>
            </w14:solidFill>
          </w14:textFill>
        </w:rPr>
        <w:t>规定</w:t>
      </w:r>
      <w:r>
        <w:rPr>
          <w:rFonts w:hint="eastAsia" w:ascii="宋体" w:hAnsi="宋体"/>
          <w:color w:val="000000" w:themeColor="text1"/>
          <w:szCs w:val="21"/>
          <w:highlight w:val="none"/>
          <w14:textFill>
            <w14:solidFill>
              <w14:schemeClr w14:val="tx1"/>
            </w14:solidFill>
          </w14:textFill>
        </w:rPr>
        <w:t>提交履约担保的</w:t>
      </w:r>
      <w:r>
        <w:rPr>
          <w:rFonts w:hint="eastAsia" w:ascii="宋体" w:hAnsi="宋体"/>
          <w:color w:val="000000" w:themeColor="text1"/>
          <w:spacing w:val="4"/>
          <w:szCs w:val="21"/>
          <w:highlight w:val="none"/>
          <w14:textFill>
            <w14:solidFill>
              <w14:schemeClr w14:val="tx1"/>
            </w14:solidFill>
          </w14:textFill>
        </w:rPr>
        <w:t>，视为放弃中标，</w:t>
      </w:r>
      <w:r>
        <w:rPr>
          <w:rFonts w:hint="eastAsia" w:ascii="宋体" w:hAnsi="宋体"/>
          <w:color w:val="000000" w:themeColor="text1"/>
          <w:spacing w:val="2"/>
          <w:szCs w:val="21"/>
          <w:highlight w:val="none"/>
          <w14:textFill>
            <w14:solidFill>
              <w14:schemeClr w14:val="tx1"/>
            </w14:solidFill>
          </w14:textFill>
        </w:rPr>
        <w:t>其投标保证金不予退还。</w:t>
      </w:r>
    </w:p>
    <w:p w14:paraId="4FB81E25">
      <w:pPr>
        <w:shd w:val="clear"/>
        <w:adjustRightInd w:val="0"/>
        <w:snapToGrid w:val="0"/>
        <w:spacing w:line="360" w:lineRule="auto"/>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35.</w:t>
      </w:r>
      <w:r>
        <w:rPr>
          <w:rFonts w:hint="eastAsia" w:ascii="宋体" w:hAnsi="宋体"/>
          <w:b/>
          <w:color w:val="000000" w:themeColor="text1"/>
          <w:szCs w:val="21"/>
          <w:highlight w:val="none"/>
          <w14:textFill>
            <w14:solidFill>
              <w14:schemeClr w14:val="tx1"/>
            </w14:solidFill>
          </w14:textFill>
        </w:rPr>
        <w:t xml:space="preserve"> 采购合同履行中</w:t>
      </w:r>
      <w:r>
        <w:rPr>
          <w:rFonts w:hint="eastAsia" w:ascii="宋体" w:hAnsi="宋体"/>
          <w:b/>
          <w:bCs/>
          <w:color w:val="000000" w:themeColor="text1"/>
          <w:szCs w:val="21"/>
          <w:highlight w:val="none"/>
          <w14:textFill>
            <w14:solidFill>
              <w14:schemeClr w14:val="tx1"/>
            </w14:solidFill>
          </w14:textFill>
        </w:rPr>
        <w:t>数量的变更</w:t>
      </w:r>
    </w:p>
    <w:p w14:paraId="08098C8F">
      <w:pPr>
        <w:shd w:val="clear"/>
        <w:adjustRightInd w:val="0"/>
        <w:snapToGrid w:val="0"/>
        <w:spacing w:line="360" w:lineRule="auto"/>
        <w:ind w:firstLine="420" w:firstLineChars="200"/>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35.1采购合同履行中，采购人需追加与合同标的相同的货物服务的，在不改变合同其他条款的前提下，可以与中标人协商签订补充合同，但所有补充合同的采购金额不得超过原合同采购金额的百分之十。</w:t>
      </w:r>
    </w:p>
    <w:p w14:paraId="07143B76">
      <w:pPr>
        <w:shd w:val="clear"/>
        <w:adjustRightInd w:val="0"/>
        <w:snapToGrid w:val="0"/>
        <w:spacing w:line="360" w:lineRule="auto"/>
        <w:jc w:val="lef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八、其他规定</w:t>
      </w:r>
    </w:p>
    <w:p w14:paraId="2FBDC65C">
      <w:pPr>
        <w:shd w:val="clear"/>
        <w:adjustRightInd w:val="0"/>
        <w:snapToGrid w:val="0"/>
        <w:spacing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36.</w:t>
      </w:r>
      <w:r>
        <w:rPr>
          <w:rFonts w:hint="eastAsia" w:ascii="宋体" w:hAnsi="宋体"/>
          <w:b/>
          <w:color w:val="000000" w:themeColor="text1"/>
          <w:szCs w:val="21"/>
          <w:highlight w:val="none"/>
          <w14:textFill>
            <w14:solidFill>
              <w14:schemeClr w14:val="tx1"/>
            </w14:solidFill>
          </w14:textFill>
        </w:rPr>
        <w:t>政府采购政策</w:t>
      </w:r>
    </w:p>
    <w:p w14:paraId="2DC811EF">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36.1强制采购：对列入财政部、国家发展改革委发布</w:t>
      </w:r>
      <w:r>
        <w:rPr>
          <w:rFonts w:hint="eastAsia" w:ascii="宋体" w:hAnsi="宋体"/>
          <w:color w:val="000000" w:themeColor="text1"/>
          <w:szCs w:val="21"/>
          <w:highlight w:val="none"/>
          <w14:textFill>
            <w14:solidFill>
              <w14:schemeClr w14:val="tx1"/>
            </w14:solidFill>
          </w14:textFill>
        </w:rPr>
        <w:t>《节能产品政府采购品目清单》</w:t>
      </w:r>
      <w:r>
        <w:rPr>
          <w:rFonts w:hint="eastAsia" w:ascii="宋体" w:hAnsi="宋体"/>
          <w:color w:val="000000" w:themeColor="text1"/>
          <w:highlight w:val="none"/>
          <w14:textFill>
            <w14:solidFill>
              <w14:schemeClr w14:val="tx1"/>
            </w14:solidFill>
          </w14:textFill>
        </w:rPr>
        <w:t>且属于应当强制采购的节能产品，按其规定实行强制采购。</w:t>
      </w:r>
    </w:p>
    <w:p w14:paraId="445EE020">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36.2优先采购：对列入财政部、国家发展改革委发布的</w:t>
      </w:r>
      <w:r>
        <w:rPr>
          <w:rFonts w:hint="eastAsia" w:ascii="宋体" w:hAnsi="宋体"/>
          <w:color w:val="000000" w:themeColor="text1"/>
          <w:szCs w:val="21"/>
          <w:highlight w:val="none"/>
          <w14:textFill>
            <w14:solidFill>
              <w14:schemeClr w14:val="tx1"/>
            </w14:solidFill>
          </w14:textFill>
        </w:rPr>
        <w:t>《节能产品政府采购品目清单》</w:t>
      </w:r>
      <w:r>
        <w:rPr>
          <w:rFonts w:hint="eastAsia" w:ascii="宋体" w:hAnsi="宋体"/>
          <w:color w:val="000000" w:themeColor="text1"/>
          <w:highlight w:val="none"/>
          <w14:textFill>
            <w14:solidFill>
              <w14:schemeClr w14:val="tx1"/>
            </w14:solidFill>
          </w14:textFill>
        </w:rPr>
        <w:t>》的非强制采购节能产品，财政部、环境保护部发布的</w:t>
      </w:r>
      <w:r>
        <w:rPr>
          <w:rFonts w:hint="eastAsia" w:ascii="宋体" w:hAnsi="宋体"/>
          <w:color w:val="000000" w:themeColor="text1"/>
          <w:szCs w:val="21"/>
          <w:highlight w:val="none"/>
          <w14:textFill>
            <w14:solidFill>
              <w14:schemeClr w14:val="tx1"/>
            </w14:solidFill>
          </w14:textFill>
        </w:rPr>
        <w:t>《环境标志产品政府采购品目清单》</w:t>
      </w:r>
      <w:r>
        <w:rPr>
          <w:rFonts w:hint="eastAsia" w:ascii="宋体" w:hAnsi="宋体"/>
          <w:color w:val="000000" w:themeColor="text1"/>
          <w:highlight w:val="none"/>
          <w14:textFill>
            <w14:solidFill>
              <w14:schemeClr w14:val="tx1"/>
            </w14:solidFill>
          </w14:textFill>
        </w:rPr>
        <w:t>的环境标志产品，实行优先采购，评审时按相应评标方法给予价格折扣或者加分。</w:t>
      </w:r>
    </w:p>
    <w:p w14:paraId="0E71A16E">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36.3价格评审优惠：支持中小企业，对小型和微型企业产品给予价格折扣，用扣除后的价格参与评审。监狱企业、残疾人福利性单位视同小型、微型企业。</w:t>
      </w:r>
    </w:p>
    <w:p w14:paraId="40D6B41E">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36.4优先采购产品同时属于“非强制采购节能产品”、“环境标志产品”的，评审时只有其中一项能享受优先待遇（投标人自行选择，并在投标文件中填报相关信息及数据）；中小企业可以与同时属于“非强制采购节能产品”、“环境标志产品”中的一项重复计算；监狱企业、残疾人福利性单位属于小型、微型企业的，不重复享受政策。</w:t>
      </w:r>
    </w:p>
    <w:p w14:paraId="04A75AB0">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36.5同一项目中部分产品属于优先采购政策的，评审时只对该部分产品的报价实行价格扣除及加分。</w:t>
      </w:r>
    </w:p>
    <w:p w14:paraId="79721459">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36.6符合本章第3</w:t>
      </w:r>
      <w:r>
        <w:rPr>
          <w:rFonts w:ascii="宋体" w:hAnsi="宋体"/>
          <w:color w:val="000000" w:themeColor="text1"/>
          <w:highlight w:val="none"/>
          <w14:textFill>
            <w14:solidFill>
              <w14:schemeClr w14:val="tx1"/>
            </w14:solidFill>
          </w14:textFill>
        </w:rPr>
        <w:t>6</w:t>
      </w:r>
      <w:r>
        <w:rPr>
          <w:rFonts w:hint="eastAsia" w:ascii="宋体" w:hAnsi="宋体"/>
          <w:color w:val="000000" w:themeColor="text1"/>
          <w:highlight w:val="none"/>
          <w14:textFill>
            <w14:solidFill>
              <w14:schemeClr w14:val="tx1"/>
            </w14:solidFill>
          </w14:textFill>
        </w:rPr>
        <w:t>.1款、第3</w:t>
      </w:r>
      <w:r>
        <w:rPr>
          <w:rFonts w:ascii="宋体" w:hAnsi="宋体"/>
          <w:color w:val="000000" w:themeColor="text1"/>
          <w:highlight w:val="none"/>
          <w14:textFill>
            <w14:solidFill>
              <w14:schemeClr w14:val="tx1"/>
            </w14:solidFill>
          </w14:textFill>
        </w:rPr>
        <w:t>6</w:t>
      </w:r>
      <w:r>
        <w:rPr>
          <w:rFonts w:hint="eastAsia" w:ascii="宋体" w:hAnsi="宋体"/>
          <w:color w:val="000000" w:themeColor="text1"/>
          <w:highlight w:val="none"/>
          <w14:textFill>
            <w14:solidFill>
              <w14:schemeClr w14:val="tx1"/>
            </w14:solidFill>
          </w14:textFill>
        </w:rPr>
        <w:t>.2款、第3</w:t>
      </w:r>
      <w:r>
        <w:rPr>
          <w:rFonts w:ascii="宋体" w:hAnsi="宋体"/>
          <w:color w:val="000000" w:themeColor="text1"/>
          <w:highlight w:val="none"/>
          <w14:textFill>
            <w14:solidFill>
              <w14:schemeClr w14:val="tx1"/>
            </w14:solidFill>
          </w14:textFill>
        </w:rPr>
        <w:t>6</w:t>
      </w:r>
      <w:r>
        <w:rPr>
          <w:rFonts w:hint="eastAsia" w:ascii="宋体" w:hAnsi="宋体"/>
          <w:color w:val="000000" w:themeColor="text1"/>
          <w:highlight w:val="none"/>
          <w14:textFill>
            <w14:solidFill>
              <w14:schemeClr w14:val="tx1"/>
            </w14:solidFill>
          </w14:textFill>
        </w:rPr>
        <w:t>.3款规定的，应提供相关证明资料。</w:t>
      </w:r>
    </w:p>
    <w:p w14:paraId="7C7F90B0">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（1）非强制采购节能产品：提供</w:t>
      </w:r>
      <w:r>
        <w:rPr>
          <w:rFonts w:hint="eastAsia" w:ascii="宋体" w:hAnsi="宋体"/>
          <w:color w:val="000000" w:themeColor="text1"/>
          <w:szCs w:val="21"/>
          <w:highlight w:val="none"/>
          <w14:textFill>
            <w14:solidFill>
              <w14:schemeClr w14:val="tx1"/>
            </w14:solidFill>
          </w14:textFill>
        </w:rPr>
        <w:t>《节能产品政府采购品目清单》</w:t>
      </w:r>
      <w:r>
        <w:rPr>
          <w:rFonts w:hint="eastAsia" w:ascii="宋体" w:hAnsi="宋体"/>
          <w:color w:val="000000" w:themeColor="text1"/>
          <w:highlight w:val="none"/>
          <w14:textFill>
            <w14:solidFill>
              <w14:schemeClr w14:val="tx1"/>
            </w14:solidFill>
          </w14:textFill>
        </w:rPr>
        <w:t>所在页（截图）或证书（复印件）。</w:t>
      </w:r>
    </w:p>
    <w:p w14:paraId="5AD08B24">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（2）环境标志产品：提供</w:t>
      </w:r>
      <w:r>
        <w:rPr>
          <w:rFonts w:hint="eastAsia" w:ascii="宋体" w:hAnsi="宋体"/>
          <w:color w:val="000000" w:themeColor="text1"/>
          <w:szCs w:val="21"/>
          <w:highlight w:val="none"/>
          <w14:textFill>
            <w14:solidFill>
              <w14:schemeClr w14:val="tx1"/>
            </w14:solidFill>
          </w14:textFill>
        </w:rPr>
        <w:t>《环境标志产品政府采购品目清单》</w:t>
      </w:r>
      <w:r>
        <w:rPr>
          <w:rFonts w:hint="eastAsia" w:ascii="宋体" w:hAnsi="宋体"/>
          <w:color w:val="000000" w:themeColor="text1"/>
          <w:highlight w:val="none"/>
          <w14:textFill>
            <w14:solidFill>
              <w14:schemeClr w14:val="tx1"/>
            </w14:solidFill>
          </w14:textFill>
        </w:rPr>
        <w:t>所在页（截图）或证书（复印件）。</w:t>
      </w:r>
    </w:p>
    <w:p w14:paraId="09E54128">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（3）中小企业：按《政府采购促进中小企业发展管理办法》（财库〔2020〕46号）规定提供《中小企业声明》（格式）。</w:t>
      </w:r>
    </w:p>
    <w:p w14:paraId="44CD7C3E">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4</w:t>
      </w:r>
      <w:r>
        <w:rPr>
          <w:rFonts w:hint="eastAsia" w:ascii="宋体" w:hAnsi="宋体"/>
          <w:color w:val="000000" w:themeColor="text1"/>
          <w:highlight w:val="none"/>
          <w14:textFill>
            <w14:solidFill>
              <w14:schemeClr w14:val="tx1"/>
            </w14:solidFill>
          </w14:textFill>
        </w:rPr>
        <w:t>）监狱企业：按《财政部 司法部关于政府采购支持监狱企业发展有关问题的通知》(财库〔2014〕68号)文件规定提供证明文件（复印件）。</w:t>
      </w:r>
    </w:p>
    <w:p w14:paraId="528D2FDD">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）残疾人福利性单位：按《三部门联合发布关于促进残疾人就业政府采购政策的通知》(财库〔2017〕141号)文件规定提供《残疾人福利性单位声明函》（格式）。</w:t>
      </w:r>
    </w:p>
    <w:p w14:paraId="201A5484">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36.7投标人有融资、担保需求的，</w:t>
      </w:r>
      <w:r>
        <w:rPr>
          <w:rFonts w:hint="eastAsia" w:ascii="宋体" w:hAnsi="宋体"/>
          <w:color w:val="000000" w:themeColor="text1"/>
          <w:szCs w:val="21"/>
          <w:highlight w:val="none"/>
          <w14:textFill>
            <w14:solidFill>
              <w14:schemeClr w14:val="tx1"/>
            </w14:solidFill>
          </w14:textFill>
        </w:rPr>
        <w:t>具体办理流程可向</w:t>
      </w:r>
      <w:r>
        <w:rPr>
          <w:rFonts w:hint="eastAsia" w:ascii="宋体" w:hAnsi="宋体"/>
          <w:b/>
          <w:color w:val="000000" w:themeColor="text1"/>
          <w:szCs w:val="21"/>
          <w:highlight w:val="none"/>
          <w14:textFill>
            <w14:solidFill>
              <w14:schemeClr w14:val="tx1"/>
            </w14:solidFill>
          </w14:textFill>
        </w:rPr>
        <w:t>【投标须知前附表】</w:t>
      </w:r>
      <w:r>
        <w:rPr>
          <w:rFonts w:hint="eastAsia" w:ascii="宋体" w:hAnsi="宋体"/>
          <w:color w:val="000000" w:themeColor="text1"/>
          <w:szCs w:val="21"/>
          <w:highlight w:val="none"/>
          <w14:textFill>
            <w14:solidFill>
              <w14:schemeClr w14:val="tx1"/>
            </w14:solidFill>
          </w14:textFill>
        </w:rPr>
        <w:t>附页2-2所列金融机构和担保机构询问。</w:t>
      </w:r>
    </w:p>
    <w:p w14:paraId="7D6E18C3">
      <w:pPr>
        <w:shd w:val="clear"/>
        <w:adjustRightInd w:val="0"/>
        <w:snapToGrid w:val="0"/>
        <w:spacing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37.</w:t>
      </w:r>
      <w:r>
        <w:rPr>
          <w:rFonts w:hint="eastAsia" w:ascii="宋体" w:hAnsi="宋体"/>
          <w:b/>
          <w:color w:val="000000" w:themeColor="text1"/>
          <w:szCs w:val="21"/>
          <w:highlight w:val="none"/>
          <w14:textFill>
            <w14:solidFill>
              <w14:schemeClr w14:val="tx1"/>
            </w14:solidFill>
          </w14:textFill>
        </w:rPr>
        <w:t>招标不足三家处理</w:t>
      </w:r>
    </w:p>
    <w:p w14:paraId="13A168DE">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37.1公开招标数额标准以上的采购项目，投标截止后投标人不足3家或者通过资格审查或符合性审查的投标人不足3家的，除采购任务取消情形外，按照以下方式处理：</w:t>
      </w:r>
    </w:p>
    <w:p w14:paraId="20616685">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（1）招标文件存在不合理条款或者招标程序不符合规定的，采购人、采购代理机构改正后依法重新招标；</w:t>
      </w:r>
    </w:p>
    <w:p w14:paraId="5C119479">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（2）招标文件没有不合理条款、招标程序符合规定，需要采用其他采购方式采购的，采购人应当依法报财政部门批准。</w:t>
      </w:r>
    </w:p>
    <w:p w14:paraId="42CA50A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37.2属上款第（2）项情形的，评标委员会应出具的招标文件没有不合理条款的论证意见。</w:t>
      </w:r>
    </w:p>
    <w:p w14:paraId="76C8E249">
      <w:pPr>
        <w:shd w:val="clear"/>
        <w:adjustRightInd w:val="0"/>
        <w:snapToGrid w:val="0"/>
        <w:spacing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38.</w:t>
      </w:r>
      <w:r>
        <w:rPr>
          <w:rFonts w:hint="eastAsia" w:ascii="宋体" w:hAnsi="宋体"/>
          <w:b/>
          <w:color w:val="000000" w:themeColor="text1"/>
          <w:szCs w:val="21"/>
          <w:highlight w:val="none"/>
          <w14:textFill>
            <w14:solidFill>
              <w14:schemeClr w14:val="tx1"/>
            </w14:solidFill>
          </w14:textFill>
        </w:rPr>
        <w:t xml:space="preserve"> 招标代理委托内容及服务费</w:t>
      </w:r>
    </w:p>
    <w:p w14:paraId="7E8220DF">
      <w:pPr>
        <w:shd w:val="clear"/>
        <w:adjustRightInd w:val="0"/>
        <w:snapToGrid w:val="0"/>
        <w:spacing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38.1招标代理委托内容</w:t>
      </w:r>
      <w:r>
        <w:rPr>
          <w:rFonts w:hint="eastAsia" w:ascii="宋体" w:hAnsi="宋体"/>
          <w:b/>
          <w:color w:val="000000" w:themeColor="text1"/>
          <w:szCs w:val="21"/>
          <w:highlight w:val="none"/>
          <w14:textFill>
            <w14:solidFill>
              <w14:schemeClr w14:val="tx1"/>
            </w14:solidFill>
          </w14:textFill>
        </w:rPr>
        <w:t>：</w:t>
      </w:r>
    </w:p>
    <w:p w14:paraId="1FEC8867">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bookmarkStart w:id="13" w:name="EBa066981c45bc4eb891064d1d7b78dbc7"/>
      <w:r>
        <w:rPr>
          <w:rFonts w:hint="eastAsia" w:ascii="宋体" w:hAnsi="宋体"/>
          <w:color w:val="000000" w:themeColor="text1"/>
          <w:szCs w:val="21"/>
          <w:highlight w:val="none"/>
          <w14:textFill>
            <w14:solidFill>
              <w14:schemeClr w14:val="tx1"/>
            </w14:solidFill>
          </w14:textFill>
        </w:rPr>
        <w:t>（一）、起草、编制</w:t>
      </w:r>
      <w:r>
        <w:rPr>
          <w:rFonts w:hint="eastAsia" w:ascii="宋体" w:hAnsi="宋体"/>
          <w:color w:val="000000" w:themeColor="text1"/>
          <w:szCs w:val="21"/>
          <w:highlight w:val="none"/>
          <w:lang w:eastAsia="zh-CN"/>
          <w14:textFill>
            <w14:solidFill>
              <w14:schemeClr w14:val="tx1"/>
            </w14:solidFill>
          </w14:textFill>
        </w:rPr>
        <w:t>招标文件</w:t>
      </w:r>
      <w:r>
        <w:rPr>
          <w:rFonts w:hint="eastAsia" w:ascii="宋体" w:hAnsi="宋体"/>
          <w:color w:val="000000" w:themeColor="text1"/>
          <w:szCs w:val="21"/>
          <w:highlight w:val="none"/>
          <w14:textFill>
            <w14:solidFill>
              <w14:schemeClr w14:val="tx1"/>
            </w14:solidFill>
          </w14:textFill>
        </w:rPr>
        <w:t>；（二）、组织专家对</w:t>
      </w:r>
      <w:r>
        <w:rPr>
          <w:rFonts w:hint="eastAsia" w:ascii="宋体" w:hAnsi="宋体"/>
          <w:color w:val="000000" w:themeColor="text1"/>
          <w:szCs w:val="21"/>
          <w:highlight w:val="none"/>
          <w:lang w:eastAsia="zh-CN"/>
          <w14:textFill>
            <w14:solidFill>
              <w14:schemeClr w14:val="tx1"/>
            </w14:solidFill>
          </w14:textFill>
        </w:rPr>
        <w:t>招标文件</w:t>
      </w:r>
      <w:r>
        <w:rPr>
          <w:rFonts w:hint="eastAsia" w:ascii="宋体" w:hAnsi="宋体"/>
          <w:color w:val="000000" w:themeColor="text1"/>
          <w:szCs w:val="21"/>
          <w:highlight w:val="none"/>
          <w14:textFill>
            <w14:solidFill>
              <w14:schemeClr w14:val="tx1"/>
            </w14:solidFill>
          </w14:textFill>
        </w:rPr>
        <w:t>进行论证；（三）、组织采购答疑会；（四）、制作、发布采购信息公告；（五）、组织开展供应商资格预审；（六）、依法组建评审委员会；（七）、邀请财政部门及有关部门现场监督； （八）、组织评审活动，记录、整理评审委员会的评审意见，协助评审委员会编写评审报告；（九）、制作、发布中标（成交）信息公告； （十）、发送供应商中标（成交）通知书； （十一）、答复供应商的询问和质疑，配合财政部门的投诉处理；（十二）、整理移交采购活动的</w:t>
      </w:r>
      <w:r>
        <w:rPr>
          <w:rFonts w:hint="eastAsia" w:ascii="宋体" w:hAnsi="宋体"/>
          <w:color w:val="000000" w:themeColor="text1"/>
          <w:szCs w:val="21"/>
          <w:highlight w:val="none"/>
          <w:lang w:eastAsia="zh-CN"/>
          <w14:textFill>
            <w14:solidFill>
              <w14:schemeClr w14:val="tx1"/>
            </w14:solidFill>
          </w14:textFill>
        </w:rPr>
        <w:t>招标文件</w:t>
      </w:r>
      <w:r>
        <w:rPr>
          <w:rFonts w:hint="eastAsia" w:ascii="宋体" w:hAnsi="宋体"/>
          <w:color w:val="000000" w:themeColor="text1"/>
          <w:szCs w:val="21"/>
          <w:highlight w:val="none"/>
          <w14:textFill>
            <w14:solidFill>
              <w14:schemeClr w14:val="tx1"/>
            </w14:solidFill>
          </w14:textFill>
        </w:rPr>
        <w:t>档案； (十三)、法律法规规定的其他事项。</w:t>
      </w:r>
      <w:bookmarkEnd w:id="13"/>
    </w:p>
    <w:p w14:paraId="589DEC6C">
      <w:pPr>
        <w:shd w:val="clear"/>
        <w:adjustRightInd w:val="0"/>
        <w:snapToGrid w:val="0"/>
        <w:spacing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39.</w:t>
      </w:r>
      <w:r>
        <w:rPr>
          <w:rFonts w:hint="eastAsia" w:ascii="宋体" w:hAnsi="宋体"/>
          <w:b/>
          <w:color w:val="000000" w:themeColor="text1"/>
          <w:szCs w:val="21"/>
          <w:highlight w:val="none"/>
          <w14:textFill>
            <w14:solidFill>
              <w14:schemeClr w14:val="tx1"/>
            </w14:solidFill>
          </w14:textFill>
        </w:rPr>
        <w:t xml:space="preserve"> 需要补充的其他内容</w:t>
      </w:r>
    </w:p>
    <w:p w14:paraId="0B2C66B4">
      <w:pPr>
        <w:shd w:val="clear"/>
        <w:adjustRightInd w:val="0"/>
        <w:snapToGrid w:val="0"/>
        <w:spacing w:line="360"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39.1招标文件需要补充的其他内容见</w:t>
      </w:r>
      <w:r>
        <w:rPr>
          <w:rFonts w:hint="eastAsia" w:ascii="宋体" w:hAnsi="宋体"/>
          <w:b/>
          <w:color w:val="000000" w:themeColor="text1"/>
          <w:highlight w:val="none"/>
          <w14:textFill>
            <w14:solidFill>
              <w14:schemeClr w14:val="tx1"/>
            </w14:solidFill>
          </w14:textFill>
        </w:rPr>
        <w:t>【投标须知前附表】</w:t>
      </w:r>
      <w:r>
        <w:rPr>
          <w:rFonts w:hint="eastAsia" w:ascii="宋体" w:hAnsi="宋体"/>
          <w:color w:val="000000" w:themeColor="text1"/>
          <w:highlight w:val="none"/>
          <w14:textFill>
            <w14:solidFill>
              <w14:schemeClr w14:val="tx1"/>
            </w14:solidFill>
          </w14:textFill>
        </w:rPr>
        <w:t>。</w:t>
      </w:r>
    </w:p>
    <w:p w14:paraId="2BACFAED">
      <w:pPr>
        <w:pStyle w:val="22"/>
        <w:shd w:val="clear"/>
        <w:adjustRightInd w:val="0"/>
        <w:snapToGrid w:val="0"/>
        <w:spacing w:before="156" w:beforeLines="50" w:line="360" w:lineRule="auto"/>
        <w:jc w:val="center"/>
        <w:outlineLvl w:val="0"/>
        <w:rPr>
          <w:rFonts w:hAnsi="宋体"/>
          <w:color w:val="000000" w:themeColor="text1"/>
          <w:highlight w:val="none"/>
          <w14:textFill>
            <w14:solidFill>
              <w14:schemeClr w14:val="tx1"/>
            </w14:solidFill>
          </w14:textFill>
        </w:rPr>
      </w:pPr>
    </w:p>
    <w:p w14:paraId="7BA7B102">
      <w:pPr>
        <w:shd w:val="clear"/>
        <w:rPr>
          <w:rFonts w:hint="eastAsia" w:ascii="黑体" w:hAnsi="黑体" w:eastAsia="黑体"/>
          <w:color w:val="000000" w:themeColor="text1"/>
          <w:sz w:val="32"/>
          <w:szCs w:val="32"/>
          <w:highlight w:val="none"/>
          <w14:textFill>
            <w14:solidFill>
              <w14:schemeClr w14:val="tx1"/>
            </w14:solidFill>
          </w14:textFill>
        </w:rPr>
      </w:pPr>
      <w:bookmarkStart w:id="14" w:name="_Toc78815071"/>
      <w:bookmarkStart w:id="15" w:name="_Toc23519980"/>
      <w:r>
        <w:rPr>
          <w:rFonts w:hint="eastAsia" w:ascii="黑体" w:hAnsi="黑体" w:eastAsia="黑体"/>
          <w:color w:val="000000" w:themeColor="text1"/>
          <w:sz w:val="32"/>
          <w:szCs w:val="32"/>
          <w:highlight w:val="none"/>
          <w14:textFill>
            <w14:solidFill>
              <w14:schemeClr w14:val="tx1"/>
            </w14:solidFill>
          </w14:textFill>
        </w:rPr>
        <w:br w:type="page"/>
      </w:r>
    </w:p>
    <w:p w14:paraId="39D6E64E">
      <w:pPr>
        <w:pStyle w:val="4"/>
        <w:shd w:val="clear"/>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第三章 资格审查</w:t>
      </w:r>
      <w:bookmarkEnd w:id="14"/>
      <w:bookmarkEnd w:id="15"/>
    </w:p>
    <w:p w14:paraId="14AE767C">
      <w:pPr>
        <w:pStyle w:val="5"/>
        <w:shd w:val="clear" w:color="auto"/>
        <w:adjustRightInd w:val="0"/>
        <w:snapToGrid w:val="0"/>
        <w:spacing w:before="156" w:beforeLines="50" w:after="0" w:line="360" w:lineRule="auto"/>
        <w:rPr>
          <w:rFonts w:ascii="黑体" w:hAnsi="黑体" w:eastAsia="黑体"/>
          <w:color w:val="000000" w:themeColor="text1"/>
          <w:sz w:val="24"/>
          <w:szCs w:val="24"/>
          <w:highlight w:val="none"/>
          <w14:textFill>
            <w14:solidFill>
              <w14:schemeClr w14:val="tx1"/>
            </w14:solidFill>
          </w14:textFill>
        </w:rPr>
      </w:pPr>
      <w:bookmarkStart w:id="16" w:name="_Toc12055"/>
      <w:bookmarkStart w:id="17" w:name="_Toc20651206"/>
      <w:bookmarkStart w:id="18" w:name="_Toc5161"/>
      <w:bookmarkStart w:id="19" w:name="_Toc15709"/>
      <w:bookmarkStart w:id="20" w:name="_Toc23519985"/>
      <w:r>
        <w:rPr>
          <w:rFonts w:hint="eastAsia" w:ascii="黑体" w:hAnsi="黑体" w:eastAsia="黑体"/>
          <w:color w:val="000000" w:themeColor="text1"/>
          <w:sz w:val="24"/>
          <w:szCs w:val="24"/>
          <w:highlight w:val="none"/>
          <w14:textFill>
            <w14:solidFill>
              <w14:schemeClr w14:val="tx1"/>
            </w14:solidFill>
          </w14:textFill>
        </w:rPr>
        <w:t>1．资格审查主体</w:t>
      </w:r>
      <w:bookmarkEnd w:id="16"/>
      <w:bookmarkEnd w:id="17"/>
      <w:bookmarkEnd w:id="18"/>
      <w:bookmarkEnd w:id="19"/>
    </w:p>
    <w:p w14:paraId="5075AA1A">
      <w:pPr>
        <w:shd w:val="clear" w:color="auto"/>
        <w:adjustRightInd w:val="0"/>
        <w:snapToGrid w:val="0"/>
        <w:spacing w:before="156" w:beforeLines="50" w:line="360" w:lineRule="auto"/>
        <w:ind w:firstLine="417" w:firstLineChars="199"/>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1.1资格审查主体：采购人、采购代理机构负责资格审查。</w:t>
      </w:r>
    </w:p>
    <w:p w14:paraId="72BEF674">
      <w:pPr>
        <w:pStyle w:val="5"/>
        <w:shd w:val="clear" w:color="auto"/>
        <w:adjustRightInd w:val="0"/>
        <w:snapToGrid w:val="0"/>
        <w:spacing w:before="156" w:beforeLines="50" w:after="0" w:line="360" w:lineRule="auto"/>
        <w:rPr>
          <w:rFonts w:ascii="黑体" w:hAnsi="黑体" w:eastAsia="黑体"/>
          <w:color w:val="000000" w:themeColor="text1"/>
          <w:sz w:val="24"/>
          <w:szCs w:val="24"/>
          <w:highlight w:val="none"/>
          <w14:textFill>
            <w14:solidFill>
              <w14:schemeClr w14:val="tx1"/>
            </w14:solidFill>
          </w14:textFill>
        </w:rPr>
      </w:pPr>
      <w:bookmarkStart w:id="21" w:name="_Toc27531"/>
      <w:bookmarkStart w:id="22" w:name="_Toc20651207"/>
      <w:bookmarkStart w:id="23" w:name="_Toc32287"/>
      <w:bookmarkStart w:id="24" w:name="_Toc17454"/>
      <w:r>
        <w:rPr>
          <w:rFonts w:hint="eastAsia" w:ascii="黑体" w:hAnsi="黑体" w:eastAsia="黑体"/>
          <w:color w:val="000000" w:themeColor="text1"/>
          <w:sz w:val="24"/>
          <w:szCs w:val="24"/>
          <w:highlight w:val="none"/>
          <w14:textFill>
            <w14:solidFill>
              <w14:schemeClr w14:val="tx1"/>
            </w14:solidFill>
          </w14:textFill>
        </w:rPr>
        <w:t>2．资格审查</w:t>
      </w:r>
      <w:bookmarkEnd w:id="21"/>
      <w:bookmarkEnd w:id="22"/>
      <w:bookmarkEnd w:id="23"/>
      <w:bookmarkEnd w:id="24"/>
    </w:p>
    <w:p w14:paraId="61A64AD4">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2.1资格审查依据法律法规和招标文件的规定，对投标文件中的资格证明文件、投标保证金、投标报价等进行审查，以确定投标供应商是否具备投标资格。</w:t>
      </w:r>
    </w:p>
    <w:p w14:paraId="412D21BF">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2.2采购人、采购代理机构按本章附表1“资格审查表”所列审查项目及审查标准，对投标人资格进行审查。</w:t>
      </w:r>
    </w:p>
    <w:p w14:paraId="18A8B56C">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2.3在资格审查时，投标人存在下列情况之一的，资格审查不合格，其投标无效：</w:t>
      </w:r>
    </w:p>
    <w:p w14:paraId="409D2B25">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（1）不具备招标文件中规定的资格要求的，或提交的资格证明文件不符合招标文件要求的；</w:t>
      </w:r>
    </w:p>
    <w:p w14:paraId="0C8D93FA">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（2）联合体投标未提交联合体协议书，或未提交联合体各方资格证明文件的；</w:t>
      </w:r>
    </w:p>
    <w:p w14:paraId="3F4BD9DB">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（3）投标文件的资格证明文件未按照招标文件要求签署、盖章的；</w:t>
      </w:r>
    </w:p>
    <w:p w14:paraId="3F24E968">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（4）未按照招标文件的规定提交投标保证金的；</w:t>
      </w:r>
      <w:r>
        <w:rPr>
          <w:rFonts w:hint="eastAsia" w:ascii="宋体" w:hAnsi="宋体"/>
          <w:b/>
          <w:bCs/>
          <w:color w:val="000000" w:themeColor="text1"/>
          <w:szCs w:val="21"/>
          <w:highlight w:val="none"/>
          <w14:textFill>
            <w14:solidFill>
              <w14:schemeClr w14:val="tx1"/>
            </w14:solidFill>
          </w14:textFill>
        </w:rPr>
        <w:t>（本项目不交纳投标保证金）</w:t>
      </w:r>
    </w:p>
    <w:p w14:paraId="3DE4F804">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（5）投标报价超过招标文件中规定的预算金额或者最高限价的；</w:t>
      </w:r>
    </w:p>
    <w:p w14:paraId="1C689D2B">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（6）法律、法规和招标文件规定的其他投标无效情形的。</w:t>
      </w:r>
    </w:p>
    <w:p w14:paraId="5B7A5DCF">
      <w:pPr>
        <w:shd w:val="clear" w:color="auto"/>
        <w:adjustRightInd w:val="0"/>
        <w:snapToGrid w:val="0"/>
        <w:spacing w:before="156" w:beforeLines="50" w:line="360" w:lineRule="auto"/>
        <w:ind w:firstLine="420" w:firstLineChars="200"/>
        <w:jc w:val="left"/>
        <w:rPr>
          <w:rFonts w:ascii="宋体" w:hAnsi="宋体"/>
          <w:b/>
          <w:color w:val="000000" w:themeColor="text1"/>
          <w:sz w:val="32"/>
          <w:szCs w:val="32"/>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2.4信用记录。开标结束后</w:t>
      </w:r>
      <w:r>
        <w:rPr>
          <w:rFonts w:hint="eastAsia" w:ascii="宋体" w:hAnsi="宋体"/>
          <w:color w:val="000000" w:themeColor="text1"/>
          <w:szCs w:val="21"/>
          <w:highlight w:val="none"/>
          <w14:textFill>
            <w14:solidFill>
              <w14:schemeClr w14:val="tx1"/>
            </w14:solidFill>
          </w14:textFill>
        </w:rPr>
        <w:t>资格审查时，采购人、采购代理机构将对投标人信用记录进行甄别。</w:t>
      </w:r>
    </w:p>
    <w:p w14:paraId="0E4B6999">
      <w:pPr>
        <w:shd w:val="clear" w:color="auto"/>
        <w:adjustRightInd w:val="0"/>
        <w:snapToGrid w:val="0"/>
        <w:spacing w:line="42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（1）信用信息查询的查询渠道：</w:t>
      </w:r>
      <w:r>
        <w:rPr>
          <w:rFonts w:hint="eastAsia" w:ascii="宋体" w:hAnsi="宋体" w:eastAsia="宋体" w:cs="宋体"/>
          <w:color w:val="000000" w:themeColor="text1"/>
          <w:szCs w:val="21"/>
          <w:highlight w:val="none"/>
          <w14:textFill>
            <w14:solidFill>
              <w14:schemeClr w14:val="tx1"/>
            </w14:solidFill>
          </w14:textFill>
        </w:rPr>
        <w:t>“信用中国”网站（www.creditchina.gov.cn）、“中国政府采购网”（www.ccgp.gov.cn）</w:t>
      </w:r>
      <w:r>
        <w:rPr>
          <w:rFonts w:hint="eastAsia" w:ascii="宋体" w:hAnsi="宋体"/>
          <w:color w:val="000000" w:themeColor="text1"/>
          <w:szCs w:val="21"/>
          <w:highlight w:val="none"/>
          <w14:textFill>
            <w14:solidFill>
              <w14:schemeClr w14:val="tx1"/>
            </w14:solidFill>
          </w14:textFill>
        </w:rPr>
        <w:t>；</w:t>
      </w:r>
    </w:p>
    <w:p w14:paraId="76CC15B4">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良信用记录是指：投标人在“信用中国”网站被列入失信被执行人和重大税收违法案件当事人名单，或在“中国政府采购网”网站被列入政府采购严重违法失信行为记录名单。投标人有上述不良信用记录的，其投标无效，其中，列入政府采购严重违法失信行为记录名单的，按处罚结果执行。</w:t>
      </w:r>
    </w:p>
    <w:p w14:paraId="288B9797">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（3）联合体形式投标的，联合体成员存在不良信用记录的，视同联合体存在不良信用记录。</w:t>
      </w:r>
    </w:p>
    <w:p w14:paraId="46FD7D53">
      <w:pPr>
        <w:shd w:val="clear" w:color="auto"/>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bookmarkStart w:id="25" w:name="_Toc20651208"/>
      <w:r>
        <w:rPr>
          <w:rFonts w:hint="eastAsia" w:ascii="宋体" w:hAnsi="宋体"/>
          <w:color w:val="000000" w:themeColor="text1"/>
          <w:szCs w:val="21"/>
          <w:highlight w:val="none"/>
          <w14:textFill>
            <w14:solidFill>
              <w14:schemeClr w14:val="tx1"/>
            </w14:solidFill>
          </w14:textFill>
        </w:rPr>
        <w:t>（4）信用信息的使用原则：被列入失信被执行人、重大税收违法失信主体名单、政府采购严重违法失信行为记录名单及其他不符合《中华人民共和国政府采购法》第二十二条规定条件的投标人，将拒绝其参与采购活动。</w:t>
      </w:r>
    </w:p>
    <w:p w14:paraId="033466DD">
      <w:pPr>
        <w:shd w:val="clear" w:color="auto"/>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（5）信用信息查询记录和证据留存具体方式：查询结果网页截图作为查询记录和证据，与其他</w:t>
      </w:r>
      <w:r>
        <w:rPr>
          <w:rFonts w:hint="eastAsia" w:ascii="宋体" w:hAnsi="宋体"/>
          <w:color w:val="000000" w:themeColor="text1"/>
          <w:szCs w:val="21"/>
          <w:highlight w:val="none"/>
          <w:lang w:eastAsia="zh-CN"/>
          <w14:textFill>
            <w14:solidFill>
              <w14:schemeClr w14:val="tx1"/>
            </w14:solidFill>
          </w14:textFill>
        </w:rPr>
        <w:t>招标文件</w:t>
      </w:r>
      <w:r>
        <w:rPr>
          <w:rFonts w:hint="eastAsia" w:ascii="宋体" w:hAnsi="宋体"/>
          <w:color w:val="000000" w:themeColor="text1"/>
          <w:szCs w:val="21"/>
          <w:highlight w:val="none"/>
          <w14:textFill>
            <w14:solidFill>
              <w14:schemeClr w14:val="tx1"/>
            </w14:solidFill>
          </w14:textFill>
        </w:rPr>
        <w:t>一并保存。</w:t>
      </w:r>
    </w:p>
    <w:p w14:paraId="3EFA79B2">
      <w:pPr>
        <w:pStyle w:val="5"/>
        <w:shd w:val="clear" w:color="auto"/>
        <w:adjustRightInd w:val="0"/>
        <w:snapToGrid w:val="0"/>
        <w:spacing w:before="156" w:beforeLines="50" w:after="0" w:line="360" w:lineRule="auto"/>
        <w:rPr>
          <w:rFonts w:ascii="黑体" w:hAnsi="黑体" w:eastAsia="黑体"/>
          <w:color w:val="000000" w:themeColor="text1"/>
          <w:sz w:val="24"/>
          <w:szCs w:val="24"/>
          <w:highlight w:val="none"/>
          <w14:textFill>
            <w14:solidFill>
              <w14:schemeClr w14:val="tx1"/>
            </w14:solidFill>
          </w14:textFill>
        </w:rPr>
      </w:pPr>
      <w:bookmarkStart w:id="26" w:name="_Toc27073"/>
      <w:bookmarkStart w:id="27" w:name="_Toc20376"/>
      <w:bookmarkStart w:id="28" w:name="_Toc18252"/>
      <w:r>
        <w:rPr>
          <w:rFonts w:hint="eastAsia" w:ascii="黑体" w:hAnsi="黑体" w:eastAsia="黑体"/>
          <w:color w:val="000000" w:themeColor="text1"/>
          <w:sz w:val="24"/>
          <w:szCs w:val="24"/>
          <w:highlight w:val="none"/>
          <w14:textFill>
            <w14:solidFill>
              <w14:schemeClr w14:val="tx1"/>
            </w14:solidFill>
          </w14:textFill>
        </w:rPr>
        <w:t>3．资格审查结果</w:t>
      </w:r>
      <w:bookmarkEnd w:id="25"/>
      <w:bookmarkEnd w:id="26"/>
      <w:bookmarkEnd w:id="27"/>
      <w:bookmarkEnd w:id="28"/>
    </w:p>
    <w:p w14:paraId="12FADF2C">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3.1未通过资格审查的投标人，采购人、采购代理机构应当告知其未通过的原因。</w:t>
      </w:r>
    </w:p>
    <w:p w14:paraId="15366328">
      <w:pPr>
        <w:shd w:val="clear" w:color="auto"/>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3.2资格审查结束后，采购人、采购代理机构应将资格审查结果告知评标委员会。</w:t>
      </w:r>
    </w:p>
    <w:p w14:paraId="252290C7">
      <w:pPr>
        <w:pStyle w:val="5"/>
        <w:shd w:val="clear" w:color="auto"/>
        <w:adjustRightInd w:val="0"/>
        <w:snapToGrid w:val="0"/>
        <w:spacing w:before="50" w:after="0" w:line="360" w:lineRule="auto"/>
        <w:rPr>
          <w:rFonts w:ascii="黑体" w:hAnsi="黑体" w:eastAsia="黑体"/>
          <w:color w:val="000000" w:themeColor="text1"/>
          <w:sz w:val="24"/>
          <w:szCs w:val="24"/>
          <w:highlight w:val="none"/>
          <w14:textFill>
            <w14:solidFill>
              <w14:schemeClr w14:val="tx1"/>
            </w14:solidFill>
          </w14:textFill>
        </w:rPr>
      </w:pPr>
      <w:bookmarkStart w:id="29" w:name="_Toc30334"/>
      <w:bookmarkStart w:id="30" w:name="_Toc12734"/>
      <w:bookmarkStart w:id="31" w:name="_Toc20651209"/>
      <w:bookmarkStart w:id="32" w:name="_Toc7835"/>
      <w:r>
        <w:rPr>
          <w:rFonts w:hint="eastAsia" w:ascii="黑体" w:hAnsi="黑体" w:eastAsia="黑体"/>
          <w:color w:val="000000" w:themeColor="text1"/>
          <w:sz w:val="24"/>
          <w:szCs w:val="24"/>
          <w:highlight w:val="none"/>
          <w14:textFill>
            <w14:solidFill>
              <w14:schemeClr w14:val="tx1"/>
            </w14:solidFill>
          </w14:textFill>
        </w:rPr>
        <w:t>4．其他</w:t>
      </w:r>
      <w:bookmarkEnd w:id="29"/>
      <w:bookmarkEnd w:id="30"/>
      <w:bookmarkEnd w:id="31"/>
      <w:bookmarkEnd w:id="32"/>
    </w:p>
    <w:p w14:paraId="06F438E9">
      <w:pPr>
        <w:shd w:val="clear"/>
        <w:adjustRightInd w:val="0"/>
        <w:snapToGrid w:val="0"/>
        <w:spacing w:before="156" w:beforeLines="50" w:line="360" w:lineRule="auto"/>
        <w:ind w:firstLine="420" w:firstLineChars="200"/>
        <w:jc w:val="left"/>
        <w:rPr>
          <w:rFonts w:ascii="黑体" w:hAnsi="黑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资格预审合格的投标人在提交投标文件的截止时间前资格发生变化的，应当通知采购人、采购代理机构，并按新情况更新或补充其在申请资格预审时提供的证明资料，以证实其各项资格条件仍能继续满足资格预审公告的要求。</w:t>
      </w:r>
      <w:r>
        <w:rPr>
          <w:rFonts w:hint="eastAsia" w:ascii="宋体" w:hAnsi="宋体"/>
          <w:color w:val="000000" w:themeColor="text1"/>
          <w:szCs w:val="21"/>
          <w:highlight w:val="none"/>
          <w14:textFill>
            <w14:solidFill>
              <w14:schemeClr w14:val="tx1"/>
            </w14:solidFill>
          </w14:textFill>
        </w:rPr>
        <w:br w:type="page"/>
      </w:r>
    </w:p>
    <w:p w14:paraId="736F8905">
      <w:pPr>
        <w:shd w:val="clear"/>
        <w:adjustRightInd w:val="0"/>
        <w:snapToGrid w:val="0"/>
        <w:spacing w:before="156" w:beforeLines="50" w:line="360" w:lineRule="auto"/>
        <w:ind w:firstLine="422" w:firstLineChars="200"/>
        <w:jc w:val="left"/>
        <w:rPr>
          <w:rFonts w:ascii="黑体" w:hAnsi="黑体"/>
          <w:b/>
          <w:color w:val="000000" w:themeColor="text1"/>
          <w:szCs w:val="21"/>
          <w:highlight w:val="none"/>
          <w14:textFill>
            <w14:solidFill>
              <w14:schemeClr w14:val="tx1"/>
            </w14:solidFill>
          </w14:textFill>
        </w:rPr>
      </w:pPr>
      <w:r>
        <w:rPr>
          <w:rFonts w:hint="eastAsia" w:ascii="黑体" w:hAnsi="黑体"/>
          <w:b/>
          <w:color w:val="000000" w:themeColor="text1"/>
          <w:szCs w:val="21"/>
          <w:highlight w:val="none"/>
          <w14:textFill>
            <w14:solidFill>
              <w14:schemeClr w14:val="tx1"/>
            </w14:solidFill>
          </w14:textFill>
        </w:rPr>
        <w:t xml:space="preserve">附表1 </w:t>
      </w:r>
      <w:r>
        <w:rPr>
          <w:rFonts w:ascii="黑体" w:hAnsi="黑体"/>
          <w:b/>
          <w:color w:val="000000" w:themeColor="text1"/>
          <w:szCs w:val="21"/>
          <w:highlight w:val="none"/>
          <w14:textFill>
            <w14:solidFill>
              <w14:schemeClr w14:val="tx1"/>
            </w14:solidFill>
          </w14:textFill>
        </w:rPr>
        <w:t>投标人资格审查表</w:t>
      </w:r>
      <w:bookmarkEnd w:id="20"/>
    </w:p>
    <w:p w14:paraId="48697EB7">
      <w:pPr>
        <w:shd w:val="clear"/>
        <w:adjustRightInd w:val="0"/>
        <w:snapToGrid w:val="0"/>
        <w:spacing w:line="360" w:lineRule="auto"/>
        <w:jc w:val="center"/>
        <w:rPr>
          <w:rFonts w:hint="eastAsia" w:ascii="黑体" w:hAnsi="黑体" w:eastAsia="黑体"/>
          <w:b/>
          <w:color w:val="000000" w:themeColor="text1"/>
          <w:sz w:val="28"/>
          <w:szCs w:val="28"/>
          <w:highlight w:val="none"/>
          <w:lang w:eastAsia="zh-CN"/>
          <w14:textFill>
            <w14:solidFill>
              <w14:schemeClr w14:val="tx1"/>
            </w14:solidFill>
          </w14:textFill>
        </w:rPr>
      </w:pPr>
      <w:r>
        <w:rPr>
          <w:rFonts w:ascii="黑体" w:hAnsi="黑体" w:eastAsia="黑体"/>
          <w:b/>
          <w:color w:val="000000" w:themeColor="text1"/>
          <w:sz w:val="28"/>
          <w:szCs w:val="28"/>
          <w:highlight w:val="none"/>
          <w14:textFill>
            <w14:solidFill>
              <w14:schemeClr w14:val="tx1"/>
            </w14:solidFill>
          </w14:textFill>
        </w:rPr>
        <w:t>资格审查表</w:t>
      </w:r>
      <w:r>
        <w:rPr>
          <w:rFonts w:hint="eastAsia" w:ascii="黑体" w:hAnsi="黑体" w:eastAsia="黑体"/>
          <w:b/>
          <w:color w:val="000000" w:themeColor="text1"/>
          <w:sz w:val="28"/>
          <w:szCs w:val="28"/>
          <w:highlight w:val="none"/>
          <w:lang w:eastAsia="zh-CN"/>
          <w14:textFill>
            <w14:solidFill>
              <w14:schemeClr w14:val="tx1"/>
            </w14:solidFill>
          </w14:textFill>
        </w:rPr>
        <w:t>（</w:t>
      </w:r>
      <w:r>
        <w:rPr>
          <w:rFonts w:hint="eastAsia" w:ascii="黑体" w:hAnsi="黑体" w:eastAsia="黑体"/>
          <w:b/>
          <w:color w:val="000000" w:themeColor="text1"/>
          <w:sz w:val="28"/>
          <w:szCs w:val="28"/>
          <w:highlight w:val="none"/>
          <w:lang w:val="en-US" w:eastAsia="zh-CN"/>
          <w14:textFill>
            <w14:solidFill>
              <w14:schemeClr w14:val="tx1"/>
            </w14:solidFill>
          </w14:textFill>
        </w:rPr>
        <w:t>包1、包2</w:t>
      </w:r>
      <w:r>
        <w:rPr>
          <w:rFonts w:hint="eastAsia" w:ascii="黑体" w:hAnsi="黑体" w:eastAsia="黑体"/>
          <w:b/>
          <w:color w:val="000000" w:themeColor="text1"/>
          <w:sz w:val="28"/>
          <w:szCs w:val="28"/>
          <w:highlight w:val="none"/>
          <w:lang w:eastAsia="zh-CN"/>
          <w14:textFill>
            <w14:solidFill>
              <w14:schemeClr w14:val="tx1"/>
            </w14:solidFill>
          </w14:textFill>
        </w:rPr>
        <w:t>）</w:t>
      </w:r>
    </w:p>
    <w:p w14:paraId="52CBC945">
      <w:pPr>
        <w:shd w:val="clear"/>
        <w:adjustRightInd w:val="0"/>
        <w:snapToGrid w:val="0"/>
        <w:spacing w:line="360" w:lineRule="auto"/>
        <w:rPr>
          <w:rFonts w:ascii="黑体" w:hAnsi="黑体" w:eastAsia="黑体"/>
          <w:color w:val="000000" w:themeColor="text1"/>
          <w:sz w:val="28"/>
          <w:szCs w:val="2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                                          采购代理编号：</w:t>
      </w:r>
    </w:p>
    <w:tbl>
      <w:tblPr>
        <w:tblStyle w:val="43"/>
        <w:tblW w:w="993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
        <w:gridCol w:w="6248"/>
        <w:gridCol w:w="1640"/>
        <w:gridCol w:w="404"/>
        <w:gridCol w:w="397"/>
        <w:gridCol w:w="409"/>
        <w:gridCol w:w="430"/>
      </w:tblGrid>
      <w:tr w14:paraId="7C7352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409" w:type="dxa"/>
            <w:vMerge w:val="restart"/>
            <w:vAlign w:val="center"/>
          </w:tcPr>
          <w:p w14:paraId="5B9259DD">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6248" w:type="dxa"/>
            <w:vMerge w:val="restart"/>
            <w:vAlign w:val="center"/>
          </w:tcPr>
          <w:p w14:paraId="6C000AB6">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检查项目</w:t>
            </w:r>
          </w:p>
        </w:tc>
        <w:tc>
          <w:tcPr>
            <w:tcW w:w="1640" w:type="dxa"/>
            <w:vMerge w:val="restart"/>
            <w:vAlign w:val="center"/>
          </w:tcPr>
          <w:p w14:paraId="049F982B">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评审标准</w:t>
            </w:r>
          </w:p>
        </w:tc>
        <w:tc>
          <w:tcPr>
            <w:tcW w:w="1640" w:type="dxa"/>
            <w:gridSpan w:val="4"/>
            <w:vAlign w:val="center"/>
          </w:tcPr>
          <w:p w14:paraId="25D3B57F">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w:t>
            </w:r>
          </w:p>
        </w:tc>
      </w:tr>
      <w:tr w14:paraId="214B59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409" w:type="dxa"/>
            <w:vMerge w:val="continue"/>
            <w:vAlign w:val="center"/>
          </w:tcPr>
          <w:p w14:paraId="02FD0E7B">
            <w:pPr>
              <w:shd w:val="clear"/>
              <w:rPr>
                <w:rFonts w:ascii="宋体" w:hAnsi="宋体" w:cs="宋体"/>
                <w:color w:val="000000" w:themeColor="text1"/>
                <w:highlight w:val="none"/>
                <w14:textFill>
                  <w14:solidFill>
                    <w14:schemeClr w14:val="tx1"/>
                  </w14:solidFill>
                </w14:textFill>
              </w:rPr>
            </w:pPr>
          </w:p>
        </w:tc>
        <w:tc>
          <w:tcPr>
            <w:tcW w:w="6248" w:type="dxa"/>
            <w:vMerge w:val="continue"/>
            <w:vAlign w:val="center"/>
          </w:tcPr>
          <w:p w14:paraId="0A475B4F">
            <w:pPr>
              <w:shd w:val="clear"/>
              <w:rPr>
                <w:rFonts w:ascii="宋体" w:hAnsi="宋体" w:cs="宋体"/>
                <w:color w:val="000000" w:themeColor="text1"/>
                <w:highlight w:val="none"/>
                <w14:textFill>
                  <w14:solidFill>
                    <w14:schemeClr w14:val="tx1"/>
                  </w14:solidFill>
                </w14:textFill>
              </w:rPr>
            </w:pPr>
          </w:p>
        </w:tc>
        <w:tc>
          <w:tcPr>
            <w:tcW w:w="1640" w:type="dxa"/>
            <w:vMerge w:val="continue"/>
            <w:vAlign w:val="center"/>
          </w:tcPr>
          <w:p w14:paraId="39C5BA48">
            <w:pPr>
              <w:shd w:val="clear"/>
              <w:rPr>
                <w:rFonts w:ascii="宋体" w:hAnsi="宋体" w:cs="宋体"/>
                <w:color w:val="000000" w:themeColor="text1"/>
                <w:highlight w:val="none"/>
                <w14:textFill>
                  <w14:solidFill>
                    <w14:schemeClr w14:val="tx1"/>
                  </w14:solidFill>
                </w14:textFill>
              </w:rPr>
            </w:pPr>
          </w:p>
        </w:tc>
        <w:tc>
          <w:tcPr>
            <w:tcW w:w="404" w:type="dxa"/>
            <w:vAlign w:val="center"/>
          </w:tcPr>
          <w:p w14:paraId="5B0FB38F">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397" w:type="dxa"/>
            <w:vAlign w:val="center"/>
          </w:tcPr>
          <w:p w14:paraId="2B07B79F">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409" w:type="dxa"/>
            <w:vAlign w:val="center"/>
          </w:tcPr>
          <w:p w14:paraId="4559734D">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430" w:type="dxa"/>
            <w:vAlign w:val="center"/>
          </w:tcPr>
          <w:p w14:paraId="5CDD62ED">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r>
      <w:tr w14:paraId="312054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09" w:type="dxa"/>
            <w:vAlign w:val="center"/>
          </w:tcPr>
          <w:p w14:paraId="0D444B09">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6248" w:type="dxa"/>
            <w:vAlign w:val="center"/>
          </w:tcPr>
          <w:p w14:paraId="050AA8BF">
            <w:pPr>
              <w:shd w:val="clear"/>
              <w:spacing w:line="24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营业执照、税务登记证及组织机构代码证</w:t>
            </w:r>
          </w:p>
        </w:tc>
        <w:tc>
          <w:tcPr>
            <w:tcW w:w="1640" w:type="dxa"/>
            <w:vAlign w:val="center"/>
          </w:tcPr>
          <w:p w14:paraId="37C67B82">
            <w:pPr>
              <w:shd w:val="clear"/>
              <w:spacing w:line="24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三证合一或五证合一的只提供营业执照副本复印件加盖公章</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真实有效</w:t>
            </w:r>
          </w:p>
        </w:tc>
        <w:tc>
          <w:tcPr>
            <w:tcW w:w="404" w:type="dxa"/>
            <w:vAlign w:val="center"/>
          </w:tcPr>
          <w:p w14:paraId="446DD487">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397" w:type="dxa"/>
            <w:vAlign w:val="center"/>
          </w:tcPr>
          <w:p w14:paraId="4F545A6C">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09" w:type="dxa"/>
            <w:vAlign w:val="center"/>
          </w:tcPr>
          <w:p w14:paraId="3E00069C">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30" w:type="dxa"/>
            <w:vAlign w:val="center"/>
          </w:tcPr>
          <w:p w14:paraId="7577434F">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r>
      <w:tr w14:paraId="505107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09" w:type="dxa"/>
            <w:vAlign w:val="center"/>
          </w:tcPr>
          <w:p w14:paraId="08CC9748">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6248" w:type="dxa"/>
            <w:vAlign w:val="center"/>
          </w:tcPr>
          <w:p w14:paraId="089C15A5">
            <w:pPr>
              <w:shd w:val="clear"/>
              <w:spacing w:line="24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法定代表人身份证或法人授权委托书、委托代理人身份证</w:t>
            </w:r>
          </w:p>
        </w:tc>
        <w:tc>
          <w:tcPr>
            <w:tcW w:w="1640" w:type="dxa"/>
            <w:vAlign w:val="center"/>
          </w:tcPr>
          <w:p w14:paraId="51730DC2">
            <w:pPr>
              <w:shd w:val="clear"/>
              <w:spacing w:line="24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真实有效</w:t>
            </w:r>
          </w:p>
        </w:tc>
        <w:tc>
          <w:tcPr>
            <w:tcW w:w="404" w:type="dxa"/>
            <w:vAlign w:val="center"/>
          </w:tcPr>
          <w:p w14:paraId="4BEFBD1E">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397" w:type="dxa"/>
            <w:vAlign w:val="center"/>
          </w:tcPr>
          <w:p w14:paraId="4CA85C6A">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09" w:type="dxa"/>
            <w:vAlign w:val="center"/>
          </w:tcPr>
          <w:p w14:paraId="7FFBCE36">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30" w:type="dxa"/>
            <w:vAlign w:val="center"/>
          </w:tcPr>
          <w:p w14:paraId="06CEAF45">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r>
      <w:tr w14:paraId="785B19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409" w:type="dxa"/>
            <w:vAlign w:val="center"/>
          </w:tcPr>
          <w:p w14:paraId="17C637A2">
            <w:pPr>
              <w:shd w:val="clea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6248" w:type="dxa"/>
            <w:vAlign w:val="center"/>
          </w:tcPr>
          <w:p w14:paraId="250994E7">
            <w:pPr>
              <w:shd w:val="clear"/>
              <w:spacing w:line="24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w:t>
            </w:r>
          </w:p>
        </w:tc>
        <w:tc>
          <w:tcPr>
            <w:tcW w:w="1640" w:type="dxa"/>
            <w:vAlign w:val="center"/>
          </w:tcPr>
          <w:p w14:paraId="621D9F5C">
            <w:pPr>
              <w:shd w:val="clear"/>
              <w:spacing w:line="24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真实有效</w:t>
            </w:r>
          </w:p>
        </w:tc>
        <w:tc>
          <w:tcPr>
            <w:tcW w:w="404" w:type="dxa"/>
            <w:vAlign w:val="center"/>
          </w:tcPr>
          <w:p w14:paraId="0F9BE29E">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397" w:type="dxa"/>
            <w:vAlign w:val="center"/>
          </w:tcPr>
          <w:p w14:paraId="084FD5EF">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09" w:type="dxa"/>
            <w:vAlign w:val="center"/>
          </w:tcPr>
          <w:p w14:paraId="608564FD">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30" w:type="dxa"/>
            <w:vAlign w:val="center"/>
          </w:tcPr>
          <w:p w14:paraId="2458B34F">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r>
      <w:tr w14:paraId="00111D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409" w:type="dxa"/>
            <w:vAlign w:val="center"/>
          </w:tcPr>
          <w:p w14:paraId="5899DC89">
            <w:pPr>
              <w:shd w:val="clear"/>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p>
        </w:tc>
        <w:tc>
          <w:tcPr>
            <w:tcW w:w="6248" w:type="dxa"/>
            <w:vAlign w:val="center"/>
          </w:tcPr>
          <w:p w14:paraId="4ED0C5BB">
            <w:pPr>
              <w:shd w:val="clear"/>
              <w:spacing w:line="24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被“信用中国”网站列入失信被执行人和重大税收违法案件当事人名单的、被“中国政府采购网”网站列入政府采购严重违法失信行为记录名单（处罚期限尚未届满的），不得参与本项目的政府采购活动。</w:t>
            </w:r>
          </w:p>
        </w:tc>
        <w:tc>
          <w:tcPr>
            <w:tcW w:w="1640" w:type="dxa"/>
            <w:vAlign w:val="center"/>
          </w:tcPr>
          <w:p w14:paraId="3501B5A9">
            <w:pPr>
              <w:shd w:val="clear"/>
              <w:spacing w:line="24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真实有效</w:t>
            </w:r>
          </w:p>
        </w:tc>
        <w:tc>
          <w:tcPr>
            <w:tcW w:w="404" w:type="dxa"/>
            <w:vAlign w:val="center"/>
          </w:tcPr>
          <w:p w14:paraId="12B3147C">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397" w:type="dxa"/>
            <w:vAlign w:val="center"/>
          </w:tcPr>
          <w:p w14:paraId="23187377">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09" w:type="dxa"/>
            <w:vAlign w:val="center"/>
          </w:tcPr>
          <w:p w14:paraId="7279C513">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30" w:type="dxa"/>
            <w:vAlign w:val="center"/>
          </w:tcPr>
          <w:p w14:paraId="23A7DCF1">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r>
      <w:tr w14:paraId="1F903C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409" w:type="dxa"/>
            <w:vAlign w:val="center"/>
          </w:tcPr>
          <w:p w14:paraId="45252376">
            <w:pPr>
              <w:shd w:val="clear"/>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p>
        </w:tc>
        <w:tc>
          <w:tcPr>
            <w:tcW w:w="6248" w:type="dxa"/>
            <w:vAlign w:val="center"/>
          </w:tcPr>
          <w:p w14:paraId="0990102B">
            <w:pPr>
              <w:shd w:val="clear"/>
              <w:spacing w:line="24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参加政府采购活动前三年内在经营活动中没有重大违法记录的书面声明。</w:t>
            </w:r>
          </w:p>
        </w:tc>
        <w:tc>
          <w:tcPr>
            <w:tcW w:w="1640" w:type="dxa"/>
            <w:vAlign w:val="center"/>
          </w:tcPr>
          <w:p w14:paraId="423BE703">
            <w:pPr>
              <w:shd w:val="clear"/>
              <w:spacing w:line="24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真实有效</w:t>
            </w:r>
          </w:p>
        </w:tc>
        <w:tc>
          <w:tcPr>
            <w:tcW w:w="404" w:type="dxa"/>
            <w:vAlign w:val="center"/>
          </w:tcPr>
          <w:p w14:paraId="67A452C9">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397" w:type="dxa"/>
            <w:vAlign w:val="center"/>
          </w:tcPr>
          <w:p w14:paraId="3953932F">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09" w:type="dxa"/>
            <w:vAlign w:val="center"/>
          </w:tcPr>
          <w:p w14:paraId="5D4C5CE2">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30" w:type="dxa"/>
            <w:vAlign w:val="center"/>
          </w:tcPr>
          <w:p w14:paraId="34196F4B">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r>
      <w:tr w14:paraId="09AAF5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409" w:type="dxa"/>
            <w:vAlign w:val="center"/>
          </w:tcPr>
          <w:p w14:paraId="37C2EC23">
            <w:pPr>
              <w:shd w:val="clear"/>
              <w:jc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w:t>
            </w:r>
          </w:p>
        </w:tc>
        <w:tc>
          <w:tcPr>
            <w:tcW w:w="6248" w:type="dxa"/>
            <w:vAlign w:val="center"/>
          </w:tcPr>
          <w:p w14:paraId="665781C5">
            <w:pPr>
              <w:shd w:val="clear"/>
              <w:spacing w:line="240" w:lineRule="exact"/>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bidi="ar"/>
                <w14:textFill>
                  <w14:solidFill>
                    <w14:schemeClr w14:val="tx1"/>
                  </w14:solidFill>
                </w14:textFill>
              </w:rPr>
              <w:t>供应商特定资格条件</w:t>
            </w:r>
          </w:p>
        </w:tc>
        <w:tc>
          <w:tcPr>
            <w:tcW w:w="1640" w:type="dxa"/>
            <w:vAlign w:val="center"/>
          </w:tcPr>
          <w:p w14:paraId="1356CC3E">
            <w:pPr>
              <w:shd w:val="clear"/>
              <w:spacing w:line="24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真实有效</w:t>
            </w:r>
          </w:p>
        </w:tc>
        <w:tc>
          <w:tcPr>
            <w:tcW w:w="404" w:type="dxa"/>
            <w:vAlign w:val="center"/>
          </w:tcPr>
          <w:p w14:paraId="5B6D6886">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397" w:type="dxa"/>
            <w:vAlign w:val="center"/>
          </w:tcPr>
          <w:p w14:paraId="75D872DA">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09" w:type="dxa"/>
            <w:vAlign w:val="center"/>
          </w:tcPr>
          <w:p w14:paraId="45259A91">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30" w:type="dxa"/>
            <w:vAlign w:val="center"/>
          </w:tcPr>
          <w:p w14:paraId="7DED635F">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r>
      <w:tr w14:paraId="0F4A1A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657" w:type="dxa"/>
            <w:gridSpan w:val="2"/>
            <w:vAlign w:val="center"/>
          </w:tcPr>
          <w:p w14:paraId="44636300">
            <w:pPr>
              <w:shd w:val="clear"/>
              <w:spacing w:line="24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结论</w:t>
            </w:r>
          </w:p>
        </w:tc>
        <w:tc>
          <w:tcPr>
            <w:tcW w:w="1640" w:type="dxa"/>
            <w:vAlign w:val="center"/>
          </w:tcPr>
          <w:p w14:paraId="40D19D88">
            <w:pPr>
              <w:shd w:val="clear"/>
              <w:spacing w:line="240" w:lineRule="exact"/>
              <w:jc w:val="center"/>
              <w:rPr>
                <w:rFonts w:ascii="宋体" w:hAnsi="宋体" w:cs="宋体"/>
                <w:color w:val="000000" w:themeColor="text1"/>
                <w:szCs w:val="21"/>
                <w:highlight w:val="none"/>
                <w14:textFill>
                  <w14:solidFill>
                    <w14:schemeClr w14:val="tx1"/>
                  </w14:solidFill>
                </w14:textFill>
              </w:rPr>
            </w:pPr>
          </w:p>
        </w:tc>
        <w:tc>
          <w:tcPr>
            <w:tcW w:w="404" w:type="dxa"/>
            <w:vAlign w:val="center"/>
          </w:tcPr>
          <w:p w14:paraId="15839A6D">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397" w:type="dxa"/>
            <w:vAlign w:val="center"/>
          </w:tcPr>
          <w:p w14:paraId="2072452E">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09" w:type="dxa"/>
            <w:vAlign w:val="center"/>
          </w:tcPr>
          <w:p w14:paraId="5BB0C09B">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c>
          <w:tcPr>
            <w:tcW w:w="430" w:type="dxa"/>
            <w:vAlign w:val="center"/>
          </w:tcPr>
          <w:p w14:paraId="6E8A1A22">
            <w:pPr>
              <w:widowControl/>
              <w:shd w:val="clear"/>
              <w:spacing w:after="31" w:afterLines="10"/>
              <w:jc w:val="center"/>
              <w:rPr>
                <w:rFonts w:ascii="宋体" w:hAnsi="宋体" w:cs="宋体"/>
                <w:color w:val="000000" w:themeColor="text1"/>
                <w:szCs w:val="21"/>
                <w:highlight w:val="none"/>
                <w14:textFill>
                  <w14:solidFill>
                    <w14:schemeClr w14:val="tx1"/>
                  </w14:solidFill>
                </w14:textFill>
              </w:rPr>
            </w:pPr>
          </w:p>
        </w:tc>
      </w:tr>
    </w:tbl>
    <w:p w14:paraId="703B867A">
      <w:pPr>
        <w:shd w:val="clear"/>
        <w:spacing w:line="240" w:lineRule="exact"/>
        <w:jc w:val="left"/>
        <w:rPr>
          <w:rFonts w:ascii="宋体" w:hAnsi="宋体" w:cs="宋体"/>
          <w:bCs/>
          <w:color w:val="000000" w:themeColor="text1"/>
          <w:szCs w:val="21"/>
          <w:highlight w:val="none"/>
          <w14:textFill>
            <w14:solidFill>
              <w14:schemeClr w14:val="tx1"/>
            </w14:solidFill>
          </w14:textFill>
        </w:rPr>
      </w:pPr>
    </w:p>
    <w:p w14:paraId="22821910">
      <w:pPr>
        <w:shd w:val="clear"/>
        <w:spacing w:line="24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注：1、评审意见，合格的“√”，不合格的“×”，有一项不合格即为不合格供应商。</w:t>
      </w:r>
    </w:p>
    <w:p w14:paraId="0993D1C0">
      <w:pPr>
        <w:shd w:val="clear"/>
        <w:spacing w:line="240" w:lineRule="exact"/>
        <w:ind w:firstLine="420" w:firstLineChars="200"/>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2、此表中所说“原件”是指投标文件中装入复印件，检查时供应商交验原件。</w:t>
      </w:r>
    </w:p>
    <w:p w14:paraId="46B35E73">
      <w:pPr>
        <w:shd w:val="clear"/>
        <w:spacing w:line="240" w:lineRule="exact"/>
        <w:ind w:firstLine="420" w:firstLineChars="200"/>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3、未通过资格性审查的，不能进入评标阶段。</w:t>
      </w:r>
    </w:p>
    <w:p w14:paraId="7B0715B1">
      <w:pPr>
        <w:shd w:val="clear"/>
        <w:spacing w:line="240" w:lineRule="exact"/>
        <w:ind w:firstLine="420" w:firstLineChars="200"/>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4、通过资格性审查的投标人不足3家的，评标评标工作停止。</w:t>
      </w:r>
    </w:p>
    <w:p w14:paraId="013F3394">
      <w:pPr>
        <w:shd w:val="clear"/>
        <w:spacing w:line="240" w:lineRule="exact"/>
        <w:ind w:firstLine="420" w:firstLineChars="200"/>
        <w:jc w:val="left"/>
        <w:rPr>
          <w:rFonts w:hint="eastAsia" w:ascii="宋体" w:hAnsi="宋体" w:cs="宋体"/>
          <w:bCs/>
          <w:color w:val="000000" w:themeColor="text1"/>
          <w:szCs w:val="21"/>
          <w:highlight w:val="none"/>
          <w14:textFill>
            <w14:solidFill>
              <w14:schemeClr w14:val="tx1"/>
            </w14:solidFill>
          </w14:textFill>
        </w:rPr>
      </w:pPr>
    </w:p>
    <w:p w14:paraId="04AA4C4F">
      <w:pPr>
        <w:shd w:val="clear"/>
        <w:spacing w:line="240" w:lineRule="exact"/>
        <w:ind w:firstLine="420" w:firstLineChars="200"/>
        <w:jc w:val="left"/>
        <w:rPr>
          <w:rFonts w:hint="eastAsia" w:ascii="宋体" w:hAnsi="宋体" w:cs="宋体"/>
          <w:bCs/>
          <w:color w:val="000000" w:themeColor="text1"/>
          <w:szCs w:val="21"/>
          <w:highlight w:val="none"/>
          <w14:textFill>
            <w14:solidFill>
              <w14:schemeClr w14:val="tx1"/>
            </w14:solidFill>
          </w14:textFill>
        </w:rPr>
      </w:pPr>
    </w:p>
    <w:p w14:paraId="109BD344">
      <w:pPr>
        <w:shd w:val="clear"/>
        <w:spacing w:line="240" w:lineRule="exact"/>
        <w:ind w:firstLine="420" w:firstLineChars="200"/>
        <w:jc w:val="lef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采购人或者采购代理机构检查</w:t>
      </w:r>
      <w:r>
        <w:rPr>
          <w:rFonts w:hint="eastAsia" w:ascii="宋体" w:hAnsi="宋体" w:cs="宋体"/>
          <w:bCs/>
          <w:color w:val="000000" w:themeColor="text1"/>
          <w:szCs w:val="21"/>
          <w:highlight w:val="none"/>
          <w:lang w:eastAsia="zh-CN"/>
          <w14:textFill>
            <w14:solidFill>
              <w14:schemeClr w14:val="tx1"/>
            </w14:solidFill>
          </w14:textFill>
        </w:rPr>
        <w:t>人员</w:t>
      </w:r>
      <w:r>
        <w:rPr>
          <w:rFonts w:hint="eastAsia" w:ascii="宋体" w:hAnsi="宋体" w:cs="宋体"/>
          <w:bCs/>
          <w:color w:val="000000" w:themeColor="text1"/>
          <w:szCs w:val="21"/>
          <w:highlight w:val="none"/>
          <w14:textFill>
            <w14:solidFill>
              <w14:schemeClr w14:val="tx1"/>
            </w14:solidFill>
          </w14:textFill>
        </w:rPr>
        <w:t>签名：</w:t>
      </w:r>
    </w:p>
    <w:p w14:paraId="624EEC44">
      <w:pPr>
        <w:shd w:val="clear"/>
        <w:spacing w:before="156" w:beforeLines="50" w:line="360" w:lineRule="auto"/>
        <w:ind w:firstLine="480" w:firstLineChars="200"/>
        <w:jc w:val="right"/>
        <w:rPr>
          <w:rFonts w:ascii="宋体" w:hAnsi="宋体" w:cs="宋体"/>
          <w:b/>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年   月    日</w:t>
      </w:r>
    </w:p>
    <w:p w14:paraId="1E479925">
      <w:pPr>
        <w:shd w:val="clear"/>
        <w:adjustRightInd w:val="0"/>
        <w:snapToGrid w:val="0"/>
        <w:spacing w:line="360" w:lineRule="auto"/>
        <w:ind w:right="420"/>
        <w:jc w:val="center"/>
        <w:rPr>
          <w:rFonts w:ascii="宋体" w:hAnsi="宋体"/>
          <w:b/>
          <w:bCs/>
          <w:color w:val="000000" w:themeColor="text1"/>
          <w:sz w:val="28"/>
          <w:szCs w:val="28"/>
          <w:highlight w:val="none"/>
          <w14:textFill>
            <w14:solidFill>
              <w14:schemeClr w14:val="tx1"/>
            </w14:solidFill>
          </w14:textFill>
        </w:rPr>
      </w:pPr>
    </w:p>
    <w:p w14:paraId="01043F18">
      <w:pPr>
        <w:shd w:val="clear"/>
        <w:adjustRightInd w:val="0"/>
        <w:snapToGrid w:val="0"/>
        <w:spacing w:line="360" w:lineRule="auto"/>
        <w:ind w:right="420"/>
        <w:jc w:val="center"/>
        <w:rPr>
          <w:rFonts w:ascii="宋体" w:hAnsi="宋体"/>
          <w:b/>
          <w:bCs/>
          <w:color w:val="000000" w:themeColor="text1"/>
          <w:sz w:val="28"/>
          <w:szCs w:val="28"/>
          <w:highlight w:val="none"/>
          <w14:textFill>
            <w14:solidFill>
              <w14:schemeClr w14:val="tx1"/>
            </w14:solidFill>
          </w14:textFill>
        </w:rPr>
      </w:pPr>
    </w:p>
    <w:p w14:paraId="6CA56BE1">
      <w:pPr>
        <w:shd w:val="clear"/>
        <w:adjustRightInd w:val="0"/>
        <w:snapToGrid w:val="0"/>
        <w:spacing w:line="360" w:lineRule="auto"/>
        <w:ind w:right="420"/>
        <w:jc w:val="center"/>
        <w:rPr>
          <w:rFonts w:ascii="宋体" w:hAnsi="宋体"/>
          <w:b/>
          <w:bCs/>
          <w:color w:val="000000" w:themeColor="text1"/>
          <w:sz w:val="28"/>
          <w:szCs w:val="28"/>
          <w:highlight w:val="none"/>
          <w14:textFill>
            <w14:solidFill>
              <w14:schemeClr w14:val="tx1"/>
            </w14:solidFill>
          </w14:textFill>
        </w:rPr>
      </w:pPr>
    </w:p>
    <w:p w14:paraId="048D2EE8">
      <w:pPr>
        <w:shd w:val="clear"/>
        <w:adjustRightInd w:val="0"/>
        <w:snapToGrid w:val="0"/>
        <w:spacing w:line="360" w:lineRule="auto"/>
        <w:ind w:right="420"/>
        <w:jc w:val="center"/>
        <w:rPr>
          <w:rFonts w:ascii="宋体" w:hAnsi="宋体"/>
          <w:b/>
          <w:bCs/>
          <w:color w:val="000000" w:themeColor="text1"/>
          <w:sz w:val="28"/>
          <w:szCs w:val="28"/>
          <w:highlight w:val="none"/>
          <w14:textFill>
            <w14:solidFill>
              <w14:schemeClr w14:val="tx1"/>
            </w14:solidFill>
          </w14:textFill>
        </w:rPr>
      </w:pPr>
    </w:p>
    <w:p w14:paraId="264130B9">
      <w:pPr>
        <w:shd w:val="clear"/>
        <w:adjustRightInd w:val="0"/>
        <w:snapToGrid w:val="0"/>
        <w:spacing w:line="360" w:lineRule="auto"/>
        <w:ind w:right="420"/>
        <w:jc w:val="both"/>
        <w:rPr>
          <w:rFonts w:hint="eastAsia" w:ascii="宋体" w:hAnsi="宋体"/>
          <w:b/>
          <w:bCs/>
          <w:color w:val="000000" w:themeColor="text1"/>
          <w:sz w:val="28"/>
          <w:szCs w:val="28"/>
          <w:highlight w:val="none"/>
          <w14:textFill>
            <w14:solidFill>
              <w14:schemeClr w14:val="tx1"/>
            </w14:solidFill>
          </w14:textFill>
        </w:rPr>
      </w:pPr>
      <w:r>
        <w:rPr>
          <w:rFonts w:hint="eastAsia" w:ascii="黑体" w:hAnsi="黑体"/>
          <w:b/>
          <w:color w:val="000000" w:themeColor="text1"/>
          <w:szCs w:val="21"/>
          <w:highlight w:val="none"/>
          <w14:textFill>
            <w14:solidFill>
              <w14:schemeClr w14:val="tx1"/>
            </w14:solidFill>
          </w14:textFill>
        </w:rPr>
        <w:t>附表</w:t>
      </w:r>
      <w:r>
        <w:rPr>
          <w:rFonts w:hint="eastAsia" w:ascii="黑体" w:hAnsi="黑体"/>
          <w:b/>
          <w:color w:val="000000" w:themeColor="text1"/>
          <w:szCs w:val="21"/>
          <w:highlight w:val="none"/>
          <w:lang w:val="en-US" w:eastAsia="zh-CN"/>
          <w14:textFill>
            <w14:solidFill>
              <w14:schemeClr w14:val="tx1"/>
            </w14:solidFill>
          </w14:textFill>
        </w:rPr>
        <w:t>2</w:t>
      </w:r>
      <w:r>
        <w:rPr>
          <w:rFonts w:hint="eastAsia" w:ascii="黑体" w:hAnsi="黑体"/>
          <w:b/>
          <w:color w:val="000000" w:themeColor="text1"/>
          <w:szCs w:val="21"/>
          <w:highlight w:val="none"/>
          <w14:textFill>
            <w14:solidFill>
              <w14:schemeClr w14:val="tx1"/>
            </w14:solidFill>
          </w14:textFill>
        </w:rPr>
        <w:t xml:space="preserve"> </w:t>
      </w:r>
      <w:r>
        <w:rPr>
          <w:rFonts w:ascii="黑体" w:hAnsi="黑体"/>
          <w:b/>
          <w:color w:val="000000" w:themeColor="text1"/>
          <w:szCs w:val="21"/>
          <w:highlight w:val="none"/>
          <w14:textFill>
            <w14:solidFill>
              <w14:schemeClr w14:val="tx1"/>
            </w14:solidFill>
          </w14:textFill>
        </w:rPr>
        <w:t>投标人</w:t>
      </w:r>
      <w:r>
        <w:rPr>
          <w:rFonts w:hint="eastAsia" w:ascii="黑体" w:hAnsi="黑体"/>
          <w:b/>
          <w:color w:val="000000" w:themeColor="text1"/>
          <w:szCs w:val="21"/>
          <w:highlight w:val="none"/>
          <w14:textFill>
            <w14:solidFill>
              <w14:schemeClr w14:val="tx1"/>
            </w14:solidFill>
          </w14:textFill>
        </w:rPr>
        <w:t>符合性审查表</w:t>
      </w:r>
    </w:p>
    <w:p w14:paraId="5553C6CC">
      <w:pPr>
        <w:shd w:val="clear"/>
        <w:adjustRightInd w:val="0"/>
        <w:snapToGrid w:val="0"/>
        <w:spacing w:line="360" w:lineRule="auto"/>
        <w:ind w:right="420"/>
        <w:jc w:val="center"/>
        <w:rPr>
          <w:rFonts w:hint="eastAsia"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符合性审查表</w:t>
      </w:r>
      <w:r>
        <w:rPr>
          <w:rFonts w:hint="eastAsia" w:ascii="黑体" w:hAnsi="黑体" w:eastAsia="黑体"/>
          <w:b/>
          <w:color w:val="000000" w:themeColor="text1"/>
          <w:sz w:val="28"/>
          <w:szCs w:val="28"/>
          <w:highlight w:val="none"/>
          <w:lang w:eastAsia="zh-CN"/>
          <w14:textFill>
            <w14:solidFill>
              <w14:schemeClr w14:val="tx1"/>
            </w14:solidFill>
          </w14:textFill>
        </w:rPr>
        <w:t>（</w:t>
      </w:r>
      <w:r>
        <w:rPr>
          <w:rFonts w:hint="eastAsia" w:ascii="黑体" w:hAnsi="黑体" w:eastAsia="黑体"/>
          <w:b/>
          <w:color w:val="000000" w:themeColor="text1"/>
          <w:sz w:val="28"/>
          <w:szCs w:val="28"/>
          <w:highlight w:val="none"/>
          <w:lang w:val="en-US" w:eastAsia="zh-CN"/>
          <w14:textFill>
            <w14:solidFill>
              <w14:schemeClr w14:val="tx1"/>
            </w14:solidFill>
          </w14:textFill>
        </w:rPr>
        <w:t>包1、包2</w:t>
      </w:r>
      <w:r>
        <w:rPr>
          <w:rFonts w:hint="eastAsia" w:ascii="黑体" w:hAnsi="黑体" w:eastAsia="黑体"/>
          <w:b/>
          <w:color w:val="000000" w:themeColor="text1"/>
          <w:sz w:val="28"/>
          <w:szCs w:val="28"/>
          <w:highlight w:val="none"/>
          <w:lang w:eastAsia="zh-CN"/>
          <w14:textFill>
            <w14:solidFill>
              <w14:schemeClr w14:val="tx1"/>
            </w14:solidFill>
          </w14:textFill>
        </w:rPr>
        <w:t>）</w:t>
      </w:r>
    </w:p>
    <w:tbl>
      <w:tblPr>
        <w:tblStyle w:val="43"/>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975"/>
        <w:gridCol w:w="3138"/>
        <w:gridCol w:w="793"/>
        <w:gridCol w:w="793"/>
        <w:gridCol w:w="794"/>
      </w:tblGrid>
      <w:tr w14:paraId="25DF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0" w:type="dxa"/>
            <w:vMerge w:val="restart"/>
            <w:vAlign w:val="center"/>
          </w:tcPr>
          <w:p w14:paraId="70888B51">
            <w:pPr>
              <w:shd w:val="clea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序号</w:t>
            </w:r>
          </w:p>
        </w:tc>
        <w:tc>
          <w:tcPr>
            <w:tcW w:w="2975" w:type="dxa"/>
            <w:vMerge w:val="restart"/>
            <w:vAlign w:val="center"/>
          </w:tcPr>
          <w:p w14:paraId="7BB48174">
            <w:pPr>
              <w:shd w:val="clea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符合性审查内容</w:t>
            </w:r>
          </w:p>
        </w:tc>
        <w:tc>
          <w:tcPr>
            <w:tcW w:w="3138" w:type="dxa"/>
            <w:vMerge w:val="restart"/>
            <w:vAlign w:val="center"/>
          </w:tcPr>
          <w:p w14:paraId="2ED6A3E0">
            <w:pPr>
              <w:shd w:val="clea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评审标准</w:t>
            </w:r>
          </w:p>
        </w:tc>
        <w:tc>
          <w:tcPr>
            <w:tcW w:w="2380" w:type="dxa"/>
            <w:gridSpan w:val="3"/>
            <w:vAlign w:val="center"/>
          </w:tcPr>
          <w:p w14:paraId="5C9F06F3">
            <w:pPr>
              <w:shd w:val="clea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投标人</w:t>
            </w:r>
          </w:p>
        </w:tc>
      </w:tr>
      <w:tr w14:paraId="0F20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850" w:type="dxa"/>
            <w:vMerge w:val="continue"/>
            <w:vAlign w:val="center"/>
          </w:tcPr>
          <w:p w14:paraId="421941C5">
            <w:pPr>
              <w:shd w:val="clear"/>
              <w:jc w:val="center"/>
              <w:rPr>
                <w:rFonts w:ascii="宋体" w:hAnsi="宋体" w:cs="宋体"/>
                <w:b/>
                <w:color w:val="000000" w:themeColor="text1"/>
                <w:sz w:val="24"/>
                <w:highlight w:val="none"/>
                <w14:textFill>
                  <w14:solidFill>
                    <w14:schemeClr w14:val="tx1"/>
                  </w14:solidFill>
                </w14:textFill>
              </w:rPr>
            </w:pPr>
          </w:p>
        </w:tc>
        <w:tc>
          <w:tcPr>
            <w:tcW w:w="2975" w:type="dxa"/>
            <w:vMerge w:val="continue"/>
            <w:vAlign w:val="center"/>
          </w:tcPr>
          <w:p w14:paraId="1AC97253">
            <w:pPr>
              <w:shd w:val="clear"/>
              <w:jc w:val="center"/>
              <w:rPr>
                <w:rFonts w:ascii="宋体" w:hAnsi="宋体" w:cs="宋体"/>
                <w:b/>
                <w:color w:val="000000" w:themeColor="text1"/>
                <w:highlight w:val="none"/>
                <w14:textFill>
                  <w14:solidFill>
                    <w14:schemeClr w14:val="tx1"/>
                  </w14:solidFill>
                </w14:textFill>
              </w:rPr>
            </w:pPr>
          </w:p>
        </w:tc>
        <w:tc>
          <w:tcPr>
            <w:tcW w:w="3138" w:type="dxa"/>
            <w:vMerge w:val="continue"/>
            <w:vAlign w:val="center"/>
          </w:tcPr>
          <w:p w14:paraId="4AD4FDF1">
            <w:pPr>
              <w:shd w:val="clear"/>
              <w:jc w:val="center"/>
              <w:rPr>
                <w:rFonts w:ascii="宋体" w:hAnsi="宋体" w:cs="宋体"/>
                <w:b/>
                <w:color w:val="000000" w:themeColor="text1"/>
                <w:sz w:val="24"/>
                <w:highlight w:val="none"/>
                <w14:textFill>
                  <w14:solidFill>
                    <w14:schemeClr w14:val="tx1"/>
                  </w14:solidFill>
                </w14:textFill>
              </w:rPr>
            </w:pPr>
          </w:p>
        </w:tc>
        <w:tc>
          <w:tcPr>
            <w:tcW w:w="793" w:type="dxa"/>
            <w:vAlign w:val="center"/>
          </w:tcPr>
          <w:p w14:paraId="02C3795A">
            <w:pPr>
              <w:shd w:val="clear"/>
              <w:jc w:val="center"/>
              <w:rPr>
                <w:rFonts w:ascii="宋体" w:hAnsi="宋体" w:cs="宋体"/>
                <w:b/>
                <w:color w:val="000000" w:themeColor="text1"/>
                <w:sz w:val="24"/>
                <w:highlight w:val="none"/>
                <w14:textFill>
                  <w14:solidFill>
                    <w14:schemeClr w14:val="tx1"/>
                  </w14:solidFill>
                </w14:textFill>
              </w:rPr>
            </w:pPr>
          </w:p>
        </w:tc>
        <w:tc>
          <w:tcPr>
            <w:tcW w:w="793" w:type="dxa"/>
            <w:vAlign w:val="center"/>
          </w:tcPr>
          <w:p w14:paraId="6DB51E7A">
            <w:pPr>
              <w:shd w:val="clear"/>
              <w:jc w:val="center"/>
              <w:rPr>
                <w:rFonts w:ascii="宋体" w:hAnsi="宋体" w:cs="宋体"/>
                <w:b/>
                <w:color w:val="000000" w:themeColor="text1"/>
                <w:sz w:val="24"/>
                <w:highlight w:val="none"/>
                <w14:textFill>
                  <w14:solidFill>
                    <w14:schemeClr w14:val="tx1"/>
                  </w14:solidFill>
                </w14:textFill>
              </w:rPr>
            </w:pPr>
          </w:p>
        </w:tc>
        <w:tc>
          <w:tcPr>
            <w:tcW w:w="794" w:type="dxa"/>
            <w:vAlign w:val="center"/>
          </w:tcPr>
          <w:p w14:paraId="4E82121F">
            <w:pPr>
              <w:shd w:val="clear"/>
              <w:jc w:val="center"/>
              <w:rPr>
                <w:rFonts w:ascii="宋体" w:hAnsi="宋体" w:cs="宋体"/>
                <w:b/>
                <w:color w:val="000000" w:themeColor="text1"/>
                <w:highlight w:val="none"/>
                <w14:textFill>
                  <w14:solidFill>
                    <w14:schemeClr w14:val="tx1"/>
                  </w14:solidFill>
                </w14:textFill>
              </w:rPr>
            </w:pPr>
          </w:p>
        </w:tc>
      </w:tr>
      <w:tr w14:paraId="7897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0" w:type="dxa"/>
            <w:vAlign w:val="center"/>
          </w:tcPr>
          <w:p w14:paraId="749E0BF0">
            <w:pPr>
              <w:shd w:val="clea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w:t>
            </w:r>
          </w:p>
        </w:tc>
        <w:tc>
          <w:tcPr>
            <w:tcW w:w="2975" w:type="dxa"/>
            <w:vAlign w:val="center"/>
          </w:tcPr>
          <w:p w14:paraId="2D3C2C33">
            <w:pPr>
              <w:shd w:val="clear" w:color="auto" w:fill="auto"/>
              <w:spacing w:line="300" w:lineRule="exact"/>
              <w:ind w:left="-53" w:leftChars="-25" w:right="-53" w:rightChars="-25"/>
              <w:jc w:val="lef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投标有效期</w:t>
            </w:r>
          </w:p>
        </w:tc>
        <w:tc>
          <w:tcPr>
            <w:tcW w:w="3138" w:type="dxa"/>
            <w:vAlign w:val="center"/>
          </w:tcPr>
          <w:p w14:paraId="5B3E0A47">
            <w:pPr>
              <w:shd w:val="clear" w:color="auto" w:fill="auto"/>
              <w:spacing w:line="300" w:lineRule="exact"/>
              <w:ind w:left="-53" w:leftChars="-25" w:right="-53" w:rightChars="-2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必须响应招标文件的规定</w:t>
            </w:r>
          </w:p>
        </w:tc>
        <w:tc>
          <w:tcPr>
            <w:tcW w:w="793" w:type="dxa"/>
            <w:vAlign w:val="center"/>
          </w:tcPr>
          <w:p w14:paraId="2346F811">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0155A454">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5959CBDC">
            <w:pPr>
              <w:shd w:val="clear"/>
              <w:spacing w:line="300" w:lineRule="exact"/>
              <w:jc w:val="center"/>
              <w:rPr>
                <w:rFonts w:ascii="宋体" w:hAnsi="宋体" w:cs="宋体"/>
                <w:bCs/>
                <w:color w:val="000000" w:themeColor="text1"/>
                <w:highlight w:val="none"/>
                <w14:textFill>
                  <w14:solidFill>
                    <w14:schemeClr w14:val="tx1"/>
                  </w14:solidFill>
                </w14:textFill>
              </w:rPr>
            </w:pPr>
          </w:p>
        </w:tc>
      </w:tr>
      <w:tr w14:paraId="092A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50" w:type="dxa"/>
            <w:vAlign w:val="center"/>
          </w:tcPr>
          <w:p w14:paraId="51D5E0FE">
            <w:pPr>
              <w:shd w:val="clea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w:t>
            </w:r>
          </w:p>
        </w:tc>
        <w:tc>
          <w:tcPr>
            <w:tcW w:w="2975" w:type="dxa"/>
            <w:vAlign w:val="center"/>
          </w:tcPr>
          <w:p w14:paraId="39800D95">
            <w:pPr>
              <w:shd w:val="clear" w:color="auto" w:fill="auto"/>
              <w:spacing w:line="300" w:lineRule="exact"/>
              <w:ind w:left="-53" w:leftChars="-25" w:right="-53" w:rightChars="-25"/>
              <w:jc w:val="lef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投标文件的签署与盖章</w:t>
            </w:r>
          </w:p>
        </w:tc>
        <w:tc>
          <w:tcPr>
            <w:tcW w:w="3138" w:type="dxa"/>
            <w:vAlign w:val="center"/>
          </w:tcPr>
          <w:p w14:paraId="27C0844E">
            <w:pPr>
              <w:shd w:val="clear" w:color="auto" w:fill="auto"/>
              <w:spacing w:line="300" w:lineRule="exact"/>
              <w:ind w:left="-53" w:leftChars="-25" w:right="-53" w:rightChars="-2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必须按照招标文件的规定盖章与签署</w:t>
            </w:r>
          </w:p>
        </w:tc>
        <w:tc>
          <w:tcPr>
            <w:tcW w:w="793" w:type="dxa"/>
            <w:vAlign w:val="center"/>
          </w:tcPr>
          <w:p w14:paraId="00EC06B9">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2D6DEBA9">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65DF7B39">
            <w:pPr>
              <w:shd w:val="clear"/>
              <w:spacing w:line="300" w:lineRule="exact"/>
              <w:jc w:val="center"/>
              <w:rPr>
                <w:rFonts w:ascii="宋体" w:hAnsi="宋体" w:cs="宋体"/>
                <w:bCs/>
                <w:color w:val="000000" w:themeColor="text1"/>
                <w:highlight w:val="none"/>
                <w14:textFill>
                  <w14:solidFill>
                    <w14:schemeClr w14:val="tx1"/>
                  </w14:solidFill>
                </w14:textFill>
              </w:rPr>
            </w:pPr>
          </w:p>
        </w:tc>
      </w:tr>
      <w:tr w14:paraId="0446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50" w:type="dxa"/>
            <w:vAlign w:val="center"/>
          </w:tcPr>
          <w:p w14:paraId="6D024F33">
            <w:pPr>
              <w:shd w:val="clea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w:t>
            </w:r>
          </w:p>
        </w:tc>
        <w:tc>
          <w:tcPr>
            <w:tcW w:w="2975" w:type="dxa"/>
            <w:vAlign w:val="center"/>
          </w:tcPr>
          <w:p w14:paraId="4FACF708">
            <w:pPr>
              <w:shd w:val="clear" w:color="auto" w:fill="auto"/>
              <w:spacing w:line="300" w:lineRule="exact"/>
              <w:ind w:left="-53" w:leftChars="-25" w:right="-53" w:rightChars="-25"/>
              <w:jc w:val="lef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投标报价</w:t>
            </w:r>
          </w:p>
        </w:tc>
        <w:tc>
          <w:tcPr>
            <w:tcW w:w="3138" w:type="dxa"/>
            <w:vAlign w:val="center"/>
          </w:tcPr>
          <w:p w14:paraId="1B5D79FE">
            <w:pPr>
              <w:shd w:val="clear" w:color="auto" w:fill="auto"/>
              <w:spacing w:line="300" w:lineRule="exact"/>
              <w:ind w:left="-53" w:leftChars="-25" w:right="-53" w:rightChars="-25"/>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投标人的投标报价不能超过招标文件中规定的预算金额或者最高限价</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且</w:t>
            </w:r>
            <w:r>
              <w:rPr>
                <w:rFonts w:hint="eastAsia" w:ascii="宋体" w:hAnsi="宋体" w:eastAsia="宋体" w:cs="宋体"/>
                <w:color w:val="000000" w:themeColor="text1"/>
                <w:szCs w:val="21"/>
                <w:highlight w:val="none"/>
                <w14:textFill>
                  <w14:solidFill>
                    <w14:schemeClr w14:val="tx1"/>
                  </w14:solidFill>
                </w14:textFill>
              </w:rPr>
              <w:t>投标人的分项报价单价</w:t>
            </w:r>
            <w:r>
              <w:rPr>
                <w:rFonts w:hint="eastAsia" w:ascii="宋体" w:hAnsi="宋体" w:eastAsia="宋体" w:cs="宋体"/>
                <w:color w:val="000000" w:themeColor="text1"/>
                <w:szCs w:val="21"/>
                <w:highlight w:val="none"/>
                <w:lang w:val="en-US" w:eastAsia="zh-CN"/>
                <w14:textFill>
                  <w14:solidFill>
                    <w14:schemeClr w14:val="tx1"/>
                  </w14:solidFill>
                </w14:textFill>
              </w:rPr>
              <w:t>不能</w:t>
            </w:r>
            <w:r>
              <w:rPr>
                <w:rFonts w:hint="eastAsia" w:ascii="宋体" w:hAnsi="宋体" w:eastAsia="宋体" w:cs="宋体"/>
                <w:color w:val="000000" w:themeColor="text1"/>
                <w:szCs w:val="21"/>
                <w:highlight w:val="none"/>
                <w14:textFill>
                  <w14:solidFill>
                    <w14:schemeClr w14:val="tx1"/>
                  </w14:solidFill>
                </w14:textFill>
              </w:rPr>
              <w:t>超过招标文件中规定的</w:t>
            </w:r>
            <w:r>
              <w:rPr>
                <w:rFonts w:hint="eastAsia" w:ascii="宋体" w:hAnsi="宋体" w:eastAsia="宋体" w:cs="宋体"/>
                <w:color w:val="000000" w:themeColor="text1"/>
                <w:szCs w:val="21"/>
                <w:highlight w:val="none"/>
                <w:lang w:val="en-US" w:eastAsia="zh-CN"/>
                <w14:textFill>
                  <w14:solidFill>
                    <w14:schemeClr w14:val="tx1"/>
                  </w14:solidFill>
                </w14:textFill>
              </w:rPr>
              <w:t>最高限价</w:t>
            </w:r>
            <w:r>
              <w:rPr>
                <w:rFonts w:hint="eastAsia" w:ascii="宋体" w:hAnsi="宋体" w:eastAsia="宋体" w:cs="宋体"/>
                <w:color w:val="000000" w:themeColor="text1"/>
                <w:szCs w:val="21"/>
                <w:highlight w:val="none"/>
                <w14:textFill>
                  <w14:solidFill>
                    <w14:schemeClr w14:val="tx1"/>
                  </w14:solidFill>
                </w14:textFill>
              </w:rPr>
              <w:t>单价</w:t>
            </w:r>
            <w:r>
              <w:rPr>
                <w:rFonts w:hint="eastAsia" w:ascii="宋体" w:hAnsi="宋体" w:eastAsia="宋体" w:cs="宋体"/>
                <w:color w:val="000000" w:themeColor="text1"/>
                <w:szCs w:val="21"/>
                <w:highlight w:val="none"/>
                <w:lang w:eastAsia="zh-CN"/>
                <w14:textFill>
                  <w14:solidFill>
                    <w14:schemeClr w14:val="tx1"/>
                  </w14:solidFill>
                </w14:textFill>
              </w:rPr>
              <w:t>。</w:t>
            </w:r>
          </w:p>
        </w:tc>
        <w:tc>
          <w:tcPr>
            <w:tcW w:w="793" w:type="dxa"/>
            <w:vAlign w:val="center"/>
          </w:tcPr>
          <w:p w14:paraId="3CB9EF39">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1ED1D447">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708F97D2">
            <w:pPr>
              <w:shd w:val="clear"/>
              <w:spacing w:line="300" w:lineRule="exact"/>
              <w:jc w:val="center"/>
              <w:rPr>
                <w:rFonts w:ascii="宋体" w:hAnsi="宋体" w:cs="宋体"/>
                <w:bCs/>
                <w:color w:val="000000" w:themeColor="text1"/>
                <w:highlight w:val="none"/>
                <w14:textFill>
                  <w14:solidFill>
                    <w14:schemeClr w14:val="tx1"/>
                  </w14:solidFill>
                </w14:textFill>
              </w:rPr>
            </w:pPr>
          </w:p>
        </w:tc>
      </w:tr>
      <w:tr w14:paraId="56A0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850" w:type="dxa"/>
            <w:vAlign w:val="center"/>
          </w:tcPr>
          <w:p w14:paraId="0405742F">
            <w:pPr>
              <w:shd w:val="clea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4</w:t>
            </w:r>
          </w:p>
        </w:tc>
        <w:tc>
          <w:tcPr>
            <w:tcW w:w="2975" w:type="dxa"/>
            <w:vAlign w:val="center"/>
          </w:tcPr>
          <w:p w14:paraId="52AA2F8C">
            <w:pPr>
              <w:shd w:val="clear" w:color="auto" w:fill="auto"/>
              <w:spacing w:line="300" w:lineRule="exact"/>
              <w:ind w:left="-53" w:leftChars="-25" w:right="-53" w:rightChars="-25"/>
              <w:jc w:val="lef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是否有招标人不能接受的条件</w:t>
            </w:r>
          </w:p>
        </w:tc>
        <w:tc>
          <w:tcPr>
            <w:tcW w:w="3138" w:type="dxa"/>
            <w:vAlign w:val="center"/>
          </w:tcPr>
          <w:p w14:paraId="224F2F3A">
            <w:pPr>
              <w:shd w:val="clear" w:color="auto" w:fill="auto"/>
              <w:spacing w:line="300" w:lineRule="exact"/>
              <w:ind w:left="-53" w:leftChars="-25" w:right="-53" w:rightChars="-2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绝不能有</w:t>
            </w:r>
          </w:p>
        </w:tc>
        <w:tc>
          <w:tcPr>
            <w:tcW w:w="793" w:type="dxa"/>
            <w:vAlign w:val="center"/>
          </w:tcPr>
          <w:p w14:paraId="010F9320">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711FC133">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4E755AF0">
            <w:pPr>
              <w:shd w:val="clear"/>
              <w:spacing w:line="300" w:lineRule="exact"/>
              <w:jc w:val="center"/>
              <w:rPr>
                <w:rFonts w:ascii="宋体" w:hAnsi="宋体" w:cs="宋体"/>
                <w:bCs/>
                <w:color w:val="000000" w:themeColor="text1"/>
                <w:highlight w:val="none"/>
                <w14:textFill>
                  <w14:solidFill>
                    <w14:schemeClr w14:val="tx1"/>
                  </w14:solidFill>
                </w14:textFill>
              </w:rPr>
            </w:pPr>
          </w:p>
        </w:tc>
      </w:tr>
      <w:tr w14:paraId="6E2C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50" w:type="dxa"/>
            <w:vAlign w:val="center"/>
          </w:tcPr>
          <w:p w14:paraId="0D60479C">
            <w:pPr>
              <w:shd w:val="clea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5</w:t>
            </w:r>
          </w:p>
        </w:tc>
        <w:tc>
          <w:tcPr>
            <w:tcW w:w="2975" w:type="dxa"/>
            <w:vAlign w:val="center"/>
          </w:tcPr>
          <w:p w14:paraId="050EB1E4">
            <w:pPr>
              <w:shd w:val="clear" w:color="auto" w:fill="auto"/>
              <w:spacing w:line="300" w:lineRule="exact"/>
              <w:ind w:left="-53" w:leftChars="-25" w:right="-53" w:rightChars="-25"/>
              <w:jc w:val="lef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招标文件中</w:t>
            </w:r>
            <w:r>
              <w:rPr>
                <w:rFonts w:hint="eastAsia" w:ascii="宋体" w:hAnsi="宋体" w:eastAsia="宋体" w:cs="宋体"/>
                <w:color w:val="000000" w:themeColor="text1"/>
                <w:szCs w:val="21"/>
                <w:highlight w:val="none"/>
                <w14:textFill>
                  <w14:solidFill>
                    <w14:schemeClr w14:val="tx1"/>
                  </w14:solidFill>
                </w14:textFill>
              </w:rPr>
              <w:t>标有“★”记号或者</w:t>
            </w:r>
            <w:r>
              <w:rPr>
                <w:rFonts w:hint="eastAsia" w:ascii="宋体" w:hAnsi="宋体" w:eastAsia="宋体" w:cs="宋体"/>
                <w:bCs/>
                <w:color w:val="000000" w:themeColor="text1"/>
                <w:szCs w:val="21"/>
                <w:highlight w:val="none"/>
                <w14:textFill>
                  <w14:solidFill>
                    <w14:schemeClr w14:val="tx1"/>
                  </w14:solidFill>
                </w14:textFill>
              </w:rPr>
              <w:t>其他特别标明的实质性商务条款</w:t>
            </w:r>
          </w:p>
        </w:tc>
        <w:tc>
          <w:tcPr>
            <w:tcW w:w="3138" w:type="dxa"/>
            <w:vAlign w:val="center"/>
          </w:tcPr>
          <w:p w14:paraId="05FDF363">
            <w:pPr>
              <w:shd w:val="clear" w:color="auto" w:fill="auto"/>
              <w:spacing w:line="300" w:lineRule="exact"/>
              <w:ind w:left="-53" w:leftChars="-25" w:right="-53" w:rightChars="-2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必须响应招标文件的规定</w:t>
            </w:r>
          </w:p>
        </w:tc>
        <w:tc>
          <w:tcPr>
            <w:tcW w:w="793" w:type="dxa"/>
            <w:vAlign w:val="center"/>
          </w:tcPr>
          <w:p w14:paraId="371BAF0B">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63698546">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09708D48">
            <w:pPr>
              <w:shd w:val="clear"/>
              <w:spacing w:line="300" w:lineRule="exact"/>
              <w:jc w:val="center"/>
              <w:rPr>
                <w:rFonts w:ascii="宋体" w:hAnsi="宋体" w:cs="宋体"/>
                <w:bCs/>
                <w:color w:val="000000" w:themeColor="text1"/>
                <w:highlight w:val="none"/>
                <w14:textFill>
                  <w14:solidFill>
                    <w14:schemeClr w14:val="tx1"/>
                  </w14:solidFill>
                </w14:textFill>
              </w:rPr>
            </w:pPr>
          </w:p>
        </w:tc>
      </w:tr>
      <w:tr w14:paraId="52E7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0" w:type="dxa"/>
            <w:vAlign w:val="center"/>
          </w:tcPr>
          <w:p w14:paraId="072854C9">
            <w:pPr>
              <w:shd w:val="clea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6</w:t>
            </w:r>
          </w:p>
        </w:tc>
        <w:tc>
          <w:tcPr>
            <w:tcW w:w="2975" w:type="dxa"/>
            <w:vAlign w:val="center"/>
          </w:tcPr>
          <w:p w14:paraId="2741F26A">
            <w:pPr>
              <w:shd w:val="clear" w:color="auto" w:fill="auto"/>
              <w:spacing w:line="300" w:lineRule="exact"/>
              <w:ind w:left="-53" w:leftChars="-25" w:right="-53" w:rightChars="-25"/>
              <w:jc w:val="lef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《采购需求》中标有“★”记号或者其他特别标明的实质性技术条款</w:t>
            </w:r>
          </w:p>
        </w:tc>
        <w:tc>
          <w:tcPr>
            <w:tcW w:w="3138" w:type="dxa"/>
            <w:vAlign w:val="center"/>
          </w:tcPr>
          <w:p w14:paraId="272F7807">
            <w:pPr>
              <w:shd w:val="clear" w:color="auto" w:fill="auto"/>
              <w:spacing w:line="300" w:lineRule="exact"/>
              <w:ind w:left="-53" w:leftChars="-25" w:right="-53" w:rightChars="-2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必须响应招标文件的规定</w:t>
            </w:r>
          </w:p>
        </w:tc>
        <w:tc>
          <w:tcPr>
            <w:tcW w:w="793" w:type="dxa"/>
            <w:vAlign w:val="center"/>
          </w:tcPr>
          <w:p w14:paraId="72E34CAB">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4D93B555">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46C616FD">
            <w:pPr>
              <w:shd w:val="clear"/>
              <w:spacing w:line="300" w:lineRule="exact"/>
              <w:jc w:val="center"/>
              <w:rPr>
                <w:rFonts w:ascii="宋体" w:hAnsi="宋体" w:cs="宋体"/>
                <w:bCs/>
                <w:color w:val="000000" w:themeColor="text1"/>
                <w:highlight w:val="none"/>
                <w14:textFill>
                  <w14:solidFill>
                    <w14:schemeClr w14:val="tx1"/>
                  </w14:solidFill>
                </w14:textFill>
              </w:rPr>
            </w:pPr>
          </w:p>
        </w:tc>
      </w:tr>
      <w:tr w14:paraId="7B3F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50" w:type="dxa"/>
            <w:vAlign w:val="center"/>
          </w:tcPr>
          <w:p w14:paraId="44ABB53C">
            <w:pPr>
              <w:shd w:val="clea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7</w:t>
            </w:r>
          </w:p>
        </w:tc>
        <w:tc>
          <w:tcPr>
            <w:tcW w:w="2975" w:type="dxa"/>
            <w:vAlign w:val="center"/>
          </w:tcPr>
          <w:p w14:paraId="2341B2B9">
            <w:pPr>
              <w:shd w:val="clear" w:color="auto" w:fill="auto"/>
              <w:spacing w:line="300" w:lineRule="exact"/>
              <w:ind w:left="-53" w:leftChars="-25" w:right="-53" w:rightChars="-25"/>
              <w:jc w:val="lef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是否有不符合法律、法规情况（达到要求的标记√，未达到的标记×并注明理由）</w:t>
            </w:r>
          </w:p>
        </w:tc>
        <w:tc>
          <w:tcPr>
            <w:tcW w:w="3138" w:type="dxa"/>
            <w:vAlign w:val="center"/>
          </w:tcPr>
          <w:p w14:paraId="49FB4066">
            <w:pPr>
              <w:shd w:val="clear" w:color="auto" w:fill="auto"/>
              <w:spacing w:line="300" w:lineRule="exact"/>
              <w:ind w:left="-53" w:leftChars="-25" w:right="-53" w:rightChars="-2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必须响应招标文件的规定</w:t>
            </w:r>
          </w:p>
        </w:tc>
        <w:tc>
          <w:tcPr>
            <w:tcW w:w="793" w:type="dxa"/>
            <w:vAlign w:val="center"/>
          </w:tcPr>
          <w:p w14:paraId="77156873">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01A14D1F">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7F440650">
            <w:pPr>
              <w:shd w:val="clear"/>
              <w:spacing w:line="300" w:lineRule="exact"/>
              <w:jc w:val="center"/>
              <w:rPr>
                <w:rFonts w:ascii="宋体" w:hAnsi="宋体" w:cs="宋体"/>
                <w:bCs/>
                <w:color w:val="000000" w:themeColor="text1"/>
                <w:highlight w:val="none"/>
                <w14:textFill>
                  <w14:solidFill>
                    <w14:schemeClr w14:val="tx1"/>
                  </w14:solidFill>
                </w14:textFill>
              </w:rPr>
            </w:pPr>
          </w:p>
        </w:tc>
      </w:tr>
      <w:tr w14:paraId="220C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jc w:val="center"/>
        </w:trPr>
        <w:tc>
          <w:tcPr>
            <w:tcW w:w="6963" w:type="dxa"/>
            <w:gridSpan w:val="3"/>
            <w:vAlign w:val="center"/>
          </w:tcPr>
          <w:p w14:paraId="22388758">
            <w:pPr>
              <w:shd w:val="clear"/>
              <w:spacing w:line="30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结论</w:t>
            </w:r>
          </w:p>
        </w:tc>
        <w:tc>
          <w:tcPr>
            <w:tcW w:w="793" w:type="dxa"/>
            <w:vAlign w:val="center"/>
          </w:tcPr>
          <w:p w14:paraId="464838BA">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3" w:type="dxa"/>
            <w:vAlign w:val="center"/>
          </w:tcPr>
          <w:p w14:paraId="21E42E99">
            <w:pPr>
              <w:shd w:val="clear"/>
              <w:spacing w:line="300" w:lineRule="exact"/>
              <w:jc w:val="center"/>
              <w:rPr>
                <w:rFonts w:ascii="宋体" w:hAnsi="宋体" w:cs="宋体"/>
                <w:bCs/>
                <w:color w:val="000000" w:themeColor="text1"/>
                <w:sz w:val="24"/>
                <w:highlight w:val="none"/>
                <w14:textFill>
                  <w14:solidFill>
                    <w14:schemeClr w14:val="tx1"/>
                  </w14:solidFill>
                </w14:textFill>
              </w:rPr>
            </w:pPr>
          </w:p>
        </w:tc>
        <w:tc>
          <w:tcPr>
            <w:tcW w:w="794" w:type="dxa"/>
            <w:vAlign w:val="center"/>
          </w:tcPr>
          <w:p w14:paraId="055BEE8E">
            <w:pPr>
              <w:shd w:val="clear"/>
              <w:spacing w:line="300" w:lineRule="exact"/>
              <w:jc w:val="center"/>
              <w:rPr>
                <w:rFonts w:ascii="宋体" w:hAnsi="宋体" w:cs="宋体"/>
                <w:bCs/>
                <w:color w:val="000000" w:themeColor="text1"/>
                <w:highlight w:val="none"/>
                <w14:textFill>
                  <w14:solidFill>
                    <w14:schemeClr w14:val="tx1"/>
                  </w14:solidFill>
                </w14:textFill>
              </w:rPr>
            </w:pPr>
          </w:p>
        </w:tc>
      </w:tr>
    </w:tbl>
    <w:p w14:paraId="0B38906D">
      <w:pPr>
        <w:shd w:val="clear"/>
        <w:snapToGrid w:val="0"/>
        <w:spacing w:before="156" w:beforeLines="50" w:line="320" w:lineRule="exact"/>
        <w:rPr>
          <w:rFonts w:ascii="宋体" w:hAnsi="宋体" w:cs="宋体"/>
          <w:color w:val="000000" w:themeColor="text1"/>
          <w:sz w:val="24"/>
          <w:highlight w:val="none"/>
          <w14:textFill>
            <w14:solidFill>
              <w14:schemeClr w14:val="tx1"/>
            </w14:solidFill>
          </w14:textFill>
        </w:rPr>
      </w:pPr>
    </w:p>
    <w:p w14:paraId="14D31587">
      <w:pPr>
        <w:shd w:val="clear"/>
        <w:snapToGrid w:val="0"/>
        <w:spacing w:before="156" w:beforeLines="50" w:line="320" w:lineRule="exact"/>
        <w:rPr>
          <w:rFonts w:ascii="宋体" w:hAnsi="宋体" w:cs="宋体"/>
          <w:bCs/>
          <w:color w:val="000000" w:themeColor="text1"/>
          <w:sz w:val="24"/>
          <w:highlight w:val="none"/>
          <w:u w:val="wav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结论分为“合格”和“不合格”两种</w:t>
      </w:r>
      <w:r>
        <w:rPr>
          <w:rFonts w:hint="eastAsia" w:ascii="宋体" w:hAnsi="宋体" w:cs="宋体"/>
          <w:bCs/>
          <w:color w:val="000000" w:themeColor="text1"/>
          <w:sz w:val="24"/>
          <w:highlight w:val="none"/>
          <w:u w:val="wave"/>
          <w14:textFill>
            <w14:solidFill>
              <w14:schemeClr w14:val="tx1"/>
            </w14:solidFill>
          </w14:textFill>
        </w:rPr>
        <w:t>，有一项不合格的</w:t>
      </w:r>
      <w:r>
        <w:rPr>
          <w:rFonts w:hint="eastAsia" w:ascii="宋体" w:hAnsi="宋体" w:cs="宋体"/>
          <w:color w:val="000000" w:themeColor="text1"/>
          <w:sz w:val="24"/>
          <w:highlight w:val="none"/>
          <w14:textFill>
            <w14:solidFill>
              <w14:schemeClr w14:val="tx1"/>
            </w14:solidFill>
          </w14:textFill>
        </w:rPr>
        <w:t>为不合格投标人，不得进入下一轮评审</w:t>
      </w:r>
    </w:p>
    <w:p w14:paraId="31A28C87">
      <w:pPr>
        <w:widowControl/>
        <w:shd w:val="clear"/>
        <w:jc w:val="left"/>
        <w:rPr>
          <w:rFonts w:ascii="黑体" w:hAnsi="黑体" w:eastAsia="黑体"/>
          <w:bCs/>
          <w:color w:val="000000" w:themeColor="text1"/>
          <w:szCs w:val="21"/>
          <w:highlight w:val="none"/>
          <w14:textFill>
            <w14:solidFill>
              <w14:schemeClr w14:val="tx1"/>
            </w14:solidFill>
          </w14:textFill>
        </w:rPr>
      </w:pPr>
    </w:p>
    <w:p w14:paraId="40064ADE">
      <w:pPr>
        <w:shd w:val="clear"/>
        <w:jc w:val="left"/>
        <w:rPr>
          <w:rFonts w:hAnsi="宋体"/>
          <w:color w:val="000000" w:themeColor="text1"/>
          <w:highlight w:val="none"/>
          <w14:textFill>
            <w14:solidFill>
              <w14:schemeClr w14:val="tx1"/>
            </w14:solidFill>
          </w14:textFill>
        </w:rPr>
      </w:pPr>
    </w:p>
    <w:p w14:paraId="1F677F7C">
      <w:pPr>
        <w:shd w:val="clear"/>
        <w:jc w:val="left"/>
        <w:rPr>
          <w:rFonts w:hAnsi="宋体"/>
          <w:color w:val="000000" w:themeColor="text1"/>
          <w:highlight w:val="none"/>
          <w14:textFill>
            <w14:solidFill>
              <w14:schemeClr w14:val="tx1"/>
            </w14:solidFill>
          </w14:textFill>
        </w:rPr>
      </w:pPr>
    </w:p>
    <w:p w14:paraId="3B542B83">
      <w:pPr>
        <w:shd w:val="clear"/>
        <w:jc w:val="left"/>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br w:type="page"/>
      </w:r>
    </w:p>
    <w:p w14:paraId="2CFDF56C">
      <w:pPr>
        <w:pStyle w:val="4"/>
        <w:shd w:val="clear"/>
        <w:rPr>
          <w:rFonts w:ascii="黑体" w:hAnsi="黑体" w:eastAsia="黑体"/>
          <w:color w:val="000000" w:themeColor="text1"/>
          <w:sz w:val="32"/>
          <w:szCs w:val="32"/>
          <w:highlight w:val="none"/>
          <w14:textFill>
            <w14:solidFill>
              <w14:schemeClr w14:val="tx1"/>
            </w14:solidFill>
          </w14:textFill>
        </w:rPr>
      </w:pPr>
      <w:bookmarkStart w:id="33" w:name="_Toc78815072"/>
      <w:r>
        <w:rPr>
          <w:rFonts w:hint="eastAsia" w:ascii="黑体" w:hAnsi="黑体" w:eastAsia="黑体"/>
          <w:color w:val="000000" w:themeColor="text1"/>
          <w:sz w:val="32"/>
          <w:szCs w:val="32"/>
          <w:highlight w:val="none"/>
          <w14:textFill>
            <w14:solidFill>
              <w14:schemeClr w14:val="tx1"/>
            </w14:solidFill>
          </w14:textFill>
        </w:rPr>
        <w:t>第四章 评标方法及标准（综合评分法）</w:t>
      </w:r>
      <w:bookmarkEnd w:id="33"/>
    </w:p>
    <w:p w14:paraId="2F50363C">
      <w:pPr>
        <w:shd w:val="clear"/>
        <w:adjustRightInd w:val="0"/>
        <w:snapToGrid w:val="0"/>
        <w:spacing w:line="360" w:lineRule="auto"/>
        <w:ind w:right="420"/>
        <w:jc w:val="center"/>
        <w:rPr>
          <w:color w:val="000000" w:themeColor="text1"/>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第一节  评标方法及标准前附表</w:t>
      </w:r>
    </w:p>
    <w:p w14:paraId="192F7BD1">
      <w:pPr>
        <w:shd w:val="clear"/>
        <w:adjustRightInd w:val="0"/>
        <w:snapToGrid w:val="0"/>
        <w:spacing w:line="360" w:lineRule="auto"/>
        <w:ind w:right="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本项目启用的条款请在“编列内容规定”栏内以“■”标注。</w:t>
      </w:r>
    </w:p>
    <w:tbl>
      <w:tblPr>
        <w:tblStyle w:val="43"/>
        <w:tblW w:w="960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84"/>
        <w:gridCol w:w="2126"/>
        <w:gridCol w:w="6096"/>
      </w:tblGrid>
      <w:tr w14:paraId="21AD47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tcPr>
          <w:p w14:paraId="367C54FD">
            <w:pPr>
              <w:shd w:val="clear"/>
              <w:adjustRightInd w:val="0"/>
              <w:snapToGrid w:val="0"/>
              <w:spacing w:line="360" w:lineRule="auto"/>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条款号</w:t>
            </w:r>
          </w:p>
        </w:tc>
        <w:tc>
          <w:tcPr>
            <w:tcW w:w="2126" w:type="dxa"/>
          </w:tcPr>
          <w:p w14:paraId="0B897F4F">
            <w:pPr>
              <w:shd w:val="clear"/>
              <w:adjustRightInd w:val="0"/>
              <w:snapToGrid w:val="0"/>
              <w:spacing w:line="360" w:lineRule="auto"/>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条款名称</w:t>
            </w:r>
          </w:p>
        </w:tc>
        <w:tc>
          <w:tcPr>
            <w:tcW w:w="6096" w:type="dxa"/>
          </w:tcPr>
          <w:p w14:paraId="449A69F9">
            <w:pPr>
              <w:shd w:val="clear"/>
              <w:adjustRightInd w:val="0"/>
              <w:snapToGrid w:val="0"/>
              <w:spacing w:line="360" w:lineRule="auto"/>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编列内容规定</w:t>
            </w:r>
          </w:p>
        </w:tc>
      </w:tr>
      <w:tr w14:paraId="1977A1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21B58B3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2126" w:type="dxa"/>
            <w:vAlign w:val="center"/>
          </w:tcPr>
          <w:p w14:paraId="53DCECEA">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评标因素和标准</w:t>
            </w:r>
          </w:p>
        </w:tc>
        <w:tc>
          <w:tcPr>
            <w:tcW w:w="6096" w:type="dxa"/>
            <w:vAlign w:val="center"/>
          </w:tcPr>
          <w:p w14:paraId="5729A4CE">
            <w:pPr>
              <w:shd w:val="clear"/>
              <w:adjustRightInd w:val="0"/>
              <w:snapToGrid w:val="0"/>
              <w:spacing w:line="360" w:lineRule="auto"/>
              <w:rPr>
                <w:rFonts w:ascii="仿宋_GB2312" w:hAnsi="宋体" w:eastAsia="仿宋_GB2312"/>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见附页1 评标方法及标准</w:t>
            </w:r>
          </w:p>
        </w:tc>
      </w:tr>
      <w:tr w14:paraId="46F7A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17B198F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第4.2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2126" w:type="dxa"/>
            <w:vAlign w:val="center"/>
          </w:tcPr>
          <w:p w14:paraId="0A0A3371">
            <w:pPr>
              <w:shd w:val="clear"/>
              <w:adjustRightInd w:val="0"/>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投标文件报价出现前后不一致的修正</w:t>
            </w:r>
          </w:p>
        </w:tc>
        <w:tc>
          <w:tcPr>
            <w:tcW w:w="6096" w:type="dxa"/>
            <w:vAlign w:val="center"/>
          </w:tcPr>
          <w:p w14:paraId="50253DD3">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ascii="宋体" w:hAnsi="宋体"/>
                <w:color w:val="000000" w:themeColor="text1"/>
                <w:szCs w:val="21"/>
                <w:highlight w:val="none"/>
                <w14:textFill>
                  <w14:solidFill>
                    <w14:schemeClr w14:val="tx1"/>
                  </w14:solidFill>
                </w14:textFill>
              </w:rPr>
              <w:t>本章</w:t>
            </w:r>
            <w:r>
              <w:rPr>
                <w:rFonts w:hint="eastAsia" w:ascii="宋体" w:hAnsi="宋体"/>
                <w:color w:val="000000" w:themeColor="text1"/>
                <w:szCs w:val="21"/>
                <w:highlight w:val="none"/>
                <w14:textFill>
                  <w14:solidFill>
                    <w14:schemeClr w14:val="tx1"/>
                  </w14:solidFill>
                </w14:textFill>
              </w:rPr>
              <w:t>正文</w:t>
            </w:r>
            <w:r>
              <w:rPr>
                <w:rFonts w:ascii="宋体" w:hAnsi="宋体"/>
                <w:color w:val="000000" w:themeColor="text1"/>
                <w:szCs w:val="21"/>
                <w:highlight w:val="none"/>
                <w14:textFill>
                  <w14:solidFill>
                    <w14:schemeClr w14:val="tx1"/>
                  </w14:solidFill>
                </w14:textFill>
              </w:rPr>
              <w:t>规定修正</w:t>
            </w:r>
          </w:p>
        </w:tc>
      </w:tr>
      <w:tr w14:paraId="5D1F7A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07094C98">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第5.2</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2126" w:type="dxa"/>
            <w:vAlign w:val="center"/>
          </w:tcPr>
          <w:p w14:paraId="4C34D088">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价格评审优惠</w:t>
            </w:r>
          </w:p>
        </w:tc>
        <w:tc>
          <w:tcPr>
            <w:tcW w:w="6096" w:type="dxa"/>
            <w:vAlign w:val="center"/>
          </w:tcPr>
          <w:p w14:paraId="1477C968">
            <w:pPr>
              <w:shd w:val="clea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非专门面向中小企业采购，且符合政府采购促进中小企业发展相关规定的：</w:t>
            </w:r>
          </w:p>
          <w:p w14:paraId="0DD6A6F7">
            <w:pPr>
              <w:shd w:val="clea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1、给予小型和微型企业产品的价格给予10%-20%的扣除，用扣除后的价格参与评审，本项目具体扣除比例为</w:t>
            </w:r>
            <w:r>
              <w:rPr>
                <w:rFonts w:hint="eastAsia" w:ascii="宋体" w:hAnsi="宋体" w:cs="宋体"/>
                <w:b/>
                <w:bCs/>
                <w:color w:val="000000" w:themeColor="text1"/>
                <w:szCs w:val="21"/>
                <w:highlight w:val="none"/>
                <w:u w:val="single"/>
                <w14:textFill>
                  <w14:solidFill>
                    <w14:schemeClr w14:val="tx1"/>
                  </w14:solidFill>
                </w14:textFill>
              </w:rPr>
              <w:t xml:space="preserve">  </w:t>
            </w:r>
            <w:r>
              <w:rPr>
                <w:rFonts w:hint="eastAsia" w:ascii="宋体" w:hAnsi="宋体" w:cs="宋体"/>
                <w:b/>
                <w:bCs/>
                <w:color w:val="000000" w:themeColor="text1"/>
                <w:szCs w:val="21"/>
                <w:highlight w:val="none"/>
                <w:u w:val="single"/>
                <w:lang w:val="en-US" w:eastAsia="zh-CN"/>
                <w14:textFill>
                  <w14:solidFill>
                    <w14:schemeClr w14:val="tx1"/>
                  </w14:solidFill>
                </w14:textFill>
              </w:rPr>
              <w:t>10</w:t>
            </w:r>
            <w:r>
              <w:rPr>
                <w:rFonts w:hint="eastAsia" w:ascii="宋体" w:hAnsi="宋体" w:cs="宋体"/>
                <w:b/>
                <w:bCs/>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52449EF7">
            <w:pPr>
              <w:shd w:val="clea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2、给予联合体2%-3%的价格扣除，用扣除后的价格参与评审，本项目具体扣除比例为  / ％。</w:t>
            </w:r>
          </w:p>
          <w:p w14:paraId="71641AEB">
            <w:pPr>
              <w:shd w:val="clea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3、监狱企业视同为小型、微型企业，本项目中给予监狱企业产品的价格给予</w:t>
            </w: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%的扣除，用扣除后的价格参与评审。监狱企业属于小型、微型企业的，不重复享受政策。</w:t>
            </w:r>
          </w:p>
          <w:p w14:paraId="38964093">
            <w:pPr>
              <w:shd w:val="clear"/>
              <w:rPr>
                <w:rFonts w:hint="eastAsia" w:eastAsia="宋体"/>
                <w:bCs/>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4、残疾人福利性单位视同小型、微型企业，本项目中给予监狱企业产品的价格给予 </w:t>
            </w: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 xml:space="preserve"> %的扣除，用扣除后的价格参与评审。残疾人福利性单位属于小型、微型企业的，不重复享受政策。</w:t>
            </w:r>
          </w:p>
        </w:tc>
      </w:tr>
      <w:tr w14:paraId="03FD0A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7EADECB8">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p>
        </w:tc>
        <w:tc>
          <w:tcPr>
            <w:tcW w:w="2126" w:type="dxa"/>
            <w:vAlign w:val="center"/>
          </w:tcPr>
          <w:p w14:paraId="69921F4E">
            <w:pPr>
              <w:widowControl/>
              <w:shd w:val="clear"/>
              <w:adjustRightInd w:val="0"/>
              <w:snapToGrid w:val="0"/>
              <w:spacing w:before="156" w:beforeLines="50" w:line="360" w:lineRule="auto"/>
              <w:jc w:val="left"/>
              <w:rPr>
                <w:rFonts w:ascii="宋体" w:hAnsi="宋体"/>
                <w:color w:val="000000" w:themeColor="text1"/>
                <w:szCs w:val="21"/>
                <w:highlight w:val="none"/>
                <w14:textFill>
                  <w14:solidFill>
                    <w14:schemeClr w14:val="tx1"/>
                  </w14:solidFill>
                </w14:textFill>
              </w:rPr>
            </w:pPr>
            <w:r>
              <w:rPr>
                <w:rFonts w:ascii="Arial Unicode MS" w:hAnsi="Arial Unicode MS" w:eastAsia="Arial Unicode MS" w:cs="Arial Unicode MS"/>
                <w:color w:val="000000" w:themeColor="text1"/>
                <w:kern w:val="0"/>
                <w:szCs w:val="21"/>
                <w:highlight w:val="none"/>
                <w:lang w:bidi="ar"/>
                <w14:textFill>
                  <w14:solidFill>
                    <w14:schemeClr w14:val="tx1"/>
                  </w14:solidFill>
                </w14:textFill>
              </w:rPr>
              <w:t xml:space="preserve">扶持中小企业 </w:t>
            </w:r>
          </w:p>
        </w:tc>
        <w:tc>
          <w:tcPr>
            <w:tcW w:w="6096" w:type="dxa"/>
            <w:vAlign w:val="center"/>
          </w:tcPr>
          <w:p w14:paraId="432DB92D">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本项目中小企业划分标准所属行业</w:t>
            </w:r>
            <w:r>
              <w:rPr>
                <w:rFonts w:hint="eastAsia" w:ascii="宋体" w:hAnsi="宋体" w:cs="宋体"/>
                <w:color w:val="000000" w:themeColor="text1"/>
                <w:kern w:val="0"/>
                <w:szCs w:val="21"/>
                <w:highlight w:val="none"/>
                <w:u w:val="single"/>
                <w:lang w:bidi="ar"/>
                <w14:textFill>
                  <w14:solidFill>
                    <w14:schemeClr w14:val="tx1"/>
                  </w14:solidFill>
                </w14:textFill>
              </w:rPr>
              <w:t xml:space="preserve">（二）工业 </w:t>
            </w:r>
          </w:p>
          <w:p w14:paraId="57206F09">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（一）农、林、牧、渔业 </w:t>
            </w:r>
          </w:p>
          <w:p w14:paraId="713F409A">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（二）工业 </w:t>
            </w:r>
          </w:p>
          <w:p w14:paraId="712FAFFE">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（三）建筑业 </w:t>
            </w:r>
          </w:p>
          <w:p w14:paraId="3C982412">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（四）批发业 </w:t>
            </w:r>
          </w:p>
          <w:p w14:paraId="387AFF0B">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（五）零售业 </w:t>
            </w:r>
          </w:p>
          <w:p w14:paraId="19B5E6BD">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（六）交通运输业 </w:t>
            </w:r>
          </w:p>
          <w:p w14:paraId="3AB94D16">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（七）仓储业 </w:t>
            </w:r>
          </w:p>
          <w:p w14:paraId="36B0C9DB">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（八）邮政业 </w:t>
            </w:r>
          </w:p>
          <w:p w14:paraId="782EC13D">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（九）住宿业 </w:t>
            </w:r>
          </w:p>
          <w:p w14:paraId="78F7815E">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（十）餐饮业 </w:t>
            </w:r>
          </w:p>
          <w:p w14:paraId="05F72437">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（十一）信息传输业 </w:t>
            </w:r>
          </w:p>
          <w:p w14:paraId="5D05F7CB">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（十二）软件和信息技术服务业 </w:t>
            </w:r>
          </w:p>
          <w:p w14:paraId="66278E2E">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（十三）房地产开发经营 </w:t>
            </w:r>
          </w:p>
          <w:p w14:paraId="3D891FA7">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（十四）物业管理 </w:t>
            </w:r>
          </w:p>
          <w:p w14:paraId="11CDEEB1">
            <w:pPr>
              <w:widowControl/>
              <w:shd w:val="clear"/>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 xml:space="preserve">（十五）租赁和商务服务业 </w:t>
            </w:r>
          </w:p>
          <w:p w14:paraId="6AFA9F0C">
            <w:pPr>
              <w:widowControl/>
              <w:shd w:val="clear"/>
              <w:jc w:val="left"/>
              <w:rPr>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（十六）其他未列明行业</w:t>
            </w:r>
          </w:p>
        </w:tc>
      </w:tr>
      <w:tr w14:paraId="796420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4ACADC42">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第5.4（2）项</w:t>
            </w:r>
          </w:p>
        </w:tc>
        <w:tc>
          <w:tcPr>
            <w:tcW w:w="2126" w:type="dxa"/>
            <w:vAlign w:val="center"/>
          </w:tcPr>
          <w:p w14:paraId="54623E13">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优先采购</w:t>
            </w:r>
          </w:p>
        </w:tc>
        <w:tc>
          <w:tcPr>
            <w:tcW w:w="6096" w:type="dxa"/>
            <w:vAlign w:val="center"/>
          </w:tcPr>
          <w:p w14:paraId="3D68E294">
            <w:pPr>
              <w:shd w:val="clear"/>
              <w:adjustRightInd w:val="0"/>
              <w:snapToGrid w:val="0"/>
              <w:spacing w:before="156" w:beforeLines="50"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纳入财政部会同国务院有关部门发布的节能产品、环境标志产品政府采购品目清单，实施政府优先采购的，评审时按相应评标方法给予价格折扣或者加分；</w:t>
            </w:r>
          </w:p>
          <w:p w14:paraId="4D5E5BEA">
            <w:pPr>
              <w:shd w:val="clear"/>
              <w:adjustRightInd w:val="0"/>
              <w:snapToGrid w:val="0"/>
              <w:spacing w:before="156" w:beforeLines="50"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政府采购优先采购非标记★符号的节能产品</w:t>
            </w:r>
          </w:p>
          <w:p w14:paraId="3E6987AC">
            <w:pPr>
              <w:shd w:val="clea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(1)采用最低评标价法时，应给予5%-10%的价格扣除。本项目具体扣除比例为 </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 xml:space="preserve"> ％；</w:t>
            </w:r>
          </w:p>
          <w:p w14:paraId="7B52F016">
            <w:pPr>
              <w:shd w:val="clear"/>
              <w:adjustRightInd w:val="0"/>
              <w:snapToGrid w:val="0"/>
              <w:spacing w:before="156" w:beforeLines="50"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(2)采用综合评分法时，对于技术和价格分，应分别给予总分值4%-8%的加分。本项目具体加分比例分别为 ：技术</w:t>
            </w:r>
            <w:r>
              <w:rPr>
                <w:rFonts w:hint="eastAsia" w:ascii="宋体" w:hAnsi="宋体" w:cs="宋体"/>
                <w:color w:val="000000" w:themeColor="text1"/>
                <w:szCs w:val="21"/>
                <w:highlight w:val="none"/>
                <w:u w:val="single"/>
                <w14:textFill>
                  <w14:solidFill>
                    <w14:schemeClr w14:val="tx1"/>
                  </w14:solidFill>
                </w14:textFill>
              </w:rPr>
              <w:t xml:space="preserve"> 4 </w:t>
            </w:r>
            <w:r>
              <w:rPr>
                <w:rFonts w:hint="eastAsia" w:ascii="宋体" w:hAnsi="宋体" w:cs="宋体"/>
                <w:color w:val="000000" w:themeColor="text1"/>
                <w:szCs w:val="21"/>
                <w:highlight w:val="none"/>
                <w14:textFill>
                  <w14:solidFill>
                    <w14:schemeClr w14:val="tx1"/>
                  </w14:solidFill>
                </w14:textFill>
              </w:rPr>
              <w:t>%、价格</w:t>
            </w:r>
            <w:r>
              <w:rPr>
                <w:rFonts w:hint="eastAsia" w:ascii="宋体" w:hAnsi="宋体" w:cs="宋体"/>
                <w:color w:val="000000" w:themeColor="text1"/>
                <w:szCs w:val="21"/>
                <w:highlight w:val="none"/>
                <w:u w:val="single"/>
                <w14:textFill>
                  <w14:solidFill>
                    <w14:schemeClr w14:val="tx1"/>
                  </w14:solidFill>
                </w14:textFill>
              </w:rPr>
              <w:t xml:space="preserve"> 4 </w:t>
            </w:r>
            <w:r>
              <w:rPr>
                <w:rFonts w:hint="eastAsia" w:ascii="宋体" w:hAnsi="宋体" w:cs="宋体"/>
                <w:color w:val="000000" w:themeColor="text1"/>
                <w:szCs w:val="21"/>
                <w:highlight w:val="none"/>
                <w14:textFill>
                  <w14:solidFill>
                    <w14:schemeClr w14:val="tx1"/>
                  </w14:solidFill>
                </w14:textFill>
              </w:rPr>
              <w:t>%。</w:t>
            </w:r>
          </w:p>
          <w:p w14:paraId="700165D9">
            <w:pPr>
              <w:shd w:val="clear"/>
              <w:adjustRightInd w:val="0"/>
              <w:snapToGrid w:val="0"/>
              <w:spacing w:before="156" w:beforeLines="50"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2、政府采购优先采购环境标志产品</w:t>
            </w:r>
          </w:p>
          <w:p w14:paraId="21229745">
            <w:pPr>
              <w:shd w:val="clea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(1)采用最低评标价法时，应给予5%-10%的价格扣除。本项目具体扣除比例为 </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 xml:space="preserve"> ％；</w:t>
            </w:r>
          </w:p>
          <w:p w14:paraId="414A5EEC">
            <w:pPr>
              <w:shd w:val="clear"/>
              <w:adjustRightInd w:val="0"/>
              <w:snapToGrid w:val="0"/>
              <w:spacing w:before="156" w:beforeLines="50" w:line="360" w:lineRule="auto"/>
              <w:rPr>
                <w:rFonts w:ascii="宋体" w:hAnsi="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(2)采用综合评分法时，对于技术和价格分，应分别给予总分值4%-8%的加分。本项目具体加分比例分别为 ：技术</w:t>
            </w:r>
            <w:r>
              <w:rPr>
                <w:rFonts w:hint="eastAsia" w:ascii="宋体" w:hAnsi="宋体" w:cs="宋体"/>
                <w:color w:val="000000" w:themeColor="text1"/>
                <w:szCs w:val="21"/>
                <w:highlight w:val="none"/>
                <w:u w:val="single"/>
                <w14:textFill>
                  <w14:solidFill>
                    <w14:schemeClr w14:val="tx1"/>
                  </w14:solidFill>
                </w14:textFill>
              </w:rPr>
              <w:t xml:space="preserve"> 4 </w:t>
            </w:r>
            <w:r>
              <w:rPr>
                <w:rFonts w:hint="eastAsia" w:ascii="宋体" w:hAnsi="宋体" w:cs="宋体"/>
                <w:color w:val="000000" w:themeColor="text1"/>
                <w:szCs w:val="21"/>
                <w:highlight w:val="none"/>
                <w14:textFill>
                  <w14:solidFill>
                    <w14:schemeClr w14:val="tx1"/>
                  </w14:solidFill>
                </w14:textFill>
              </w:rPr>
              <w:t>%、价格</w:t>
            </w:r>
            <w:r>
              <w:rPr>
                <w:rFonts w:hint="eastAsia" w:ascii="宋体" w:hAnsi="宋体" w:cs="宋体"/>
                <w:color w:val="000000" w:themeColor="text1"/>
                <w:szCs w:val="21"/>
                <w:highlight w:val="none"/>
                <w:u w:val="single"/>
                <w14:textFill>
                  <w14:solidFill>
                    <w14:schemeClr w14:val="tx1"/>
                  </w14:solidFill>
                </w14:textFill>
              </w:rPr>
              <w:t xml:space="preserve"> 4 </w:t>
            </w:r>
            <w:r>
              <w:rPr>
                <w:rFonts w:hint="eastAsia" w:ascii="宋体" w:hAnsi="宋体" w:cs="宋体"/>
                <w:color w:val="000000" w:themeColor="text1"/>
                <w:szCs w:val="21"/>
                <w:highlight w:val="none"/>
                <w14:textFill>
                  <w14:solidFill>
                    <w14:schemeClr w14:val="tx1"/>
                  </w14:solidFill>
                </w14:textFill>
              </w:rPr>
              <w:t>%。</w:t>
            </w:r>
          </w:p>
        </w:tc>
      </w:tr>
      <w:tr w14:paraId="2233F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9" w:hRule="atLeast"/>
        </w:trPr>
        <w:tc>
          <w:tcPr>
            <w:tcW w:w="1384" w:type="dxa"/>
            <w:vAlign w:val="center"/>
          </w:tcPr>
          <w:p w14:paraId="1F4B5B91">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第5.8（2）</w:t>
            </w:r>
            <w:r>
              <w:rPr>
                <w:rFonts w:hint="eastAsia" w:ascii="宋体" w:hAnsi="宋体" w:cs="宋体"/>
                <w:color w:val="000000" w:themeColor="text1"/>
                <w:kern w:val="0"/>
                <w:szCs w:val="21"/>
                <w:highlight w:val="none"/>
                <w:lang w:val="zh-CN"/>
                <w14:textFill>
                  <w14:solidFill>
                    <w14:schemeClr w14:val="tx1"/>
                  </w14:solidFill>
                </w14:textFill>
              </w:rPr>
              <w:t>项</w:t>
            </w:r>
          </w:p>
        </w:tc>
        <w:tc>
          <w:tcPr>
            <w:tcW w:w="2126" w:type="dxa"/>
            <w:vAlign w:val="center"/>
          </w:tcPr>
          <w:p w14:paraId="1A7C8203">
            <w:pPr>
              <w:shd w:val="clear"/>
              <w:adjustRightInd w:val="0"/>
              <w:snapToGrid w:val="0"/>
              <w:spacing w:before="156" w:beforeLines="50"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相同品牌产品评审</w:t>
            </w:r>
          </w:p>
          <w:p w14:paraId="01EC023F">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得分相同的规定</w:t>
            </w:r>
          </w:p>
        </w:tc>
        <w:tc>
          <w:tcPr>
            <w:tcW w:w="6096" w:type="dxa"/>
            <w:vAlign w:val="center"/>
          </w:tcPr>
          <w:p w14:paraId="2DDD7663">
            <w:pPr>
              <w:shd w:val="clea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单一产品采购项目中，多家代理商参加同一品牌产品投标的，在统计投标人数量时，作为一个投标人计算；</w:t>
            </w:r>
          </w:p>
          <w:p w14:paraId="5E33B45D">
            <w:pPr>
              <w:shd w:val="clear"/>
              <w:adjustRightInd w:val="0"/>
              <w:snapToGrid w:val="0"/>
              <w:spacing w:before="156" w:beforeLines="50" w:line="360" w:lineRule="auto"/>
              <w:rPr>
                <w:color w:val="000000" w:themeColor="text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相同品牌产品且通过资格审查、符合性审查的不同投标人参加投标的，按一家有效投标人计算，评审后得分最高的同品牌投标人获得中标人推荐资格；评审得分相同的，投标报价低的投标人获得中标人推荐资格。</w:t>
            </w:r>
          </w:p>
        </w:tc>
      </w:tr>
      <w:tr w14:paraId="12AD14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1CEFFA9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第5.9</w:t>
            </w:r>
            <w:r>
              <w:rPr>
                <w:rFonts w:hint="eastAsia" w:ascii="宋体" w:hAnsi="宋体" w:cs="宋体"/>
                <w:color w:val="000000" w:themeColor="text1"/>
                <w:kern w:val="0"/>
                <w:szCs w:val="21"/>
                <w:highlight w:val="none"/>
                <w:lang w:val="zh-CN"/>
                <w14:textFill>
                  <w14:solidFill>
                    <w14:schemeClr w14:val="tx1"/>
                  </w14:solidFill>
                </w14:textFill>
              </w:rPr>
              <w:t>款</w:t>
            </w:r>
          </w:p>
        </w:tc>
        <w:tc>
          <w:tcPr>
            <w:tcW w:w="2126" w:type="dxa"/>
            <w:vAlign w:val="center"/>
          </w:tcPr>
          <w:p w14:paraId="0F855918">
            <w:pPr>
              <w:shd w:val="clear"/>
              <w:adjustRightInd w:val="0"/>
              <w:snapToGrid w:val="0"/>
              <w:spacing w:line="360"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非单一产品采购项目的核心产品</w:t>
            </w:r>
          </w:p>
        </w:tc>
        <w:tc>
          <w:tcPr>
            <w:tcW w:w="6096" w:type="dxa"/>
            <w:vAlign w:val="center"/>
          </w:tcPr>
          <w:p w14:paraId="18702D05">
            <w:pPr>
              <w:shd w:val="clear"/>
              <w:adjustRightInd w:val="0"/>
              <w:snapToGrid w:val="0"/>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sym w:font="Wingdings 2" w:char="0052"/>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核心产品为：</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Times New Roman"/>
                <w:b/>
                <w:bCs/>
                <w:color w:val="000000" w:themeColor="text1"/>
                <w:highlight w:val="none"/>
                <w:u w:val="single"/>
                <w:lang w:val="en-US" w:eastAsia="zh-CN"/>
                <w14:textFill>
                  <w14:solidFill>
                    <w14:schemeClr w14:val="tx1"/>
                  </w14:solidFill>
                </w14:textFill>
              </w:rPr>
              <w:t xml:space="preserve"> 包1：全自动凝血分析仪， 包2：</w:t>
            </w:r>
            <w:r>
              <w:rPr>
                <w:rFonts w:hint="eastAsia" w:ascii="宋体" w:hAnsi="宋体"/>
                <w:b/>
                <w:bCs/>
                <w:color w:val="000000" w:themeColor="text1"/>
                <w:highlight w:val="none"/>
                <w:u w:val="single"/>
                <w:lang w:val="en-US" w:eastAsia="zh-CN"/>
                <w14:textFill>
                  <w14:solidFill>
                    <w14:schemeClr w14:val="tx1"/>
                  </w14:solidFill>
                </w14:textFill>
              </w:rPr>
              <w:t xml:space="preserve">细菌鉴定药敏分析仪 </w:t>
            </w:r>
            <w:r>
              <w:rPr>
                <w:rFonts w:hint="eastAsia" w:ascii="宋体" w:hAnsi="宋体"/>
                <w:color w:val="000000" w:themeColor="text1"/>
                <w:highlight w:val="none"/>
                <w14:textFill>
                  <w14:solidFill>
                    <w14:schemeClr w14:val="tx1"/>
                  </w14:solidFill>
                </w14:textFill>
              </w:rPr>
              <w:t>（提示：根据采购项目技术构成、产品价格比重等合理确定具体产品为核心产品）</w:t>
            </w:r>
          </w:p>
          <w:p w14:paraId="70218869">
            <w:pPr>
              <w:shd w:val="clear"/>
              <w:adjustRightInd w:val="0"/>
              <w:snapToGrid w:val="0"/>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□两家及以上投标人提供相同产品的价格总和均超过该项目包各自投标总价</w:t>
            </w:r>
            <w:r>
              <w:rPr>
                <w:rFonts w:hint="eastAsia" w:ascii="宋体" w:hAnsi="宋体"/>
                <w:color w:val="000000" w:themeColor="text1"/>
                <w:highlight w:val="none"/>
                <w:u w:val="single"/>
                <w14:textFill>
                  <w14:solidFill>
                    <w14:schemeClr w14:val="tx1"/>
                  </w14:solidFill>
                </w14:textFill>
              </w:rPr>
              <w:t xml:space="preserve"> / </w:t>
            </w:r>
            <w:r>
              <w:rPr>
                <w:rFonts w:hint="eastAsia" w:ascii="宋体" w:hAnsi="宋体"/>
                <w:color w:val="000000" w:themeColor="text1"/>
                <w:highlight w:val="none"/>
                <w14:textFill>
                  <w14:solidFill>
                    <w14:schemeClr w14:val="tx1"/>
                  </w14:solidFill>
                </w14:textFill>
              </w:rPr>
              <w:t>%的，为核心产品。（提示：也可另行规定）</w:t>
            </w:r>
          </w:p>
        </w:tc>
      </w:tr>
      <w:tr w14:paraId="000245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125298F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2126" w:type="dxa"/>
            <w:vAlign w:val="center"/>
          </w:tcPr>
          <w:p w14:paraId="2B802657">
            <w:pPr>
              <w:shd w:val="clea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投标报价</w:t>
            </w:r>
            <w:r>
              <w:rPr>
                <w:rFonts w:hint="eastAsia" w:ascii="宋体" w:hAnsi="宋体" w:cs="宋体"/>
                <w:color w:val="000000" w:themeColor="text1"/>
                <w:szCs w:val="21"/>
                <w:highlight w:val="none"/>
                <w14:textFill>
                  <w14:solidFill>
                    <w14:schemeClr w14:val="tx1"/>
                  </w14:solidFill>
                </w14:textFill>
              </w:rPr>
              <w:t>调整</w:t>
            </w:r>
          </w:p>
        </w:tc>
        <w:tc>
          <w:tcPr>
            <w:tcW w:w="6096" w:type="dxa"/>
            <w:vAlign w:val="center"/>
          </w:tcPr>
          <w:p w14:paraId="2672CACC">
            <w:pPr>
              <w:pStyle w:val="4"/>
              <w:shd w:val="clear"/>
              <w:jc w:val="left"/>
              <w:rPr>
                <w:color w:val="000000" w:themeColor="text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政府采购支持中小企业发展：</w:t>
            </w:r>
            <w:r>
              <w:rPr>
                <w:rFonts w:hint="eastAsia" w:ascii="宋体" w:hAnsi="宋体" w:cs="宋体"/>
                <w:color w:val="000000" w:themeColor="text1"/>
                <w:szCs w:val="21"/>
                <w:highlight w:val="none"/>
                <w14:textFill>
                  <w14:solidFill>
                    <w14:schemeClr w14:val="tx1"/>
                  </w14:solidFill>
                </w14:textFill>
              </w:rPr>
              <w:t>小型或微型企业，</w:t>
            </w:r>
            <w:r>
              <w:rPr>
                <w:rFonts w:hint="eastAsia" w:ascii="宋体" w:hAnsi="宋体" w:cs="宋体"/>
                <w:color w:val="000000" w:themeColor="text1"/>
                <w:kern w:val="0"/>
                <w:szCs w:val="21"/>
                <w:highlight w:val="none"/>
                <w14:textFill>
                  <w14:solidFill>
                    <w14:schemeClr w14:val="tx1"/>
                  </w14:solidFill>
                </w14:textFill>
              </w:rPr>
              <w:t>价格</w:t>
            </w:r>
            <w:r>
              <w:rPr>
                <w:rFonts w:hint="eastAsia" w:ascii="宋体" w:hAnsi="宋体" w:cs="宋体"/>
                <w:color w:val="000000" w:themeColor="text1"/>
                <w:szCs w:val="21"/>
                <w:highlight w:val="none"/>
                <w14:textFill>
                  <w14:solidFill>
                    <w14:schemeClr w14:val="tx1"/>
                  </w14:solidFill>
                </w14:textFill>
              </w:rPr>
              <w:t xml:space="preserve">扣除比例为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％；联合体投标的，价格扣除比例为</w:t>
            </w:r>
            <w:r>
              <w:rPr>
                <w:rFonts w:hint="eastAsia" w:ascii="宋体" w:hAnsi="宋体" w:cs="宋体"/>
                <w:color w:val="000000" w:themeColor="text1"/>
                <w:szCs w:val="21"/>
                <w:highlight w:val="none"/>
                <w:u w:val="single"/>
                <w14:textFill>
                  <w14:solidFill>
                    <w14:schemeClr w14:val="tx1"/>
                  </w14:solidFill>
                </w14:textFill>
              </w:rPr>
              <w:t xml:space="preserve"> / </w:t>
            </w:r>
            <w:r>
              <w:rPr>
                <w:rFonts w:hint="eastAsia" w:ascii="宋体" w:hAnsi="宋体" w:cs="宋体"/>
                <w:color w:val="000000" w:themeColor="text1"/>
                <w:szCs w:val="21"/>
                <w:highlight w:val="none"/>
                <w14:textFill>
                  <w14:solidFill>
                    <w14:schemeClr w14:val="tx1"/>
                  </w14:solidFill>
                </w14:textFill>
              </w:rPr>
              <w:t xml:space="preserve"> %。评审时，用扣除后的最后报价计算价格分。</w:t>
            </w:r>
          </w:p>
        </w:tc>
      </w:tr>
      <w:tr w14:paraId="7F45FC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384" w:type="dxa"/>
            <w:vAlign w:val="center"/>
          </w:tcPr>
          <w:p w14:paraId="6E06B30D">
            <w:pPr>
              <w:shd w:val="clear"/>
              <w:adjustRightInd w:val="0"/>
              <w:jc w:val="center"/>
              <w:rPr>
                <w:rFonts w:ascii="宋体" w:hAnsi="宋体"/>
                <w:color w:val="000000" w:themeColor="text1"/>
                <w:szCs w:val="21"/>
                <w:highlight w:val="none"/>
                <w14:textFill>
                  <w14:solidFill>
                    <w14:schemeClr w14:val="tx1"/>
                  </w14:solidFill>
                </w14:textFill>
              </w:rPr>
            </w:pPr>
          </w:p>
        </w:tc>
        <w:tc>
          <w:tcPr>
            <w:tcW w:w="2126" w:type="dxa"/>
            <w:vAlign w:val="center"/>
          </w:tcPr>
          <w:p w14:paraId="23DDCAE2">
            <w:pPr>
              <w:shd w:val="clear"/>
              <w:adjustRightInd w:val="0"/>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技术、价格得分或总得分调整</w:t>
            </w:r>
          </w:p>
        </w:tc>
        <w:tc>
          <w:tcPr>
            <w:tcW w:w="6096" w:type="dxa"/>
            <w:vAlign w:val="center"/>
          </w:tcPr>
          <w:p w14:paraId="0BC84D51">
            <w:pPr>
              <w:shd w:val="clear"/>
              <w:adjustRightInd w:val="0"/>
              <w:ind w:left="8" w:leftChars="4" w:firstLine="287" w:firstLineChars="137"/>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1、节能产品：</w:t>
            </w:r>
          </w:p>
          <w:p w14:paraId="2418F35C">
            <w:pPr>
              <w:shd w:val="clear"/>
              <w:adjustRightInd w:val="0"/>
              <w:ind w:firstLine="105" w:firstLineChars="5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技术加分＝技术分值× 加分比例×（节能产品报价÷总报价）；</w:t>
            </w:r>
          </w:p>
          <w:p w14:paraId="6B79FB88">
            <w:pPr>
              <w:shd w:val="clear"/>
              <w:adjustRightInd w:val="0"/>
              <w:ind w:left="315" w:leftChars="50" w:hanging="210" w:hangingChars="1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价格加分＝价格分值×加分比例×（节能产品报价÷总报价）。</w:t>
            </w:r>
          </w:p>
          <w:p w14:paraId="292257BA">
            <w:pPr>
              <w:shd w:val="clear"/>
              <w:adjustRightInd w:val="0"/>
              <w:ind w:left="8" w:leftChars="4" w:firstLine="287" w:firstLineChars="137"/>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2、环境标志产品：</w:t>
            </w:r>
          </w:p>
          <w:p w14:paraId="412FFA25">
            <w:pPr>
              <w:shd w:val="clear"/>
              <w:adjustRightInd w:val="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技术加分＝技术分值×加分比例×（环境标志产品报价÷总报价）；</w:t>
            </w:r>
          </w:p>
          <w:p w14:paraId="72A17149">
            <w:pPr>
              <w:shd w:val="clear"/>
              <w:adjustRightInd w:val="0"/>
              <w:ind w:left="315" w:leftChars="50" w:hanging="210" w:hangingChars="1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价格加分＝价格分值×加分比例×（环境标志产品报价÷总报价）。</w:t>
            </w:r>
          </w:p>
        </w:tc>
      </w:tr>
    </w:tbl>
    <w:p w14:paraId="1AC95796">
      <w:pPr>
        <w:shd w:val="clear"/>
        <w:adjustRightInd w:val="0"/>
        <w:snapToGrid w:val="0"/>
        <w:ind w:right="26"/>
        <w:rPr>
          <w:rFonts w:ascii="黑体" w:hAnsi="宋体" w:eastAsia="黑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注：优先采购加分的详细计算规则见第二章第</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5款、第34.6款规定。</w:t>
      </w:r>
      <w:r>
        <w:rPr>
          <w:rFonts w:ascii="黑体" w:hAnsi="宋体" w:eastAsia="黑体"/>
          <w:color w:val="000000" w:themeColor="text1"/>
          <w:szCs w:val="21"/>
          <w:highlight w:val="none"/>
          <w14:textFill>
            <w14:solidFill>
              <w14:schemeClr w14:val="tx1"/>
            </w14:solidFill>
          </w14:textFill>
        </w:rPr>
        <w:br w:type="page"/>
      </w:r>
    </w:p>
    <w:p w14:paraId="4C6926CB">
      <w:pPr>
        <w:shd w:val="clear"/>
        <w:adjustRightInd w:val="0"/>
        <w:snapToGrid w:val="0"/>
        <w:spacing w:before="156" w:beforeLines="50" w:line="360" w:lineRule="auto"/>
        <w:ind w:firstLine="422" w:firstLineChars="200"/>
        <w:jc w:val="left"/>
        <w:rPr>
          <w:rFonts w:ascii="黑体" w:hAnsi="黑体"/>
          <w:b/>
          <w:color w:val="000000" w:themeColor="text1"/>
          <w:highlight w:val="none"/>
          <w14:textFill>
            <w14:solidFill>
              <w14:schemeClr w14:val="tx1"/>
            </w14:solidFill>
          </w14:textFill>
        </w:rPr>
      </w:pPr>
      <w:r>
        <w:rPr>
          <w:rFonts w:hint="eastAsia" w:ascii="黑体" w:hAnsi="黑体"/>
          <w:b/>
          <w:color w:val="000000" w:themeColor="text1"/>
          <w:highlight w:val="none"/>
          <w14:textFill>
            <w14:solidFill>
              <w14:schemeClr w14:val="tx1"/>
            </w14:solidFill>
          </w14:textFill>
        </w:rPr>
        <w:t>附页1 评标方法及标准</w:t>
      </w:r>
    </w:p>
    <w:p w14:paraId="2F8E579F">
      <w:pPr>
        <w:shd w:val="clear" w:color="auto"/>
        <w:adjustRightInd w:val="0"/>
        <w:snapToGrid w:val="0"/>
        <w:spacing w:before="156" w:beforeLines="50"/>
        <w:jc w:val="center"/>
        <w:rPr>
          <w:rFonts w:hint="eastAsia" w:ascii="黑体" w:hAnsi="黑体" w:eastAsia="黑体"/>
          <w:b/>
          <w:color w:val="000000" w:themeColor="text1"/>
          <w:sz w:val="28"/>
          <w:szCs w:val="28"/>
          <w:highlight w:val="none"/>
          <w:lang w:eastAsia="zh-CN"/>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评标方法及标准表</w:t>
      </w:r>
      <w:r>
        <w:rPr>
          <w:rFonts w:hint="eastAsia" w:ascii="黑体" w:hAnsi="黑体" w:eastAsia="黑体"/>
          <w:b/>
          <w:color w:val="000000" w:themeColor="text1"/>
          <w:sz w:val="28"/>
          <w:szCs w:val="28"/>
          <w:highlight w:val="none"/>
          <w:lang w:eastAsia="zh-CN"/>
          <w14:textFill>
            <w14:solidFill>
              <w14:schemeClr w14:val="tx1"/>
            </w14:solidFill>
          </w14:textFill>
        </w:rPr>
        <w:t>（</w:t>
      </w:r>
      <w:r>
        <w:rPr>
          <w:rFonts w:hint="eastAsia" w:ascii="黑体" w:hAnsi="黑体" w:eastAsia="黑体"/>
          <w:b/>
          <w:color w:val="000000" w:themeColor="text1"/>
          <w:sz w:val="28"/>
          <w:szCs w:val="28"/>
          <w:highlight w:val="none"/>
          <w:lang w:val="en-US" w:eastAsia="zh-CN"/>
          <w14:textFill>
            <w14:solidFill>
              <w14:schemeClr w14:val="tx1"/>
            </w14:solidFill>
          </w14:textFill>
        </w:rPr>
        <w:t>包1、包2</w:t>
      </w:r>
      <w:r>
        <w:rPr>
          <w:rFonts w:hint="eastAsia" w:ascii="黑体" w:hAnsi="黑体" w:eastAsia="黑体"/>
          <w:b/>
          <w:color w:val="000000" w:themeColor="text1"/>
          <w:sz w:val="28"/>
          <w:szCs w:val="28"/>
          <w:highlight w:val="none"/>
          <w:lang w:eastAsia="zh-CN"/>
          <w14:textFill>
            <w14:solidFill>
              <w14:schemeClr w14:val="tx1"/>
            </w14:solidFill>
          </w14:textFill>
        </w:rPr>
        <w:t>）</w:t>
      </w:r>
    </w:p>
    <w:tbl>
      <w:tblPr>
        <w:tblStyle w:val="43"/>
        <w:tblW w:w="9400" w:type="dxa"/>
        <w:tblInd w:w="-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12"/>
        <w:gridCol w:w="296"/>
        <w:gridCol w:w="821"/>
        <w:gridCol w:w="683"/>
        <w:gridCol w:w="6188"/>
      </w:tblGrid>
      <w:tr w14:paraId="4EA3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9400" w:type="dxa"/>
            <w:gridSpan w:val="5"/>
            <w:noWrap w:val="0"/>
            <w:vAlign w:val="top"/>
          </w:tcPr>
          <w:p w14:paraId="2E80DF8A">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评审因素及</w:t>
            </w:r>
            <w:r>
              <w:rPr>
                <w:rFonts w:hint="eastAsia"/>
                <w:color w:val="000000" w:themeColor="text1"/>
                <w:highlight w:val="none"/>
                <w14:textFill>
                  <w14:solidFill>
                    <w14:schemeClr w14:val="tx1"/>
                  </w14:solidFill>
                </w14:textFill>
              </w:rPr>
              <w:t>分值</w:t>
            </w:r>
            <w:r>
              <w:rPr>
                <w:color w:val="000000" w:themeColor="text1"/>
                <w:highlight w:val="none"/>
                <w14:textFill>
                  <w14:solidFill>
                    <w14:schemeClr w14:val="tx1"/>
                  </w14:solidFill>
                </w14:textFill>
              </w:rPr>
              <w:t>范围</w:t>
            </w:r>
          </w:p>
        </w:tc>
      </w:tr>
      <w:tr w14:paraId="36A32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708" w:type="dxa"/>
            <w:gridSpan w:val="2"/>
            <w:noWrap w:val="0"/>
            <w:vAlign w:val="top"/>
          </w:tcPr>
          <w:p w14:paraId="183E03CF">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评审因素</w:t>
            </w:r>
          </w:p>
        </w:tc>
        <w:tc>
          <w:tcPr>
            <w:tcW w:w="7692" w:type="dxa"/>
            <w:gridSpan w:val="3"/>
            <w:noWrap w:val="0"/>
            <w:vAlign w:val="top"/>
          </w:tcPr>
          <w:p w14:paraId="4D5CFD27">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权</w:t>
            </w:r>
            <w:r>
              <w:rPr>
                <w:rFonts w:hint="eastAsia" w:ascii="宋体" w:hAnsi="宋体" w:cs="宋体"/>
                <w:color w:val="000000" w:themeColor="text1"/>
                <w:szCs w:val="21"/>
                <w:highlight w:val="none"/>
                <w14:textFill>
                  <w14:solidFill>
                    <w14:schemeClr w14:val="tx1"/>
                  </w14:solidFill>
                </w14:textFill>
              </w:rPr>
              <w:t>值范围</w:t>
            </w:r>
          </w:p>
        </w:tc>
      </w:tr>
      <w:tr w14:paraId="19217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708" w:type="dxa"/>
            <w:gridSpan w:val="2"/>
            <w:noWrap w:val="0"/>
            <w:vAlign w:val="top"/>
          </w:tcPr>
          <w:p w14:paraId="0366AA1B">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价格部分</w:t>
            </w:r>
          </w:p>
        </w:tc>
        <w:tc>
          <w:tcPr>
            <w:tcW w:w="7692" w:type="dxa"/>
            <w:gridSpan w:val="3"/>
            <w:noWrap w:val="0"/>
            <w:vAlign w:val="top"/>
          </w:tcPr>
          <w:p w14:paraId="5369C4AA">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30%</w:t>
            </w:r>
          </w:p>
        </w:tc>
      </w:tr>
      <w:tr w14:paraId="7A4A5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708" w:type="dxa"/>
            <w:gridSpan w:val="2"/>
            <w:noWrap w:val="0"/>
            <w:vAlign w:val="top"/>
          </w:tcPr>
          <w:p w14:paraId="3F3BCC22">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技术部分</w:t>
            </w:r>
          </w:p>
        </w:tc>
        <w:tc>
          <w:tcPr>
            <w:tcW w:w="7692" w:type="dxa"/>
            <w:gridSpan w:val="3"/>
            <w:noWrap w:val="0"/>
            <w:vAlign w:val="top"/>
          </w:tcPr>
          <w:p w14:paraId="29ABE913">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50</w:t>
            </w:r>
            <w:r>
              <w:rPr>
                <w:rFonts w:hint="eastAsia" w:ascii="宋体" w:hAnsi="宋体" w:eastAsia="宋体" w:cs="宋体"/>
                <w:color w:val="000000" w:themeColor="text1"/>
                <w:szCs w:val="21"/>
                <w:highlight w:val="none"/>
                <w:lang w:val="en-US" w:eastAsia="zh-CN"/>
                <w14:textFill>
                  <w14:solidFill>
                    <w14:schemeClr w14:val="tx1"/>
                  </w14:solidFill>
                </w14:textFill>
              </w:rPr>
              <w:t>%</w:t>
            </w:r>
          </w:p>
        </w:tc>
      </w:tr>
      <w:tr w14:paraId="2B18D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708" w:type="dxa"/>
            <w:gridSpan w:val="2"/>
            <w:noWrap w:val="0"/>
            <w:vAlign w:val="top"/>
          </w:tcPr>
          <w:p w14:paraId="0BF5E377">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商务部分</w:t>
            </w:r>
          </w:p>
        </w:tc>
        <w:tc>
          <w:tcPr>
            <w:tcW w:w="7692" w:type="dxa"/>
            <w:gridSpan w:val="3"/>
            <w:noWrap w:val="0"/>
            <w:vAlign w:val="top"/>
          </w:tcPr>
          <w:p w14:paraId="29726A49">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20</w:t>
            </w:r>
            <w:r>
              <w:rPr>
                <w:rFonts w:hint="eastAsia" w:ascii="宋体" w:hAnsi="宋体" w:eastAsia="宋体" w:cs="宋体"/>
                <w:color w:val="000000" w:themeColor="text1"/>
                <w:szCs w:val="21"/>
                <w:highlight w:val="none"/>
                <w:lang w:val="en-US" w:eastAsia="zh-CN"/>
                <w14:textFill>
                  <w14:solidFill>
                    <w14:schemeClr w14:val="tx1"/>
                  </w14:solidFill>
                </w14:textFill>
              </w:rPr>
              <w:t>%</w:t>
            </w:r>
          </w:p>
        </w:tc>
      </w:tr>
      <w:tr w14:paraId="21B4A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9400" w:type="dxa"/>
            <w:gridSpan w:val="5"/>
            <w:noWrap w:val="0"/>
            <w:vAlign w:val="top"/>
          </w:tcPr>
          <w:p w14:paraId="037EC691">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评委评分=F1×A1+F2×A2+……+Fn×An</w:t>
            </w:r>
          </w:p>
        </w:tc>
      </w:tr>
      <w:tr w14:paraId="4175E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9400" w:type="dxa"/>
            <w:gridSpan w:val="5"/>
            <w:noWrap w:val="0"/>
            <w:vAlign w:val="top"/>
          </w:tcPr>
          <w:p w14:paraId="38E931A6">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A1、A2......分别为各项评分因素所占的权值(A1+A2+......+An=1)</w:t>
            </w:r>
          </w:p>
        </w:tc>
      </w:tr>
      <w:tr w14:paraId="06564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9400" w:type="dxa"/>
            <w:gridSpan w:val="5"/>
            <w:noWrap w:val="0"/>
            <w:vAlign w:val="top"/>
          </w:tcPr>
          <w:p w14:paraId="678A8C07">
            <w:pPr>
              <w:keepNext w:val="0"/>
              <w:keepLines w:val="0"/>
              <w:pageBreakBefore w:val="0"/>
              <w:shd w:val="clear" w:color="auto"/>
              <w:kinsoku/>
              <w:wordWrap/>
              <w:overflowPunct/>
              <w:topLinePunct w:val="0"/>
              <w:autoSpaceDE/>
              <w:autoSpaceDN/>
              <w:bidi w:val="0"/>
              <w:adjustRightInd/>
              <w:snapToGrid/>
              <w:spacing w:line="240" w:lineRule="auto"/>
              <w:ind w:right="0" w:rightChars="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综合评分表</w:t>
            </w:r>
          </w:p>
        </w:tc>
      </w:tr>
      <w:tr w14:paraId="7ACFB7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12" w:type="dxa"/>
            <w:tcBorders>
              <w:right w:val="single" w:color="auto" w:sz="4" w:space="0"/>
            </w:tcBorders>
            <w:noWrap w:val="0"/>
            <w:vAlign w:val="center"/>
          </w:tcPr>
          <w:p w14:paraId="183EAE6C">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评审因素</w:t>
            </w:r>
          </w:p>
        </w:tc>
        <w:tc>
          <w:tcPr>
            <w:tcW w:w="1117" w:type="dxa"/>
            <w:gridSpan w:val="2"/>
            <w:tcBorders>
              <w:left w:val="single" w:color="auto" w:sz="4" w:space="0"/>
            </w:tcBorders>
            <w:noWrap w:val="0"/>
            <w:vAlign w:val="center"/>
          </w:tcPr>
          <w:p w14:paraId="70EA0DAE">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eastAsia"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计分</w:t>
            </w:r>
          </w:p>
          <w:p w14:paraId="1228A5A1">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eastAsia"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因素</w:t>
            </w:r>
          </w:p>
        </w:tc>
        <w:tc>
          <w:tcPr>
            <w:tcW w:w="683" w:type="dxa"/>
            <w:noWrap w:val="0"/>
            <w:vAlign w:val="center"/>
          </w:tcPr>
          <w:p w14:paraId="0E5093C3">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分值</w:t>
            </w:r>
          </w:p>
        </w:tc>
        <w:tc>
          <w:tcPr>
            <w:tcW w:w="6188" w:type="dxa"/>
            <w:noWrap w:val="0"/>
            <w:vAlign w:val="center"/>
          </w:tcPr>
          <w:p w14:paraId="16B752CB">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计</w:t>
            </w:r>
            <w:r>
              <w:rPr>
                <w:rFonts w:hint="eastAsia" w:ascii="宋体" w:hAnsi="宋体" w:cs="宋体"/>
                <w:b/>
                <w:color w:val="000000" w:themeColor="text1"/>
                <w:sz w:val="21"/>
                <w:szCs w:val="21"/>
                <w:highlight w:val="none"/>
                <w14:textFill>
                  <w14:solidFill>
                    <w14:schemeClr w14:val="tx1"/>
                  </w14:solidFill>
                </w14:textFill>
              </w:rPr>
              <w:t>分标准</w:t>
            </w:r>
          </w:p>
        </w:tc>
      </w:tr>
      <w:tr w14:paraId="24696E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12" w:type="dxa"/>
            <w:noWrap w:val="0"/>
            <w:vAlign w:val="center"/>
          </w:tcPr>
          <w:p w14:paraId="6FA00244">
            <w:pPr>
              <w:keepNext w:val="0"/>
              <w:keepLines w:val="0"/>
              <w:pageBreakBefore w:val="0"/>
              <w:widowControl/>
              <w:shd w:val="clear"/>
              <w:kinsoku/>
              <w:wordWrap/>
              <w:overflowPunct/>
              <w:topLinePunct w:val="0"/>
              <w:autoSpaceDE/>
              <w:autoSpaceDN/>
              <w:bidi w:val="0"/>
              <w:adjustRightInd/>
              <w:snapToGrid/>
              <w:spacing w:line="240" w:lineRule="auto"/>
              <w:ind w:right="0" w:rightChars="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价格</w:t>
            </w:r>
            <w:r>
              <w:rPr>
                <w:rFonts w:hint="eastAsia" w:ascii="宋体" w:hAnsi="宋体" w:cs="宋体"/>
                <w:color w:val="000000" w:themeColor="text1"/>
                <w:sz w:val="21"/>
                <w:szCs w:val="21"/>
                <w:highlight w:val="none"/>
                <w:lang w:val="en-US" w:eastAsia="zh-CN"/>
                <w14:textFill>
                  <w14:solidFill>
                    <w14:schemeClr w14:val="tx1"/>
                  </w14:solidFill>
                </w14:textFill>
              </w:rPr>
              <w:t>部分</w:t>
            </w:r>
            <w:r>
              <w:rPr>
                <w:rFonts w:hint="eastAsia" w:ascii="宋体" w:hAnsi="宋体" w:cs="宋体"/>
                <w:color w:val="000000" w:themeColor="text1"/>
                <w:sz w:val="21"/>
                <w:szCs w:val="21"/>
                <w:highlight w:val="none"/>
                <w14:textFill>
                  <w14:solidFill>
                    <w14:schemeClr w14:val="tx1"/>
                  </w14:solidFill>
                </w14:textFill>
              </w:rPr>
              <w:t>(F</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14:textFill>
                  <w14:solidFill>
                    <w14:schemeClr w14:val="tx1"/>
                  </w14:solidFill>
                </w14:textFill>
              </w:rPr>
              <w:t>、满分为 100 分)</w:t>
            </w:r>
          </w:p>
        </w:tc>
        <w:tc>
          <w:tcPr>
            <w:tcW w:w="1117" w:type="dxa"/>
            <w:gridSpan w:val="2"/>
            <w:noWrap w:val="0"/>
            <w:vAlign w:val="center"/>
          </w:tcPr>
          <w:p w14:paraId="581BD36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ascii="宋体" w:hAnsi="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投标报价</w:t>
            </w:r>
          </w:p>
        </w:tc>
        <w:tc>
          <w:tcPr>
            <w:tcW w:w="683" w:type="dxa"/>
            <w:noWrap w:val="0"/>
            <w:vAlign w:val="center"/>
          </w:tcPr>
          <w:p w14:paraId="38C1551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宋体" w:hAnsi="宋体" w:cs="宋体"/>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snapToGrid w:val="0"/>
                <w:color w:val="000000" w:themeColor="text1"/>
                <w:kern w:val="2"/>
                <w:sz w:val="21"/>
                <w:szCs w:val="21"/>
                <w:highlight w:val="none"/>
                <w:lang w:val="en-US" w:eastAsia="zh-CN" w:bidi="ar"/>
                <w14:textFill>
                  <w14:solidFill>
                    <w14:schemeClr w14:val="tx1"/>
                  </w14:solidFill>
                </w14:textFill>
              </w:rPr>
              <w:t>100</w:t>
            </w:r>
          </w:p>
        </w:tc>
        <w:tc>
          <w:tcPr>
            <w:tcW w:w="6188" w:type="dxa"/>
            <w:noWrap w:val="0"/>
            <w:vAlign w:val="center"/>
          </w:tcPr>
          <w:p w14:paraId="4DB90F3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default"/>
                <w:color w:val="000000" w:themeColor="text1"/>
                <w:sz w:val="21"/>
                <w:szCs w:val="21"/>
                <w:highlight w:val="none"/>
                <w:lang w:val="en-US"/>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价格分采用低价优先法计算，即满足招标文件要求且投标价格最低的投标报价为评标基准价，其价格分为满分，其他有效投标人的价格分按照下列公式计算：投标报价得分</w:t>
            </w:r>
            <w:r>
              <w:rPr>
                <w:rFonts w:hint="default" w:ascii="Times New Roman" w:hAnsi="Times New Roman" w:eastAsia="宋体" w:cs="Times New Roman"/>
                <w:snapToGrid w:val="0"/>
                <w:color w:val="000000" w:themeColor="text1"/>
                <w:kern w:val="2"/>
                <w:sz w:val="21"/>
                <w:szCs w:val="21"/>
                <w:highlight w:val="none"/>
                <w:lang w:val="en-US" w:eastAsia="zh-CN" w:bidi="ar"/>
                <w14:textFill>
                  <w14:solidFill>
                    <w14:schemeClr w14:val="tx1"/>
                  </w14:solidFill>
                </w14:textFill>
              </w:rPr>
              <w:t>=(</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评标基准价／投标报价</w:t>
            </w:r>
            <w:r>
              <w:rPr>
                <w:rFonts w:hint="default" w:ascii="Times New Roman" w:hAnsi="Times New Roman" w:eastAsia="宋体" w:cs="Times New Roman"/>
                <w:snapToGrid w:val="0"/>
                <w:color w:val="000000" w:themeColor="text1"/>
                <w:kern w:val="2"/>
                <w:sz w:val="21"/>
                <w:szCs w:val="21"/>
                <w:highlight w:val="none"/>
                <w:lang w:val="en-US" w:eastAsia="zh-CN" w:bidi="ar"/>
                <w14:textFill>
                  <w14:solidFill>
                    <w14:schemeClr w14:val="tx1"/>
                  </w14:solidFill>
                </w14:textFill>
              </w:rPr>
              <w:t>)</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×价格权值</w:t>
            </w:r>
          </w:p>
          <w:p w14:paraId="222630C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ascii="宋体" w:hAnsi="宋体"/>
                <w:b/>
                <w:color w:val="000000" w:themeColor="text1"/>
                <w:sz w:val="21"/>
                <w:szCs w:val="21"/>
                <w:highlight w:val="none"/>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说明：关于评审委员会启动异常低价投标（响应）审查规定（附后）。</w:t>
            </w:r>
          </w:p>
        </w:tc>
      </w:tr>
      <w:tr w14:paraId="16BEFF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65" w:hRule="atLeast"/>
        </w:trPr>
        <w:tc>
          <w:tcPr>
            <w:tcW w:w="1412" w:type="dxa"/>
            <w:vMerge w:val="restart"/>
            <w:noWrap w:val="0"/>
            <w:vAlign w:val="center"/>
          </w:tcPr>
          <w:p w14:paraId="340C0E1D">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技术</w:t>
            </w:r>
            <w:r>
              <w:rPr>
                <w:rFonts w:hint="eastAsia" w:ascii="宋体" w:hAnsi="宋体" w:cs="宋体"/>
                <w:color w:val="000000" w:themeColor="text1"/>
                <w:sz w:val="21"/>
                <w:szCs w:val="21"/>
                <w:highlight w:val="none"/>
                <w:lang w:val="en-US" w:eastAsia="zh-CN"/>
                <w14:textFill>
                  <w14:solidFill>
                    <w14:schemeClr w14:val="tx1"/>
                  </w14:solidFill>
                </w14:textFill>
              </w:rPr>
              <w:t>部分</w:t>
            </w:r>
            <w:r>
              <w:rPr>
                <w:rFonts w:hint="eastAsia" w:ascii="宋体" w:hAnsi="宋体" w:cs="宋体"/>
                <w:color w:val="000000" w:themeColor="text1"/>
                <w:sz w:val="21"/>
                <w:szCs w:val="21"/>
                <w:highlight w:val="none"/>
                <w14:textFill>
                  <w14:solidFill>
                    <w14:schemeClr w14:val="tx1"/>
                  </w14:solidFill>
                </w14:textFill>
              </w:rPr>
              <w:t>(F</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14:textFill>
                  <w14:solidFill>
                    <w14:schemeClr w14:val="tx1"/>
                  </w14:solidFill>
                </w14:textFill>
              </w:rPr>
              <w:t>、满分为 100 分)</w:t>
            </w:r>
          </w:p>
        </w:tc>
        <w:tc>
          <w:tcPr>
            <w:tcW w:w="1117" w:type="dxa"/>
            <w:gridSpan w:val="2"/>
            <w:noWrap w:val="0"/>
            <w:vAlign w:val="center"/>
          </w:tcPr>
          <w:p w14:paraId="2682D37A">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eastAsia" w:ascii="Times New Roman" w:hAnsi="Times New Roman" w:eastAsia="宋体" w:cs="宋体"/>
                <w:snapToGrid w:val="0"/>
                <w:color w:val="000000" w:themeColor="text1"/>
                <w:kern w:val="2"/>
                <w:sz w:val="21"/>
                <w:szCs w:val="21"/>
                <w:highlight w:val="none"/>
                <w:lang w:val="zh-CN" w:eastAsia="zh-CN" w:bidi="ar"/>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产品配置及技术参数</w:t>
            </w:r>
          </w:p>
        </w:tc>
        <w:tc>
          <w:tcPr>
            <w:tcW w:w="683" w:type="dxa"/>
            <w:noWrap w:val="0"/>
            <w:vAlign w:val="center"/>
          </w:tcPr>
          <w:p w14:paraId="18611A24">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default" w:ascii="宋体" w:hAnsi="宋体"/>
                <w:bCs/>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75</w:t>
            </w:r>
          </w:p>
        </w:tc>
        <w:tc>
          <w:tcPr>
            <w:tcW w:w="6188" w:type="dxa"/>
            <w:noWrap w:val="0"/>
            <w:vAlign w:val="center"/>
          </w:tcPr>
          <w:p w14:paraId="0CC654F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投标人所投产品的技术指标、性能参数完全满足或优于招标文件技术要求的，计</w:t>
            </w:r>
            <w:r>
              <w:rPr>
                <w:rFonts w:hint="eastAsia" w:cs="宋体"/>
                <w:snapToGrid w:val="0"/>
                <w:color w:val="000000" w:themeColor="text1"/>
                <w:kern w:val="2"/>
                <w:sz w:val="21"/>
                <w:szCs w:val="21"/>
                <w:highlight w:val="none"/>
                <w:lang w:val="en-US" w:eastAsia="zh-CN" w:bidi="ar"/>
                <w14:textFill>
                  <w14:solidFill>
                    <w14:schemeClr w14:val="tx1"/>
                  </w14:solidFill>
                </w14:textFill>
              </w:rPr>
              <w:t>75</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分。</w:t>
            </w:r>
          </w:p>
          <w:p w14:paraId="3A210FB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1.技术要求中一般技术条款每偏离一项扣2</w:t>
            </w:r>
            <w:r>
              <w:rPr>
                <w:rFonts w:hint="eastAsia" w:cs="宋体"/>
                <w:snapToGrid w:val="0"/>
                <w:color w:val="000000" w:themeColor="text1"/>
                <w:kern w:val="2"/>
                <w:sz w:val="21"/>
                <w:szCs w:val="21"/>
                <w:highlight w:val="none"/>
                <w:lang w:val="en-US" w:eastAsia="zh-CN" w:bidi="ar"/>
                <w14:textFill>
                  <w14:solidFill>
                    <w14:schemeClr w14:val="tx1"/>
                  </w14:solidFill>
                </w14:textFill>
              </w:rPr>
              <w:t>.5</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分,扣完为止。</w:t>
            </w:r>
          </w:p>
          <w:p w14:paraId="7941629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2.技术要求中标注“▲”号的条款为重要指标，每偏离一项扣5分。</w:t>
            </w:r>
          </w:p>
          <w:p w14:paraId="77132FA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注：</w:t>
            </w:r>
          </w:p>
          <w:p w14:paraId="525423AB">
            <w:pPr>
              <w:keepNext w:val="0"/>
              <w:keepLines w:val="0"/>
              <w:pageBreakBefore w:val="0"/>
              <w:widowControl w:val="0"/>
              <w:numPr>
                <w:ilvl w:val="0"/>
                <w:numId w:val="3"/>
              </w:numPr>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标注“▲”的技术参数为重要技术参数，</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除按招标文件要求填写技术规格偏离表外，还须提供技术支持证明材料，未按要求提供证明文件的或提供的证明文件不能够明确佐证的视为不满足该项技术参数，不得分。</w:t>
            </w:r>
          </w:p>
          <w:p w14:paraId="4FB0BF52">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right="0" w:rightChars="0"/>
              <w:jc w:val="left"/>
              <w:rPr>
                <w:rFonts w:hint="default"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技术支持证明材料包括：(1)招标文件技术参数内明确要求提供的证明材料。(2)招标文件未明确要求的，投标人可提供以下任一形式的证明材料，包括但不限于技术白皮书、彩页、说明书、检验报告等（如有不一致内容，以检验报告为准）；如技术支持资料内容模糊、无法辨认导致无法评判的或提供的技术支持资料不能反映该参数要求的或未按要求提供技术支持资料的，视为不响应该条技术参数。出现技术支持资料内容与技术规格偏离表应答不一致，以技术支持资料显示内容为准。。</w:t>
            </w:r>
          </w:p>
          <w:p w14:paraId="5213BD9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cs="宋体"/>
                <w:snapToGrid w:val="0"/>
                <w:color w:val="000000" w:themeColor="text1"/>
                <w:kern w:val="2"/>
                <w:sz w:val="21"/>
                <w:szCs w:val="21"/>
                <w:highlight w:val="none"/>
                <w:lang w:val="en-US" w:eastAsia="zh-CN" w:bidi="ar"/>
                <w14:textFill>
                  <w14:solidFill>
                    <w14:schemeClr w14:val="tx1"/>
                  </w14:solidFill>
                </w14:textFill>
              </w:rPr>
              <w:t>2、</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未标注“▲”或“★”的技术参数</w:t>
            </w:r>
            <w:r>
              <w:rPr>
                <w:rFonts w:hint="eastAsia" w:cs="宋体"/>
                <w:snapToGrid w:val="0"/>
                <w:color w:val="000000" w:themeColor="text1"/>
                <w:kern w:val="2"/>
                <w:sz w:val="21"/>
                <w:szCs w:val="21"/>
                <w:highlight w:val="none"/>
                <w:lang w:val="en-US" w:eastAsia="zh-CN" w:bidi="ar"/>
                <w14:textFill>
                  <w14:solidFill>
                    <w14:schemeClr w14:val="tx1"/>
                  </w14:solidFill>
                </w14:textFill>
              </w:rPr>
              <w:t>为</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一般技术条款：</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1）招标文件技术参数中明确要求提供技术支持资料的还须按要求提供，出现技术支持资料内容与技术规格偏离表应答不一致，以技术支持资料显示内容为准。如技术支持资料内容模糊、无法辨认导致无法评判的或提供的技术支持资料不能反映该参数要求的或未按要求提供技术支持资料的，视为不响应该条技术参数。</w:t>
            </w:r>
          </w:p>
          <w:p w14:paraId="54575E1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2）招标文件技术参数中未明确要求提供技术支持资料的，投标人自行提供技术支持资料，出现技术支持资料内容与技术规格偏离表应答不一致，以技术支持资料显示内容为准；出现技术支持资料内容模糊、无法辨认导致无法评判的或提供的技术支持资料不能反映该参数要求的，</w:t>
            </w:r>
            <w:r>
              <w:rPr>
                <w:rFonts w:hint="eastAsia" w:ascii="Times New Roman" w:hAnsi="Times New Roman" w:eastAsia="宋体" w:cs="宋体"/>
                <w:b/>
                <w:bCs/>
                <w:snapToGrid w:val="0"/>
                <w:color w:val="000000" w:themeColor="text1"/>
                <w:kern w:val="2"/>
                <w:sz w:val="21"/>
                <w:szCs w:val="21"/>
                <w:highlight w:val="none"/>
                <w:lang w:val="en-US" w:eastAsia="zh-CN" w:bidi="ar"/>
                <w14:textFill>
                  <w14:solidFill>
                    <w14:schemeClr w14:val="tx1"/>
                  </w14:solidFill>
                </w14:textFill>
              </w:rPr>
              <w:t>以技术规格偏离表为准</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w:t>
            </w:r>
          </w:p>
          <w:p w14:paraId="31B0332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3、投标文件中无“采购需求偏离表”，本项不计分。</w:t>
            </w:r>
          </w:p>
          <w:p w14:paraId="79B540A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4、如配置不详、技术参数不清、缺漏项、要求提供相关证明材料未提供或提供的证明材料不清楚的均视同负偏离</w:t>
            </w:r>
          </w:p>
          <w:p w14:paraId="1A844B9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default"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5、偏离项扣分单位为每项，凡标有最低一级序号的条款即为一项（标注“▲”符号的条款若非最低一级序号项，则其下属所有序号项均视为标“▲”条款）</w:t>
            </w:r>
          </w:p>
        </w:tc>
      </w:tr>
      <w:tr w14:paraId="22AB8E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12" w:type="dxa"/>
            <w:vMerge w:val="continue"/>
            <w:noWrap w:val="0"/>
            <w:vAlign w:val="center"/>
          </w:tcPr>
          <w:p w14:paraId="4A15CEC5">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sz w:val="21"/>
                <w:szCs w:val="21"/>
                <w:highlight w:val="none"/>
                <w14:textFill>
                  <w14:solidFill>
                    <w14:schemeClr w14:val="tx1"/>
                  </w14:solidFill>
                </w14:textFill>
              </w:rPr>
            </w:pPr>
          </w:p>
        </w:tc>
        <w:tc>
          <w:tcPr>
            <w:tcW w:w="1117" w:type="dxa"/>
            <w:gridSpan w:val="2"/>
            <w:noWrap w:val="0"/>
            <w:vAlign w:val="center"/>
          </w:tcPr>
          <w:p w14:paraId="15B5794F">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实施方案</w:t>
            </w:r>
          </w:p>
        </w:tc>
        <w:tc>
          <w:tcPr>
            <w:tcW w:w="683" w:type="dxa"/>
            <w:noWrap w:val="0"/>
            <w:vAlign w:val="center"/>
          </w:tcPr>
          <w:p w14:paraId="64E237F2">
            <w:pPr>
              <w:keepNext w:val="0"/>
              <w:keepLines w:val="0"/>
              <w:pageBreakBefore w:val="0"/>
              <w:shd w:val="clear"/>
              <w:kinsoku/>
              <w:wordWrap/>
              <w:overflowPunct/>
              <w:topLinePunct w:val="0"/>
              <w:autoSpaceDE/>
              <w:autoSpaceDN/>
              <w:bidi w:val="0"/>
              <w:adjustRightInd/>
              <w:snapToGrid/>
              <w:spacing w:after="0" w:line="240" w:lineRule="auto"/>
              <w:ind w:right="0" w:rightChars="0"/>
              <w:jc w:val="center"/>
              <w:rPr>
                <w:rFonts w:hint="default"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cs="Times New Roman"/>
                <w:color w:val="000000" w:themeColor="text1"/>
                <w:highlight w:val="none"/>
                <w:lang w:val="en-US" w:eastAsia="zh-CN"/>
                <w14:textFill>
                  <w14:solidFill>
                    <w14:schemeClr w14:val="tx1"/>
                  </w14:solidFill>
                </w14:textFill>
              </w:rPr>
              <w:t>15</w:t>
            </w:r>
          </w:p>
        </w:tc>
        <w:tc>
          <w:tcPr>
            <w:tcW w:w="6188" w:type="dxa"/>
            <w:noWrap w:val="0"/>
            <w:vAlign w:val="center"/>
          </w:tcPr>
          <w:p w14:paraId="01CF618D">
            <w:pPr>
              <w:keepNext w:val="0"/>
              <w:keepLines w:val="0"/>
              <w:pageBreakBefore w:val="0"/>
              <w:widowControl/>
              <w:shd w:val="clear"/>
              <w:kinsoku/>
              <w:wordWrap/>
              <w:overflowPunct/>
              <w:topLinePunct w:val="0"/>
              <w:autoSpaceDE/>
              <w:autoSpaceDN/>
              <w:bidi w:val="0"/>
              <w:adjustRightInd/>
              <w:snapToGrid/>
              <w:spacing w:line="240" w:lineRule="auto"/>
              <w:ind w:right="0" w:rightChars="0"/>
              <w:textAlignment w:val="center"/>
              <w:rPr>
                <w:rFonts w:hint="eastAsia" w:ascii="Times New Roman" w:hAnsi="Times New Roman" w:eastAsia="宋体" w:cs="宋体"/>
                <w:color w:val="000000" w:themeColor="text1"/>
                <w:szCs w:val="21"/>
                <w:highlight w:val="none"/>
                <w14:textFill>
                  <w14:solidFill>
                    <w14:schemeClr w14:val="tx1"/>
                  </w14:solidFill>
                </w14:textFill>
              </w:rPr>
            </w:pPr>
            <w:r>
              <w:rPr>
                <w:rFonts w:hint="eastAsia" w:ascii="Times New Roman" w:hAnsi="Times New Roman" w:eastAsia="宋体" w:cs="宋体"/>
                <w:color w:val="000000" w:themeColor="text1"/>
                <w:szCs w:val="21"/>
                <w:highlight w:val="none"/>
                <w14:textFill>
                  <w14:solidFill>
                    <w14:schemeClr w14:val="tx1"/>
                  </w14:solidFill>
                </w14:textFill>
              </w:rPr>
              <w:t>投标人根据采购需求提供针对本项目的项目实施方案，方案包括但不限于：①项目管理制度及供货方案，②设备安装调试与测试方法，③项目人员配备，④项目实施进度计划，⑤质量保证措施等。</w:t>
            </w:r>
          </w:p>
          <w:p w14:paraId="25D93DEF">
            <w:pPr>
              <w:keepNext w:val="0"/>
              <w:keepLines w:val="0"/>
              <w:pageBreakBefore w:val="0"/>
              <w:widowControl/>
              <w:shd w:val="clear"/>
              <w:kinsoku/>
              <w:wordWrap/>
              <w:overflowPunct/>
              <w:topLinePunct w:val="0"/>
              <w:autoSpaceDE/>
              <w:autoSpaceDN/>
              <w:bidi w:val="0"/>
              <w:adjustRightInd/>
              <w:snapToGrid/>
              <w:spacing w:line="240" w:lineRule="auto"/>
              <w:ind w:right="0" w:rightChars="0"/>
              <w:textAlignment w:val="center"/>
              <w:rPr>
                <w:rFonts w:hint="eastAsia" w:ascii="Times New Roman" w:hAnsi="Times New Roman" w:eastAsia="宋体" w:cs="宋体"/>
                <w:color w:val="000000" w:themeColor="text1"/>
                <w:szCs w:val="21"/>
                <w:highlight w:val="none"/>
                <w14:textFill>
                  <w14:solidFill>
                    <w14:schemeClr w14:val="tx1"/>
                  </w14:solidFill>
                </w14:textFill>
              </w:rPr>
            </w:pPr>
            <w:r>
              <w:rPr>
                <w:rFonts w:hint="eastAsia" w:ascii="Times New Roman" w:hAnsi="Times New Roman" w:eastAsia="宋体" w:cs="宋体"/>
                <w:color w:val="000000" w:themeColor="text1"/>
                <w:kern w:val="2"/>
                <w:sz w:val="21"/>
                <w:szCs w:val="21"/>
                <w:highlight w:val="none"/>
                <w:lang w:val="en-US" w:eastAsia="zh-CN" w:bidi="ar-SA"/>
                <w14:textFill>
                  <w14:solidFill>
                    <w14:schemeClr w14:val="tx1"/>
                  </w14:solidFill>
                </w14:textFill>
              </w:rPr>
              <w:t>评审依据：</w:t>
            </w:r>
            <w:r>
              <w:rPr>
                <w:rFonts w:hint="eastAsia" w:ascii="Times New Roman" w:hAnsi="Times New Roman" w:eastAsia="宋体" w:cs="宋体"/>
                <w:color w:val="000000" w:themeColor="text1"/>
                <w:szCs w:val="21"/>
                <w:highlight w:val="none"/>
                <w14:textFill>
                  <w14:solidFill>
                    <w14:schemeClr w14:val="tx1"/>
                  </w14:solidFill>
                </w14:textFill>
              </w:rPr>
              <w:t>方案详细且完全满足采购要求的计</w:t>
            </w:r>
            <w:r>
              <w:rPr>
                <w:rFonts w:hint="eastAsia" w:cs="宋体"/>
                <w:color w:val="000000" w:themeColor="text1"/>
                <w:szCs w:val="21"/>
                <w:highlight w:val="none"/>
                <w:lang w:val="en-US" w:eastAsia="zh-CN"/>
                <w14:textFill>
                  <w14:solidFill>
                    <w14:schemeClr w14:val="tx1"/>
                  </w14:solidFill>
                </w14:textFill>
              </w:rPr>
              <w:t>15</w:t>
            </w:r>
            <w:r>
              <w:rPr>
                <w:rFonts w:hint="eastAsia" w:ascii="Times New Roman" w:hAnsi="Times New Roman" w:eastAsia="宋体" w:cs="宋体"/>
                <w:color w:val="000000" w:themeColor="text1"/>
                <w:szCs w:val="21"/>
                <w:highlight w:val="none"/>
                <w14:textFill>
                  <w14:solidFill>
                    <w14:schemeClr w14:val="tx1"/>
                  </w14:solidFill>
                </w14:textFill>
              </w:rPr>
              <w:t>分</w:t>
            </w:r>
            <w:r>
              <w:rPr>
                <w:rFonts w:hint="eastAsia" w:cs="宋体"/>
                <w:color w:val="000000" w:themeColor="text1"/>
                <w:szCs w:val="21"/>
                <w:highlight w:val="none"/>
                <w:lang w:eastAsia="zh-CN"/>
                <w14:textFill>
                  <w14:solidFill>
                    <w14:schemeClr w14:val="tx1"/>
                  </w14:solidFill>
                </w14:textFill>
              </w:rPr>
              <w:t>；</w:t>
            </w:r>
            <w:r>
              <w:rPr>
                <w:rFonts w:hint="eastAsia" w:ascii="Times New Roman" w:hAnsi="Times New Roman" w:eastAsia="宋体" w:cs="宋体"/>
                <w:color w:val="000000" w:themeColor="text1"/>
                <w:szCs w:val="21"/>
                <w:highlight w:val="none"/>
                <w14:textFill>
                  <w14:solidFill>
                    <w14:schemeClr w14:val="tx1"/>
                  </w14:solidFill>
                </w14:textFill>
              </w:rPr>
              <w:t>有缺漏项，每处扣</w:t>
            </w:r>
            <w:r>
              <w:rPr>
                <w:rFonts w:hint="eastAsia" w:cs="宋体"/>
                <w:color w:val="000000" w:themeColor="text1"/>
                <w:szCs w:val="21"/>
                <w:highlight w:val="none"/>
                <w:lang w:val="en-US" w:eastAsia="zh-CN"/>
                <w14:textFill>
                  <w14:solidFill>
                    <w14:schemeClr w14:val="tx1"/>
                  </w14:solidFill>
                </w14:textFill>
              </w:rPr>
              <w:t>3</w:t>
            </w:r>
            <w:r>
              <w:rPr>
                <w:rFonts w:hint="eastAsia" w:ascii="Times New Roman" w:hAnsi="Times New Roman" w:eastAsia="宋体" w:cs="宋体"/>
                <w:color w:val="000000" w:themeColor="text1"/>
                <w:szCs w:val="21"/>
                <w:highlight w:val="none"/>
                <w14:textFill>
                  <w14:solidFill>
                    <w14:schemeClr w14:val="tx1"/>
                  </w14:solidFill>
                </w14:textFill>
              </w:rPr>
              <w:t>分，有欠完善或不合理或不满足要求的，每处扣</w:t>
            </w:r>
            <w:r>
              <w:rPr>
                <w:rFonts w:hint="eastAsia" w:cs="宋体"/>
                <w:color w:val="000000" w:themeColor="text1"/>
                <w:szCs w:val="21"/>
                <w:highlight w:val="none"/>
                <w:lang w:val="en-US" w:eastAsia="zh-CN"/>
                <w14:textFill>
                  <w14:solidFill>
                    <w14:schemeClr w14:val="tx1"/>
                  </w14:solidFill>
                </w14:textFill>
              </w:rPr>
              <w:t>1.5</w:t>
            </w:r>
            <w:r>
              <w:rPr>
                <w:rFonts w:hint="eastAsia" w:ascii="Times New Roman" w:hAnsi="Times New Roman" w:eastAsia="宋体" w:cs="宋体"/>
                <w:color w:val="000000" w:themeColor="text1"/>
                <w:szCs w:val="21"/>
                <w:highlight w:val="none"/>
                <w14:textFill>
                  <w14:solidFill>
                    <w14:schemeClr w14:val="tx1"/>
                  </w14:solidFill>
                </w14:textFill>
              </w:rPr>
              <w:t>分，扣完为止。未提供方案的不计分。</w:t>
            </w:r>
          </w:p>
          <w:p w14:paraId="1E9CF605">
            <w:pPr>
              <w:keepNext w:val="0"/>
              <w:keepLines w:val="0"/>
              <w:pageBreakBefore w:val="0"/>
              <w:widowControl/>
              <w:shd w:val="clear"/>
              <w:kinsoku/>
              <w:wordWrap/>
              <w:overflowPunct/>
              <w:topLinePunct w:val="0"/>
              <w:autoSpaceDE/>
              <w:autoSpaceDN/>
              <w:bidi w:val="0"/>
              <w:adjustRightInd/>
              <w:snapToGrid/>
              <w:spacing w:line="240" w:lineRule="auto"/>
              <w:ind w:right="0" w:rightChars="0"/>
              <w:textAlignment w:val="center"/>
              <w:rPr>
                <w:rFonts w:hint="eastAsia" w:ascii="Times New Roman" w:hAnsi="Times New Roman" w:eastAsia="宋体" w:cs="宋体"/>
                <w:color w:val="000000" w:themeColor="text1"/>
                <w:szCs w:val="21"/>
                <w:highlight w:val="none"/>
                <w:lang w:val="zh-CN" w:eastAsia="zh-CN"/>
                <w14:textFill>
                  <w14:solidFill>
                    <w14:schemeClr w14:val="tx1"/>
                  </w14:solidFill>
                </w14:textFill>
              </w:rPr>
            </w:pPr>
            <w:r>
              <w:rPr>
                <w:rFonts w:hint="eastAsia" w:ascii="Times New Roman" w:hAnsi="Times New Roman" w:eastAsia="宋体" w:cs="宋体"/>
                <w:color w:val="000000" w:themeColor="text1"/>
                <w:szCs w:val="21"/>
                <w:highlight w:val="none"/>
                <w14:textFill>
                  <w14:solidFill>
                    <w14:schemeClr w14:val="tx1"/>
                  </w14:solidFill>
                </w14:textFill>
              </w:rPr>
              <w:t>（欠完善、不合理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r>
      <w:tr w14:paraId="2A6DBC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12" w:type="dxa"/>
            <w:vMerge w:val="continue"/>
            <w:noWrap w:val="0"/>
            <w:vAlign w:val="center"/>
          </w:tcPr>
          <w:p w14:paraId="45CD815E">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sz w:val="21"/>
                <w:szCs w:val="21"/>
                <w:highlight w:val="none"/>
                <w14:textFill>
                  <w14:solidFill>
                    <w14:schemeClr w14:val="tx1"/>
                  </w14:solidFill>
                </w14:textFill>
              </w:rPr>
            </w:pPr>
          </w:p>
        </w:tc>
        <w:tc>
          <w:tcPr>
            <w:tcW w:w="1117" w:type="dxa"/>
            <w:gridSpan w:val="2"/>
            <w:noWrap w:val="0"/>
            <w:vAlign w:val="center"/>
          </w:tcPr>
          <w:p w14:paraId="3CD02FD4">
            <w:pPr>
              <w:keepNext w:val="0"/>
              <w:keepLines w:val="0"/>
              <w:pageBreakBefore w:val="0"/>
              <w:shd w:val="clear"/>
              <w:kinsoku/>
              <w:wordWrap/>
              <w:overflowPunct/>
              <w:topLinePunct w:val="0"/>
              <w:autoSpaceDE/>
              <w:autoSpaceDN/>
              <w:bidi w:val="0"/>
              <w:adjustRightInd/>
              <w:snapToGrid/>
              <w:spacing w:after="0" w:line="240" w:lineRule="auto"/>
              <w:ind w:right="0" w:rightChars="0"/>
              <w:jc w:val="center"/>
              <w:rPr>
                <w:rFonts w:hint="eastAsia"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highlight w:val="none"/>
                <w14:textFill>
                  <w14:solidFill>
                    <w14:schemeClr w14:val="tx1"/>
                  </w14:solidFill>
                </w14:textFill>
              </w:rPr>
              <w:t>培训方案</w:t>
            </w:r>
          </w:p>
          <w:p w14:paraId="0C6A516E">
            <w:pPr>
              <w:pStyle w:val="189"/>
              <w:keepNext w:val="0"/>
              <w:keepLines w:val="0"/>
              <w:pageBreakBefore w:val="0"/>
              <w:shd w:val="clear"/>
              <w:kinsoku/>
              <w:wordWrap/>
              <w:overflowPunct/>
              <w:topLinePunct w:val="0"/>
              <w:autoSpaceDE/>
              <w:autoSpaceDN/>
              <w:bidi w:val="0"/>
              <w:adjustRightInd/>
              <w:snapToGrid/>
              <w:spacing w:line="240" w:lineRule="auto"/>
              <w:ind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p>
        </w:tc>
        <w:tc>
          <w:tcPr>
            <w:tcW w:w="683" w:type="dxa"/>
            <w:noWrap w:val="0"/>
            <w:vAlign w:val="center"/>
          </w:tcPr>
          <w:p w14:paraId="0D9824DD">
            <w:pPr>
              <w:keepNext w:val="0"/>
              <w:keepLines w:val="0"/>
              <w:pageBreakBefore w:val="0"/>
              <w:shd w:val="clear"/>
              <w:kinsoku/>
              <w:wordWrap/>
              <w:overflowPunct/>
              <w:topLinePunct w:val="0"/>
              <w:autoSpaceDE/>
              <w:autoSpaceDN/>
              <w:bidi w:val="0"/>
              <w:adjustRightInd/>
              <w:snapToGrid/>
              <w:spacing w:after="0" w:line="240" w:lineRule="auto"/>
              <w:ind w:right="0" w:rightChars="0"/>
              <w:jc w:val="center"/>
              <w:rPr>
                <w:rFonts w:hint="default" w:ascii="宋体" w:hAnsi="宋体"/>
                <w:bCs/>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10</w:t>
            </w:r>
          </w:p>
        </w:tc>
        <w:tc>
          <w:tcPr>
            <w:tcW w:w="6188" w:type="dxa"/>
            <w:noWrap w:val="0"/>
            <w:vAlign w:val="center"/>
          </w:tcPr>
          <w:p w14:paraId="132A94C7">
            <w:pPr>
              <w:keepNext w:val="0"/>
              <w:keepLines w:val="0"/>
              <w:pageBreakBefore w:val="0"/>
              <w:widowControl/>
              <w:shd w:val="clear"/>
              <w:kinsoku/>
              <w:wordWrap/>
              <w:overflowPunct/>
              <w:topLinePunct w:val="0"/>
              <w:autoSpaceDE/>
              <w:autoSpaceDN/>
              <w:bidi w:val="0"/>
              <w:adjustRightInd/>
              <w:snapToGrid/>
              <w:spacing w:line="240" w:lineRule="auto"/>
              <w:ind w:right="0" w:rightChars="0"/>
              <w:textAlignment w:val="center"/>
              <w:rPr>
                <w:rFonts w:ascii="Times New Roman" w:hAnsi="Times New Roman" w:eastAsia="宋体" w:cs="宋体"/>
                <w:color w:val="000000" w:themeColor="text1"/>
                <w:szCs w:val="21"/>
                <w:highlight w:val="none"/>
                <w14:textFill>
                  <w14:solidFill>
                    <w14:schemeClr w14:val="tx1"/>
                  </w14:solidFill>
                </w14:textFill>
              </w:rPr>
            </w:pPr>
            <w:r>
              <w:rPr>
                <w:rFonts w:hint="eastAsia" w:ascii="Times New Roman" w:hAnsi="Times New Roman" w:eastAsia="宋体" w:cs="宋体"/>
                <w:color w:val="000000" w:themeColor="text1"/>
                <w:szCs w:val="21"/>
                <w:highlight w:val="none"/>
                <w14:textFill>
                  <w14:solidFill>
                    <w14:schemeClr w14:val="tx1"/>
                  </w14:solidFill>
                </w14:textFill>
              </w:rPr>
              <w:t>投标人根据采购需求提供培训方案，方案内容包括但不限于：①培训人员配备</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t>及</w:t>
            </w:r>
            <w:r>
              <w:rPr>
                <w:rFonts w:hint="eastAsia" w:ascii="Times New Roman" w:hAnsi="Times New Roman" w:eastAsia="宋体" w:cs="宋体"/>
                <w:color w:val="000000" w:themeColor="text1"/>
                <w:szCs w:val="21"/>
                <w:highlight w:val="none"/>
                <w14:textFill>
                  <w14:solidFill>
                    <w14:schemeClr w14:val="tx1"/>
                  </w14:solidFill>
                </w14:textFill>
              </w:rPr>
              <w:t>培训师资</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t>情况</w:t>
            </w:r>
            <w:r>
              <w:rPr>
                <w:rFonts w:hint="eastAsia" w:ascii="Times New Roman" w:hAnsi="Times New Roman" w:eastAsia="宋体" w:cs="宋体"/>
                <w:color w:val="000000" w:themeColor="text1"/>
                <w:szCs w:val="21"/>
                <w:highlight w:val="none"/>
                <w14:textFill>
                  <w14:solidFill>
                    <w14:schemeClr w14:val="tx1"/>
                  </w14:solidFill>
                </w14:textFill>
              </w:rPr>
              <w:t>；②培训项目方案；③培训具体课程安排</w:t>
            </w:r>
            <w:r>
              <w:rPr>
                <w:rFonts w:hint="eastAsia" w:ascii="Times New Roman" w:hAnsi="Times New Roman" w:eastAsia="宋体" w:cs="宋体"/>
                <w:color w:val="000000" w:themeColor="text1"/>
                <w:szCs w:val="21"/>
                <w:highlight w:val="none"/>
                <w:lang w:eastAsia="zh-CN"/>
                <w14:textFill>
                  <w14:solidFill>
                    <w14:schemeClr w14:val="tx1"/>
                  </w14:solidFill>
                </w14:textFill>
              </w:rPr>
              <w:t>；</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fldChar w:fldCharType="begin"/>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instrText xml:space="preserve"> = 4 \* GB3 \* MERGEFORMAT </w:instrTex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fldChar w:fldCharType="separate"/>
            </w:r>
            <w:r>
              <w:rPr>
                <w:color w:val="000000" w:themeColor="text1"/>
                <w:highlight w:val="none"/>
                <w14:textFill>
                  <w14:solidFill>
                    <w14:schemeClr w14:val="tx1"/>
                  </w14:solidFill>
                </w14:textFill>
              </w:rPr>
              <w:t>④</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fldChar w:fldCharType="end"/>
            </w:r>
            <w:r>
              <w:rPr>
                <w:rFonts w:hint="eastAsia" w:ascii="Times New Roman" w:hAnsi="Times New Roman" w:eastAsia="宋体" w:cs="宋体"/>
                <w:color w:val="000000" w:themeColor="text1"/>
                <w:szCs w:val="21"/>
                <w:highlight w:val="none"/>
                <w14:textFill>
                  <w14:solidFill>
                    <w14:schemeClr w14:val="tx1"/>
                  </w14:solidFill>
                </w14:textFill>
              </w:rPr>
              <w:t>培训质量保证措施；</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fldChar w:fldCharType="begin"/>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instrText xml:space="preserve"> = 5 \* GB3 \* MERGEFORMAT </w:instrTex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fldChar w:fldCharType="separate"/>
            </w:r>
            <w:r>
              <w:rPr>
                <w:color w:val="000000" w:themeColor="text1"/>
                <w:highlight w:val="none"/>
                <w14:textFill>
                  <w14:solidFill>
                    <w14:schemeClr w14:val="tx1"/>
                  </w14:solidFill>
                </w14:textFill>
              </w:rPr>
              <w:t>⑤</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fldChar w:fldCharType="end"/>
            </w:r>
            <w:r>
              <w:rPr>
                <w:rFonts w:hint="eastAsia" w:ascii="Times New Roman" w:hAnsi="Times New Roman" w:eastAsia="宋体" w:cs="宋体"/>
                <w:color w:val="000000" w:themeColor="text1"/>
                <w:szCs w:val="21"/>
                <w:highlight w:val="none"/>
                <w14:textFill>
                  <w14:solidFill>
                    <w14:schemeClr w14:val="tx1"/>
                  </w14:solidFill>
                </w14:textFill>
              </w:rPr>
              <w:t>培训安全保障措施；</w:t>
            </w:r>
          </w:p>
          <w:p w14:paraId="39287481">
            <w:pPr>
              <w:keepNext w:val="0"/>
              <w:keepLines w:val="0"/>
              <w:pageBreakBefore w:val="0"/>
              <w:shd w:val="clear"/>
              <w:kinsoku/>
              <w:wordWrap/>
              <w:overflowPunct/>
              <w:topLinePunct w:val="0"/>
              <w:autoSpaceDE/>
              <w:autoSpaceDN/>
              <w:bidi w:val="0"/>
              <w:adjustRightInd/>
              <w:snapToGrid/>
              <w:spacing w:after="0" w:line="240" w:lineRule="auto"/>
              <w:ind w:right="0" w:rightChars="0"/>
              <w:rPr>
                <w:rFonts w:hint="eastAsia" w:ascii="Times New Roman" w:hAnsi="Times New Roman" w:eastAsia="宋体" w:cs="宋体"/>
                <w:snapToGrid w:val="0"/>
                <w:color w:val="000000" w:themeColor="text1"/>
                <w:kern w:val="2"/>
                <w:sz w:val="21"/>
                <w:szCs w:val="21"/>
                <w:highlight w:val="none"/>
                <w:lang w:val="zh-CN" w:eastAsia="zh-CN" w:bidi="ar"/>
                <w14:textFill>
                  <w14:solidFill>
                    <w14:schemeClr w14:val="tx1"/>
                  </w14:solidFill>
                </w14:textFill>
              </w:rPr>
            </w:pPr>
            <w:r>
              <w:rPr>
                <w:rFonts w:hint="eastAsia" w:ascii="Times New Roman" w:hAnsi="Times New Roman" w:eastAsia="宋体" w:cs="宋体"/>
                <w:color w:val="000000" w:themeColor="text1"/>
                <w:szCs w:val="21"/>
                <w:highlight w:val="none"/>
                <w14:textFill>
                  <w14:solidFill>
                    <w14:schemeClr w14:val="tx1"/>
                  </w14:solidFill>
                </w14:textFill>
              </w:rPr>
              <w:t>评审依据</w:t>
            </w:r>
            <w:r>
              <w:rPr>
                <w:rFonts w:hint="eastAsia" w:cs="宋体"/>
                <w:color w:val="000000" w:themeColor="text1"/>
                <w:szCs w:val="21"/>
                <w:highlight w:val="none"/>
                <w:lang w:eastAsia="zh-CN"/>
                <w14:textFill>
                  <w14:solidFill>
                    <w14:schemeClr w14:val="tx1"/>
                  </w14:solidFill>
                </w14:textFill>
              </w:rPr>
              <w:t>：</w:t>
            </w:r>
            <w:r>
              <w:rPr>
                <w:rFonts w:hint="eastAsia" w:ascii="Times New Roman" w:hAnsi="Times New Roman" w:eastAsia="宋体" w:cs="宋体"/>
                <w:color w:val="000000" w:themeColor="text1"/>
                <w:szCs w:val="21"/>
                <w:highlight w:val="none"/>
                <w14:textFill>
                  <w14:solidFill>
                    <w14:schemeClr w14:val="tx1"/>
                  </w14:solidFill>
                </w14:textFill>
              </w:rPr>
              <w:t>根据培训课程计划的合理性和培训方案的详尽程度进行评审，与项目需求吻合，培训方案层次细化，有具体详细的阐述且符合项目采购需求的</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t>计</w:t>
            </w:r>
            <w:r>
              <w:rPr>
                <w:rFonts w:hint="eastAsia" w:cs="宋体"/>
                <w:color w:val="000000" w:themeColor="text1"/>
                <w:szCs w:val="21"/>
                <w:highlight w:val="none"/>
                <w:lang w:val="en-US" w:eastAsia="zh-CN"/>
                <w14:textFill>
                  <w14:solidFill>
                    <w14:schemeClr w14:val="tx1"/>
                  </w14:solidFill>
                </w14:textFill>
              </w:rPr>
              <w:t>10</w:t>
            </w:r>
            <w:r>
              <w:rPr>
                <w:rFonts w:hint="eastAsia" w:ascii="Times New Roman" w:hAnsi="Times New Roman" w:eastAsia="宋体" w:cs="宋体"/>
                <w:color w:val="000000" w:themeColor="text1"/>
                <w:szCs w:val="21"/>
                <w:highlight w:val="none"/>
                <w14:textFill>
                  <w14:solidFill>
                    <w14:schemeClr w14:val="tx1"/>
                  </w14:solidFill>
                </w14:textFill>
              </w:rPr>
              <w:t>分，每缺少一项内容扣</w:t>
            </w:r>
            <w:r>
              <w:rPr>
                <w:rFonts w:hint="eastAsia" w:cs="宋体"/>
                <w:color w:val="000000" w:themeColor="text1"/>
                <w:szCs w:val="21"/>
                <w:highlight w:val="none"/>
                <w:lang w:val="en-US" w:eastAsia="zh-CN"/>
                <w14:textFill>
                  <w14:solidFill>
                    <w14:schemeClr w14:val="tx1"/>
                  </w14:solidFill>
                </w14:textFill>
              </w:rPr>
              <w:t>2</w:t>
            </w:r>
            <w:r>
              <w:rPr>
                <w:rFonts w:hint="eastAsia" w:ascii="Times New Roman" w:hAnsi="Times New Roman" w:eastAsia="宋体" w:cs="宋体"/>
                <w:color w:val="000000" w:themeColor="text1"/>
                <w:szCs w:val="21"/>
                <w:highlight w:val="none"/>
                <w14:textFill>
                  <w14:solidFill>
                    <w14:schemeClr w14:val="tx1"/>
                  </w14:solidFill>
                </w14:textFill>
              </w:rPr>
              <w:t>分；方案无缺漏项但有欠缺或不符合要求的每处扣</w:t>
            </w:r>
            <w:r>
              <w:rPr>
                <w:rFonts w:hint="eastAsia" w:cs="宋体"/>
                <w:color w:val="000000" w:themeColor="text1"/>
                <w:szCs w:val="21"/>
                <w:highlight w:val="none"/>
                <w:lang w:val="en-US" w:eastAsia="zh-CN"/>
                <w14:textFill>
                  <w14:solidFill>
                    <w14:schemeClr w14:val="tx1"/>
                  </w14:solidFill>
                </w14:textFill>
              </w:rPr>
              <w:t>1</w:t>
            </w:r>
            <w:r>
              <w:rPr>
                <w:rFonts w:hint="eastAsia" w:ascii="Times New Roman" w:hAnsi="Times New Roman" w:eastAsia="宋体" w:cs="宋体"/>
                <w:color w:val="000000" w:themeColor="text1"/>
                <w:szCs w:val="21"/>
                <w:highlight w:val="none"/>
                <w14:textFill>
                  <w14:solidFill>
                    <w14:schemeClr w14:val="tx1"/>
                  </w14:solidFill>
                </w14:textFill>
              </w:rPr>
              <w:t>分，扣完为止。未提供方案的不计分。</w:t>
            </w:r>
          </w:p>
        </w:tc>
      </w:tr>
      <w:tr w14:paraId="32568D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12" w:type="dxa"/>
            <w:vMerge w:val="restart"/>
            <w:noWrap w:val="0"/>
            <w:vAlign w:val="center"/>
          </w:tcPr>
          <w:p w14:paraId="47B5A010">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商务</w:t>
            </w:r>
            <w:r>
              <w:rPr>
                <w:rFonts w:hint="eastAsia" w:ascii="宋体" w:hAnsi="宋体" w:cs="宋体"/>
                <w:color w:val="000000" w:themeColor="text1"/>
                <w:sz w:val="21"/>
                <w:szCs w:val="21"/>
                <w:highlight w:val="none"/>
                <w:lang w:val="en-US" w:eastAsia="zh-CN"/>
                <w14:textFill>
                  <w14:solidFill>
                    <w14:schemeClr w14:val="tx1"/>
                  </w14:solidFill>
                </w14:textFill>
              </w:rPr>
              <w:t>部分</w:t>
            </w:r>
            <w:r>
              <w:rPr>
                <w:rFonts w:hint="eastAsia" w:ascii="宋体" w:hAnsi="宋体" w:cs="宋体"/>
                <w:color w:val="000000" w:themeColor="text1"/>
                <w:sz w:val="21"/>
                <w:szCs w:val="21"/>
                <w:highlight w:val="none"/>
                <w14:textFill>
                  <w14:solidFill>
                    <w14:schemeClr w14:val="tx1"/>
                  </w14:solidFill>
                </w14:textFill>
              </w:rPr>
              <w:t>(F</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14:textFill>
                  <w14:solidFill>
                    <w14:schemeClr w14:val="tx1"/>
                  </w14:solidFill>
                </w14:textFill>
              </w:rPr>
              <w:t>、满分为 100 分)</w:t>
            </w:r>
          </w:p>
        </w:tc>
        <w:tc>
          <w:tcPr>
            <w:tcW w:w="1117" w:type="dxa"/>
            <w:gridSpan w:val="2"/>
            <w:noWrap w:val="0"/>
            <w:vAlign w:val="center"/>
          </w:tcPr>
          <w:p w14:paraId="0E3E8C9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zh-CN"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类似业绩</w:t>
            </w:r>
          </w:p>
        </w:tc>
        <w:tc>
          <w:tcPr>
            <w:tcW w:w="683" w:type="dxa"/>
            <w:noWrap w:val="0"/>
            <w:vAlign w:val="center"/>
          </w:tcPr>
          <w:p w14:paraId="670A6E0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cs="宋体"/>
                <w:snapToGrid w:val="0"/>
                <w:color w:val="000000" w:themeColor="text1"/>
                <w:kern w:val="2"/>
                <w:sz w:val="21"/>
                <w:szCs w:val="21"/>
                <w:highlight w:val="none"/>
                <w:lang w:val="en-US" w:eastAsia="zh-CN" w:bidi="ar"/>
                <w14:textFill>
                  <w14:solidFill>
                    <w14:schemeClr w14:val="tx1"/>
                  </w14:solidFill>
                </w14:textFill>
              </w:rPr>
              <w:t>45</w:t>
            </w:r>
          </w:p>
        </w:tc>
        <w:tc>
          <w:tcPr>
            <w:tcW w:w="6188" w:type="dxa"/>
            <w:tcBorders>
              <w:bottom w:val="single" w:color="auto" w:sz="6" w:space="0"/>
            </w:tcBorders>
            <w:noWrap w:val="0"/>
            <w:vAlign w:val="center"/>
          </w:tcPr>
          <w:p w14:paraId="1754597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cs="宋体"/>
                <w:snapToGrid w:val="0"/>
                <w:color w:val="000000" w:themeColor="text1"/>
                <w:kern w:val="2"/>
                <w:sz w:val="21"/>
                <w:szCs w:val="21"/>
                <w:highlight w:val="none"/>
                <w:lang w:val="en-US" w:eastAsia="zh-CN" w:bidi="ar"/>
                <w14:textFill>
                  <w14:solidFill>
                    <w14:schemeClr w14:val="tx1"/>
                  </w14:solidFill>
                </w14:textFill>
              </w:rPr>
              <w:t>投标人或所</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投</w:t>
            </w:r>
            <w:r>
              <w:rPr>
                <w:rFonts w:hint="eastAsia" w:cs="宋体"/>
                <w:snapToGrid w:val="0"/>
                <w:color w:val="000000" w:themeColor="text1"/>
                <w:kern w:val="2"/>
                <w:sz w:val="21"/>
                <w:szCs w:val="21"/>
                <w:highlight w:val="none"/>
                <w:lang w:val="en-US" w:eastAsia="zh-CN" w:bidi="ar"/>
                <w14:textFill>
                  <w14:solidFill>
                    <w14:schemeClr w14:val="tx1"/>
                  </w14:solidFill>
                </w14:textFill>
              </w:rPr>
              <w:t>核心产品制造商</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近三年</w:t>
            </w:r>
            <w:r>
              <w:rPr>
                <w:rFonts w:hint="eastAsia" w:cs="宋体"/>
                <w:snapToGrid w:val="0"/>
                <w:color w:val="000000" w:themeColor="text1"/>
                <w:kern w:val="2"/>
                <w:sz w:val="21"/>
                <w:szCs w:val="21"/>
                <w:highlight w:val="none"/>
                <w:lang w:val="en-US" w:eastAsia="zh-CN" w:bidi="ar"/>
                <w14:textFill>
                  <w14:solidFill>
                    <w14:schemeClr w14:val="tx1"/>
                  </w14:solidFill>
                </w14:textFill>
              </w:rPr>
              <w:t>（</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投标截止时间前36个月内</w:t>
            </w:r>
            <w:r>
              <w:rPr>
                <w:rFonts w:hint="eastAsia" w:cs="宋体"/>
                <w:snapToGrid w:val="0"/>
                <w:color w:val="000000" w:themeColor="text1"/>
                <w:kern w:val="2"/>
                <w:sz w:val="21"/>
                <w:szCs w:val="21"/>
                <w:highlight w:val="none"/>
                <w:lang w:val="en-US" w:eastAsia="zh-CN" w:bidi="ar"/>
                <w14:textFill>
                  <w14:solidFill>
                    <w14:schemeClr w14:val="tx1"/>
                  </w14:solidFill>
                </w14:textFill>
              </w:rPr>
              <w:t>）</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具有类似业绩的，每提供一个计15分，最多计</w:t>
            </w:r>
            <w:r>
              <w:rPr>
                <w:rFonts w:hint="eastAsia" w:cs="宋体"/>
                <w:snapToGrid w:val="0"/>
                <w:color w:val="000000" w:themeColor="text1"/>
                <w:kern w:val="2"/>
                <w:sz w:val="21"/>
                <w:szCs w:val="21"/>
                <w:highlight w:val="none"/>
                <w:lang w:val="en-US" w:eastAsia="zh-CN" w:bidi="ar"/>
                <w14:textFill>
                  <w14:solidFill>
                    <w14:schemeClr w14:val="tx1"/>
                  </w14:solidFill>
                </w14:textFill>
              </w:rPr>
              <w:t>45</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分。</w:t>
            </w:r>
          </w:p>
          <w:p w14:paraId="43486E0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Times New Roman" w:hAnsi="Times New Roman" w:eastAsia="宋体" w:cs="宋体"/>
                <w:snapToGrid w:val="0"/>
                <w:color w:val="000000" w:themeColor="text1"/>
                <w:kern w:val="2"/>
                <w:sz w:val="21"/>
                <w:szCs w:val="21"/>
                <w:highlight w:val="none"/>
                <w:lang w:val="zh-CN"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注：日期以签订合同日期为准，提供合同并加盖公章，否则不计分。</w:t>
            </w:r>
          </w:p>
        </w:tc>
      </w:tr>
      <w:tr w14:paraId="3CDF75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12" w:type="dxa"/>
            <w:vMerge w:val="continue"/>
            <w:noWrap w:val="0"/>
            <w:vAlign w:val="center"/>
          </w:tcPr>
          <w:p w14:paraId="283E819F">
            <w:pPr>
              <w:keepNext w:val="0"/>
              <w:keepLines w:val="0"/>
              <w:pageBreakBefore w:val="0"/>
              <w:shd w:val="clear"/>
              <w:kinsoku/>
              <w:wordWrap/>
              <w:overflowPunct/>
              <w:topLinePunct w:val="0"/>
              <w:autoSpaceDE/>
              <w:autoSpaceDN/>
              <w:bidi w:val="0"/>
              <w:adjustRightInd/>
              <w:snapToGrid/>
              <w:spacing w:line="240" w:lineRule="auto"/>
              <w:ind w:right="0" w:rightChars="0"/>
              <w:jc w:val="center"/>
              <w:rPr>
                <w:rFonts w:hint="eastAsia" w:ascii="宋体" w:hAnsi="宋体" w:cs="宋体"/>
                <w:color w:val="000000" w:themeColor="text1"/>
                <w:sz w:val="21"/>
                <w:szCs w:val="21"/>
                <w:highlight w:val="none"/>
                <w14:textFill>
                  <w14:solidFill>
                    <w14:schemeClr w14:val="tx1"/>
                  </w14:solidFill>
                </w14:textFill>
              </w:rPr>
            </w:pPr>
          </w:p>
        </w:tc>
        <w:tc>
          <w:tcPr>
            <w:tcW w:w="1117" w:type="dxa"/>
            <w:gridSpan w:val="2"/>
            <w:noWrap w:val="0"/>
            <w:vAlign w:val="center"/>
          </w:tcPr>
          <w:p w14:paraId="212A1CD7">
            <w:pPr>
              <w:pStyle w:val="189"/>
              <w:keepNext w:val="0"/>
              <w:keepLines w:val="0"/>
              <w:pageBreakBefore w:val="0"/>
              <w:shd w:val="clear"/>
              <w:kinsoku/>
              <w:wordWrap/>
              <w:overflowPunct/>
              <w:topLinePunct w:val="0"/>
              <w:autoSpaceDE/>
              <w:autoSpaceDN/>
              <w:bidi w:val="0"/>
              <w:adjustRightInd/>
              <w:snapToGrid/>
              <w:spacing w:line="240" w:lineRule="auto"/>
              <w:ind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Style w:val="45"/>
                <w:rFonts w:ascii="宋体" w:hAnsi="宋体" w:eastAsia="宋体" w:cs="宋体"/>
                <w:b w:val="0"/>
                <w:color w:val="000000" w:themeColor="text1"/>
                <w:spacing w:val="0"/>
                <w:w w:val="100"/>
                <w:sz w:val="21"/>
                <w:szCs w:val="24"/>
                <w:highlight w:val="none"/>
                <w14:textFill>
                  <w14:solidFill>
                    <w14:schemeClr w14:val="tx1"/>
                  </w14:solidFill>
                </w14:textFill>
              </w:rPr>
              <w:t>售后服务</w:t>
            </w:r>
          </w:p>
        </w:tc>
        <w:tc>
          <w:tcPr>
            <w:tcW w:w="683" w:type="dxa"/>
            <w:noWrap w:val="0"/>
            <w:vAlign w:val="center"/>
          </w:tcPr>
          <w:p w14:paraId="0155C93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center"/>
              <w:rPr>
                <w:rFonts w:hint="default"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55</w:t>
            </w:r>
          </w:p>
        </w:tc>
        <w:tc>
          <w:tcPr>
            <w:tcW w:w="6188" w:type="dxa"/>
            <w:tcBorders>
              <w:bottom w:val="single" w:color="auto" w:sz="6" w:space="0"/>
            </w:tcBorders>
            <w:noWrap w:val="0"/>
            <w:vAlign w:val="center"/>
          </w:tcPr>
          <w:p w14:paraId="30855E2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根据投标文件中提供的售后服务方案进行评审，售后服务方案应包含但不限于以下内容：</w:t>
            </w:r>
          </w:p>
          <w:p w14:paraId="0E531A4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①服务内容（包含但不限于：设备维修、设备巡检、退换货服务、软硬件产品维护升级等）；</w:t>
            </w:r>
          </w:p>
          <w:p w14:paraId="13D0071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②服务承诺及保障措施（包含但不限于：保质期内项目维修维护）；</w:t>
            </w:r>
          </w:p>
          <w:p w14:paraId="5DC80AE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③备件供应及质量保证（包含但不限于：质保期内提供备品备件，必须保证所提供的产品均为原装产品，符合国家质量检测标准）；</w:t>
            </w:r>
          </w:p>
          <w:p w14:paraId="6FC8C15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④</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投标人或产品制造商具备</w:t>
            </w:r>
            <w:r>
              <w:rPr>
                <w:rFonts w:hint="eastAsia" w:cs="宋体"/>
                <w:snapToGrid w:val="0"/>
                <w:color w:val="000000" w:themeColor="text1"/>
                <w:kern w:val="2"/>
                <w:sz w:val="21"/>
                <w:szCs w:val="21"/>
                <w:highlight w:val="none"/>
                <w:lang w:val="en-US" w:eastAsia="zh-CN" w:bidi="ar"/>
                <w14:textFill>
                  <w14:solidFill>
                    <w14:schemeClr w14:val="tx1"/>
                  </w14:solidFill>
                </w14:textFill>
              </w:rPr>
              <w:t>完善的</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售后维修网点</w:t>
            </w:r>
            <w:r>
              <w:rPr>
                <w:rFonts w:hint="eastAsia" w:cs="宋体"/>
                <w:snapToGrid w:val="0"/>
                <w:color w:val="000000" w:themeColor="text1"/>
                <w:kern w:val="2"/>
                <w:sz w:val="21"/>
                <w:szCs w:val="21"/>
                <w:highlight w:val="none"/>
                <w:lang w:val="en-US" w:eastAsia="zh-CN" w:bidi="ar"/>
                <w14:textFill>
                  <w14:solidFill>
                    <w14:schemeClr w14:val="tx1"/>
                  </w14:solidFill>
                </w14:textFill>
              </w:rPr>
              <w:t>和有稳定的售后服务团队</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w:t>
            </w:r>
          </w:p>
          <w:p w14:paraId="6BCD394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⑤</w:t>
            </w:r>
            <w:r>
              <w:rPr>
                <w:rFonts w:hint="eastAsia" w:cs="宋体"/>
                <w:snapToGrid w:val="0"/>
                <w:color w:val="000000" w:themeColor="text1"/>
                <w:kern w:val="2"/>
                <w:sz w:val="21"/>
                <w:szCs w:val="21"/>
                <w:highlight w:val="none"/>
                <w:lang w:val="en-US" w:eastAsia="zh-CN" w:bidi="ar"/>
                <w14:textFill>
                  <w14:solidFill>
                    <w14:schemeClr w14:val="tx1"/>
                  </w14:solidFill>
                </w14:textFill>
              </w:rPr>
              <w:t>质保期外</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技术支持、应急处理预案</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w:t>
            </w:r>
          </w:p>
          <w:p w14:paraId="034A861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方案详细且完全满足采购要求的</w:t>
            </w:r>
            <w:r>
              <w:rPr>
                <w:rFonts w:hint="eastAsia" w:cs="宋体"/>
                <w:snapToGrid w:val="0"/>
                <w:color w:val="000000" w:themeColor="text1"/>
                <w:kern w:val="2"/>
                <w:sz w:val="21"/>
                <w:szCs w:val="21"/>
                <w:highlight w:val="none"/>
                <w:lang w:val="en-US" w:eastAsia="zh-CN" w:bidi="ar"/>
                <w14:textFill>
                  <w14:solidFill>
                    <w14:schemeClr w14:val="tx1"/>
                  </w14:solidFill>
                </w14:textFill>
              </w:rPr>
              <w:t>计</w:t>
            </w: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55分，有缺漏项，每处扣11分，有欠完善或不合理或不满足要求的，每处扣5.5分，扣完为止。</w:t>
            </w:r>
          </w:p>
          <w:p w14:paraId="5F5EBA2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宋体"/>
                <w:snapToGrid w:val="0"/>
                <w:color w:val="000000" w:themeColor="text1"/>
                <w:kern w:val="2"/>
                <w:sz w:val="21"/>
                <w:szCs w:val="21"/>
                <w:highlight w:val="none"/>
                <w:lang w:val="en-US" w:eastAsia="zh-CN" w:bidi="ar"/>
                <w14:textFill>
                  <w14:solidFill>
                    <w14:schemeClr w14:val="tx1"/>
                  </w14:solidFill>
                </w14:textFill>
              </w:rPr>
              <w:t>（欠完善、不合理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r>
    </w:tbl>
    <w:p w14:paraId="59E3B764">
      <w:pPr>
        <w:pStyle w:val="4"/>
        <w:keepNext w:val="0"/>
        <w:shd w:val="clear" w:color="auto"/>
        <w:spacing w:line="360" w:lineRule="auto"/>
        <w:jc w:val="both"/>
        <w:rPr>
          <w:rFonts w:hint="eastAsia" w:ascii="宋体" w:hAnsi="宋体"/>
          <w:color w:val="000000" w:themeColor="text1"/>
          <w:sz w:val="21"/>
          <w:szCs w:val="21"/>
          <w:highlight w:val="none"/>
          <w14:textFill>
            <w14:solidFill>
              <w14:schemeClr w14:val="tx1"/>
            </w14:solidFill>
          </w14:textFill>
        </w:rPr>
      </w:pPr>
      <w:bookmarkStart w:id="34" w:name="_Toc29689"/>
      <w:bookmarkStart w:id="35" w:name="_Toc28918"/>
      <w:r>
        <w:rPr>
          <w:rFonts w:hint="eastAsia" w:ascii="宋体" w:hAnsi="宋体"/>
          <w:color w:val="000000" w:themeColor="text1"/>
          <w:sz w:val="21"/>
          <w:szCs w:val="21"/>
          <w:highlight w:val="none"/>
          <w14:textFill>
            <w14:solidFill>
              <w14:schemeClr w14:val="tx1"/>
            </w14:solidFill>
          </w14:textFill>
        </w:rPr>
        <w:t>注：投标人须对以上要求提交的资料的真实性负责，如存在弄虚作假行为，将作无效投标处理。</w:t>
      </w:r>
      <w:bookmarkEnd w:id="34"/>
      <w:bookmarkEnd w:id="35"/>
    </w:p>
    <w:p w14:paraId="7DADEDBD">
      <w:pPr>
        <w:shd w:val="clear" w:color="auto"/>
        <w:adjustRightInd w:val="0"/>
        <w:snapToGrid w:val="0"/>
        <w:spacing w:before="156" w:beforeLines="50"/>
        <w:jc w:val="center"/>
        <w:rPr>
          <w:rFonts w:hint="eastAsia" w:ascii="黑体" w:hAnsi="黑体" w:eastAsia="黑体"/>
          <w:b/>
          <w:color w:val="000000" w:themeColor="text1"/>
          <w:sz w:val="28"/>
          <w:szCs w:val="28"/>
          <w:highlight w:val="none"/>
          <w14:textFill>
            <w14:solidFill>
              <w14:schemeClr w14:val="tx1"/>
            </w14:solidFill>
          </w14:textFill>
        </w:rPr>
      </w:pPr>
    </w:p>
    <w:p w14:paraId="3C7C54B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rightChars="0"/>
        <w:jc w:val="left"/>
        <w:rPr>
          <w:rFonts w:hint="eastAsia"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br w:type="page"/>
      </w:r>
    </w:p>
    <w:p w14:paraId="3E2D7BD6">
      <w:pP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pPr>
    </w:p>
    <w:p w14:paraId="6856997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adjustRightInd w:val="0"/>
        <w:snapToGrid w:val="0"/>
        <w:spacing w:before="0" w:beforeAutospacing="0" w:after="0" w:afterAutospacing="0" w:line="360" w:lineRule="auto"/>
        <w:ind w:left="0" w:right="0" w:firstLine="482" w:firstLineChars="200"/>
        <w:jc w:val="center"/>
        <w:rPr>
          <w:rFonts w:hint="eastAsia" w:ascii="Microsoft YaHei UI" w:hAnsi="Microsoft YaHei UI" w:eastAsia="Microsoft YaHei UI" w:cs="Microsoft YaHei UI"/>
          <w:b/>
          <w:bCs/>
          <w:i w:val="0"/>
          <w:iCs w:val="0"/>
          <w:caps w:val="0"/>
          <w:snapToGrid/>
          <w:color w:val="000000" w:themeColor="text1"/>
          <w:spacing w:val="7"/>
          <w:kern w:val="0"/>
          <w:sz w:val="25"/>
          <w:szCs w:val="25"/>
          <w:highlight w:val="none"/>
          <w:shd w:val="clear" w:color="auto" w:fill="FFFFFF"/>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t>关于评审委员会启动异常低价投标（响应）审查规定</w:t>
      </w:r>
    </w:p>
    <w:p w14:paraId="069851A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adjustRightInd w:val="0"/>
        <w:snapToGrid w:val="0"/>
        <w:spacing w:before="0" w:beforeAutospacing="0" w:after="0" w:afterAutospacing="0" w:line="360" w:lineRule="auto"/>
        <w:ind w:left="0" w:right="0" w:firstLine="480" w:firstLineChars="200"/>
        <w:jc w:val="both"/>
        <w:rPr>
          <w:rFonts w:ascii="Calibri" w:hAnsi="Calibri" w:eastAsia="宋体" w:cs="Times New Roman"/>
          <w:snapToGrid/>
          <w:color w:val="000000" w:themeColor="text1"/>
          <w:kern w:val="0"/>
          <w:sz w:val="24"/>
          <w:szCs w:val="24"/>
          <w:highlight w:val="none"/>
          <w:lang w:val="en-US" w:eastAsia="zh-CN" w:bidi="ar"/>
          <w14:textFill>
            <w14:solidFill>
              <w14:schemeClr w14:val="tx1"/>
            </w14:solidFill>
          </w14:textFill>
        </w:rPr>
      </w:pPr>
    </w:p>
    <w:p w14:paraId="04FAF9C5">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（一）政府采购评审中出现下列情形之一的，评审委员会应当启动异常低价投标（响应）审查程序：</w:t>
      </w:r>
    </w:p>
    <w:p w14:paraId="1B89C245">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1.投标（响应）报价低于全部通过符合性审查供应商投标（响应）报价平均值</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%的，即投标（响应）报价&lt;全部通过符合性审查供应商投标（响应）报价平均值×</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p w14:paraId="31C90431">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2.投标（响应）报价低于通过符合性审查的次低报价供应商投标（响应）报价</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%的，即投标（响应）报价&lt;通过符合性审查的次低报价供应商投标（响应）报价×</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p w14:paraId="1552069E">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3.投标（响应）报价低于采购项目最高限价</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5%的，即投标（响应）报价&lt;采购项目最高限价×</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p w14:paraId="10530134">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4.评审委员会基于专业判断，认为供应商报价过低，有可能影响产品质量或者不能诚信履约的其他情形。</w:t>
      </w:r>
    </w:p>
    <w:p w14:paraId="0D288540">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相关法律法规对供应商报价有规定的，从其规定。</w:t>
      </w:r>
    </w:p>
    <w:p w14:paraId="63380562">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FB45EF9">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19AEEF7">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1226965">
      <w:pPr>
        <w:keepNext w:val="0"/>
        <w:keepLines w:val="0"/>
        <w:pageBreakBefore w:val="0"/>
        <w:widowControl/>
        <w:suppressLineNumbers w:val="0"/>
        <w:shd w:val="clear" w:color="auto" w:fill="auto"/>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（三）异常低价投标（响应）审查的启动原因、审查意见和审查结果应当在评审报告中记录，并随供应商提供的相关书面说明及证明材料，以及评审委员会有关互联网浏览、查询历史一并归档。</w:t>
      </w:r>
    </w:p>
    <w:p w14:paraId="545AFF90">
      <w:pPr>
        <w:pStyle w:val="4"/>
        <w:shd w:val="clear"/>
        <w:rPr>
          <w:rFonts w:hint="eastAsia"/>
          <w:color w:val="000000" w:themeColor="text1"/>
          <w:highlight w:val="none"/>
          <w14:textFill>
            <w14:solidFill>
              <w14:schemeClr w14:val="tx1"/>
            </w14:solidFill>
          </w14:textFill>
        </w:rPr>
      </w:pPr>
    </w:p>
    <w:p w14:paraId="709A7C75">
      <w:pPr>
        <w:rPr>
          <w:rFonts w:hint="eastAsia" w:ascii="宋体" w:hAnsi="宋体"/>
          <w:b/>
          <w:bCs/>
          <w:color w:val="000000" w:themeColor="text1"/>
          <w:sz w:val="28"/>
          <w:szCs w:val="28"/>
          <w:highlight w:val="none"/>
          <w14:textFill>
            <w14:solidFill>
              <w14:schemeClr w14:val="tx1"/>
            </w14:solidFill>
          </w14:textFill>
        </w:rPr>
      </w:pPr>
      <w:bookmarkStart w:id="36" w:name="_Toc20651215"/>
      <w:bookmarkStart w:id="37" w:name="_Toc23519992"/>
      <w:r>
        <w:rPr>
          <w:rFonts w:hint="eastAsia" w:ascii="宋体" w:hAnsi="宋体"/>
          <w:b/>
          <w:bCs/>
          <w:color w:val="000000" w:themeColor="text1"/>
          <w:sz w:val="28"/>
          <w:szCs w:val="28"/>
          <w:highlight w:val="none"/>
          <w14:textFill>
            <w14:solidFill>
              <w14:schemeClr w14:val="tx1"/>
            </w14:solidFill>
          </w14:textFill>
        </w:rPr>
        <w:br w:type="page"/>
      </w:r>
    </w:p>
    <w:p w14:paraId="348586E2">
      <w:pPr>
        <w:widowControl/>
        <w:shd w:val="clea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第二节  评标方法及标准</w:t>
      </w:r>
      <w:bookmarkEnd w:id="36"/>
    </w:p>
    <w:p w14:paraId="27F5463E">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1．评标方法</w:t>
      </w:r>
      <w:bookmarkEnd w:id="37"/>
    </w:p>
    <w:p w14:paraId="0430B37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1.1评标方法：综合评分法，指投标文件满足招标文件全部实质性要求，且按照评审因素的量化指标评审得分最高的投标人为中标候选人的评标方法。</w:t>
      </w:r>
    </w:p>
    <w:p w14:paraId="3F5AF592">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1.2</w:t>
      </w:r>
      <w:r>
        <w:rPr>
          <w:rFonts w:hint="eastAsia" w:ascii="宋体" w:hAnsi="宋体"/>
          <w:color w:val="000000" w:themeColor="text1"/>
          <w:szCs w:val="21"/>
          <w:highlight w:val="none"/>
          <w14:textFill>
            <w14:solidFill>
              <w14:schemeClr w14:val="tx1"/>
            </w14:solidFill>
          </w14:textFill>
        </w:rPr>
        <w:t>评标因素：评审因素的设定应当与投标人所提供货物服务的质量相关，包括投标报价、技术或者服务水平、履约能力、售后服务等，但不包括第</w:t>
      </w:r>
      <w:r>
        <w:rPr>
          <w:rFonts w:hint="eastAsia" w:ascii="宋体" w:hAnsi="宋体"/>
          <w:b/>
          <w:bCs/>
          <w:color w:val="000000" w:themeColor="text1"/>
          <w:szCs w:val="21"/>
          <w:highlight w:val="none"/>
          <w14:textFill>
            <w14:solidFill>
              <w14:schemeClr w14:val="tx1"/>
            </w14:solidFill>
          </w14:textFill>
        </w:rPr>
        <w:t>一</w:t>
      </w:r>
      <w:r>
        <w:rPr>
          <w:rFonts w:hint="eastAsia" w:ascii="宋体" w:hAnsi="宋体"/>
          <w:color w:val="000000" w:themeColor="text1"/>
          <w:szCs w:val="21"/>
          <w:highlight w:val="none"/>
          <w14:textFill>
            <w14:solidFill>
              <w14:schemeClr w14:val="tx1"/>
            </w14:solidFill>
          </w14:textFill>
        </w:rPr>
        <w:t>章投标人的资格要求。</w:t>
      </w:r>
      <w:r>
        <w:rPr>
          <w:rFonts w:hint="eastAsia" w:ascii="宋体" w:hAnsi="宋体"/>
          <w:bCs/>
          <w:color w:val="000000" w:themeColor="text1"/>
          <w:szCs w:val="21"/>
          <w:highlight w:val="none"/>
          <w14:textFill>
            <w14:solidFill>
              <w14:schemeClr w14:val="tx1"/>
            </w14:solidFill>
          </w14:textFill>
        </w:rPr>
        <w:t>本采购项目</w:t>
      </w:r>
      <w:r>
        <w:rPr>
          <w:rFonts w:hint="eastAsia" w:ascii="宋体" w:hAnsi="宋体"/>
          <w:color w:val="000000" w:themeColor="text1"/>
          <w:szCs w:val="21"/>
          <w:highlight w:val="none"/>
          <w14:textFill>
            <w14:solidFill>
              <w14:schemeClr w14:val="tx1"/>
            </w14:solidFill>
          </w14:textFill>
        </w:rPr>
        <w:t>的评标因素和标准见【</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w:t>
      </w:r>
    </w:p>
    <w:p w14:paraId="6E8285EE">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38" w:name="_Toc23519993"/>
      <w:r>
        <w:rPr>
          <w:rFonts w:hint="eastAsia" w:ascii="宋体" w:hAnsi="宋体"/>
          <w:b/>
          <w:bCs/>
          <w:color w:val="000000" w:themeColor="text1"/>
          <w:sz w:val="24"/>
          <w:highlight w:val="none"/>
          <w14:textFill>
            <w14:solidFill>
              <w14:schemeClr w14:val="tx1"/>
            </w14:solidFill>
          </w14:textFill>
        </w:rPr>
        <w:t>2．评标程序</w:t>
      </w:r>
      <w:bookmarkEnd w:id="38"/>
    </w:p>
    <w:p w14:paraId="51C3A30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2.1评标程序分为投标文件符合性审查、澄清有关问题、比较和评价、推荐中标候选人。</w:t>
      </w:r>
    </w:p>
    <w:p w14:paraId="451FF170">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39" w:name="_Toc23519994"/>
      <w:r>
        <w:rPr>
          <w:rFonts w:hint="eastAsia" w:ascii="宋体" w:hAnsi="宋体"/>
          <w:b/>
          <w:bCs/>
          <w:color w:val="000000" w:themeColor="text1"/>
          <w:sz w:val="24"/>
          <w:highlight w:val="none"/>
          <w14:textFill>
            <w14:solidFill>
              <w14:schemeClr w14:val="tx1"/>
            </w14:solidFill>
          </w14:textFill>
        </w:rPr>
        <w:t>3．投标文件符合性审查</w:t>
      </w:r>
      <w:bookmarkEnd w:id="39"/>
    </w:p>
    <w:p w14:paraId="27248DE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3.1评标委员会应当对符合资格的投标人的投标文件进行符合性审查，以确定其是否满足招标文件的实质性要求。</w:t>
      </w:r>
    </w:p>
    <w:p w14:paraId="47452E4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依据招标文件的规定，从投标文件的有效性、完整性和对招标文件的响应程度进行审查，以确定是否对招标文件的实质性要求作出响应。评标委员会决定投标文件的响应性只根据投标文件真实无误的内容，而不依据外部的证据，但投标文件有不真实、不正确的内容时除外。</w:t>
      </w:r>
    </w:p>
    <w:p w14:paraId="7422CA6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（2）投标人不得通过修正或撤销不合要求的偏离从而使其投标成为实质上响应的投标。</w:t>
      </w:r>
    </w:p>
    <w:p w14:paraId="55AC2F93">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3.2投标人存在下列情况之一的，投标无效：</w:t>
      </w:r>
    </w:p>
    <w:p w14:paraId="66EC9D1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（1）投标文件中商务技术文件未按照招标文件规定要求签署、盖章的；</w:t>
      </w:r>
    </w:p>
    <w:p w14:paraId="1D73228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（2）投标文件没有对招标文件的实质性要求和条件作出响应，或者对招标文件的偏离超出招标文件规定的偏离范围和幅度的；</w:t>
      </w:r>
    </w:p>
    <w:p w14:paraId="2D14595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（3）投标有效期不足的；</w:t>
      </w:r>
    </w:p>
    <w:p w14:paraId="22C72BE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（4）投标文件含有采购人不能接受的附加条件的；</w:t>
      </w:r>
    </w:p>
    <w:p w14:paraId="6A63361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（5）法律、法规和招标文件规定的其他投标无效情形的。</w:t>
      </w:r>
    </w:p>
    <w:p w14:paraId="68E21DD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3.3在评标过程中发现投标人有不遵循公平竞争的原则，恶意串通，妨碍其他投标人的竞争行为，损害采购人或者其他投标人的合法权益的，评标委员会应当认定其投标无效，并书面报告本级财政部门。</w:t>
      </w:r>
    </w:p>
    <w:p w14:paraId="0C7AC88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 根据有关法律法规和招标文件的有关规定，如出现下列情况之一的，应予以废标：</w:t>
      </w:r>
    </w:p>
    <w:p w14:paraId="5E03222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（1）符合专业条件的投标人或者对招标文件作实质响应的投标人不足三家的；</w:t>
      </w:r>
    </w:p>
    <w:p w14:paraId="4C00F4E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（2）出现影响采购公正的违法、违规行为的；</w:t>
      </w:r>
    </w:p>
    <w:p w14:paraId="55E7A53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（3）投标人的报价均超过采购人项目采购预算，采购人不能支付的；</w:t>
      </w:r>
    </w:p>
    <w:p w14:paraId="1EE6CB4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（4）因重大变故，采购任务取消的。</w:t>
      </w:r>
    </w:p>
    <w:p w14:paraId="39575603">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40" w:name="_Toc23519995"/>
      <w:r>
        <w:rPr>
          <w:rFonts w:hint="eastAsia" w:ascii="宋体" w:hAnsi="宋体"/>
          <w:b/>
          <w:bCs/>
          <w:color w:val="000000" w:themeColor="text1"/>
          <w:sz w:val="24"/>
          <w:highlight w:val="none"/>
          <w14:textFill>
            <w14:solidFill>
              <w14:schemeClr w14:val="tx1"/>
            </w14:solidFill>
          </w14:textFill>
        </w:rPr>
        <w:t>4．澄清有关问题</w:t>
      </w:r>
      <w:bookmarkEnd w:id="40"/>
    </w:p>
    <w:p w14:paraId="0B7E85F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4.1对于投标文件中含义不明确、同类问题表述不一致或者有明显文字和计算错误的内容，评标委员会应当以书面形式要求投标人作出必要的澄清、说明或者补正。</w:t>
      </w:r>
    </w:p>
    <w:p w14:paraId="702EC4C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4.2投标文件的投标报价出现前后不一致的，除</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另有规定外，按照下列规定修正：</w:t>
      </w:r>
    </w:p>
    <w:p w14:paraId="10973D93">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（1）投标文件中开标一览表内容与投标文件中相应内容不一致的，以开标一览表为准；</w:t>
      </w:r>
    </w:p>
    <w:p w14:paraId="10BC256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（2）大写金额和小写金额不一致的，以大写金额为准；</w:t>
      </w:r>
    </w:p>
    <w:p w14:paraId="78F686E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（3）单价金额小数点或者百分比有明显错位的，以开标一览表的总价为准，并修改单价；</w:t>
      </w:r>
    </w:p>
    <w:p w14:paraId="08C0EB5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（4）总价金额与按单价汇总金额不一致的，以单价金额计算结果为准。</w:t>
      </w:r>
    </w:p>
    <w:p w14:paraId="724A594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4.3投标文件报价同时出现两种以上不一致的，按照前款规定的顺序修正。修正后的报价由投标人代表签字或者加盖单位章确认后产生约束力，投标人不确认的，其投标无效。</w:t>
      </w:r>
    </w:p>
    <w:p w14:paraId="2CC1D243">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6A72480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4.5有效的书面澄清材料，是投标文件的补充材料，成为投标文件的组成部分。</w:t>
      </w:r>
    </w:p>
    <w:p w14:paraId="59521E9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76D5C219">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41" w:name="_Toc23519996"/>
      <w:r>
        <w:rPr>
          <w:rFonts w:hint="eastAsia" w:ascii="宋体" w:hAnsi="宋体"/>
          <w:b/>
          <w:bCs/>
          <w:color w:val="000000" w:themeColor="text1"/>
          <w:sz w:val="24"/>
          <w:highlight w:val="none"/>
          <w14:textFill>
            <w14:solidFill>
              <w14:schemeClr w14:val="tx1"/>
            </w14:solidFill>
          </w14:textFill>
        </w:rPr>
        <w:t>5．比较与评价</w:t>
      </w:r>
      <w:bookmarkEnd w:id="41"/>
    </w:p>
    <w:p w14:paraId="48BFAF13">
      <w:pPr>
        <w:shd w:val="clear"/>
        <w:adjustRightInd w:val="0"/>
        <w:snapToGrid w:val="0"/>
        <w:spacing w:before="156" w:beforeLines="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5.1评标委员会应按照招标文件中规定的评标方法、</w:t>
      </w:r>
      <w:r>
        <w:rPr>
          <w:rFonts w:hint="eastAsia" w:ascii="宋体" w:hAnsi="宋体"/>
          <w:color w:val="000000" w:themeColor="text1"/>
          <w:szCs w:val="21"/>
          <w:highlight w:val="none"/>
          <w14:textFill>
            <w14:solidFill>
              <w14:schemeClr w14:val="tx1"/>
            </w14:solidFill>
          </w14:textFill>
        </w:rPr>
        <w:t>标准和评标因素，</w:t>
      </w:r>
      <w:r>
        <w:rPr>
          <w:rFonts w:hint="eastAsia" w:ascii="宋体" w:hAnsi="宋体"/>
          <w:bCs/>
          <w:color w:val="000000" w:themeColor="text1"/>
          <w:szCs w:val="21"/>
          <w:highlight w:val="none"/>
          <w14:textFill>
            <w14:solidFill>
              <w14:schemeClr w14:val="tx1"/>
            </w14:solidFill>
          </w14:textFill>
        </w:rPr>
        <w:t>对</w:t>
      </w:r>
      <w:r>
        <w:rPr>
          <w:rFonts w:hint="eastAsia" w:ascii="宋体" w:hAnsi="宋体"/>
          <w:color w:val="000000" w:themeColor="text1"/>
          <w:szCs w:val="21"/>
          <w:highlight w:val="none"/>
          <w14:textFill>
            <w14:solidFill>
              <w14:schemeClr w14:val="tx1"/>
            </w14:solidFill>
          </w14:textFill>
        </w:rPr>
        <w:t>资格性检查和符合性检查</w:t>
      </w:r>
      <w:r>
        <w:rPr>
          <w:rFonts w:hint="eastAsia" w:ascii="宋体" w:hAnsi="宋体"/>
          <w:bCs/>
          <w:color w:val="000000" w:themeColor="text1"/>
          <w:szCs w:val="21"/>
          <w:highlight w:val="none"/>
          <w14:textFill>
            <w14:solidFill>
              <w14:schemeClr w14:val="tx1"/>
            </w14:solidFill>
          </w14:textFill>
        </w:rPr>
        <w:t>合格的投标文件进行评估，综合比较与评价。</w:t>
      </w:r>
    </w:p>
    <w:p w14:paraId="66CEDAC2">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5.2</w:t>
      </w:r>
      <w:r>
        <w:rPr>
          <w:rFonts w:hint="eastAsia" w:ascii="宋体" w:hAnsi="宋体"/>
          <w:color w:val="000000" w:themeColor="text1"/>
          <w:szCs w:val="21"/>
          <w:highlight w:val="none"/>
          <w14:textFill>
            <w14:solidFill>
              <w14:schemeClr w14:val="tx1"/>
            </w14:solidFill>
          </w14:textFill>
        </w:rPr>
        <w:t>投标报价的修正或调整</w:t>
      </w:r>
    </w:p>
    <w:p w14:paraId="1BC9A6CD">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（1）如果有算术错误，投标报价将</w:t>
      </w:r>
      <w:r>
        <w:rPr>
          <w:rFonts w:hint="eastAsia" w:ascii="宋体" w:hAnsi="宋体"/>
          <w:bCs/>
          <w:color w:val="000000" w:themeColor="text1"/>
          <w:szCs w:val="21"/>
          <w:highlight w:val="none"/>
          <w14:textFill>
            <w14:solidFill>
              <w14:schemeClr w14:val="tx1"/>
            </w14:solidFill>
          </w14:textFill>
        </w:rPr>
        <w:t>按</w:t>
      </w:r>
      <w:r>
        <w:rPr>
          <w:rFonts w:hint="eastAsia" w:ascii="宋体" w:hAnsi="宋体"/>
          <w:color w:val="000000" w:themeColor="text1"/>
          <w:szCs w:val="21"/>
          <w:highlight w:val="none"/>
          <w14:textFill>
            <w14:solidFill>
              <w14:schemeClr w14:val="tx1"/>
            </w14:solidFill>
          </w14:textFill>
        </w:rPr>
        <w:t>本章第4.2款进行算术修正及修正次序规则修正。</w:t>
      </w:r>
    </w:p>
    <w:p w14:paraId="5EC55A57">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（2）需落实政府采购政策（价格评审优惠）的，按</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及第二章相关规定进行价格调整的，以调整后的价格计算评标基准价和投标报价。</w:t>
      </w:r>
    </w:p>
    <w:p w14:paraId="7A0E31BB">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（3）评标基准价和投标报价按照上述顺序修正或调整。</w:t>
      </w:r>
    </w:p>
    <w:p w14:paraId="3C7345E0">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5.3投标报价评价：价格分应当采用低价优先法计算，即满足招标文件要求且投标价格最低的投标报价为评标基准价，其价格分为满分（报价权重分）。其他投标人的价格分统一按照下列公式计算：</w:t>
      </w:r>
    </w:p>
    <w:p w14:paraId="3F1F4015">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投标报价得分=（评标基准价</w:t>
      </w:r>
      <w:r>
        <w:rPr>
          <w:rFonts w:hint="eastAsia" w:ascii="宋体" w:hAnsi="宋体"/>
          <w:color w:val="000000" w:themeColor="text1"/>
          <w:szCs w:val="21"/>
          <w:highlight w:val="none"/>
          <w:vertAlign w:val="subscript"/>
          <w14:textFill>
            <w14:solidFill>
              <w14:schemeClr w14:val="tx1"/>
            </w14:solidFill>
          </w14:textFill>
        </w:rPr>
        <w:t>调整</w:t>
      </w:r>
      <w:r>
        <w:rPr>
          <w:rFonts w:hint="eastAsia" w:ascii="宋体" w:hAnsi="宋体"/>
          <w:color w:val="000000" w:themeColor="text1"/>
          <w:szCs w:val="21"/>
          <w:highlight w:val="none"/>
          <w14:textFill>
            <w14:solidFill>
              <w14:schemeClr w14:val="tx1"/>
            </w14:solidFill>
          </w14:textFill>
        </w:rPr>
        <w:t>／投标报价</w:t>
      </w:r>
      <w:r>
        <w:rPr>
          <w:rFonts w:hint="eastAsia" w:ascii="宋体" w:hAnsi="宋体"/>
          <w:color w:val="000000" w:themeColor="text1"/>
          <w:szCs w:val="21"/>
          <w:highlight w:val="none"/>
          <w:vertAlign w:val="subscript"/>
          <w14:textFill>
            <w14:solidFill>
              <w14:schemeClr w14:val="tx1"/>
            </w14:solidFill>
          </w14:textFill>
        </w:rPr>
        <w:t>调整</w:t>
      </w:r>
      <w:r>
        <w:rPr>
          <w:rFonts w:hint="eastAsia" w:ascii="宋体" w:hAnsi="宋体"/>
          <w:color w:val="000000" w:themeColor="text1"/>
          <w:szCs w:val="21"/>
          <w:highlight w:val="none"/>
          <w14:textFill>
            <w14:solidFill>
              <w14:schemeClr w14:val="tx1"/>
            </w14:solidFill>
          </w14:textFill>
        </w:rPr>
        <w:t>） ×报价权重分</w:t>
      </w:r>
    </w:p>
    <w:p w14:paraId="60003B4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5.4技术、商务等评分项响应评价</w:t>
      </w:r>
    </w:p>
    <w:p w14:paraId="13B2601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（1）技术、商务等评分项响应评分。按本章第1.2款规定的评标因素和标准，对技术、商务等评分项计算得分。</w:t>
      </w:r>
    </w:p>
    <w:p w14:paraId="7BF4AD8A">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（2）需落实政府采购政策（优先采购）的，按</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color w:val="000000" w:themeColor="text1"/>
          <w:szCs w:val="21"/>
          <w:highlight w:val="none"/>
          <w14:textFill>
            <w14:solidFill>
              <w14:schemeClr w14:val="tx1"/>
            </w14:solidFill>
          </w14:textFill>
        </w:rPr>
        <w:t>及第二章相关规定进行技术、价格、商务项得分调整。</w:t>
      </w:r>
    </w:p>
    <w:p w14:paraId="19F622C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5.5评标总得分</w:t>
      </w:r>
    </w:p>
    <w:p w14:paraId="302A5F5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评标总得分＝F1×A1＋F2×A2＋……＋Fn×An</w:t>
      </w:r>
    </w:p>
    <w:p w14:paraId="51A7D0D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F1、F2……Fn分别为各项评审因素的得分；</w:t>
      </w:r>
    </w:p>
    <w:p w14:paraId="41C0B0B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A1、A2、……An 分别为各项评审因素所占的权重（A1＋A2＋…＋An＝1）。</w:t>
      </w:r>
    </w:p>
    <w:p w14:paraId="1534D9B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评标过程中，不得去掉报价中的最高报价和最低报价。</w:t>
      </w:r>
    </w:p>
    <w:p w14:paraId="71DA9673">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5.6评分分值计算保留小数点后两位，小数点后第三位“四舍五入”。</w:t>
      </w:r>
    </w:p>
    <w:p w14:paraId="6758DAA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5.7评标时，评标委员会各成员应当独立对每个投标人的投标文件进行评价、评分，然后汇总每个投标人每项评分因素的得分。</w:t>
      </w:r>
    </w:p>
    <w:p w14:paraId="0269AA3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5.8提供相同品牌产品且通过资格审查、符合性审查的不同投标人参加同一合同项下投标的，按一家投标人计算。由此导致投标人不足三家的，应予废标：</w:t>
      </w:r>
    </w:p>
    <w:p w14:paraId="6678D861">
      <w:pPr>
        <w:shd w:val="clear"/>
        <w:adjustRightInd w:val="0"/>
        <w:snapToGrid w:val="0"/>
        <w:spacing w:before="156" w:beforeLines="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（1）评审后得分最高的同品牌投标人获得中标人推荐资格，</w:t>
      </w:r>
      <w:r>
        <w:rPr>
          <w:rFonts w:hint="eastAsia" w:ascii="宋体" w:hAnsi="宋体"/>
          <w:b/>
          <w:bCs/>
          <w:color w:val="000000" w:themeColor="text1"/>
          <w:szCs w:val="21"/>
          <w:highlight w:val="none"/>
          <w14:textFill>
            <w14:solidFill>
              <w14:schemeClr w14:val="tx1"/>
            </w14:solidFill>
          </w14:textFill>
        </w:rPr>
        <w:t>其他同品牌投标人不作为中标候选人</w:t>
      </w:r>
      <w:r>
        <w:rPr>
          <w:rFonts w:hint="eastAsia" w:ascii="宋体" w:hAnsi="宋体"/>
          <w:bCs/>
          <w:color w:val="000000" w:themeColor="text1"/>
          <w:szCs w:val="21"/>
          <w:highlight w:val="none"/>
          <w14:textFill>
            <w14:solidFill>
              <w14:schemeClr w14:val="tx1"/>
            </w14:solidFill>
          </w14:textFill>
        </w:rPr>
        <w:t>。</w:t>
      </w:r>
    </w:p>
    <w:p w14:paraId="6C280C5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评审得分相同的，由采购人或者采购人委托评标委员会按照【评标方法及标准前附表】规定的方式确定一个投标人获得中标人推荐资格，招标文件未规定的采取随机抽取方式确定，其他同品牌投标人不作为中标候选人。</w:t>
      </w:r>
    </w:p>
    <w:p w14:paraId="601FCD7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5.9</w:t>
      </w:r>
      <w:r>
        <w:rPr>
          <w:rFonts w:hint="eastAsia" w:ascii="宋体" w:hAnsi="宋体"/>
          <w:bCs/>
          <w:color w:val="000000" w:themeColor="text1"/>
          <w:szCs w:val="21"/>
          <w:highlight w:val="none"/>
          <w14:textFill>
            <w14:solidFill>
              <w14:schemeClr w14:val="tx1"/>
            </w14:solidFill>
          </w14:textFill>
        </w:rPr>
        <w:t>非单一产品采购项目，采购人应当根据采购项目技术构成、产品价格比重等合理确定核心产品，并在</w:t>
      </w:r>
      <w:r>
        <w:rPr>
          <w:rFonts w:hint="eastAsia" w:ascii="宋体" w:hAnsi="宋体"/>
          <w:b/>
          <w:color w:val="000000" w:themeColor="text1"/>
          <w:szCs w:val="21"/>
          <w:highlight w:val="none"/>
          <w14:textFill>
            <w14:solidFill>
              <w14:schemeClr w14:val="tx1"/>
            </w14:solidFill>
          </w14:textFill>
        </w:rPr>
        <w:t>【评标方法及标准前附表】</w:t>
      </w:r>
      <w:r>
        <w:rPr>
          <w:rFonts w:hint="eastAsia" w:ascii="宋体" w:hAnsi="宋体"/>
          <w:bCs/>
          <w:color w:val="000000" w:themeColor="text1"/>
          <w:szCs w:val="21"/>
          <w:highlight w:val="none"/>
          <w14:textFill>
            <w14:solidFill>
              <w14:schemeClr w14:val="tx1"/>
            </w14:solidFill>
          </w14:textFill>
        </w:rPr>
        <w:t>中载明。多家投标人提供的核心产品品牌相同的，按本章第</w:t>
      </w:r>
      <w:r>
        <w:rPr>
          <w:rFonts w:ascii="宋体" w:hAnsi="宋体"/>
          <w:bCs/>
          <w:color w:val="000000" w:themeColor="text1"/>
          <w:szCs w:val="21"/>
          <w:highlight w:val="none"/>
          <w14:textFill>
            <w14:solidFill>
              <w14:schemeClr w14:val="tx1"/>
            </w14:solidFill>
          </w14:textFill>
        </w:rPr>
        <w:t>5.8</w:t>
      </w:r>
      <w:r>
        <w:rPr>
          <w:rFonts w:hint="eastAsia" w:ascii="宋体" w:hAnsi="宋体"/>
          <w:bCs/>
          <w:color w:val="000000" w:themeColor="text1"/>
          <w:szCs w:val="21"/>
          <w:highlight w:val="none"/>
          <w14:textFill>
            <w14:solidFill>
              <w14:schemeClr w14:val="tx1"/>
            </w14:solidFill>
          </w14:textFill>
        </w:rPr>
        <w:t>款规定处理。</w:t>
      </w:r>
    </w:p>
    <w:p w14:paraId="68A102E5">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42" w:name="_Toc23519997"/>
      <w:r>
        <w:rPr>
          <w:rFonts w:hint="eastAsia" w:ascii="宋体" w:hAnsi="宋体"/>
          <w:b/>
          <w:bCs/>
          <w:color w:val="000000" w:themeColor="text1"/>
          <w:sz w:val="24"/>
          <w:highlight w:val="none"/>
          <w14:textFill>
            <w14:solidFill>
              <w14:schemeClr w14:val="tx1"/>
            </w14:solidFill>
          </w14:textFill>
        </w:rPr>
        <w:t>6．确定中标候选人名单</w:t>
      </w:r>
      <w:bookmarkEnd w:id="42"/>
    </w:p>
    <w:p w14:paraId="364A916B">
      <w:pPr>
        <w:shd w:val="clear"/>
        <w:adjustRightInd w:val="0"/>
        <w:snapToGrid w:val="0"/>
        <w:spacing w:before="156" w:beforeLines="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w:t>
      </w:r>
      <w:r>
        <w:rPr>
          <w:rFonts w:hint="eastAsia" w:ascii="宋体" w:hAnsi="宋体"/>
          <w:bCs/>
          <w:color w:val="000000" w:themeColor="text1"/>
          <w:szCs w:val="21"/>
          <w:highlight w:val="none"/>
          <w14:textFill>
            <w14:solidFill>
              <w14:schemeClr w14:val="tx1"/>
            </w14:solidFill>
          </w14:textFill>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3A5FC9BB">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43" w:name="_Toc23519998"/>
      <w:r>
        <w:rPr>
          <w:rFonts w:hint="eastAsia" w:ascii="宋体" w:hAnsi="宋体"/>
          <w:b/>
          <w:bCs/>
          <w:color w:val="000000" w:themeColor="text1"/>
          <w:sz w:val="24"/>
          <w:highlight w:val="none"/>
          <w14:textFill>
            <w14:solidFill>
              <w14:schemeClr w14:val="tx1"/>
            </w14:solidFill>
          </w14:textFill>
        </w:rPr>
        <w:t>7．编写评标报告</w:t>
      </w:r>
      <w:bookmarkEnd w:id="43"/>
    </w:p>
    <w:p w14:paraId="4EDE62B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7.1评标委员会根据全体评标成员签字的原始评标记录和评标结果编写评标报告。</w:t>
      </w:r>
    </w:p>
    <w:p w14:paraId="2AB7F77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7.2评标委员会成员对需要共同认定的事项存在争议的，应当按照少数服从多数的原则作出结论。持不同意见的评标委员会成员应当在评标报告上签署不同意见及理由，否则视为同意评标报告。</w:t>
      </w:r>
    </w:p>
    <w:p w14:paraId="04C94523">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44" w:name="_Toc23519999"/>
      <w:r>
        <w:rPr>
          <w:rFonts w:hint="eastAsia" w:ascii="宋体" w:hAnsi="宋体"/>
          <w:b/>
          <w:bCs/>
          <w:color w:val="000000" w:themeColor="text1"/>
          <w:sz w:val="24"/>
          <w:highlight w:val="none"/>
          <w14:textFill>
            <w14:solidFill>
              <w14:schemeClr w14:val="tx1"/>
            </w14:solidFill>
          </w14:textFill>
        </w:rPr>
        <w:t>8．评标报告复核</w:t>
      </w:r>
      <w:bookmarkEnd w:id="44"/>
    </w:p>
    <w:p w14:paraId="15B293C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8.1汇总完成后，除下列情形外，任何人不得修改评标结果：</w:t>
      </w:r>
    </w:p>
    <w:p w14:paraId="48A3E03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（1）分值汇总计算错误的；</w:t>
      </w:r>
    </w:p>
    <w:p w14:paraId="01A729A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（2）分项评分超出评分标准范围的；</w:t>
      </w:r>
    </w:p>
    <w:p w14:paraId="1DC328E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（3）评标委员会成员对客观评审因素评分不一致的；</w:t>
      </w:r>
    </w:p>
    <w:p w14:paraId="421248D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（4）经评标委员会认定评分畸高、畸低的。</w:t>
      </w:r>
    </w:p>
    <w:p w14:paraId="0C509EC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334C497">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45" w:name="_Toc23520000"/>
      <w:r>
        <w:rPr>
          <w:rFonts w:hint="eastAsia" w:ascii="宋体" w:hAnsi="宋体"/>
          <w:b/>
          <w:bCs/>
          <w:color w:val="000000" w:themeColor="text1"/>
          <w:sz w:val="24"/>
          <w:highlight w:val="none"/>
          <w14:textFill>
            <w14:solidFill>
              <w14:schemeClr w14:val="tx1"/>
            </w14:solidFill>
          </w14:textFill>
        </w:rPr>
        <w:t>9．停止评标</w:t>
      </w:r>
      <w:bookmarkEnd w:id="45"/>
    </w:p>
    <w:p w14:paraId="727F148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8486B23">
      <w:pPr>
        <w:shd w:val="clear"/>
        <w:adjustRightInd w:val="0"/>
        <w:snapToGrid w:val="0"/>
        <w:spacing w:line="360" w:lineRule="auto"/>
        <w:jc w:val="left"/>
        <w:rPr>
          <w:rFonts w:ascii="宋体" w:hAnsi="宋体"/>
          <w:b/>
          <w:bCs/>
          <w:color w:val="000000" w:themeColor="text1"/>
          <w:sz w:val="24"/>
          <w:highlight w:val="none"/>
          <w14:textFill>
            <w14:solidFill>
              <w14:schemeClr w14:val="tx1"/>
            </w14:solidFill>
          </w14:textFill>
        </w:rPr>
      </w:pPr>
      <w:bookmarkStart w:id="46" w:name="_Toc23520001"/>
      <w:r>
        <w:rPr>
          <w:rFonts w:hint="eastAsia" w:ascii="宋体" w:hAnsi="宋体"/>
          <w:b/>
          <w:bCs/>
          <w:color w:val="000000" w:themeColor="text1"/>
          <w:sz w:val="24"/>
          <w:highlight w:val="none"/>
          <w14:textFill>
            <w14:solidFill>
              <w14:schemeClr w14:val="tx1"/>
            </w14:solidFill>
          </w14:textFill>
        </w:rPr>
        <w:t>10．重新组建评标委员会进行评标</w:t>
      </w:r>
      <w:bookmarkEnd w:id="46"/>
    </w:p>
    <w:p w14:paraId="48BD70B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10.1评标委员会或者其成员存在下列情形导致评标结果无效的，采购人或者采购代理机构可以重新组建评标委员会进行评标，并书面报告本级财政部门，但采购合同已经履行的除外：</w:t>
      </w:r>
    </w:p>
    <w:p w14:paraId="256753E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（1）评标委员会组成不符合《政府采购货物和服务招标投标管理办法》规定的；</w:t>
      </w:r>
    </w:p>
    <w:p w14:paraId="4AB357D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（2）有《政府采购货物和服务招标投标管理办法》第六十二条第一至五项情形的；</w:t>
      </w:r>
    </w:p>
    <w:p w14:paraId="6BCD7F2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（3）评标委员会及其成员独立评标受到非法干预的；</w:t>
      </w:r>
    </w:p>
    <w:p w14:paraId="2EE947B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（4）有政府采购法实施条例第七十五条规定的违法行为的。</w:t>
      </w:r>
    </w:p>
    <w:p w14:paraId="7AE5DC6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10.2有违法违规行为的原评标委员会成员不得参加重新组建的评标委员会。</w:t>
      </w:r>
    </w:p>
    <w:p w14:paraId="0C9F18E0">
      <w:pPr>
        <w:pStyle w:val="22"/>
        <w:shd w:val="clear"/>
        <w:adjustRightInd w:val="0"/>
        <w:snapToGrid w:val="0"/>
        <w:spacing w:line="360" w:lineRule="auto"/>
        <w:jc w:val="center"/>
        <w:outlineLvl w:val="0"/>
        <w:rPr>
          <w:rFonts w:ascii="黑体" w:hAnsi="华文中宋" w:eastAsia="黑体"/>
          <w:b/>
          <w:color w:val="000000" w:themeColor="text1"/>
          <w:sz w:val="32"/>
          <w:szCs w:val="32"/>
          <w:highlight w:val="none"/>
          <w14:textFill>
            <w14:solidFill>
              <w14:schemeClr w14:val="tx1"/>
            </w14:solidFill>
          </w14:textFill>
        </w:rPr>
      </w:pPr>
    </w:p>
    <w:p w14:paraId="5B110909">
      <w:pPr>
        <w:shd w:val="clear"/>
        <w:adjustRightInd w:val="0"/>
        <w:snapToGrid w:val="0"/>
        <w:spacing w:line="380" w:lineRule="exact"/>
        <w:ind w:firstLine="420" w:firstLineChars="200"/>
        <w:jc w:val="left"/>
        <w:rPr>
          <w:rFonts w:ascii="宋体" w:hAnsi="宋体"/>
          <w:color w:val="000000" w:themeColor="text1"/>
          <w:szCs w:val="21"/>
          <w:highlight w:val="none"/>
          <w14:textFill>
            <w14:solidFill>
              <w14:schemeClr w14:val="tx1"/>
            </w14:solidFill>
          </w14:textFill>
        </w:rPr>
      </w:pPr>
    </w:p>
    <w:p w14:paraId="6FA3648E">
      <w:pPr>
        <w:shd w:val="clear"/>
        <w:adjustRightInd w:val="0"/>
        <w:snapToGrid w:val="0"/>
        <w:spacing w:line="360" w:lineRule="auto"/>
        <w:ind w:firstLine="420" w:firstLineChars="20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r>
    </w:p>
    <w:p w14:paraId="604D8764">
      <w:pPr>
        <w:pStyle w:val="4"/>
        <w:shd w:val="clear"/>
        <w:rPr>
          <w:rFonts w:ascii="黑体" w:hAnsi="黑体" w:eastAsia="黑体"/>
          <w:color w:val="000000" w:themeColor="text1"/>
          <w:sz w:val="32"/>
          <w:szCs w:val="32"/>
          <w:highlight w:val="none"/>
          <w14:textFill>
            <w14:solidFill>
              <w14:schemeClr w14:val="tx1"/>
            </w14:solidFill>
          </w14:textFill>
        </w:rPr>
      </w:pPr>
      <w:bookmarkStart w:id="47" w:name="_Toc78815073"/>
      <w:r>
        <w:rPr>
          <w:rFonts w:hint="eastAsia" w:ascii="黑体" w:hAnsi="黑体" w:eastAsia="黑体"/>
          <w:color w:val="000000" w:themeColor="text1"/>
          <w:sz w:val="32"/>
          <w:szCs w:val="32"/>
          <w:highlight w:val="none"/>
          <w14:textFill>
            <w14:solidFill>
              <w14:schemeClr w14:val="tx1"/>
            </w14:solidFill>
          </w14:textFill>
        </w:rPr>
        <w:t>第五章 采购需求</w:t>
      </w:r>
      <w:bookmarkEnd w:id="47"/>
    </w:p>
    <w:p w14:paraId="41326980">
      <w:pPr>
        <w:shd w:val="clear"/>
        <w:spacing w:line="276" w:lineRule="auto"/>
        <w:rPr>
          <w:rFonts w:ascii="宋体"/>
          <w:color w:val="000000" w:themeColor="text1"/>
          <w:szCs w:val="21"/>
          <w:highlight w:val="none"/>
          <w14:textFill>
            <w14:solidFill>
              <w14:schemeClr w14:val="tx1"/>
            </w14:solidFill>
          </w14:textFill>
        </w:rPr>
      </w:pPr>
      <w:r>
        <w:rPr>
          <w:rFonts w:hint="eastAsia" w:ascii="宋体"/>
          <w:b/>
          <w:color w:val="000000" w:themeColor="text1"/>
          <w:szCs w:val="21"/>
          <w:highlight w:val="none"/>
          <w14:textFill>
            <w14:solidFill>
              <w14:schemeClr w14:val="tx1"/>
            </w14:solidFill>
          </w14:textFill>
        </w:rPr>
        <w:t>说明：</w:t>
      </w:r>
    </w:p>
    <w:p w14:paraId="450D18E5">
      <w:pPr>
        <w:shd w:val="clear"/>
        <w:spacing w:line="276" w:lineRule="auto"/>
        <w:ind w:firstLine="437"/>
        <w:rPr>
          <w:rFonts w:ascii="宋体"/>
          <w:b/>
          <w:color w:val="000000" w:themeColor="text1"/>
          <w:szCs w:val="21"/>
          <w:highlight w:val="none"/>
          <w14:textFill>
            <w14:solidFill>
              <w14:schemeClr w14:val="tx1"/>
            </w14:solidFill>
          </w14:textFill>
        </w:rPr>
      </w:pPr>
      <w:r>
        <w:rPr>
          <w:rFonts w:hint="eastAsia" w:ascii="宋体"/>
          <w:b/>
          <w:bCs/>
          <w:color w:val="000000" w:themeColor="text1"/>
          <w:szCs w:val="21"/>
          <w:highlight w:val="none"/>
          <w14:textFill>
            <w14:solidFill>
              <w14:schemeClr w14:val="tx1"/>
            </w14:solidFill>
          </w14:textFill>
        </w:rPr>
        <w:t>1、</w:t>
      </w:r>
      <w:bookmarkStart w:id="48" w:name="_Hlk86937485"/>
      <w:r>
        <w:rPr>
          <w:rFonts w:hint="eastAsia" w:ascii="宋体" w:hAnsi="宋体"/>
          <w:b/>
          <w:color w:val="000000" w:themeColor="text1"/>
          <w:szCs w:val="21"/>
          <w:highlight w:val="none"/>
          <w14:textFill>
            <w14:solidFill>
              <w14:schemeClr w14:val="tx1"/>
            </w14:solidFill>
          </w14:textFill>
        </w:rPr>
        <w:t>招标文件中</w:t>
      </w:r>
      <w:r>
        <w:rPr>
          <w:rFonts w:hint="eastAsia" w:ascii="宋体"/>
          <w:b/>
          <w:color w:val="000000" w:themeColor="text1"/>
          <w:szCs w:val="21"/>
          <w:highlight w:val="none"/>
          <w14:textFill>
            <w14:solidFill>
              <w14:schemeClr w14:val="tx1"/>
            </w14:solidFill>
          </w14:textFill>
        </w:rPr>
        <w:t>打★号及表述为“须”或“必须”的条款均为实质性要求或条件，投标人必须作出满足或者优于该要求和条件的承诺</w:t>
      </w:r>
      <w:r>
        <w:rPr>
          <w:rFonts w:hint="eastAsia" w:ascii="宋体" w:hAnsi="宋体"/>
          <w:b/>
          <w:color w:val="000000" w:themeColor="text1"/>
          <w:szCs w:val="21"/>
          <w:highlight w:val="none"/>
          <w14:textFill>
            <w14:solidFill>
              <w14:schemeClr w14:val="tx1"/>
            </w14:solidFill>
          </w14:textFill>
        </w:rPr>
        <w:t>（另有要求的除外）</w:t>
      </w:r>
      <w:r>
        <w:rPr>
          <w:rFonts w:hint="eastAsia" w:ascii="宋体"/>
          <w:b/>
          <w:color w:val="000000" w:themeColor="text1"/>
          <w:szCs w:val="21"/>
          <w:highlight w:val="none"/>
          <w14:textFill>
            <w14:solidFill>
              <w14:schemeClr w14:val="tx1"/>
            </w14:solidFill>
          </w14:textFill>
        </w:rPr>
        <w:t>，否则投标无效。</w:t>
      </w:r>
      <w:bookmarkEnd w:id="48"/>
    </w:p>
    <w:p w14:paraId="69165884">
      <w:pPr>
        <w:shd w:val="clear"/>
        <w:spacing w:line="276" w:lineRule="auto"/>
        <w:ind w:firstLine="437"/>
        <w:rPr>
          <w:rFonts w:ascii="宋体"/>
          <w:b/>
          <w:bCs/>
          <w:color w:val="000000" w:themeColor="text1"/>
          <w:szCs w:val="21"/>
          <w:highlight w:val="none"/>
          <w14:textFill>
            <w14:solidFill>
              <w14:schemeClr w14:val="tx1"/>
            </w14:solidFill>
          </w14:textFill>
        </w:rPr>
      </w:pPr>
      <w:r>
        <w:rPr>
          <w:rFonts w:hint="eastAsia" w:ascii="宋体"/>
          <w:b/>
          <w:bCs/>
          <w:color w:val="000000" w:themeColor="text1"/>
          <w:szCs w:val="21"/>
          <w:highlight w:val="none"/>
          <w14:textFill>
            <w14:solidFill>
              <w14:schemeClr w14:val="tx1"/>
            </w14:solidFill>
          </w14:textFill>
        </w:rPr>
        <w:t>2、招标文件中所要求提供的证明材料，如为英文文本的请提供中文翻释文本。</w:t>
      </w:r>
    </w:p>
    <w:p w14:paraId="59BC8644">
      <w:pPr>
        <w:shd w:val="clear"/>
        <w:spacing w:line="276" w:lineRule="auto"/>
        <w:ind w:firstLine="437"/>
        <w:rPr>
          <w:rFonts w:ascii="宋体"/>
          <w:b/>
          <w:bCs/>
          <w:color w:val="000000" w:themeColor="text1"/>
          <w:szCs w:val="21"/>
          <w:highlight w:val="none"/>
          <w14:textFill>
            <w14:solidFill>
              <w14:schemeClr w14:val="tx1"/>
            </w14:solidFill>
          </w14:textFill>
        </w:rPr>
      </w:pPr>
      <w:r>
        <w:rPr>
          <w:rFonts w:hint="eastAsia" w:ascii="宋体"/>
          <w:b/>
          <w:bCs/>
          <w:color w:val="000000" w:themeColor="text1"/>
          <w:szCs w:val="21"/>
          <w:highlight w:val="none"/>
          <w:lang w:val="en-US" w:eastAsia="zh-CN"/>
          <w14:textFill>
            <w14:solidFill>
              <w14:schemeClr w14:val="tx1"/>
            </w14:solidFill>
          </w14:textFill>
        </w:rPr>
        <w:t>3</w:t>
      </w:r>
      <w:r>
        <w:rPr>
          <w:rFonts w:hint="eastAsia" w:ascii="宋体"/>
          <w:b/>
          <w:bCs/>
          <w:color w:val="000000" w:themeColor="text1"/>
          <w:szCs w:val="21"/>
          <w:highlight w:val="none"/>
          <w14:textFill>
            <w14:solidFill>
              <w14:schemeClr w14:val="tx1"/>
            </w14:solidFill>
          </w14:textFill>
        </w:rPr>
        <w:t>、投标人必须自行为其投标产品侵犯其他投标人或专利人的专利成果承担相应法律责任；同时，具有产品专利的投标人应在其投标文件中提供与其自有产品专利相关的有效证明材料，否则，不能就其产品的专利在本项目投标过程中被侵权问题提出异议。</w:t>
      </w:r>
    </w:p>
    <w:p w14:paraId="70AD6A21">
      <w:pPr>
        <w:shd w:val="clear"/>
        <w:spacing w:line="276" w:lineRule="auto"/>
        <w:ind w:firstLine="437"/>
        <w:rPr>
          <w:rFonts w:ascii="宋体"/>
          <w:b/>
          <w:bCs/>
          <w:color w:val="000000" w:themeColor="text1"/>
          <w:szCs w:val="21"/>
          <w:highlight w:val="none"/>
          <w14:textFill>
            <w14:solidFill>
              <w14:schemeClr w14:val="tx1"/>
            </w14:solidFill>
          </w14:textFill>
        </w:rPr>
      </w:pPr>
      <w:r>
        <w:rPr>
          <w:rFonts w:hint="eastAsia" w:ascii="宋体"/>
          <w:b/>
          <w:bCs/>
          <w:color w:val="000000" w:themeColor="text1"/>
          <w:szCs w:val="21"/>
          <w:highlight w:val="none"/>
          <w:lang w:val="en-US" w:eastAsia="zh-CN"/>
          <w14:textFill>
            <w14:solidFill>
              <w14:schemeClr w14:val="tx1"/>
            </w14:solidFill>
          </w14:textFill>
        </w:rPr>
        <w:t>4</w:t>
      </w:r>
      <w:r>
        <w:rPr>
          <w:rFonts w:hint="eastAsia" w:ascii="宋体"/>
          <w:b/>
          <w:bCs/>
          <w:color w:val="000000" w:themeColor="text1"/>
          <w:szCs w:val="21"/>
          <w:highlight w:val="none"/>
          <w14:textFill>
            <w14:solidFill>
              <w14:schemeClr w14:val="tx1"/>
            </w14:solidFill>
          </w14:textFill>
        </w:rPr>
        <w:t>、投标人所投标货物或服务如国家有强制性要求的按国家规定执行，并提供相关证明材料。若执行标准有修改或更新按最新版本执行。</w:t>
      </w:r>
    </w:p>
    <w:p w14:paraId="0262AF54">
      <w:pPr>
        <w:widowControl/>
        <w:shd w:val="clear"/>
        <w:spacing w:line="440" w:lineRule="exact"/>
        <w:jc w:val="left"/>
        <w:rPr>
          <w:rFonts w:hint="eastAsia" w:ascii="宋体" w:hAnsi="宋体"/>
          <w:b/>
          <w:color w:val="000000" w:themeColor="text1"/>
          <w:szCs w:val="21"/>
          <w:highlight w:val="none"/>
          <w14:textFill>
            <w14:solidFill>
              <w14:schemeClr w14:val="tx1"/>
            </w14:solidFill>
          </w14:textFill>
        </w:rPr>
      </w:pPr>
      <w:bookmarkStart w:id="49" w:name="_Toc23520003"/>
      <w:r>
        <w:rPr>
          <w:rFonts w:hint="eastAsia" w:ascii="宋体" w:hAnsi="宋体"/>
          <w:b/>
          <w:color w:val="000000" w:themeColor="text1"/>
          <w:szCs w:val="21"/>
          <w:highlight w:val="none"/>
          <w14:textFill>
            <w14:solidFill>
              <w14:schemeClr w14:val="tx1"/>
            </w14:solidFill>
          </w14:textFill>
        </w:rPr>
        <w:t>一、采购清单一览表</w:t>
      </w:r>
      <w:bookmarkEnd w:id="49"/>
    </w:p>
    <w:tbl>
      <w:tblPr>
        <w:tblStyle w:val="44"/>
        <w:tblW w:w="10398"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804"/>
        <w:gridCol w:w="4617"/>
        <w:gridCol w:w="1551"/>
        <w:gridCol w:w="1713"/>
        <w:gridCol w:w="1713"/>
      </w:tblGrid>
      <w:tr w14:paraId="64B8FC8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20" w:hRule="atLeast"/>
          <w:jc w:val="center"/>
        </w:trPr>
        <w:tc>
          <w:tcPr>
            <w:tcW w:w="804" w:type="dxa"/>
            <w:vAlign w:val="center"/>
          </w:tcPr>
          <w:p w14:paraId="17DF2EDE">
            <w:pPr>
              <w:widowControl/>
              <w:shd w:val="clear"/>
              <w:adjustRightInd w:val="0"/>
              <w:snapToGrid w:val="0"/>
              <w:jc w:val="center"/>
              <w:rPr>
                <w:rFonts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包号</w:t>
            </w:r>
          </w:p>
        </w:tc>
        <w:tc>
          <w:tcPr>
            <w:tcW w:w="4617" w:type="dxa"/>
            <w:tcBorders>
              <w:right w:val="single" w:color="auto" w:sz="4" w:space="0"/>
            </w:tcBorders>
            <w:vAlign w:val="center"/>
          </w:tcPr>
          <w:p w14:paraId="74FE7F41">
            <w:pPr>
              <w:widowControl/>
              <w:shd w:val="clear"/>
              <w:adjustRightInd w:val="0"/>
              <w:snapToGrid w:val="0"/>
              <w:jc w:val="center"/>
              <w:rPr>
                <w:rFonts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设备名称</w:t>
            </w:r>
          </w:p>
        </w:tc>
        <w:tc>
          <w:tcPr>
            <w:tcW w:w="1551" w:type="dxa"/>
            <w:vAlign w:val="center"/>
          </w:tcPr>
          <w:p w14:paraId="49CFD3E0">
            <w:pPr>
              <w:widowControl/>
              <w:shd w:val="clear"/>
              <w:adjustRightInd w:val="0"/>
              <w:snapToGrid w:val="0"/>
              <w:jc w:val="center"/>
              <w:rPr>
                <w:rFonts w:hint="eastAsia"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数量</w:t>
            </w:r>
          </w:p>
        </w:tc>
        <w:tc>
          <w:tcPr>
            <w:tcW w:w="1713" w:type="dxa"/>
            <w:vAlign w:val="center"/>
          </w:tcPr>
          <w:p w14:paraId="67E28713">
            <w:pPr>
              <w:widowControl/>
              <w:shd w:val="clear"/>
              <w:adjustRightInd w:val="0"/>
              <w:snapToGrid w:val="0"/>
              <w:jc w:val="center"/>
              <w:rPr>
                <w:rFonts w:hint="eastAsia" w:cs="宋体" w:asciiTheme="minorEastAsia" w:hAnsiTheme="minorEastAsia"/>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最高限价</w:t>
            </w:r>
            <w:r>
              <w:rPr>
                <w:rFonts w:hint="eastAsia" w:ascii="宋体" w:hAnsi="宋体" w:eastAsia="宋体" w:cs="宋体"/>
                <w:b/>
                <w:bCs/>
                <w:color w:val="000000" w:themeColor="text1"/>
                <w:sz w:val="24"/>
                <w:highlight w:val="none"/>
                <w:lang w:val="en-US" w:eastAsia="zh-CN"/>
                <w14:textFill>
                  <w14:solidFill>
                    <w14:schemeClr w14:val="tx1"/>
                  </w14:solidFill>
                </w14:textFill>
              </w:rPr>
              <w:t>单价</w:t>
            </w:r>
            <w:r>
              <w:rPr>
                <w:rFonts w:hint="eastAsia" w:ascii="宋体" w:hAnsi="宋体" w:eastAsia="宋体" w:cs="宋体"/>
                <w:b/>
                <w:bCs/>
                <w:color w:val="000000" w:themeColor="text1"/>
                <w:sz w:val="24"/>
                <w:highlight w:val="none"/>
                <w14:textFill>
                  <w14:solidFill>
                    <w14:schemeClr w14:val="tx1"/>
                  </w14:solidFill>
                </w14:textFill>
              </w:rPr>
              <w:t>（元）</w:t>
            </w:r>
          </w:p>
        </w:tc>
        <w:tc>
          <w:tcPr>
            <w:tcW w:w="1713" w:type="dxa"/>
            <w:vAlign w:val="center"/>
          </w:tcPr>
          <w:p w14:paraId="1725C39F">
            <w:pPr>
              <w:widowControl/>
              <w:shd w:val="clear"/>
              <w:adjustRightInd w:val="0"/>
              <w:snapToGrid w:val="0"/>
              <w:jc w:val="center"/>
              <w:rPr>
                <w:rFonts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备注</w:t>
            </w:r>
          </w:p>
        </w:tc>
      </w:tr>
      <w:tr w14:paraId="48E3266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restart"/>
            <w:vAlign w:val="center"/>
          </w:tcPr>
          <w:p w14:paraId="17951CDA">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r>
              <w:rPr>
                <w:rFonts w:hint="eastAsia" w:asciiTheme="minorEastAsia" w:hAnsiTheme="minorEastAsia"/>
                <w:b/>
                <w:color w:val="000000" w:themeColor="text1"/>
                <w:highlight w:val="none"/>
                <w14:textFill>
                  <w14:solidFill>
                    <w14:schemeClr w14:val="tx1"/>
                  </w14:solidFill>
                </w14:textFill>
              </w:rPr>
              <w:t>1</w:t>
            </w:r>
          </w:p>
        </w:tc>
        <w:tc>
          <w:tcPr>
            <w:tcW w:w="4617" w:type="dxa"/>
            <w:tcBorders>
              <w:right w:val="single" w:color="auto" w:sz="4" w:space="0"/>
            </w:tcBorders>
            <w:vAlign w:val="center"/>
          </w:tcPr>
          <w:p w14:paraId="3FA91FF5">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全自动凝血分析仪</w:t>
            </w:r>
          </w:p>
        </w:tc>
        <w:tc>
          <w:tcPr>
            <w:tcW w:w="1551" w:type="dxa"/>
            <w:vAlign w:val="center"/>
          </w:tcPr>
          <w:p w14:paraId="6163FCF6">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713" w:type="dxa"/>
            <w:vAlign w:val="center"/>
          </w:tcPr>
          <w:p w14:paraId="34910D5E">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72300</w:t>
            </w:r>
          </w:p>
        </w:tc>
        <w:tc>
          <w:tcPr>
            <w:tcW w:w="1713" w:type="dxa"/>
            <w:vMerge w:val="restart"/>
            <w:vAlign w:val="center"/>
          </w:tcPr>
          <w:p w14:paraId="1A537740">
            <w:pPr>
              <w:pStyle w:val="22"/>
              <w:shd w:val="clear"/>
              <w:adjustRightInd w:val="0"/>
              <w:snapToGrid w:val="0"/>
              <w:jc w:val="cente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本项目所有设备均设置最高限价单价，各设备投标单价、投标总价均不得超过“采购清单一览表”中最高限价单价及每包最高限价总价。</w:t>
            </w:r>
          </w:p>
          <w:p w14:paraId="69D4C45F">
            <w:pPr>
              <w:pStyle w:val="22"/>
              <w:shd w:val="clear"/>
              <w:adjustRightInd w:val="0"/>
              <w:snapToGrid w:val="0"/>
              <w:jc w:val="cente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p>
        </w:tc>
      </w:tr>
      <w:tr w14:paraId="08934B1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6E4CD658">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c>
          <w:tcPr>
            <w:tcW w:w="4617" w:type="dxa"/>
            <w:tcBorders>
              <w:right w:val="single" w:color="auto" w:sz="4" w:space="0"/>
            </w:tcBorders>
            <w:vAlign w:val="center"/>
          </w:tcPr>
          <w:p w14:paraId="5468F43C">
            <w:pPr>
              <w:pStyle w:val="22"/>
              <w:shd w:val="clear"/>
              <w:adjustRightInd w:val="0"/>
              <w:snapToGrid w:val="0"/>
              <w:jc w:val="center"/>
              <w:rPr>
                <w:rFonts w:hint="eastAsia"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全自动血沉仪</w:t>
            </w:r>
          </w:p>
        </w:tc>
        <w:tc>
          <w:tcPr>
            <w:tcW w:w="1551" w:type="dxa"/>
            <w:vAlign w:val="center"/>
          </w:tcPr>
          <w:p w14:paraId="6A10BC32">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713" w:type="dxa"/>
            <w:vAlign w:val="center"/>
          </w:tcPr>
          <w:p w14:paraId="71B515C9">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10000</w:t>
            </w:r>
          </w:p>
        </w:tc>
        <w:tc>
          <w:tcPr>
            <w:tcW w:w="1713" w:type="dxa"/>
            <w:vMerge w:val="continue"/>
            <w:vAlign w:val="center"/>
          </w:tcPr>
          <w:p w14:paraId="7028781D">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r>
      <w:tr w14:paraId="4D9B112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31EF14E3">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c>
          <w:tcPr>
            <w:tcW w:w="4617" w:type="dxa"/>
            <w:tcBorders>
              <w:right w:val="single" w:color="auto" w:sz="4" w:space="0"/>
            </w:tcBorders>
            <w:vAlign w:val="center"/>
          </w:tcPr>
          <w:p w14:paraId="1345D8FC">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全自动血气分析仪</w:t>
            </w:r>
          </w:p>
        </w:tc>
        <w:tc>
          <w:tcPr>
            <w:tcW w:w="1551" w:type="dxa"/>
            <w:vAlign w:val="center"/>
          </w:tcPr>
          <w:p w14:paraId="0F092431">
            <w:pPr>
              <w:pStyle w:val="22"/>
              <w:shd w:val="clear"/>
              <w:adjustRightInd w:val="0"/>
              <w:snapToGrid w:val="0"/>
              <w:jc w:val="center"/>
              <w:rPr>
                <w:rFonts w:hint="eastAsia"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713" w:type="dxa"/>
            <w:vAlign w:val="center"/>
          </w:tcPr>
          <w:p w14:paraId="2F51CB86">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46000</w:t>
            </w:r>
          </w:p>
        </w:tc>
        <w:tc>
          <w:tcPr>
            <w:tcW w:w="1713" w:type="dxa"/>
            <w:vMerge w:val="continue"/>
            <w:vAlign w:val="center"/>
          </w:tcPr>
          <w:p w14:paraId="1E1D9BD7">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r>
      <w:tr w14:paraId="1E05283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1809317D">
            <w:pPr>
              <w:pStyle w:val="22"/>
              <w:shd w:val="clear"/>
              <w:adjustRightInd w:val="0"/>
              <w:snapToGrid w:val="0"/>
              <w:jc w:val="center"/>
              <w:rPr>
                <w:rFonts w:hint="eastAsia" w:eastAsia="宋体" w:asciiTheme="minorEastAsia" w:hAnsiTheme="minorEastAsia"/>
                <w:b/>
                <w:color w:val="000000" w:themeColor="text1"/>
                <w:highlight w:val="none"/>
                <w:lang w:val="en-US" w:eastAsia="zh-CN"/>
                <w14:textFill>
                  <w14:solidFill>
                    <w14:schemeClr w14:val="tx1"/>
                  </w14:solidFill>
                </w14:textFill>
              </w:rPr>
            </w:pPr>
          </w:p>
        </w:tc>
        <w:tc>
          <w:tcPr>
            <w:tcW w:w="4617" w:type="dxa"/>
            <w:tcBorders>
              <w:right w:val="single" w:color="auto" w:sz="4" w:space="0"/>
            </w:tcBorders>
            <w:vAlign w:val="center"/>
          </w:tcPr>
          <w:p w14:paraId="43D56A3C">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全自动血细胞分析仪</w:t>
            </w:r>
          </w:p>
        </w:tc>
        <w:tc>
          <w:tcPr>
            <w:tcW w:w="1551" w:type="dxa"/>
            <w:vAlign w:val="center"/>
          </w:tcPr>
          <w:p w14:paraId="37AB2740">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713" w:type="dxa"/>
            <w:vAlign w:val="center"/>
          </w:tcPr>
          <w:p w14:paraId="69C11D3A">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24100</w:t>
            </w:r>
          </w:p>
        </w:tc>
        <w:tc>
          <w:tcPr>
            <w:tcW w:w="1713" w:type="dxa"/>
            <w:vMerge w:val="continue"/>
            <w:vAlign w:val="center"/>
          </w:tcPr>
          <w:p w14:paraId="627735EF">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r>
      <w:tr w14:paraId="60AB65D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0560EDB0">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c>
          <w:tcPr>
            <w:tcW w:w="4617" w:type="dxa"/>
            <w:tcBorders>
              <w:right w:val="single" w:color="auto" w:sz="4" w:space="0"/>
            </w:tcBorders>
            <w:vAlign w:val="center"/>
          </w:tcPr>
          <w:p w14:paraId="2F69B949">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糖化血红蛋白仪</w:t>
            </w:r>
          </w:p>
        </w:tc>
        <w:tc>
          <w:tcPr>
            <w:tcW w:w="1551" w:type="dxa"/>
            <w:vAlign w:val="center"/>
          </w:tcPr>
          <w:p w14:paraId="0D4C922A">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713" w:type="dxa"/>
            <w:vAlign w:val="center"/>
          </w:tcPr>
          <w:p w14:paraId="18DD9266">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50000</w:t>
            </w:r>
          </w:p>
        </w:tc>
        <w:tc>
          <w:tcPr>
            <w:tcW w:w="1713" w:type="dxa"/>
            <w:vMerge w:val="continue"/>
            <w:vAlign w:val="center"/>
          </w:tcPr>
          <w:p w14:paraId="121D741C">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r>
      <w:tr w14:paraId="4006ACF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6B9685BC">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c>
          <w:tcPr>
            <w:tcW w:w="4617" w:type="dxa"/>
            <w:tcBorders>
              <w:right w:val="single" w:color="auto" w:sz="4" w:space="0"/>
            </w:tcBorders>
            <w:vAlign w:val="center"/>
          </w:tcPr>
          <w:p w14:paraId="07ABA69F">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核酸检测分析仪</w:t>
            </w:r>
          </w:p>
        </w:tc>
        <w:tc>
          <w:tcPr>
            <w:tcW w:w="1551" w:type="dxa"/>
            <w:vAlign w:val="center"/>
          </w:tcPr>
          <w:p w14:paraId="588614B1">
            <w:pPr>
              <w:pStyle w:val="22"/>
              <w:shd w:val="clear"/>
              <w:adjustRightInd w:val="0"/>
              <w:snapToGrid w:val="0"/>
              <w:jc w:val="center"/>
              <w:rPr>
                <w:rFonts w:hint="default" w:asciiTheme="minorEastAsia" w:hAnsiTheme="minorEastAsia"/>
                <w:b w:val="0"/>
                <w:bCs/>
                <w:color w:val="000000" w:themeColor="text1"/>
                <w:highlight w:val="none"/>
                <w:lang w:val="en-US" w:eastAsia="zh-CN"/>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713" w:type="dxa"/>
            <w:vAlign w:val="center"/>
          </w:tcPr>
          <w:p w14:paraId="54E03553">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40000</w:t>
            </w:r>
          </w:p>
        </w:tc>
        <w:tc>
          <w:tcPr>
            <w:tcW w:w="1713" w:type="dxa"/>
            <w:vMerge w:val="continue"/>
            <w:vAlign w:val="center"/>
          </w:tcPr>
          <w:p w14:paraId="1AB85A3C">
            <w:pPr>
              <w:pStyle w:val="22"/>
              <w:shd w:val="clear"/>
              <w:adjustRightInd w:val="0"/>
              <w:snapToGrid w:val="0"/>
              <w:jc w:val="center"/>
              <w:rPr>
                <w:rFonts w:asciiTheme="minorEastAsia" w:hAnsiTheme="minorEastAsia"/>
                <w:b/>
                <w:color w:val="000000" w:themeColor="text1"/>
                <w:highlight w:val="none"/>
                <w14:textFill>
                  <w14:solidFill>
                    <w14:schemeClr w14:val="tx1"/>
                  </w14:solidFill>
                </w14:textFill>
              </w:rPr>
            </w:pPr>
          </w:p>
        </w:tc>
      </w:tr>
      <w:tr w14:paraId="12B3EAD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restart"/>
            <w:vAlign w:val="center"/>
          </w:tcPr>
          <w:p w14:paraId="1497059B">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t>2</w:t>
            </w:r>
          </w:p>
        </w:tc>
        <w:tc>
          <w:tcPr>
            <w:tcW w:w="4617" w:type="dxa"/>
            <w:tcBorders>
              <w:right w:val="single" w:color="auto" w:sz="4" w:space="0"/>
            </w:tcBorders>
            <w:vAlign w:val="center"/>
          </w:tcPr>
          <w:p w14:paraId="3A6EDB12">
            <w:pPr>
              <w:pStyle w:val="22"/>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细菌鉴定药敏分析仪</w:t>
            </w:r>
          </w:p>
        </w:tc>
        <w:tc>
          <w:tcPr>
            <w:tcW w:w="1551" w:type="dxa"/>
            <w:vAlign w:val="center"/>
          </w:tcPr>
          <w:p w14:paraId="6A00CFE1">
            <w:pPr>
              <w:pStyle w:val="22"/>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c>
          <w:tcPr>
            <w:tcW w:w="1713" w:type="dxa"/>
            <w:vAlign w:val="center"/>
          </w:tcPr>
          <w:p w14:paraId="17BF05F4">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152000</w:t>
            </w:r>
          </w:p>
        </w:tc>
        <w:tc>
          <w:tcPr>
            <w:tcW w:w="1713" w:type="dxa"/>
            <w:vMerge w:val="continue"/>
            <w:vAlign w:val="center"/>
          </w:tcPr>
          <w:p w14:paraId="45C3A945">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5A97003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31A369FC">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62F53D68">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化学发光仪</w:t>
            </w:r>
          </w:p>
        </w:tc>
        <w:tc>
          <w:tcPr>
            <w:tcW w:w="1551" w:type="dxa"/>
            <w:vAlign w:val="center"/>
          </w:tcPr>
          <w:p w14:paraId="175BE7FC">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7549CD04">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50000</w:t>
            </w:r>
          </w:p>
        </w:tc>
        <w:tc>
          <w:tcPr>
            <w:tcW w:w="1713" w:type="dxa"/>
            <w:vMerge w:val="continue"/>
            <w:vAlign w:val="center"/>
          </w:tcPr>
          <w:p w14:paraId="20DC3309">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645EC6D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246C2F9D">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1616DDA6">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免疫比浊仪</w:t>
            </w:r>
          </w:p>
        </w:tc>
        <w:tc>
          <w:tcPr>
            <w:tcW w:w="1551" w:type="dxa"/>
            <w:vAlign w:val="center"/>
          </w:tcPr>
          <w:p w14:paraId="0F1F2222">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7DD97C2A">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12000</w:t>
            </w:r>
          </w:p>
        </w:tc>
        <w:tc>
          <w:tcPr>
            <w:tcW w:w="1713" w:type="dxa"/>
            <w:vMerge w:val="continue"/>
            <w:vAlign w:val="center"/>
          </w:tcPr>
          <w:p w14:paraId="77981467">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08047F8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0FF8D152">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04FD735D">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免疫荧光分析仪</w:t>
            </w:r>
          </w:p>
        </w:tc>
        <w:tc>
          <w:tcPr>
            <w:tcW w:w="1551" w:type="dxa"/>
            <w:vAlign w:val="center"/>
          </w:tcPr>
          <w:p w14:paraId="0AAC334C">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59CE955F">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11800</w:t>
            </w:r>
          </w:p>
        </w:tc>
        <w:tc>
          <w:tcPr>
            <w:tcW w:w="1713" w:type="dxa"/>
            <w:vMerge w:val="continue"/>
            <w:vAlign w:val="center"/>
          </w:tcPr>
          <w:p w14:paraId="20FC09D5">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1B9F4CC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7C6DD305">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2CC79A7F">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血培养系统</w:t>
            </w:r>
          </w:p>
        </w:tc>
        <w:tc>
          <w:tcPr>
            <w:tcW w:w="1551" w:type="dxa"/>
            <w:vAlign w:val="center"/>
          </w:tcPr>
          <w:p w14:paraId="59056187">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08970C59">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137400</w:t>
            </w:r>
          </w:p>
        </w:tc>
        <w:tc>
          <w:tcPr>
            <w:tcW w:w="1713" w:type="dxa"/>
            <w:vMerge w:val="continue"/>
            <w:vAlign w:val="center"/>
          </w:tcPr>
          <w:p w14:paraId="3DCDBD94">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059849F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7E141E87">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6B82C14A">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普通生物显微镜</w:t>
            </w:r>
          </w:p>
        </w:tc>
        <w:tc>
          <w:tcPr>
            <w:tcW w:w="1551" w:type="dxa"/>
            <w:vAlign w:val="center"/>
          </w:tcPr>
          <w:p w14:paraId="1105227D">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25377C0C">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11900</w:t>
            </w:r>
          </w:p>
        </w:tc>
        <w:tc>
          <w:tcPr>
            <w:tcW w:w="1713" w:type="dxa"/>
            <w:vMerge w:val="continue"/>
            <w:vAlign w:val="center"/>
          </w:tcPr>
          <w:p w14:paraId="5A15AD48">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21FD483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4902CDBD">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14BCA92B">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生物显微镜(带摄像功能 )</w:t>
            </w:r>
          </w:p>
        </w:tc>
        <w:tc>
          <w:tcPr>
            <w:tcW w:w="1551" w:type="dxa"/>
            <w:vAlign w:val="center"/>
          </w:tcPr>
          <w:p w14:paraId="39969997">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128D2B73">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22700</w:t>
            </w:r>
          </w:p>
        </w:tc>
        <w:tc>
          <w:tcPr>
            <w:tcW w:w="1713" w:type="dxa"/>
            <w:vMerge w:val="continue"/>
            <w:vAlign w:val="center"/>
          </w:tcPr>
          <w:p w14:paraId="643CE794">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0041F0B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3F529009">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2B778365">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离心机</w:t>
            </w:r>
          </w:p>
        </w:tc>
        <w:tc>
          <w:tcPr>
            <w:tcW w:w="1551" w:type="dxa"/>
            <w:vAlign w:val="center"/>
          </w:tcPr>
          <w:p w14:paraId="651D3615">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3台</w:t>
            </w:r>
          </w:p>
        </w:tc>
        <w:tc>
          <w:tcPr>
            <w:tcW w:w="1713" w:type="dxa"/>
            <w:vAlign w:val="center"/>
          </w:tcPr>
          <w:p w14:paraId="4CED8938">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5000</w:t>
            </w:r>
          </w:p>
        </w:tc>
        <w:tc>
          <w:tcPr>
            <w:tcW w:w="1713" w:type="dxa"/>
            <w:vMerge w:val="continue"/>
            <w:vAlign w:val="center"/>
          </w:tcPr>
          <w:p w14:paraId="0425044D">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3E1E5DB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315975D6">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61BAE02F">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体液离心机</w:t>
            </w:r>
          </w:p>
        </w:tc>
        <w:tc>
          <w:tcPr>
            <w:tcW w:w="1551" w:type="dxa"/>
            <w:vAlign w:val="center"/>
          </w:tcPr>
          <w:p w14:paraId="3900F850">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40DDD0C1">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15600</w:t>
            </w:r>
          </w:p>
        </w:tc>
        <w:tc>
          <w:tcPr>
            <w:tcW w:w="1713" w:type="dxa"/>
            <w:vMerge w:val="continue"/>
            <w:vAlign w:val="center"/>
          </w:tcPr>
          <w:p w14:paraId="6B078BA2">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6E7356B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54A3F3B8">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51B44531">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血型/血清学专用离心机</w:t>
            </w:r>
          </w:p>
        </w:tc>
        <w:tc>
          <w:tcPr>
            <w:tcW w:w="1551" w:type="dxa"/>
            <w:vAlign w:val="center"/>
          </w:tcPr>
          <w:p w14:paraId="0E72AC25">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699E13CA">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12700</w:t>
            </w:r>
          </w:p>
        </w:tc>
        <w:tc>
          <w:tcPr>
            <w:tcW w:w="1713" w:type="dxa"/>
            <w:vMerge w:val="continue"/>
            <w:vAlign w:val="center"/>
          </w:tcPr>
          <w:p w14:paraId="5EE7A8E8">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1032DDC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3ADB5EA0">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4C6C7909">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融浆机</w:t>
            </w:r>
          </w:p>
        </w:tc>
        <w:tc>
          <w:tcPr>
            <w:tcW w:w="1551" w:type="dxa"/>
            <w:vAlign w:val="center"/>
          </w:tcPr>
          <w:p w14:paraId="48A76E9F">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1029CE83">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5000</w:t>
            </w:r>
          </w:p>
        </w:tc>
        <w:tc>
          <w:tcPr>
            <w:tcW w:w="1713" w:type="dxa"/>
            <w:vMerge w:val="continue"/>
            <w:vAlign w:val="center"/>
          </w:tcPr>
          <w:p w14:paraId="7D09F9EE">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429B695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33F0F7C2">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75636E03">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生物安全柜(单人)</w:t>
            </w:r>
          </w:p>
        </w:tc>
        <w:tc>
          <w:tcPr>
            <w:tcW w:w="1551" w:type="dxa"/>
            <w:vAlign w:val="center"/>
          </w:tcPr>
          <w:p w14:paraId="577DDFBF">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2台</w:t>
            </w:r>
          </w:p>
        </w:tc>
        <w:tc>
          <w:tcPr>
            <w:tcW w:w="1713" w:type="dxa"/>
            <w:vAlign w:val="center"/>
          </w:tcPr>
          <w:p w14:paraId="4FD8D4B3">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35000</w:t>
            </w:r>
          </w:p>
        </w:tc>
        <w:tc>
          <w:tcPr>
            <w:tcW w:w="1713" w:type="dxa"/>
            <w:vMerge w:val="continue"/>
            <w:vAlign w:val="center"/>
          </w:tcPr>
          <w:p w14:paraId="7D2E586B">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70C9503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5D1B9576">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376B213D">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生物安全柜(双人)</w:t>
            </w:r>
          </w:p>
        </w:tc>
        <w:tc>
          <w:tcPr>
            <w:tcW w:w="1551" w:type="dxa"/>
            <w:vAlign w:val="center"/>
          </w:tcPr>
          <w:p w14:paraId="3442E5D0">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31F81836">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35000</w:t>
            </w:r>
          </w:p>
        </w:tc>
        <w:tc>
          <w:tcPr>
            <w:tcW w:w="1713" w:type="dxa"/>
            <w:vMerge w:val="continue"/>
            <w:vAlign w:val="center"/>
          </w:tcPr>
          <w:p w14:paraId="04A03A34">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2AB907C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5944EA8E">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1208B8D0">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通风柜</w:t>
            </w:r>
          </w:p>
        </w:tc>
        <w:tc>
          <w:tcPr>
            <w:tcW w:w="1551" w:type="dxa"/>
            <w:vAlign w:val="center"/>
          </w:tcPr>
          <w:p w14:paraId="50885F8B">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0514F060">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7600</w:t>
            </w:r>
          </w:p>
        </w:tc>
        <w:tc>
          <w:tcPr>
            <w:tcW w:w="1713" w:type="dxa"/>
            <w:vMerge w:val="continue"/>
            <w:vAlign w:val="center"/>
          </w:tcPr>
          <w:p w14:paraId="24377289">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75EB946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11AFFD92">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47CBE5AE">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血细胞保存专用冰箱</w:t>
            </w:r>
          </w:p>
        </w:tc>
        <w:tc>
          <w:tcPr>
            <w:tcW w:w="1551" w:type="dxa"/>
            <w:vAlign w:val="center"/>
          </w:tcPr>
          <w:p w14:paraId="18CE72F7">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6DF41010">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10000</w:t>
            </w:r>
          </w:p>
        </w:tc>
        <w:tc>
          <w:tcPr>
            <w:tcW w:w="1713" w:type="dxa"/>
            <w:vMerge w:val="continue"/>
            <w:vAlign w:val="center"/>
          </w:tcPr>
          <w:p w14:paraId="79C2E4AB">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68CB3EB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6B12F3C7">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796D4761">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冰箱(试剂存储)</w:t>
            </w:r>
          </w:p>
        </w:tc>
        <w:tc>
          <w:tcPr>
            <w:tcW w:w="1551" w:type="dxa"/>
            <w:vAlign w:val="center"/>
          </w:tcPr>
          <w:p w14:paraId="0EACDD4E">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3台</w:t>
            </w:r>
          </w:p>
        </w:tc>
        <w:tc>
          <w:tcPr>
            <w:tcW w:w="1713" w:type="dxa"/>
            <w:vAlign w:val="center"/>
          </w:tcPr>
          <w:p w14:paraId="44675C3B">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5000</w:t>
            </w:r>
          </w:p>
        </w:tc>
        <w:tc>
          <w:tcPr>
            <w:tcW w:w="1713" w:type="dxa"/>
            <w:vMerge w:val="continue"/>
            <w:vAlign w:val="center"/>
          </w:tcPr>
          <w:p w14:paraId="1BDEFBBB">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12E46DE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027AF99C">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1B9BC0EF">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细胞离心涂片机</w:t>
            </w:r>
          </w:p>
        </w:tc>
        <w:tc>
          <w:tcPr>
            <w:tcW w:w="1551" w:type="dxa"/>
            <w:vAlign w:val="center"/>
          </w:tcPr>
          <w:p w14:paraId="3CB3CF4E">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02462E78">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41400</w:t>
            </w:r>
          </w:p>
        </w:tc>
        <w:tc>
          <w:tcPr>
            <w:tcW w:w="1713" w:type="dxa"/>
            <w:vMerge w:val="continue"/>
            <w:vAlign w:val="center"/>
          </w:tcPr>
          <w:p w14:paraId="6C910C34">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1B4A3F9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31B0B4F5">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1F577C1D">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血小板震荡保存箱</w:t>
            </w:r>
          </w:p>
        </w:tc>
        <w:tc>
          <w:tcPr>
            <w:tcW w:w="1551" w:type="dxa"/>
            <w:vAlign w:val="center"/>
          </w:tcPr>
          <w:p w14:paraId="50772D2B">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1989F581">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5000</w:t>
            </w:r>
          </w:p>
        </w:tc>
        <w:tc>
          <w:tcPr>
            <w:tcW w:w="1713" w:type="dxa"/>
            <w:vMerge w:val="continue"/>
            <w:vAlign w:val="center"/>
          </w:tcPr>
          <w:p w14:paraId="4A0650DC">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3FC5246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804" w:type="dxa"/>
            <w:vMerge w:val="continue"/>
            <w:vAlign w:val="center"/>
          </w:tcPr>
          <w:p w14:paraId="0525C0EF">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7938B5E5">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图文报告系统</w:t>
            </w:r>
          </w:p>
        </w:tc>
        <w:tc>
          <w:tcPr>
            <w:tcW w:w="1551" w:type="dxa"/>
            <w:vAlign w:val="center"/>
          </w:tcPr>
          <w:p w14:paraId="5C993BE3">
            <w:pPr>
              <w:widowControl w:val="0"/>
              <w:shd w:val="clear"/>
              <w:adjustRightInd w:val="0"/>
              <w:snapToGrid w:val="0"/>
              <w:jc w:val="cente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1套</w:t>
            </w:r>
          </w:p>
        </w:tc>
        <w:tc>
          <w:tcPr>
            <w:tcW w:w="1713" w:type="dxa"/>
            <w:vAlign w:val="center"/>
          </w:tcPr>
          <w:p w14:paraId="5EA4C2B2">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53600</w:t>
            </w:r>
          </w:p>
        </w:tc>
        <w:tc>
          <w:tcPr>
            <w:tcW w:w="1713" w:type="dxa"/>
            <w:vMerge w:val="continue"/>
            <w:vAlign w:val="center"/>
          </w:tcPr>
          <w:p w14:paraId="308EE3A0">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r w14:paraId="0F2AB04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67" w:hRule="atLeast"/>
          <w:jc w:val="center"/>
        </w:trPr>
        <w:tc>
          <w:tcPr>
            <w:tcW w:w="804" w:type="dxa"/>
            <w:vMerge w:val="continue"/>
            <w:vAlign w:val="center"/>
          </w:tcPr>
          <w:p w14:paraId="53AAC7C4">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c>
          <w:tcPr>
            <w:tcW w:w="4617" w:type="dxa"/>
            <w:tcBorders>
              <w:right w:val="single" w:color="auto" w:sz="4" w:space="0"/>
            </w:tcBorders>
            <w:vAlign w:val="center"/>
          </w:tcPr>
          <w:p w14:paraId="0513D11E">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液体恒温箱(≥88L)</w:t>
            </w:r>
          </w:p>
        </w:tc>
        <w:tc>
          <w:tcPr>
            <w:tcW w:w="1551" w:type="dxa"/>
            <w:vAlign w:val="center"/>
          </w:tcPr>
          <w:p w14:paraId="5A6C33A0">
            <w:pPr>
              <w:widowControl w:val="0"/>
              <w:shd w:val="clear"/>
              <w:adjustRightInd w:val="0"/>
              <w:snapToGrid w:val="0"/>
              <w:jc w:val="center"/>
              <w:rPr>
                <w:rFonts w:hint="default"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c>
          <w:tcPr>
            <w:tcW w:w="1713" w:type="dxa"/>
            <w:vAlign w:val="center"/>
          </w:tcPr>
          <w:p w14:paraId="04282821">
            <w:pPr>
              <w:pStyle w:val="22"/>
              <w:shd w:val="clear"/>
              <w:adjustRightInd w:val="0"/>
              <w:snapToGrid w:val="0"/>
              <w:jc w:val="cente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color w:val="000000" w:themeColor="text1"/>
                <w:highlight w:val="none"/>
                <w:lang w:val="en-US" w:eastAsia="zh-CN"/>
                <w14:textFill>
                  <w14:solidFill>
                    <w14:schemeClr w14:val="tx1"/>
                  </w14:solidFill>
                </w14:textFill>
              </w:rPr>
              <w:t>12200</w:t>
            </w:r>
          </w:p>
        </w:tc>
        <w:tc>
          <w:tcPr>
            <w:tcW w:w="1713" w:type="dxa"/>
            <w:vMerge w:val="continue"/>
            <w:vAlign w:val="center"/>
          </w:tcPr>
          <w:p w14:paraId="64E15AAA">
            <w:pPr>
              <w:widowControl w:val="0"/>
              <w:shd w:val="clear"/>
              <w:adjustRightInd w:val="0"/>
              <w:snapToGrid w:val="0"/>
              <w:jc w:val="center"/>
              <w:rPr>
                <w:rFonts w:eastAsia="宋体" w:cs="Times New Roman" w:asciiTheme="minorEastAsia" w:hAnsiTheme="minorEastAsia"/>
                <w:b/>
                <w:color w:val="000000" w:themeColor="text1"/>
                <w:kern w:val="0"/>
                <w:sz w:val="20"/>
                <w:szCs w:val="21"/>
                <w:highlight w:val="none"/>
                <w:lang w:val="en-US" w:eastAsia="zh-CN" w:bidi="ar-SA"/>
                <w14:textFill>
                  <w14:solidFill>
                    <w14:schemeClr w14:val="tx1"/>
                  </w14:solidFill>
                </w14:textFill>
              </w:rPr>
            </w:pPr>
          </w:p>
        </w:tc>
      </w:tr>
    </w:tbl>
    <w:p w14:paraId="726124D3">
      <w:pPr>
        <w:widowControl/>
        <w:shd w:val="clear"/>
        <w:spacing w:line="440" w:lineRule="exact"/>
        <w:jc w:val="left"/>
        <w:rPr>
          <w:rFonts w:hint="eastAsia" w:ascii="宋体" w:hAnsi="宋体"/>
          <w:b/>
          <w:color w:val="000000" w:themeColor="text1"/>
          <w:szCs w:val="21"/>
          <w:highlight w:val="none"/>
          <w14:textFill>
            <w14:solidFill>
              <w14:schemeClr w14:val="tx1"/>
            </w14:solidFill>
          </w14:textFill>
        </w:rPr>
      </w:pPr>
    </w:p>
    <w:p w14:paraId="7FEBA890">
      <w:pPr>
        <w:shd w:val="clear"/>
        <w:adjustRightInd w:val="0"/>
        <w:snapToGrid w:val="0"/>
        <w:spacing w:before="156" w:beforeLines="50"/>
        <w:ind w:firstLine="420" w:firstLineChars="200"/>
        <w:rPr>
          <w:rFonts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color w:val="000000" w:themeColor="text1"/>
          <w:szCs w:val="21"/>
          <w:highlight w:val="none"/>
          <w14:textFill>
            <w14:solidFill>
              <w14:schemeClr w14:val="tx1"/>
            </w14:solidFill>
          </w14:textFill>
        </w:rPr>
        <w:t>1、“包”为最小投标单位。每一“包”内容应细化到“品目”（如果分品目的）。</w:t>
      </w:r>
    </w:p>
    <w:p w14:paraId="1B14DF52">
      <w:pPr>
        <w:shd w:val="clear"/>
        <w:adjustRightInd w:val="0"/>
        <w:snapToGrid w:val="0"/>
        <w:spacing w:before="156" w:beforeLines="50"/>
        <w:ind w:firstLine="420" w:firstLineChars="200"/>
        <w:rPr>
          <w:rFonts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color w:val="000000" w:themeColor="text1"/>
          <w:szCs w:val="21"/>
          <w:highlight w:val="none"/>
          <w14:textFill>
            <w14:solidFill>
              <w14:schemeClr w14:val="tx1"/>
            </w14:solidFill>
          </w14:textFill>
        </w:rPr>
        <w:t>2、投标人必须对一个完整、独立的包进行投标，不得仅对一个包中的部分品目投标，否则投标无效。</w:t>
      </w:r>
    </w:p>
    <w:p w14:paraId="18BB6AF8">
      <w:pPr>
        <w:shd w:val="clear"/>
        <w:adjustRightInd w:val="0"/>
        <w:snapToGrid w:val="0"/>
        <w:spacing w:before="156" w:beforeLines="50"/>
        <w:ind w:firstLine="420" w:firstLineChars="200"/>
        <w:rPr>
          <w:rFonts w:cs="宋体" w:asciiTheme="minorEastAsia" w:hAnsiTheme="minorEastAsia"/>
          <w:color w:val="000000" w:themeColor="text1"/>
          <w:kern w:val="0"/>
          <w:szCs w:val="21"/>
          <w:highlight w:val="none"/>
          <w14:textFill>
            <w14:solidFill>
              <w14:schemeClr w14:val="tx1"/>
            </w14:solidFill>
          </w14:textFill>
        </w:rPr>
      </w:pPr>
      <w:r>
        <w:rPr>
          <w:rFonts w:hint="eastAsia" w:asciiTheme="minorEastAsia" w:hAnsiTheme="minorEastAsia"/>
          <w:color w:val="000000" w:themeColor="text1"/>
          <w:szCs w:val="21"/>
          <w:highlight w:val="none"/>
          <w14:textFill>
            <w14:solidFill>
              <w14:schemeClr w14:val="tx1"/>
            </w14:solidFill>
          </w14:textFill>
        </w:rPr>
        <w:t>3、货物的主要技术参数或规格：</w:t>
      </w:r>
      <w:r>
        <w:rPr>
          <w:rFonts w:cs="宋体" w:asciiTheme="minorEastAsia" w:hAnsiTheme="minorEastAsia"/>
          <w:color w:val="000000" w:themeColor="text1"/>
          <w:kern w:val="0"/>
          <w:szCs w:val="21"/>
          <w:highlight w:val="none"/>
          <w14:textFill>
            <w14:solidFill>
              <w14:schemeClr w14:val="tx1"/>
            </w14:solidFill>
          </w14:textFill>
        </w:rPr>
        <w:t>详见“技术要求”中的具体技术参数</w:t>
      </w:r>
      <w:r>
        <w:rPr>
          <w:rFonts w:hint="eastAsia" w:cs="宋体" w:asciiTheme="minorEastAsia" w:hAnsiTheme="minorEastAsia"/>
          <w:color w:val="000000" w:themeColor="text1"/>
          <w:kern w:val="0"/>
          <w:szCs w:val="21"/>
          <w:highlight w:val="none"/>
          <w14:textFill>
            <w14:solidFill>
              <w14:schemeClr w14:val="tx1"/>
            </w14:solidFill>
          </w14:textFill>
        </w:rPr>
        <w:t>。</w:t>
      </w:r>
    </w:p>
    <w:p w14:paraId="0B03CC84">
      <w:pPr>
        <w:shd w:val="clear"/>
        <w:adjustRightInd w:val="0"/>
        <w:snapToGrid w:val="0"/>
        <w:spacing w:before="156" w:beforeLines="50"/>
        <w:ind w:firstLine="420" w:firstLineChars="200"/>
        <w:rPr>
          <w:rFonts w:cs="宋体" w:asciiTheme="minorEastAsia" w:hAnsiTheme="minorEastAsia"/>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4、投标人应</w:t>
      </w:r>
      <w:r>
        <w:rPr>
          <w:rFonts w:hint="eastAsia" w:ascii="宋体" w:hAnsi="宋体" w:cs="宋体"/>
          <w:color w:val="000000" w:themeColor="text1"/>
          <w:kern w:val="0"/>
          <w:szCs w:val="21"/>
          <w:highlight w:val="none"/>
          <w14:textFill>
            <w14:solidFill>
              <w14:schemeClr w14:val="tx1"/>
            </w14:solidFill>
          </w14:textFill>
        </w:rPr>
        <w:t>在投标文件《分项报价明细表》中按</w:t>
      </w:r>
      <w:r>
        <w:rPr>
          <w:rFonts w:hint="eastAsia" w:ascii="宋体" w:hAnsi="宋体"/>
          <w:color w:val="000000" w:themeColor="text1"/>
          <w:szCs w:val="21"/>
          <w:highlight w:val="none"/>
          <w14:textFill>
            <w14:solidFill>
              <w14:schemeClr w14:val="tx1"/>
            </w14:solidFill>
          </w14:textFill>
        </w:rPr>
        <w:t>分项项目名称（包括</w:t>
      </w:r>
      <w:r>
        <w:rPr>
          <w:rFonts w:hint="eastAsia" w:ascii="宋体" w:hAnsi="宋体" w:cs="宋体"/>
          <w:color w:val="000000" w:themeColor="text1"/>
          <w:kern w:val="0"/>
          <w:szCs w:val="21"/>
          <w:highlight w:val="none"/>
          <w14:textFill>
            <w14:solidFill>
              <w14:schemeClr w14:val="tx1"/>
            </w14:solidFill>
          </w14:textFill>
        </w:rPr>
        <w:t>条目号/品目名称）应与采购清单一览表一致，否则其报价可能被拒绝。</w:t>
      </w:r>
    </w:p>
    <w:p w14:paraId="38B4279D">
      <w:pPr>
        <w:widowControl/>
        <w:shd w:val="clear"/>
        <w:spacing w:line="440" w:lineRule="exact"/>
        <w:jc w:val="left"/>
        <w:rPr>
          <w:rFonts w:ascii="宋体" w:hAnsi="宋体"/>
          <w:b/>
          <w:color w:val="000000" w:themeColor="text1"/>
          <w:szCs w:val="21"/>
          <w:highlight w:val="none"/>
          <w14:textFill>
            <w14:solidFill>
              <w14:schemeClr w14:val="tx1"/>
            </w14:solidFill>
          </w14:textFill>
        </w:rPr>
      </w:pPr>
      <w:bookmarkStart w:id="50" w:name="_Toc23520004"/>
      <w:r>
        <w:rPr>
          <w:rFonts w:ascii="宋体" w:hAnsi="宋体"/>
          <w:b/>
          <w:color w:val="000000" w:themeColor="text1"/>
          <w:szCs w:val="21"/>
          <w:highlight w:val="none"/>
          <w14:textFill>
            <w14:solidFill>
              <w14:schemeClr w14:val="tx1"/>
            </w14:solidFill>
          </w14:textFill>
        </w:rPr>
        <w:t>二、</w:t>
      </w:r>
      <w:r>
        <w:rPr>
          <w:rFonts w:hint="eastAsia" w:ascii="宋体" w:hAnsi="宋体"/>
          <w:b/>
          <w:color w:val="000000" w:themeColor="text1"/>
          <w:szCs w:val="21"/>
          <w:highlight w:val="none"/>
          <w:lang w:val="en-US" w:eastAsia="zh-CN"/>
          <w14:textFill>
            <w14:solidFill>
              <w14:schemeClr w14:val="tx1"/>
            </w14:solidFill>
          </w14:textFill>
        </w:rPr>
        <w:t>项目清单与</w:t>
      </w:r>
      <w:r>
        <w:rPr>
          <w:rFonts w:ascii="宋体" w:hAnsi="宋体"/>
          <w:b/>
          <w:color w:val="000000" w:themeColor="text1"/>
          <w:szCs w:val="21"/>
          <w:highlight w:val="none"/>
          <w14:textFill>
            <w14:solidFill>
              <w14:schemeClr w14:val="tx1"/>
            </w14:solidFill>
          </w14:textFill>
        </w:rPr>
        <w:t>技术要求</w:t>
      </w:r>
      <w:bookmarkEnd w:id="50"/>
    </w:p>
    <w:p w14:paraId="73EA6815">
      <w:pPr>
        <w:pStyle w:val="18"/>
        <w:shd w:val="clear"/>
        <w:rPr>
          <w:color w:val="000000" w:themeColor="text1"/>
          <w:highlight w:val="none"/>
          <w14:textFill>
            <w14:solidFill>
              <w14:schemeClr w14:val="tx1"/>
            </w14:solidFill>
          </w14:textFill>
        </w:rPr>
      </w:pPr>
    </w:p>
    <w:p w14:paraId="7BA90A44">
      <w:pPr>
        <w:shd w:val="clear"/>
        <w:adjustRightInd w:val="0"/>
        <w:snapToGrid w:val="0"/>
        <w:spacing w:line="360" w:lineRule="auto"/>
        <w:ind w:firstLine="420" w:firstLineChars="200"/>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招标的全部技术参数要求，采购人验收时发现中标人所提供的产品参数与投标文件响应有偏离，一但发现弄虚作假为了谋取中标利益的行为，将移交采购监管部门依法处理，取消中标资格，造成的一切损失由</w:t>
      </w:r>
      <w:r>
        <w:rPr>
          <w:rFonts w:hint="eastAsia" w:ascii="宋体" w:hAnsi="宋体"/>
          <w:color w:val="000000" w:themeColor="text1"/>
          <w:szCs w:val="21"/>
          <w:highlight w:val="none"/>
          <w:lang w:val="en-US" w:eastAsia="zh-CN"/>
          <w14:textFill>
            <w14:solidFill>
              <w14:schemeClr w14:val="tx1"/>
            </w14:solidFill>
          </w14:textFill>
        </w:rPr>
        <w:t>投</w:t>
      </w:r>
      <w:r>
        <w:rPr>
          <w:rFonts w:hint="eastAsia" w:ascii="宋体" w:hAnsi="宋体"/>
          <w:color w:val="000000" w:themeColor="text1"/>
          <w:szCs w:val="21"/>
          <w:highlight w:val="none"/>
          <w14:textFill>
            <w14:solidFill>
              <w14:schemeClr w14:val="tx1"/>
            </w14:solidFill>
          </w14:textFill>
        </w:rPr>
        <w:t>标人全部负责</w:t>
      </w:r>
      <w:r>
        <w:rPr>
          <w:rFonts w:hint="eastAsia" w:ascii="宋体" w:hAnsi="宋体"/>
          <w:color w:val="000000" w:themeColor="text1"/>
          <w:szCs w:val="21"/>
          <w:highlight w:val="none"/>
          <w:lang w:eastAsia="zh-CN"/>
          <w14:textFill>
            <w14:solidFill>
              <w14:schemeClr w14:val="tx1"/>
            </w14:solidFill>
          </w14:textFill>
        </w:rPr>
        <w:t>。</w:t>
      </w:r>
    </w:p>
    <w:p w14:paraId="32423E9F">
      <w:pPr>
        <w:shd w:val="clear"/>
        <w:adjustRightInd w:val="0"/>
        <w:snapToGrid w:val="0"/>
        <w:spacing w:line="360" w:lineRule="auto"/>
        <w:ind w:firstLine="562" w:firstLineChars="200"/>
        <w:rPr>
          <w:rFonts w:hint="default" w:ascii="宋体" w:hAnsi="宋体" w:eastAsia="宋体" w:cs="Times New Roman"/>
          <w:b/>
          <w:bCs/>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b/>
          <w:bCs/>
          <w:color w:val="000000" w:themeColor="text1"/>
          <w:sz w:val="28"/>
          <w:szCs w:val="28"/>
          <w:highlight w:val="none"/>
          <w:lang w:val="en-US" w:eastAsia="zh-CN"/>
          <w14:textFill>
            <w14:solidFill>
              <w14:schemeClr w14:val="tx1"/>
            </w14:solidFill>
          </w14:textFill>
        </w:rPr>
        <w:t>包1：</w:t>
      </w:r>
    </w:p>
    <w:tbl>
      <w:tblPr>
        <w:tblStyle w:val="43"/>
        <w:tblW w:w="93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5"/>
        <w:gridCol w:w="1933"/>
        <w:gridCol w:w="5540"/>
        <w:gridCol w:w="940"/>
      </w:tblGrid>
      <w:tr w14:paraId="1B99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03C8">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序号</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C7A8">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设备名称</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31D4">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主要参数和技术指标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F281">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数量</w:t>
            </w:r>
          </w:p>
        </w:tc>
      </w:tr>
      <w:tr w14:paraId="277F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FC73">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 xml:space="preserve">1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3A9F">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全自动凝血分析仪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D80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一、执行标准</w:t>
            </w:r>
          </w:p>
          <w:p w14:paraId="7440BA4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仪器需符合以下国家及行业标准：</w:t>
            </w:r>
          </w:p>
          <w:p w14:paraId="6D0B93D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1.YY/T 0659-2017《凝血分析仪》</w:t>
            </w:r>
          </w:p>
          <w:p w14:paraId="4CBC614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2.JJF 1945-2021《凝血分析仪校准规范》</w:t>
            </w:r>
          </w:p>
          <w:p w14:paraId="5CD2A77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3.WS/T 359-2024《血栓与止血检验标本处理》</w:t>
            </w:r>
          </w:p>
          <w:p w14:paraId="5D9A6E3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4.医疗器械生产质量管理规范</w:t>
            </w:r>
          </w:p>
          <w:p w14:paraId="40EA58E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二、实质性技术参数</w:t>
            </w:r>
          </w:p>
          <w:p w14:paraId="44DD03E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（一）核心检测性能</w:t>
            </w:r>
          </w:p>
          <w:p w14:paraId="13566FC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1.▲检测原理：采用光学散射比浊</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法</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检测凝血四项,提高灵敏度的同时，兼顾科室溶血、黄疸、脂血等特殊样本的正常检测。</w:t>
            </w:r>
          </w:p>
          <w:p w14:paraId="5C37B6F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2.纤维蛋白原检测：支持PT衍生法+Clauss实测法双方法检测，可自动切换，结果可相互比对，保障高值、低值FIB检测准确性。</w:t>
            </w:r>
          </w:p>
          <w:p w14:paraId="4D5DDF2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3.光学法采用光学反应杯，≥1000个光学反应杯（支持倾倒式进杯）。</w:t>
            </w:r>
          </w:p>
          <w:p w14:paraId="2545DA6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4.精密度：批内精密度：PT≤1.5%，APTT≤2.5%，FIB≤3.0%；日间精密度：PT≤2.0%，APTT≤3.0%，FIB≤4.0%，检测结果重复性符合行业高标准。</w:t>
            </w:r>
          </w:p>
          <w:p w14:paraId="4B722C7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5.准确度：与国家溯源质控品比对，相对偏差≤±3.0%，检测结果具备溯源性，可参与室间质评。</w:t>
            </w:r>
          </w:p>
          <w:p w14:paraId="0793D3A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6.携带污染率：≤1.0%，彻底避免高值样本对低值样本的交叉污染，保障结果精准。</w:t>
            </w:r>
          </w:p>
          <w:p w14:paraId="3428559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7.温控系统：反应体系精准控温37.0℃±0.5℃，温控波动≤±0.2℃，符合凝血检测恒温要求，避免温度偏差影响检测结果。</w:t>
            </w:r>
          </w:p>
          <w:p w14:paraId="02C306E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（二）样本与进样系统</w:t>
            </w:r>
          </w:p>
          <w:p w14:paraId="0117BF3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1.样本类型：兼容枸橼酸钠抗凝血，无需样本转移，减少操作误差。</w:t>
            </w:r>
          </w:p>
          <w:p w14:paraId="17E51A3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2.样本用量：常规项目样本用量≤5μL，微量检测，降低样本采集量，适配儿童、老年等特殊患者。</w:t>
            </w:r>
          </w:p>
          <w:p w14:paraId="58D5AE8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3.样本位：轨道式全自动进样，样本位≥</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40</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个，配备独立急诊优先位，急诊样本可随时插入，无需中断常规检测流程。</w:t>
            </w:r>
          </w:p>
          <w:p w14:paraId="6794E97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4.样本处理功能：具备闭盖自动穿刺、样本自动混匀、条码自动扫描、凝块自动检测、样本液面感应功能，全程无需人工开盖操作，降低生物安全风险。</w:t>
            </w:r>
          </w:p>
          <w:p w14:paraId="28A4F4D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（三）试剂与耗材系统</w:t>
            </w:r>
          </w:p>
          <w:p w14:paraId="18BB9D1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1.试剂位：整机试剂位≥</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20</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个，其中2-8℃恒温冷藏试剂位≥20个，保障试剂长期稳定存储，无需频繁更换试剂。</w:t>
            </w:r>
          </w:p>
          <w:p w14:paraId="2702CE3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2.试剂适配：支持厂家原厂配套液态稳定试剂，无需手动复溶，即开即用，减少人工操作，降低试剂浪费。</w:t>
            </w:r>
          </w:p>
          <w:p w14:paraId="21E1647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3.检测项目：常规项目包含PT、APTT、TT、FIB、INR；扩展项目包含D-二聚体（D-Dimer）、FDP、AT-Ⅲ、凝血因子等，满足二级医院临床扩展检测需求。</w:t>
            </w:r>
          </w:p>
          <w:p w14:paraId="6B68578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4.试剂管理：具备试剂余量监测、效期预警、低温报警功能，支持试剂条码扫码录入，自动识别试剂信息。</w:t>
            </w:r>
          </w:p>
          <w:p w14:paraId="38B53EF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（四）硬件与操作系统</w:t>
            </w:r>
          </w:p>
          <w:p w14:paraId="5C69C77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1.操作界面：彩色中文液晶触摸屏，可视化操作界面，一键启动检测，支持故障自动提示、结果一键查询，操作简单易上手。</w:t>
            </w:r>
          </w:p>
          <w:p w14:paraId="025AC3C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2.光路系统：采用长寿命LED固态光源，使用寿命≥5年，多波长检测（≥5个波长），可根据检测项目自动切换波长。</w:t>
            </w:r>
          </w:p>
          <w:p w14:paraId="67D87E0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3.液路系统：全自动液路清洗、保养，具备防堵针、防溢液、低液位报警功能，维护简单，降低故障率。</w:t>
            </w:r>
          </w:p>
          <w:p w14:paraId="61B27A6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（五）数据管理与通讯</w:t>
            </w:r>
          </w:p>
          <w:p w14:paraId="365356E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1.结果输出：同步输出检测数值、单位、参考范围、异常结果标注、INR比值，支持中文/英文报告切换。</w:t>
            </w:r>
          </w:p>
          <w:p w14:paraId="3D0D5EE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2.数据通讯：支持双向LIS系统连接，可与医院检验科信息系统无缝对接，实现检测数据自动传输、接收；配备USB数据导出接口、内置热敏打印机，支持实时打印、批量打印。</w:t>
            </w:r>
          </w:p>
          <w:p w14:paraId="42453EA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3.数据存储：内置大容量存储，可存储≥5万份检测结果，支持历史数据查询、统计、溯源、质控数据管理。</w:t>
            </w:r>
          </w:p>
          <w:p w14:paraId="4D30418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4.质控功能：支持室内质控品检测，自动绘制质控图，具备质控失控报警、质控数据统计分析功能，满足检验科质控管理要求。</w:t>
            </w:r>
          </w:p>
          <w:p w14:paraId="7D19EA0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（六）合规与安全资质</w:t>
            </w:r>
          </w:p>
          <w:p w14:paraId="07ED2CC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1.配套试剂具备对应的医疗器械注册证。</w:t>
            </w:r>
          </w:p>
          <w:p w14:paraId="07CE8BD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2</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.仪器具备生物安全防护设计，符合实验室生物安全要求，废液集中收集，无泄漏风险。</w:t>
            </w:r>
          </w:p>
          <w:p w14:paraId="17FA20B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三、一般技术参数</w:t>
            </w:r>
          </w:p>
          <w:p w14:paraId="119C61C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1.运行噪音：≤60dB，适配检验科常规工作环境。</w:t>
            </w:r>
          </w:p>
          <w:p w14:paraId="637D9B0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2.电源要求：AC220V±10%，50Hz，适配医院常规供电系统。</w:t>
            </w:r>
          </w:p>
          <w:p w14:paraId="168E5F2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3.仪器尺寸：占地面积≤0.6㎡，适合检验科操作台摆放。</w:t>
            </w:r>
          </w:p>
          <w:p w14:paraId="6BFAB44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4.具备开机自检、故障自动诊断、异常结果自动报警功能。</w:t>
            </w:r>
          </w:p>
          <w:p w14:paraId="4CAB326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5.支持溶血、黄疸、脂血样本自动识别与干扰提示。</w:t>
            </w:r>
          </w:p>
          <w:p w14:paraId="16E306E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四、商务要求</w:t>
            </w:r>
          </w:p>
          <w:p w14:paraId="69CB728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 质保服务：整机免费质保≥</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5</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年，终身维护，质保期内提供免费上门维修、零配件更换、校准服务，厂家售后响应时间≤24小时，48小时内上门解决故障。</w:t>
            </w:r>
          </w:p>
          <w:p w14:paraId="3DC0A8D4">
            <w:pPr>
              <w:pStyle w:val="22"/>
              <w:shd w:val="clear"/>
              <w:adjustRightInd w:val="0"/>
              <w:snapToGrid w:val="0"/>
              <w:spacing w:line="240" w:lineRule="auto"/>
              <w:ind w:firstLine="0" w:firstLineChars="0"/>
              <w:jc w:val="left"/>
              <w:rPr>
                <w:rFonts w:hint="eastAsia" w:cs="宋体"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2.培训服务：厂家提供免费上门培训，包含仪器操作、日常维护、质控管理、故障排查等内容，确保检验科2-3名操作人员可独立熟练使用仪器。</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7968">
            <w:pPr>
              <w:pStyle w:val="22"/>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r>
      <w:tr w14:paraId="7D33B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CFDF">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 xml:space="preserve">2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5616">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全自动血沉仪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2FF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 检测原理与方法</w:t>
            </w:r>
          </w:p>
          <w:p w14:paraId="7E4DBDE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检测原理：红外线/激光光学阻挡法（动态扫描红细胞-血浆界面）</w:t>
            </w:r>
          </w:p>
          <w:p w14:paraId="4852B6D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方法学：符合ICSH标准魏氏法（Westergren）</w:t>
            </w:r>
          </w:p>
          <w:p w14:paraId="6AB7FC9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样本：静脉抗凝血（EDTA），标准真空血沉管直接上机</w:t>
            </w:r>
          </w:p>
          <w:p w14:paraId="29A1B44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测量模式：30分钟快速法 + 60分钟标准法 双模式</w:t>
            </w:r>
          </w:p>
          <w:p w14:paraId="6E3EA82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2.核心性能</w:t>
            </w:r>
          </w:p>
          <w:p w14:paraId="5A15CCF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分析通道：≥</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30</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个，随机样本、即插即测</w:t>
            </w:r>
          </w:p>
          <w:p w14:paraId="1F22822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测量范围：0～140 mm/h</w:t>
            </w:r>
          </w:p>
          <w:p w14:paraId="5E3EA5A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分辨率：≤0.2 mm</w:t>
            </w:r>
          </w:p>
          <w:p w14:paraId="6677883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测量精度：CV≤2%（高值）、SD≤1.0 mm/h（低值）</w:t>
            </w:r>
          </w:p>
          <w:p w14:paraId="2A03F3B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温度补偿：自动温度修正（15～30℃→18℃标准值）</w:t>
            </w:r>
          </w:p>
          <w:p w14:paraId="5EEF61F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检测速度：≥</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30</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测试/小时（30分钟模式）</w:t>
            </w:r>
          </w:p>
          <w:p w14:paraId="76EB1D8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功能与软件</w:t>
            </w:r>
          </w:p>
          <w:p w14:paraId="43DE03F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扫描功能：仪器具有条码扫描功能，可通过条码扫描器录入样本信息。</w:t>
            </w:r>
          </w:p>
          <w:p w14:paraId="11F9402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仪器每个检测通道都设有状态灯，可标识各检测通道的状态；样本检测完成时，有蜂鸣提示功能；</w:t>
            </w:r>
          </w:p>
          <w:p w14:paraId="3E9E8B3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自动混匀：180°旋转自动混匀</w:t>
            </w:r>
          </w:p>
          <w:p w14:paraId="6F9A977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结果输出：ESR、动态沉降曲线、血沉方程K值、红细胞压积（HCT）</w:t>
            </w:r>
          </w:p>
          <w:p w14:paraId="6FC5A5A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异常报警：样本量不足、气泡、凝块、位号冲突自动提示</w:t>
            </w:r>
          </w:p>
          <w:p w14:paraId="1890AD3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数据管理：内置存储≥10000例、USB/RS232/LIS双向通讯</w:t>
            </w:r>
          </w:p>
          <w:p w14:paraId="4A2AD46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操作：彩色触摸屏、中文界面、内置热敏打印机</w:t>
            </w:r>
          </w:p>
          <w:p w14:paraId="2B924CB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商务与售后</w:t>
            </w:r>
          </w:p>
          <w:p w14:paraId="4154F33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质保：≥</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5</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年整机质保</w:t>
            </w:r>
          </w:p>
          <w:p w14:paraId="6C851C4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售后：全国联保，维修响应≤24小时</w:t>
            </w:r>
          </w:p>
          <w:p w14:paraId="5C20FE47">
            <w:pPr>
              <w:pStyle w:val="22"/>
              <w:shd w:val="clear"/>
              <w:adjustRightInd w:val="0"/>
              <w:snapToGrid w:val="0"/>
              <w:spacing w:line="240" w:lineRule="auto"/>
              <w:ind w:firstLine="0" w:firstLineChars="0"/>
              <w:jc w:val="left"/>
              <w:rPr>
                <w:rFonts w:hint="eastAsia" w:cs="宋体"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耗材：支持通用真空血沉管（不绑定专用耗材）</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FB01">
            <w:pPr>
              <w:pStyle w:val="22"/>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r>
      <w:tr w14:paraId="36F43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FEF9">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 xml:space="preserve">3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6375">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全自动血气分析仪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A1E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 核心检测原理检测原理：采用 湿式离子选择性电极（ISE）技术 或 干式固态电化学/微流控芯片技术</w:t>
            </w:r>
          </w:p>
          <w:p w14:paraId="3C66418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二、检测项目</w:t>
            </w:r>
          </w:p>
          <w:p w14:paraId="5A66C92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测试参数：PH、PO2、PCO2、Na＋、K＋，CL-,Ca++, Hct，Lac，Glu，一张测试卡出≥10项直测参数，并提供酸碱平衡图</w:t>
            </w:r>
          </w:p>
          <w:p w14:paraId="382C614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 性能参数</w:t>
            </w:r>
          </w:p>
          <w:p w14:paraId="1F0C47A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检测速度：全参数 ≤120秒/样本；检测速率 ≥30 样本/小时</w:t>
            </w:r>
          </w:p>
          <w:p w14:paraId="2F25996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样本量：全血样本 ≤150 μL；最小样本量 ≤65 μL</w:t>
            </w:r>
          </w:p>
          <w:p w14:paraId="25C7E10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精密度（重复性）</w:t>
            </w:r>
          </w:p>
          <w:p w14:paraId="4DD9288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pH：CV ≤0.3%</w:t>
            </w:r>
          </w:p>
          <w:p w14:paraId="7F6C058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PCO₂/PO₂：CV ≤3.0%</w:t>
            </w:r>
          </w:p>
          <w:p w14:paraId="15E75F9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Na⁺/K⁺/Cl⁻/Ca²⁺/Glu/Lac：CV ≤1.5%</w:t>
            </w:r>
          </w:p>
          <w:p w14:paraId="2E6A18C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准确度</w:t>
            </w:r>
          </w:p>
          <w:p w14:paraId="10DF4A2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pH：绝对偏差 ≤±0.04</w:t>
            </w:r>
          </w:p>
          <w:p w14:paraId="59EF006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PCO₂/PO₂：相对偏差 ≤±5%</w:t>
            </w:r>
          </w:p>
          <w:p w14:paraId="4B10492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电解质/代谢物：相对偏差 ≤±3%</w:t>
            </w:r>
          </w:p>
          <w:p w14:paraId="5C15F65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携带污染率：≤1.0%（湿式）；干式无交叉污染</w:t>
            </w:r>
          </w:p>
          <w:p w14:paraId="1D6A71B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温度控制：样品室 37.0±0.2℃</w:t>
            </w:r>
          </w:p>
          <w:p w14:paraId="2618A09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四、自动化功能</w:t>
            </w:r>
          </w:p>
          <w:p w14:paraId="183865F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自动定标：全自动液体/试剂卡内置定标；支持自动周期定标、测量前自动定标</w:t>
            </w:r>
          </w:p>
          <w:p w14:paraId="0B39465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自动冲洗：吸样针内外壁自动冲洗、去蛋白；自动维护流路</w:t>
            </w:r>
          </w:p>
          <w:p w14:paraId="4B53D17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自动故障诊断：仪器自检、电极状态监测、液路/卡状态监测、故障报警与提示</w:t>
            </w:r>
          </w:p>
          <w:p w14:paraId="1B8E3B2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自动进样：自动识别注射器、毛细管；无需适配器</w:t>
            </w:r>
          </w:p>
          <w:p w14:paraId="5AAED53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自动质控：支持室内质控、电子质控、质控规则判断（Westgard）</w:t>
            </w:r>
          </w:p>
          <w:p w14:paraId="6FC1867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五、</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试剂与包装</w:t>
            </w:r>
          </w:p>
          <w:p w14:paraId="352DCF94">
            <w:pPr>
              <w:pStyle w:val="22"/>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▲测试卡：单人份设计，独立包装，4-30℃常温保存，即取即用</w:t>
            </w:r>
          </w:p>
          <w:p w14:paraId="1BADFB5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试剂条码自动识别：自动读取试剂信息、效期、定标曲线</w:t>
            </w:r>
          </w:p>
          <w:p w14:paraId="601D906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仪器功能</w:t>
            </w:r>
          </w:p>
          <w:p w14:paraId="343FEA3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数据管理：存储 ≥10000 例样本；支持 USB、LIS/HIS 接口（RS232、TCP/IP）</w:t>
            </w:r>
          </w:p>
          <w:p w14:paraId="25710AB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电源：内置锂电池，断电续航 ≥1 小时</w:t>
            </w:r>
          </w:p>
          <w:p w14:paraId="1EC29B8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标本类型：动脉血、静脉血、毛细血管血、新生儿血</w:t>
            </w:r>
          </w:p>
          <w:p w14:paraId="15C6D5B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六、资质要求</w:t>
            </w:r>
          </w:p>
          <w:p w14:paraId="53303C7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配套试剂注册证</w:t>
            </w:r>
          </w:p>
          <w:p w14:paraId="75842B0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符合 YY/T 1784-2021 国家标准</w:t>
            </w:r>
          </w:p>
          <w:p w14:paraId="65E5977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质保：≥</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5</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年整机质保</w:t>
            </w:r>
          </w:p>
          <w:p w14:paraId="69347FF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接到用户故障报修后，30分钟内电话响应，2小时内到达现场；</w:t>
            </w:r>
          </w:p>
          <w:p w14:paraId="7D7CCFDF">
            <w:pPr>
              <w:pStyle w:val="22"/>
              <w:shd w:val="clear"/>
              <w:adjustRightInd w:val="0"/>
              <w:snapToGrid w:val="0"/>
              <w:spacing w:line="240" w:lineRule="auto"/>
              <w:ind w:firstLine="0" w:firstLineChars="0"/>
              <w:jc w:val="left"/>
              <w:rPr>
                <w:rFonts w:hint="eastAsia" w:cs="宋体"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一般故障当日排除，重大故障，24小时内修复，若设备故障 48小时内无法修复，供应商须免费提供备用设备，直至原设备修复。</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E896">
            <w:pPr>
              <w:pStyle w:val="22"/>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r>
      <w:tr w14:paraId="4DA52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462C">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 xml:space="preserve">4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38B4">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全自动血细胞分析仪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347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一、项目概况</w:t>
            </w:r>
          </w:p>
          <w:p w14:paraId="584E9DE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本项目采购全自动血细胞分析仪1台，用于二级医院检验科临床血常规检测，可实现血常规与CRP、SAA项目联检，血细胞计数、白细胞五分类、有核红细胞、网织红细胞等参数检测，具备检测速度快、结果精准、操作简便、生物安全等特点，仪器及配套试剂须具备完整医疗器械注册证。</w:t>
            </w:r>
          </w:p>
          <w:p w14:paraId="0B97B35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二、执行标准</w:t>
            </w:r>
          </w:p>
          <w:p w14:paraId="6EF2977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1.YY/T 0653—2018《血液分析仪》</w:t>
            </w:r>
          </w:p>
          <w:p w14:paraId="03B1109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2.ICSH 国际血液学标准化委员会标准</w:t>
            </w:r>
          </w:p>
          <w:p w14:paraId="4C20251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3.NCCLS 相关标准</w:t>
            </w:r>
          </w:p>
          <w:p w14:paraId="581629D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4.支持与 LIS/HIS 系统无缝对接</w:t>
            </w:r>
          </w:p>
          <w:p w14:paraId="1331994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5.符合实验室生物安全及院感管理要求</w:t>
            </w:r>
          </w:p>
          <w:p w14:paraId="4F17231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三、实质性技术参数</w:t>
            </w:r>
          </w:p>
          <w:p w14:paraId="1F04ABE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（一）检测原理</w:t>
            </w:r>
          </w:p>
          <w:p w14:paraId="7041E50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1.白细胞五分类原理：采用激光流式细胞技术+核酸荧光染色</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或</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化学染色联合分类技术，或电阻抗法+射频法+多角度偏振光散射法。</w:t>
            </w:r>
          </w:p>
          <w:p w14:paraId="6200A6E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2.红细胞、血小板基础计数：鞘流阻抗法（库尔特原理‑鞘流聚焦）。</w:t>
            </w:r>
          </w:p>
          <w:p w14:paraId="2CEA9FB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3.血红蛋白检测：SLS 无氰化物检测法，环保安全，无剧毒试剂。</w:t>
            </w:r>
          </w:p>
          <w:p w14:paraId="5EB70FE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（二）检测参数与拓展功能</w:t>
            </w:r>
          </w:p>
          <w:p w14:paraId="5C595C2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1.常规检测参数≥27项，含完整血常规+白细胞五分类。</w:t>
            </w:r>
          </w:p>
          <w:p w14:paraId="21FA39A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2.可拓展参数：有核红细胞（NRBC）、网织红细胞（RET）、未成熟粒细胞（IG）、异常淋巴细胞/异型淋巴提示。</w:t>
            </w:r>
          </w:p>
          <w:p w14:paraId="02CA979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3.具备红细胞/血小板凝集自动识别、脂血/黄疸/溶血样本自动提示。</w:t>
            </w:r>
          </w:p>
          <w:p w14:paraId="628F1D4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4.具备白细胞异常、幼稚细胞、疟原虫等形态学预警提示。</w:t>
            </w:r>
          </w:p>
          <w:p w14:paraId="420ACD8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5.所投产品系列需在湖南省临检中心及全国卫生部室间质评项目中具备单独的系列分组。</w:t>
            </w:r>
          </w:p>
          <w:p w14:paraId="6D20867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（三）通量与速度</w:t>
            </w:r>
          </w:p>
          <w:p w14:paraId="5C2AD27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1.检测速度：≥60 样本/小时（血常规模式），支持急诊优先、随到随检。</w:t>
            </w:r>
          </w:p>
          <w:p w14:paraId="7578894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2.样本用量：末梢全血/静脉血均可，末梢血量≤20μL。</w:t>
            </w:r>
          </w:p>
          <w:p w14:paraId="4B6AE03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3.样本位：一次性进样位≥40个，支持闭环连续进样。</w:t>
            </w:r>
          </w:p>
          <w:p w14:paraId="5C30D33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（四）精度与重复性</w:t>
            </w:r>
          </w:p>
          <w:p w14:paraId="47B96F6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1.WBC 重复性 CV ≤ 2.0%</w:t>
            </w:r>
          </w:p>
          <w:p w14:paraId="32FEBF0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2.RBC 重复性 CV ≤ 1.5%</w:t>
            </w:r>
          </w:p>
          <w:p w14:paraId="0E4A054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3.HGB 重复性 CV ≤ 1.0%</w:t>
            </w:r>
          </w:p>
          <w:p w14:paraId="66D822F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4.PLT 重复性 CV ≤ 3.0%</w:t>
            </w:r>
          </w:p>
          <w:p w14:paraId="7576D2A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5.携带污染率：</w:t>
            </w:r>
          </w:p>
          <w:p w14:paraId="4CE9A48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WBC ≤ 0.02%</w:t>
            </w:r>
          </w:p>
          <w:p w14:paraId="6241372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RBC ≤ 0.015%</w:t>
            </w:r>
          </w:p>
          <w:p w14:paraId="2D2BFF2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PLT ≤ 0.04%</w:t>
            </w:r>
          </w:p>
          <w:p w14:paraId="37B3483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（五）样本与操作</w:t>
            </w:r>
          </w:p>
          <w:p w14:paraId="4DE69E9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1.样本类型：静脉全血（EDTA-K₂）、末梢全血、预稀释血。</w:t>
            </w:r>
          </w:p>
          <w:p w14:paraId="07AD466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2.操作系统：全中文彩色触摸屏，界面简洁，一键操作。</w:t>
            </w:r>
          </w:p>
          <w:p w14:paraId="6E3A8FB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3.自动清洗：全自动智能反冲清洗，自动排堵，降低故障率。</w:t>
            </w:r>
          </w:p>
          <w:p w14:paraId="77B5F72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（六）数据与对接</w:t>
            </w:r>
          </w:p>
          <w:p w14:paraId="61A29FB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1.数据存储：可存储 ≥ 10 万份样本结果，支持历史查询、溯源。</w:t>
            </w:r>
          </w:p>
          <w:p w14:paraId="2113571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2.LIS 双向通讯：自动接收患者信息，自动回传结果。</w:t>
            </w:r>
          </w:p>
          <w:p w14:paraId="12F41BE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3.质控功能：支持 XB、L-J 质控图，自动失控报警，多水平质控。</w:t>
            </w:r>
          </w:p>
          <w:p w14:paraId="0BE3AE5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（七）安全与物理参数</w:t>
            </w:r>
          </w:p>
          <w:p w14:paraId="421B846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1.无氰试剂，全程无毒环保，符合院感要求。</w:t>
            </w:r>
          </w:p>
          <w:p w14:paraId="6D4B0A1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2.开机自检、自动维护、堵孔自动报警、开盖保护。</w:t>
            </w:r>
          </w:p>
          <w:p w14:paraId="0053206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3.台式设计，运行噪音 ≤ 60dB。</w:t>
            </w:r>
          </w:p>
          <w:p w14:paraId="24431D2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4.电源：AC220V±10%，50Hz。</w:t>
            </w:r>
          </w:p>
          <w:p w14:paraId="7D8E62B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四、一般技术参数</w:t>
            </w:r>
          </w:p>
          <w:p w14:paraId="1077ECE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1.具备样本摇匀带帽穿刺进样检测功能，无需人工预混。</w:t>
            </w:r>
          </w:p>
          <w:p w14:paraId="254AEF6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2.支持多语言切换，默认中文。</w:t>
            </w:r>
          </w:p>
          <w:p w14:paraId="6FD6ED7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3.具备试剂余量提醒、维护提醒功能。</w:t>
            </w:r>
          </w:p>
          <w:p w14:paraId="173F50A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4.具备条码扫描仪，自动识别样本号。</w:t>
            </w:r>
          </w:p>
          <w:p w14:paraId="45DE5BF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五、商务要求</w:t>
            </w:r>
          </w:p>
          <w:p w14:paraId="5128885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1.安装调试：免费上门安装、校准、性能验证。</w:t>
            </w:r>
          </w:p>
          <w:p w14:paraId="70935C4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2.培训：免费培训所有操作人员，独立上岗。</w:t>
            </w:r>
          </w:p>
          <w:p w14:paraId="26058AF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 xml:space="preserve">3.质保：整机免费质保 ≥ </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5</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 xml:space="preserve"> 年，终身维护。</w:t>
            </w:r>
          </w:p>
          <w:p w14:paraId="174D87DF">
            <w:pPr>
              <w:pStyle w:val="22"/>
              <w:shd w:val="clear"/>
              <w:adjustRightInd w:val="0"/>
              <w:snapToGrid w:val="0"/>
              <w:spacing w:line="240" w:lineRule="auto"/>
              <w:ind w:firstLine="0" w:firstLineChars="0"/>
              <w:jc w:val="left"/>
              <w:rPr>
                <w:rFonts w:hint="eastAsia" w:cs="宋体"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4.售后：2 小时响应，24 小时内上门服务。</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94A3">
            <w:pPr>
              <w:pStyle w:val="22"/>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r>
      <w:tr w14:paraId="020BF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A2472">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 xml:space="preserve">5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045C">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糖化血红蛋白仪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227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一、关键技术参数</w:t>
            </w:r>
          </w:p>
          <w:p w14:paraId="0A4BA95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（一）核心检测标准与原理</w:t>
            </w:r>
          </w:p>
          <w:p w14:paraId="52DEAC8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检测原理：采用离子交换高效液相色谱法（HPLC）</w:t>
            </w:r>
          </w:p>
          <w:p w14:paraId="5143120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2.结果报告：具有检测峰6个，并且结果能报告IFCC和NGSP双重结果。同时报告HbA1c、HbF、HbA1（糖基化血红蛋白）结果，异常检测峰提示。</w:t>
            </w:r>
          </w:p>
          <w:p w14:paraId="7EADA82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（二）检测性能指标</w:t>
            </w:r>
          </w:p>
          <w:p w14:paraId="108774A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1.检测速度：单样本检测时间≤60秒，检测通量≥80测试/小时。</w:t>
            </w:r>
          </w:p>
          <w:p w14:paraId="5673001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2.线性范围：HbA1c检测线性范围3.0%～18.0%（NGSP）、10～174mmol/mol（IFCC），相关系数r≥0.9990。</w:t>
            </w:r>
          </w:p>
          <w:p w14:paraId="5D8C246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3.精密度：批内精密度CV≤1.5%，日间精密度CV≤2.0%，重复性优异，检测结果稳定可靠。</w:t>
            </w:r>
          </w:p>
          <w:p w14:paraId="57D91DA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4.准确度：与溯源定值质控品比对，相对偏差≤±0.5%，符合临床检测准确度要求。</w:t>
            </w:r>
          </w:p>
          <w:p w14:paraId="4BC09C4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5.携带污染率：≤1.0%，避免样本间交叉污染，保障检测结果准确性。</w:t>
            </w:r>
          </w:p>
          <w:p w14:paraId="4718F73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6.抗干扰能力：不受溶血（Hb≤5g/L）、黄疸（胆红素≤342μmol/L）、乳糜血（TG≤20mmol/L）、HbF（≤30%）及常见血红蛋白变异体（HbS、HbC、HbD、HbE）干扰，可自动提示异常血红蛋白。</w:t>
            </w:r>
          </w:p>
          <w:p w14:paraId="4806C7B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（三）样本与进样系统</w:t>
            </w:r>
          </w:p>
          <w:p w14:paraId="335EF02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1.样本类型：兼容静脉EDTA抗凝全血，无需预处理，直接上机检测。</w:t>
            </w:r>
          </w:p>
          <w:p w14:paraId="210247F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2.进样方式：轨道式全自动批量进样，样本位≥</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30</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个，配备专用急诊样本位，急诊样本可优先插入检测，无需等待常规样本。</w:t>
            </w:r>
          </w:p>
          <w:p w14:paraId="6D9D608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3.进样功能：支持原始采血管直接上机，具备自动管盖穿刺、样本自动混匀、条码自动扫描功能，无需人工操作。</w:t>
            </w:r>
          </w:p>
          <w:p w14:paraId="2FF8ABC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（四）仪器硬件与操作系统</w:t>
            </w:r>
          </w:p>
          <w:p w14:paraId="7817B22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1.操作界面：液晶触摸屏，全中文操作界面，操作简便，支持一键启动、故障自动提示。</w:t>
            </w:r>
          </w:p>
          <w:p w14:paraId="082FA7C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2.检测光路：采用长寿命LED光源，使用寿命≥5年，无需频繁更换光源，降低维护成本。</w:t>
            </w:r>
          </w:p>
          <w:p w14:paraId="4D07259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3.分离色谱柱：专用离子交换色谱柱，柱寿命≥6000次测试，具备柱效监测、自动清洗功能。</w:t>
            </w:r>
          </w:p>
          <w:p w14:paraId="1DAA4EE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4.液路系统：全自动液路维护，具备自动冲洗、防堵管、低液位报警功能，废液、试剂瓶容量满足大批量检测需求。</w:t>
            </w:r>
          </w:p>
          <w:p w14:paraId="181E03A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5.噪音与功耗：运行噪音≤60dB，整机功耗低，适合检验科常规环境使用。</w:t>
            </w:r>
          </w:p>
          <w:p w14:paraId="1C65D60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（五）数据输出与连接</w:t>
            </w:r>
          </w:p>
          <w:p w14:paraId="7DF26D1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1.检测报告：同时输出NGSP（%）、IFCC（mmol/mol）、eAG（平均血糖） 三种结果，符合临床医生诊断需求。</w:t>
            </w:r>
          </w:p>
          <w:p w14:paraId="50A29ED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2.数据通讯：支持双向LIS系统连接，可直接接入医院检验科信息系统，实现数据自动传输；配备USB数据导出接口、内置热敏打印机，支持实时打印报告。</w:t>
            </w:r>
          </w:p>
          <w:p w14:paraId="771E198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3.数据存储：内置大容量存储，可存储≥10万份检测结果，支持历史数据查询、统计、溯源。</w:t>
            </w:r>
          </w:p>
          <w:p w14:paraId="31A7C90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（六）售后与维护</w:t>
            </w:r>
          </w:p>
          <w:p w14:paraId="000FBFD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1.质保服务：整机免费质保≥</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5</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年，终身维护，质保期内免费上门维修、更换零配件。</w:t>
            </w:r>
          </w:p>
          <w:p w14:paraId="68A603D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2.培训服务：厂家提供免费上门安装、调试，及操作人员、维修人员专业培训，确保操作人员独立熟练使用仪器。</w:t>
            </w:r>
          </w:p>
          <w:p w14:paraId="16CF82F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3.耗材供应：厂家保证耗材长期稳定供应，价格透明，质保期内耗材享受优惠价格。</w:t>
            </w:r>
          </w:p>
          <w:p w14:paraId="0856968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二、一般技术参数</w:t>
            </w:r>
          </w:p>
          <w:p w14:paraId="04E7C69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1.仪器外形尺寸：适合检验科常规操作台摆放，占地面积≤0.5㎡。</w:t>
            </w:r>
          </w:p>
          <w:p w14:paraId="1388AC0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2.电源要求：AC220V±10%，50Hz，适配医院常规供电。</w:t>
            </w:r>
          </w:p>
          <w:p w14:paraId="06DB493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3.具备开机自检、故障自动诊断、异常结果报警功能。</w:t>
            </w:r>
          </w:p>
          <w:p w14:paraId="14343B40">
            <w:pPr>
              <w:pStyle w:val="22"/>
              <w:shd w:val="clear"/>
              <w:adjustRightInd w:val="0"/>
              <w:snapToGrid w:val="0"/>
              <w:spacing w:line="240" w:lineRule="auto"/>
              <w:ind w:firstLine="0" w:firstLineChars="0"/>
              <w:jc w:val="left"/>
              <w:rPr>
                <w:rFonts w:hint="eastAsia" w:cs="宋体"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4.支持质控品检测，具备质控数据管理、质控图绘制功能。</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8044">
            <w:pPr>
              <w:pStyle w:val="22"/>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r>
      <w:tr w14:paraId="3D764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FE24">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6</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2972">
            <w:pPr>
              <w:widowControl/>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lang w:val="en-US" w:eastAsia="zh-CN"/>
                <w14:textFill>
                  <w14:solidFill>
                    <w14:schemeClr w14:val="tx1"/>
                  </w14:solidFill>
                </w14:textFill>
              </w:rPr>
              <w:t>核酸检测分析仪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D05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一、项目概况</w:t>
            </w:r>
          </w:p>
          <w:p w14:paraId="6E4FE18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设备主要用于医院检验科、发热门诊、急诊科室，开展呼吸道病毒（新冠、甲/乙型流感等）、常见传染病等病原体的核酸快速定性检测，要求实现样本进-结果出全流程自动化封闭操作，满足临床急诊、</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快速筛查的即时报告需求。</w:t>
            </w:r>
          </w:p>
          <w:p w14:paraId="6EC5C34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二、适用标本类型</w:t>
            </w:r>
          </w:p>
          <w:p w14:paraId="5208A93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适用咽拭子、鼻拭子、痰液、支气管灌洗液、血液、血清、血浆、脑脊液、尿液等临床常见标本，兼容灭活与非灭活标本。</w:t>
            </w:r>
          </w:p>
          <w:p w14:paraId="4BD6D94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三、执行标准</w:t>
            </w:r>
          </w:p>
          <w:p w14:paraId="2CAB678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1.符合《医疗机构临床基因扩增检验实验室管理办法》相关规范</w:t>
            </w:r>
          </w:p>
          <w:p w14:paraId="5D3DA2B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2.符合实时荧光定量PCR/恒温扩增核酸检测相关行业标准</w:t>
            </w:r>
          </w:p>
          <w:p w14:paraId="4BF9181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具备Ⅲ类医疗器械注册证（主机及配套试剂）</w:t>
            </w:r>
          </w:p>
          <w:p w14:paraId="2781C85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4.符合医用电气安全、生物安全防护相关标准，支持与医院LIS系统无缝对接</w:t>
            </w:r>
          </w:p>
          <w:p w14:paraId="2AF3029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四、实质性技术参数</w:t>
            </w:r>
          </w:p>
          <w:p w14:paraId="0712410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（一）核心原理与一体化设计</w:t>
            </w:r>
          </w:p>
          <w:p w14:paraId="01830F8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检测原理：采用实时荧光定量PCR（qPCR） 或恒温扩增+实时荧光检测原理，检测结果精准可靠。</w:t>
            </w:r>
          </w:p>
          <w:p w14:paraId="741EDB8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ascii="微软雅黑" w:hAnsi="微软雅黑" w:eastAsia="微软雅黑" w:cs="微软雅黑"/>
                <w:b w:val="0"/>
                <w:bCs/>
                <w:snapToGrid/>
                <w:color w:val="000000" w:themeColor="text1"/>
                <w:highlight w:val="none"/>
                <w:lang w:val="en-US" w:eastAsia="zh-CN"/>
                <w14:textFill>
                  <w14:solidFill>
                    <w14:schemeClr w14:val="tx1"/>
                  </w14:solidFill>
                </w14:textFill>
              </w:rPr>
              <w:t>▲</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2.全流程一体化：</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外形台式小型，适配二级医院，</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设备封闭完成样本裂解、核酸提取、纯化、扩增、荧光检测、结果分析、自动判读全流程，无人工移液、无开盖操作，彻底杜绝气溶胶污染与交叉感染风险。</w:t>
            </w:r>
          </w:p>
          <w:p w14:paraId="0C87589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3.人工操作时长：单批次标本人工操作时间≤2分钟，操作简便，无需专业分子生物学人员值守。</w:t>
            </w:r>
          </w:p>
          <w:p w14:paraId="1F968E2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4.运行模式：支持随到随检、急诊优先检测，无需等待批次满样，适配急诊即时检测需求。</w:t>
            </w:r>
          </w:p>
          <w:p w14:paraId="0A7FEBE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（二）检测速度与通量</w:t>
            </w:r>
          </w:p>
          <w:p w14:paraId="4EA9A22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1.检测速度：单样本最快全程检测时间≤30分钟，常规批次检测时间≤45分钟，满足急诊快速报告要求。</w:t>
            </w:r>
          </w:p>
          <w:p w14:paraId="1F988B6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2.检测通量：单次检测通量≥8样本，各模块可独立运行、独立检测，互不干扰。</w:t>
            </w:r>
          </w:p>
          <w:p w14:paraId="408CBE8D">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3.样本容量：适配样本体积50～600μL，兼容临床常规标本采集量。</w:t>
            </w:r>
          </w:p>
          <w:p w14:paraId="54DB3DC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（三）温控与光学性能</w:t>
            </w:r>
          </w:p>
          <w:p w14:paraId="02A5249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1.温控系统（qPCR机型）：温度范围40～105℃，升温速率≥8℃/秒，降温速率≥2℃/秒，控温精度±0.1℃，温度均匀性±0.1℃，确保扩增效率与结果重复性。</w:t>
            </w:r>
          </w:p>
          <w:p w14:paraId="68B95E0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2.荧光检测系统：荧光检测波长:≥8通道</w:t>
            </w:r>
          </w:p>
          <w:p w14:paraId="527AA5E4">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（四）检测性能指标</w:t>
            </w:r>
          </w:p>
          <w:p w14:paraId="232842B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1.检出限：≤300拷贝/mL，灵敏度高，可检出低浓度病原核酸。</w:t>
            </w:r>
          </w:p>
          <w:p w14:paraId="2E430FF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2.特异性：≥99%，无交叉反应，避免假阳性结果。</w:t>
            </w:r>
          </w:p>
          <w:p w14:paraId="7A49C39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3.灵敏度：≥98%，病原检出率符合临床检测要求。</w:t>
            </w:r>
          </w:p>
          <w:p w14:paraId="3B78AB8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4.重复性：CV≤5%，同一样本重复检测结果一致性高。</w:t>
            </w:r>
          </w:p>
          <w:p w14:paraId="0FA7AE7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5.内标质控：每一份检测标本内置内标质控，全程监控检测流程，有效避免假阴性结果。</w:t>
            </w:r>
          </w:p>
          <w:p w14:paraId="271BBD9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（五）软件与数据管理</w:t>
            </w:r>
          </w:p>
          <w:p w14:paraId="58B4696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1.操作界面：界面简洁直观，一键启动检测，操作流程标准化。</w:t>
            </w:r>
          </w:p>
          <w:p w14:paraId="374949D9">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2.结果处理：自动完成扩增曲线分析、结果判读，自动生成标准化检测报告，支持PDF/Excel格式导出、打印。</w:t>
            </w:r>
          </w:p>
          <w:p w14:paraId="5515AC73">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3.系统对接：支持与医院LIS系统双向无缝对接，可自动调取患者信息，回传检测结果，实现数据互联互通。</w:t>
            </w:r>
          </w:p>
          <w:p w14:paraId="057CEDEE">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4.数据安全：具备多级权限管理、操作日志全程追踪、数据加密存储功能，日志留存≥5年，满足医疗数据溯源与质控要求。</w:t>
            </w:r>
          </w:p>
          <w:p w14:paraId="42BB0435">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5.程序存储：内置≥20种标准化检测程序，支持自定义程序编辑、存储，适配不同病原体检测需求。</w:t>
            </w:r>
          </w:p>
          <w:p w14:paraId="4D14D0C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（六）安全与物理参数</w:t>
            </w:r>
          </w:p>
          <w:p w14:paraId="2313BF7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1.生物安全：配备UV紫外灭菌功能，可自动对检测腔体灭菌，防污染设计，符合临床基因扩增实验室生物安全要求。</w:t>
            </w:r>
          </w:p>
          <w:p w14:paraId="72B20721">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2.设备防护：具备故障自检、超温报警、断电保护、开盖停机功能，运行安全稳定。</w:t>
            </w:r>
          </w:p>
          <w:p w14:paraId="38AD13DF">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3.设备规格：台式紧凑型设计，占地面积小，适配检验科、发热门诊操作台摆放；运行噪音≤60dB，低功耗节能。</w:t>
            </w:r>
          </w:p>
          <w:p w14:paraId="1D58C43C">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4.电源要求：AC220V±10%，50Hz，适配医院常规供电环境。</w:t>
            </w:r>
          </w:p>
          <w:p w14:paraId="18BEE2F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五、一般技术参数（允许微小无负偏离）</w:t>
            </w:r>
          </w:p>
          <w:p w14:paraId="5160063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1.配套耗材采用封闭式一体化卡盒/反应管，操作简便，无样本泄露风险。</w:t>
            </w:r>
          </w:p>
          <w:p w14:paraId="61B42C1A">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2.耗材兼容性强，不强制捆绑原厂专用耗材，可适配合规第三方耗材，降低后期使用成本。</w:t>
            </w:r>
          </w:p>
          <w:p w14:paraId="13EDDA70">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3.支持故障代码显示、异常报警提示，便于日常维护与故障排查。</w:t>
            </w:r>
          </w:p>
          <w:p w14:paraId="01B017E2">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4.设备可7×24小时连续稳定运行，故障率低，满足临床高频次检测需求。</w:t>
            </w:r>
          </w:p>
          <w:p w14:paraId="74CCDB76">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六、商务要求</w:t>
            </w:r>
          </w:p>
          <w:p w14:paraId="6410BE9B">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1.安装调试：免费上门送货、安装、调试，现场进行性能验证，确保检测结果符合招标参数及临床检测要求。</w:t>
            </w:r>
          </w:p>
          <w:p w14:paraId="7C6A52A8">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2.培训服务：免费上门专业培训，涵盖设备操作、标本处理、结果判读、日常维护、生物安全防护等内容，确保所有操作人员可独立熟练完成全流程操作。</w:t>
            </w:r>
          </w:p>
          <w:p w14:paraId="30B76707">
            <w:pPr>
              <w:pStyle w:val="22"/>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3.质保服务：整机免费质保≥</w:t>
            </w:r>
            <w:r>
              <w:rPr>
                <w:rFonts w:hint="eastAsia" w:cs="Times New Roman" w:asciiTheme="minorEastAsia" w:hAnsiTheme="minorEastAsia"/>
                <w:b w:val="0"/>
                <w:bCs/>
                <w:snapToGrid/>
                <w:color w:val="000000" w:themeColor="text1"/>
                <w:highlight w:val="none"/>
                <w:lang w:val="en-US" w:eastAsia="zh-CN"/>
                <w14:textFill>
                  <w14:solidFill>
                    <w14:schemeClr w14:val="tx1"/>
                  </w14:solidFill>
                </w14:textFill>
              </w:rPr>
              <w:t>5</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年，终身维护；质保期内免费上门维修、更换零配件、校准设备，售后响应时间≤24小时，48小时内上门解决故障。</w:t>
            </w:r>
          </w:p>
          <w:p w14:paraId="62E7C29A">
            <w:pPr>
              <w:pStyle w:val="22"/>
              <w:shd w:val="clear"/>
              <w:adjustRightInd w:val="0"/>
              <w:snapToGrid w:val="0"/>
              <w:spacing w:line="240" w:lineRule="auto"/>
              <w:ind w:firstLine="0" w:firstLineChars="0"/>
              <w:jc w:val="left"/>
              <w:rPr>
                <w:rFonts w:hint="eastAsia" w:cs="宋体"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4.资质文件</w:t>
            </w:r>
            <w:r>
              <w:rPr>
                <w:rFonts w:hint="eastAsia" w:eastAsia="宋体" w:cs="Times New Roman" w:asciiTheme="minorEastAsia" w:hAnsiTheme="minorEastAsia"/>
                <w:b w:val="0"/>
                <w:bCs/>
                <w:snapToGrid/>
                <w:color w:val="000000" w:themeColor="text1"/>
                <w:highlight w:val="none"/>
                <w:lang w:val="en-US" w:eastAsia="zh-CN"/>
                <w14:textFill>
                  <w14:solidFill>
                    <w14:schemeClr w14:val="tx1"/>
                  </w14:solidFill>
                </w14:textFill>
              </w:rPr>
              <w:t>：投标时需提供主机Ⅲ类医疗器械注册证、配套试剂注册证、产品合格证、售后服务承诺函、第三方检测报告，复印件加盖公章，否则视为无效投标。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4E99">
            <w:pPr>
              <w:pStyle w:val="22"/>
              <w:shd w:val="clear"/>
              <w:adjustRightInd w:val="0"/>
              <w:snapToGrid w:val="0"/>
              <w:jc w:val="center"/>
              <w:rPr>
                <w:rFonts w:hint="eastAsia" w:cs="宋体" w:asciiTheme="minorEastAsia" w:hAnsiTheme="minorEastAsia"/>
                <w:color w:val="000000" w:themeColor="text1"/>
                <w:szCs w:val="21"/>
                <w:highlight w:val="none"/>
                <w14:textFill>
                  <w14:solidFill>
                    <w14:schemeClr w14:val="tx1"/>
                  </w14:solidFill>
                </w14:textFill>
              </w:rPr>
            </w:pPr>
            <w:r>
              <w:rPr>
                <w:rFonts w:hint="eastAsia" w:asciiTheme="minorEastAsia" w:hAnsiTheme="minorEastAsia"/>
                <w:b w:val="0"/>
                <w:bCs/>
                <w:color w:val="000000" w:themeColor="text1"/>
                <w:highlight w:val="none"/>
                <w:lang w:val="en-US" w:eastAsia="zh-CN"/>
                <w14:textFill>
                  <w14:solidFill>
                    <w14:schemeClr w14:val="tx1"/>
                  </w14:solidFill>
                </w14:textFill>
              </w:rPr>
              <w:t>1台</w:t>
            </w:r>
          </w:p>
        </w:tc>
      </w:tr>
    </w:tbl>
    <w:p w14:paraId="1B143292">
      <w:pPr>
        <w:rPr>
          <w:rFonts w:hint="eastAsia" w:ascii="宋体" w:hAnsi="宋体" w:cs="宋体"/>
          <w:b/>
          <w:color w:val="000000" w:themeColor="text1"/>
          <w:szCs w:val="21"/>
          <w:highlight w:val="none"/>
          <w14:textFill>
            <w14:solidFill>
              <w14:schemeClr w14:val="tx1"/>
            </w14:solidFill>
          </w14:textFill>
        </w:rPr>
      </w:pPr>
      <w:bookmarkStart w:id="51" w:name="_Toc321381168"/>
      <w:bookmarkStart w:id="52" w:name="_Toc321381170"/>
      <w:bookmarkStart w:id="53" w:name="_Toc321381169"/>
    </w:p>
    <w:p w14:paraId="4B41B69F">
      <w:pPr>
        <w:shd w:val="clear"/>
        <w:adjustRightInd w:val="0"/>
        <w:snapToGrid w:val="0"/>
        <w:spacing w:line="360" w:lineRule="auto"/>
        <w:ind w:firstLine="562" w:firstLineChars="200"/>
        <w:rPr>
          <w:rFonts w:hint="default" w:ascii="宋体" w:hAnsi="宋体" w:eastAsia="宋体" w:cs="Times New Roman"/>
          <w:b/>
          <w:bCs/>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b/>
          <w:bCs/>
          <w:color w:val="000000" w:themeColor="text1"/>
          <w:sz w:val="28"/>
          <w:szCs w:val="28"/>
          <w:highlight w:val="none"/>
          <w:lang w:val="en-US" w:eastAsia="zh-CN"/>
          <w14:textFill>
            <w14:solidFill>
              <w14:schemeClr w14:val="tx1"/>
            </w14:solidFill>
          </w14:textFill>
        </w:rPr>
        <w:t>包2：</w:t>
      </w:r>
    </w:p>
    <w:tbl>
      <w:tblPr>
        <w:tblStyle w:val="43"/>
        <w:tblW w:w="93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5"/>
        <w:gridCol w:w="1933"/>
        <w:gridCol w:w="5540"/>
        <w:gridCol w:w="940"/>
      </w:tblGrid>
      <w:tr w14:paraId="2B83B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F382">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序号</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8764">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设备名称</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B748">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主要参数和技术指标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3A98">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数量</w:t>
            </w:r>
          </w:p>
        </w:tc>
      </w:tr>
      <w:tr w14:paraId="33E80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A8F1">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96FA">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细菌鉴定药敏分析仪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9CE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4B786F9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本项目采购全自动细菌鉴定与药敏分析仪1套，用于检验科微生物实验室，完成临床常见革兰氏阳性菌、革兰氏阴性菌、苛养菌、酵母样真菌的自动化鉴定，以及抗生素药物敏感性MIC定量检测、耐药表型分析，满足临床抗感染诊断、院感监测、耐药数据上报等核心需求</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，配套试剂需具备完整合法医疗器械资质。</w:t>
            </w:r>
          </w:p>
          <w:p w14:paraId="38B8B27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二、执行标准</w:t>
            </w:r>
          </w:p>
          <w:p w14:paraId="7E677CE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1.YY/T 0688.2—2010《临床实验室测试和体外诊断试验系统 抗菌药物敏感性试验的设备和方法》</w:t>
            </w:r>
          </w:p>
          <w:p w14:paraId="210FBAA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2.WS/T 807—2022《临床微生物检测系统性能验证》</w:t>
            </w:r>
          </w:p>
          <w:p w14:paraId="0418990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3.CLSI最新版标准（每年同步更新）</w:t>
            </w:r>
          </w:p>
          <w:p w14:paraId="609BE6C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4.JJF 2034—2023《微生物鉴定药敏系统校准规范》</w:t>
            </w:r>
          </w:p>
          <w:p w14:paraId="0EB952E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5.兼容WHONET、CARSS院感耐药数据上报系统</w:t>
            </w:r>
          </w:p>
          <w:p w14:paraId="699905D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6.医疗器械生产质量管理规范及实验室生物安全通用要求</w:t>
            </w:r>
          </w:p>
          <w:p w14:paraId="42AF731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三、实质性技术参数</w:t>
            </w:r>
          </w:p>
          <w:p w14:paraId="2881100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（一）核心检测原理</w:t>
            </w:r>
          </w:p>
          <w:p w14:paraId="50A220C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1.细菌鉴定原理：采用生化反应显色比色法联合检测，结合矩阵概率算法，确保鉴定结果精准。</w:t>
            </w:r>
          </w:p>
          <w:p w14:paraId="4479C07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2.药敏检测原理：采用微量肉汤稀释法（MIC法），动态连续监测反应过程，光电逐孔扫描检测，搭配光纤固态光源，结果稳定可靠。</w:t>
            </w:r>
          </w:p>
          <w:p w14:paraId="40BF7A7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3.自动化检测流程：具有周期性自动检测，动态判读；自动温控；自动自检等</w:t>
            </w:r>
          </w:p>
          <w:p w14:paraId="4627951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（二）硬件与检测通量</w:t>
            </w:r>
          </w:p>
          <w:p w14:paraId="1B4001E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1.孵育检测位：同时孵育+检测位≥60个测试卡/板，满足二级医院日常微生物检测通量需求。</w:t>
            </w:r>
          </w:p>
          <w:p w14:paraId="70EFEC1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2.检测速度：单板检测时间≤9秒；细菌鉴定最快4-8小时出结果，常规鉴定+药敏18-24小时出结果。</w:t>
            </w:r>
          </w:p>
          <w:p w14:paraId="089F2D1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3.板卡兼容：支持96孔/120孔一体化鉴定药敏复合板，单次上机可完成鉴定+药敏同步检测，提升检测效率。</w:t>
            </w:r>
          </w:p>
          <w:p w14:paraId="252C483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4.药敏梯度：药敏检测设置4-7个连续浓度梯度，可精准测定真实MIC值，结果符合CLSI标准。</w:t>
            </w:r>
          </w:p>
          <w:p w14:paraId="2DD66FC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5.温控系统：反应区精准控温35±1℃，温度均匀无温差，具备温度实时监测、记录、报警功能，保障反应环境稳定。</w:t>
            </w:r>
          </w:p>
          <w:p w14:paraId="2355BDF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（三）检测能力范围</w:t>
            </w:r>
          </w:p>
          <w:p w14:paraId="724FD38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w:t>
            </w:r>
            <w:r>
              <w:rPr>
                <w:rFonts w:hint="eastAsia" w:ascii="微软雅黑" w:hAnsi="微软雅黑" w:eastAsia="微软雅黑" w:cs="微软雅黑"/>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菌种鉴定能力：可提供肠杆菌科、非发酵菌、葡萄球菌、链球菌、嗜血杆菌、厌氧菌、酵母样真菌、棒状杆菌、芽孢杆菌，同时组合多元化，有生化鉴定/药敏复合卡和单一药敏测试卡，所有测试卡独立包装。</w:t>
            </w:r>
          </w:p>
          <w:p w14:paraId="7E5A31B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2.药敏覆盖种类：市面常用抗生素类型全面覆盖，可提供肠杆菌、非发酵、葡萄球菌、链球菌，酵母样真菌、芽孢杆菌，棒状杆菌，奈瑟菌/嗜血杆菌、厌氧菌等药敏板卡。</w:t>
            </w:r>
          </w:p>
          <w:p w14:paraId="2CEBB99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耐药表型分析：自动识别并提示ESBL（超广谱β内酰胺酶）、MRSA（耐甲氧西林金黄色葡萄球菌）、VRE（耐万古霉素肠球菌）、碳青霉烯类耐药菌、HLAR（高水平氨基糖苷类耐药）、诱导耐药等关键耐药表型，辅助临床抗感染治疗。</w:t>
            </w:r>
          </w:p>
          <w:p w14:paraId="4B24D24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（四）软件与专家系统</w:t>
            </w:r>
          </w:p>
          <w:p w14:paraId="4D35B0C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1.操作界面：全中文可视化操作界面，简洁易懂，无需专业培训即可快速上手，支持Windows系统兼容运行。</w:t>
            </w:r>
          </w:p>
          <w:p w14:paraId="366478D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2.结果判读：内置CLSI/EUCAST标准专家系统，自动判读S（敏感）、I（中介）、R（耐药），异常结果自动警示，判读规则可自定义调整。</w:t>
            </w:r>
          </w:p>
          <w:p w14:paraId="21E1D6D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3.质控管理：支持ATCC标准菌株室内质控，自动完成质控判断、数据记录、曲线绘制，具备质控失控报警、追溯功能，满足检验科质控要求。</w:t>
            </w:r>
          </w:p>
          <w:p w14:paraId="1558732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4.数据管理：内置大容量数据库，菌种库≥1000种，终身免费数据库升级，无需额外付费；可存储≥10万份检测结果，支持历史数据查询、统计、溯源。</w:t>
            </w:r>
          </w:p>
          <w:p w14:paraId="73FAB27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5.数据上报：直接对接WHONET、CARSS院感监测系统，自动生成耐药统计报表、科室检测报表、耐药趋势分析图，满足国家院感数据上报要求。</w:t>
            </w:r>
          </w:p>
          <w:p w14:paraId="6CCA76A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（五）配套与安全性能</w:t>
            </w:r>
          </w:p>
          <w:p w14:paraId="03D7FED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1.识别功能：支持样本条码、试剂板条码自动扫描识别，无需人工录入信息，减少操作误差。</w:t>
            </w:r>
          </w:p>
          <w:p w14:paraId="20AAC15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2.防护性能：实验室级防水防尘设计，机身易清洁消毒，符合医院院感管理要求。</w:t>
            </w:r>
          </w:p>
          <w:p w14:paraId="16AF627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3.安全保护：具备开机自检、漏电保护、故障自动报警、过载保护功能，运行稳定安全。</w:t>
            </w:r>
          </w:p>
          <w:p w14:paraId="575C0AA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4.试剂要求：配套原厂干燥稳定型试剂板，可常温运输储存，无需低温冷藏，便于管理，试剂注册证齐全。</w:t>
            </w:r>
          </w:p>
          <w:p w14:paraId="357502D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（六）性能指标</w:t>
            </w:r>
          </w:p>
          <w:p w14:paraId="754E1A8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1.鉴定准确率≥95%，药敏结果符合率≥95%。</w:t>
            </w:r>
          </w:p>
          <w:p w14:paraId="5BDE0FF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2.重复性误差≤1%，检测结果稳定性强。</w:t>
            </w:r>
          </w:p>
          <w:p w14:paraId="46DF629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3.运行噪音≤55dB(A)，适配微生物实验室安静工作环境。</w:t>
            </w:r>
          </w:p>
          <w:p w14:paraId="51F19EE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（七）设备规格</w:t>
            </w:r>
          </w:p>
          <w:p w14:paraId="63E451D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1.外形尺寸：占地面积小，适配二级医院微生物实验室操作台。</w:t>
            </w:r>
          </w:p>
          <w:p w14:paraId="39CFE78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2.电源要求：AC220V±10%，50Hz，低功耗，节能省电。</w:t>
            </w:r>
          </w:p>
          <w:p w14:paraId="32CC599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四、一般技术参数</w:t>
            </w:r>
          </w:p>
          <w:p w14:paraId="1F1B2C7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1.支持全自动、半自动双模式运行，可灵活适配不同检测场景。</w:t>
            </w:r>
          </w:p>
          <w:p w14:paraId="3F3D5DA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2.检测报告支持PDF、Excel格式导出，支持自定义报告模板，可直接打印使用。</w:t>
            </w:r>
          </w:p>
          <w:p w14:paraId="637C5EA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3.具备反应图像实时存档功能，可追溯检测全过程，便于结果复核。</w:t>
            </w:r>
          </w:p>
          <w:p w14:paraId="1730420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4.支持厌氧、微需氧菌检测扩展。</w:t>
            </w:r>
          </w:p>
          <w:p w14:paraId="58E0F88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五、商务要求</w:t>
            </w:r>
          </w:p>
          <w:p w14:paraId="2A8D424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1.安装调试：免费上门安装、调试，现场进行性能验证，确保仪器符合招标参数及临床检测要求。</w:t>
            </w:r>
          </w:p>
          <w:p w14:paraId="45C2611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2.质保服务：整机免费质保≥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年，终身维护；质保期内免费上门维修、更换零配件、校准仪器，厂家售后响应时间≤2小时，24小时内上门解决故障。</w:t>
            </w:r>
          </w:p>
          <w:p w14:paraId="59E3BBB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3.培训服务：提供免费上门专业培训，涵盖仪器操作、试剂使用、质控管理、结果判读、故障排查、数据上报等内容，确保检验科2-3名操作人员可独立熟练使用。</w:t>
            </w:r>
          </w:p>
          <w:p w14:paraId="3B60F2C3">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4.耗材供应：承诺配套试剂、耗材长期稳定供应，价格透明合规，质保期内及后续耗材价格不高于市场同期同类型产品，不无故涨价、断供。</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9278">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419BB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DA57">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6C2F">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化学发光仪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74D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2A18E4A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本项目主要用于检验科临床免疫定量检测，覆盖肿瘤标志物、甲状腺功能、性激素、传染病、心肌标志物、炎症感染、糖代谢等核心项目。</w:t>
            </w:r>
          </w:p>
          <w:p w14:paraId="722D9E6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二、执行标准</w:t>
            </w:r>
          </w:p>
          <w:p w14:paraId="236ACB6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仪器及试剂生产、检测、合规需严格遵循以下国家及行业标准，投标时需提供相关检测报告及资质文件佐证：</w:t>
            </w:r>
          </w:p>
          <w:p w14:paraId="0AAC557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1.YY/T 1532-2017《全自动化学发光免疫分析仪》</w:t>
            </w:r>
          </w:p>
          <w:p w14:paraId="37CC41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2.YY/T 1529-2017《化学发光免疫分析试剂》</w:t>
            </w:r>
          </w:p>
          <w:p w14:paraId="5D816F1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3.JJF 1820-2020《化学发光免疫分析仪校准规范》</w:t>
            </w:r>
          </w:p>
          <w:p w14:paraId="37A4C59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4.医疗器械生产质量管理规范（GMP）</w:t>
            </w:r>
          </w:p>
          <w:p w14:paraId="04779A0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5.实验室生物安全通用要求</w:t>
            </w:r>
          </w:p>
          <w:p w14:paraId="255E79E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三、实质性技术参数</w:t>
            </w:r>
          </w:p>
          <w:p w14:paraId="17C7022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（一）核心检测性能</w:t>
            </w:r>
          </w:p>
          <w:p w14:paraId="17C2806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1.检测原理：采用直接化学发光法（吖啶酯类）或酶促化学发光法（ALP/HRP标记），支持多技术兼容，确保高、低浓度样本检测准确性，具备优异的抗干扰能力。</w:t>
            </w:r>
          </w:p>
          <w:p w14:paraId="13344F9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2.检测：支持独立急诊通道，急诊样本可随时插入、优先检测</w:t>
            </w:r>
          </w:p>
          <w:p w14:paraId="3AA1408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3.精密度与准确度：</w:t>
            </w:r>
          </w:p>
          <w:p w14:paraId="236B16C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批内精密度CV≤5%，日间精密度CV≤8%，检测结果重复性优异</w:t>
            </w:r>
          </w:p>
          <w:p w14:paraId="1A545C4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携带污染率≤0.1ppm，无交叉污染风险</w:t>
            </w:r>
          </w:p>
          <w:p w14:paraId="34524ED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线性相关系数r≥0.99（线性范围覆盖≥3个数量级）</w:t>
            </w:r>
          </w:p>
          <w:p w14:paraId="3FC6CFA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准确度相对偏差≤±5%（需与国家一级溯源质控品比对验证）</w:t>
            </w:r>
          </w:p>
          <w:p w14:paraId="1A4859D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4.抗原/抗体 过剩处理：具备抗原/抗体过剩自动监测、前带检测功能，可自动识别高浓度样本，触发自动稀释重测，无需人工干预。</w:t>
            </w:r>
          </w:p>
          <w:p w14:paraId="3184C49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（二）样本进样系统</w:t>
            </w:r>
          </w:p>
          <w:p w14:paraId="59B9354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1.样本用量：微量精准进样，样本量范围10–300μL，兼容不同浓度样本需求。</w:t>
            </w:r>
          </w:p>
          <w:p w14:paraId="7E98A6D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2.样本处理功能：样本条码扫描、液面感应、凝块检测、气泡检测、防堵针功能，全程封闭自动化操作，降低生物安全风险与人工误差。</w:t>
            </w:r>
          </w:p>
          <w:p w14:paraId="77EFF0B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3.适配样本类型：兼容血清、血浆、全血、尿液等多种临床常见样本类型。</w:t>
            </w:r>
          </w:p>
          <w:p w14:paraId="69871FF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（三）试剂与耗材系统</w:t>
            </w:r>
          </w:p>
          <w:p w14:paraId="22F5125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1.▲试剂包装及试剂位：单人份试剂独立包装，试剂位&gt;6个</w:t>
            </w:r>
          </w:p>
          <w:p w14:paraId="1AE387D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2.项目覆盖：至少覆盖核心项目：可检测项目至少包括：肌钙蛋白、肌红蛋白、降钙素原、钠尿肽、HCG等。</w:t>
            </w:r>
          </w:p>
          <w:p w14:paraId="57EEE86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（四）光学与温控系统</w:t>
            </w:r>
          </w:p>
          <w:p w14:paraId="5656AC6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1.光学系统：采用高稳定性光子计数检测模块，背景噪声≤200 RLU，确保低浓度样本检测灵敏度，光路系统具备自动校准功能。</w:t>
            </w:r>
          </w:p>
          <w:p w14:paraId="293D891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2.温控系统：反应区精准控温37.0℃±0.5℃，温控波动≤±0.2℃，符合免疫反应最佳温度要求，保障检测结果准确性。</w:t>
            </w:r>
          </w:p>
          <w:p w14:paraId="006B83A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（五）软件与数据管理系统</w:t>
            </w:r>
          </w:p>
          <w:p w14:paraId="6B49366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1.通讯连接：支持双向LIS/HIS系统无缝对接，实现检测数据自动传输、接收；配备USB数据导出接口、内置打印机，支持实时打印、批量打印报告。</w:t>
            </w:r>
          </w:p>
          <w:p w14:paraId="118BF77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2.数据存储：内置大容量存储，可存储≥10万份历史检测结果，支持按样本号、时间、检测项目等多维度查询、统计与溯源。</w:t>
            </w:r>
          </w:p>
          <w:p w14:paraId="7B6A35A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3.质控管理：支持多水平室内质控品检测，可自动绘制Levey-Jennings质控图，具备质控失控报警、质控数据统计分析功能，满足科室间质评与室内质控要求。</w:t>
            </w:r>
          </w:p>
          <w:p w14:paraId="75BA786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4.定标管理：支持多点定标、曲线拟合，定标曲线长期稳定，可自动监测定标状态，保障检测准确性。</w:t>
            </w:r>
          </w:p>
          <w:p w14:paraId="3F24113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（六）安全与维护</w:t>
            </w:r>
          </w:p>
          <w:p w14:paraId="444CB69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1.生物安全设计：全封闭检测系统，配备专用废液收集装置，防止试剂泄漏与气溶胶扩散，符合实验室生物安全规范。</w:t>
            </w:r>
          </w:p>
          <w:p w14:paraId="76C02A4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2.维护功能：内置全自动清洗、保养系统，具备防堵针、防溢液、故障自检，降低日常维护工作量与故障率。</w:t>
            </w:r>
          </w:p>
          <w:p w14:paraId="20B2403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3.自检功能：支持开机自检、运行中自动故障检测，异常情况及时报警，保障仪器稳定运行。</w:t>
            </w:r>
          </w:p>
          <w:p w14:paraId="152AC17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四、一般技术参数</w:t>
            </w:r>
          </w:p>
          <w:p w14:paraId="753B591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1.操作界面：全中文可视化操作，一键启动检测，故障智能提示，操作简便易上手。</w:t>
            </w:r>
          </w:p>
          <w:p w14:paraId="25817F8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2.运行噪音：≤65dB(A)，适配检验科常规工作环境。</w:t>
            </w:r>
          </w:p>
          <w:p w14:paraId="5DAEEE3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3.电源要求：AC 220V±10%，50Hz，适配医院常规供电系统。</w:t>
            </w:r>
          </w:p>
          <w:p w14:paraId="583EC83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4.设备为台式桌面机型，可直接放置检验科实验操作台使用。</w:t>
            </w:r>
          </w:p>
          <w:p w14:paraId="056E310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五、商务要求</w:t>
            </w:r>
          </w:p>
          <w:p w14:paraId="4957782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1.质保服务：整机免费质保≥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年，终身维护；质保期内提供免费上门维修、零配件更换、仪器校准服务，厂家售后响应时间≤2小时，24小时内上门解决故障。</w:t>
            </w:r>
          </w:p>
          <w:p w14:paraId="78F0D0CD">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2.培训服务：厂家提供免费上门培训，涵盖仪器操作、日常维护、质控管理、常见故障排查等内容，确保检验科所有操作人员可独立熟练使用仪器。</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AB85">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2B2F9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E20B">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8805">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免疫比浊仪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225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一、执行标准</w:t>
            </w:r>
          </w:p>
          <w:p w14:paraId="7424258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仪器及试剂生产、检测、合规需严格遵循以下标准：</w:t>
            </w:r>
          </w:p>
          <w:p w14:paraId="63EE48E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1.YY/T 1255-2015《免疫比浊法检测试剂（盒）》</w:t>
            </w:r>
          </w:p>
          <w:p w14:paraId="63015BE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2.YY/T 1662-2019《特定蛋白分析仪》</w:t>
            </w:r>
          </w:p>
          <w:p w14:paraId="0DB3B1C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3.JJF 1874-2021《特定蛋白分析仪校准规范》</w:t>
            </w:r>
          </w:p>
          <w:p w14:paraId="487611E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4.医疗器械生产质量管理规范（GMP）</w:t>
            </w:r>
          </w:p>
          <w:p w14:paraId="7AA0F45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5.所投产品配套试剂注册证</w:t>
            </w:r>
          </w:p>
          <w:p w14:paraId="1C0F889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 实质性技术参数</w:t>
            </w:r>
          </w:p>
          <w:p w14:paraId="55B5138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（一）核心检测性能</w:t>
            </w:r>
          </w:p>
          <w:p w14:paraId="3394E95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1.检测原理：同时支持透射免疫比浊法与散射免疫比浊法双原理检测，可根据项目需求智能切换，保障高、低浓度样本检测准确性。</w:t>
            </w:r>
          </w:p>
          <w:p w14:paraId="23B8182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2.光路系统：采用激光/LED固态光源，波长覆盖范围≥340～940nm，配备≥4个可智能切换波长，提升多项目检测适配性。</w:t>
            </w:r>
          </w:p>
          <w:p w14:paraId="02C8A9C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3.检测效率：恒速检测≥150测试/小时，支持急诊优先插入功能，不中断常规检测流程，满足急诊快速检测需求；支持批量、随机、单样本等多种检测模式。</w:t>
            </w:r>
          </w:p>
          <w:p w14:paraId="6CD93A5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4.精密度与准确度：</w:t>
            </w:r>
          </w:p>
          <w:p w14:paraId="1ECBA14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批内精密度：CV ≤ 1.5%</w:t>
            </w:r>
          </w:p>
          <w:p w14:paraId="17C236D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日间精密度：CV ≤ 2.5%</w:t>
            </w:r>
          </w:p>
          <w:p w14:paraId="7B3DC68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携带污染率：≤ 0.1%</w:t>
            </w:r>
          </w:p>
          <w:p w14:paraId="3046D07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线性相关系数：r ≥ 0.995</w:t>
            </w:r>
          </w:p>
          <w:p w14:paraId="1680E93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准确度：相对偏差 ≤ ±3.0%（需与国家一级溯源质控品比对验证）</w:t>
            </w:r>
          </w:p>
          <w:p w14:paraId="43B7D80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5.抗原过剩处理：具备抗原过剩自动监测、前带检测功能，可自动识别高浓度样本，触发自动稀释重测，无需人工干预。</w:t>
            </w:r>
          </w:p>
          <w:p w14:paraId="5E8EFF8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（二）样本进样系统</w:t>
            </w:r>
          </w:p>
          <w:p w14:paraId="39B06E7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1.样本容量：采用轨道式全自动进样，样本位≥40个，配备独立急诊样本位（≥2个）。</w:t>
            </w:r>
          </w:p>
          <w:p w14:paraId="7F15872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2.样本用量：单次检测样本量范围3～10μL，微量检测，减少样本消耗。</w:t>
            </w:r>
          </w:p>
          <w:p w14:paraId="24117BC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3.样本处理：支持原始采血管直接上机，具备闭盖自动穿刺、样本条码扫描、液面感应、凝块检测功能，全程封闭操作，降低生物安全风险。</w:t>
            </w:r>
          </w:p>
          <w:p w14:paraId="3B2DCA1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4.适配样本类型：兼容血清、血浆、尿液、脑脊液等多种临床样本类型。</w:t>
            </w:r>
          </w:p>
          <w:p w14:paraId="4E0EEBB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 xml:space="preserve">（三）检测项目：应包涵C反应蛋白、ASO、RF、尿微量白蛋白、β2微球蛋白、胱抑素C、但不限于检测免疫球蛋白A、免疫球蛋白G、免疫球蛋白M、补体C3、补体C4等项目。 </w:t>
            </w:r>
          </w:p>
          <w:p w14:paraId="2526847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（四）硬件与操作系统</w:t>
            </w:r>
          </w:p>
          <w:p w14:paraId="5DE31D9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1.操作界面：全中文可视化操作界面，支持一键启动检测、故障智能提示、历史结果快速查询，操作简便易上手。</w:t>
            </w:r>
          </w:p>
          <w:p w14:paraId="2039B27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2.反应系统：采用一次性反应杯，满足大批量连续检测需求；反应杯适配性强，兼容不同规格试剂用量。</w:t>
            </w:r>
          </w:p>
          <w:p w14:paraId="7A7D680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3.温控系统：检测反应温度精准控制37.0℃±0.5℃，适配免疫比浊检测最佳反应温度。</w:t>
            </w:r>
          </w:p>
          <w:p w14:paraId="2468398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4.维护功能：内置全自动清洗系统，具备防堵针、防溢液、自动保养功能，降低仪器故障率，减少人工维护工作量。</w:t>
            </w:r>
          </w:p>
          <w:p w14:paraId="5F49112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（五）数据管理与通讯</w:t>
            </w:r>
          </w:p>
          <w:p w14:paraId="63B90D7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1.数据输出：可同步输出检测数值、单位、参考范围、异常结果标注、检测项目全称等完整报告信息，支持中英文报告切换。</w:t>
            </w:r>
          </w:p>
          <w:p w14:paraId="5FABC51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2.通讯连接：支持双向LIS系统连接，可与医院检验科信息系统无缝对接，实现数据自动传输与接收；配备USB数据导出接口、内置热敏打印机，支持实时打印、批量打印。</w:t>
            </w:r>
          </w:p>
          <w:p w14:paraId="19C6B85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3.数据存储：内置大容量存储，可存储≥3万份历史检测结果，支持按时间、样本号、检测项目等多维度查询、统计与溯源。</w:t>
            </w:r>
          </w:p>
          <w:p w14:paraId="6429809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4.质控管理：支持多水平室内质控品检测，可自动绘制Levey-Jennings质控图，具备质控失控报警、质控数据统计分析功能，满足科室质控管理要求。</w:t>
            </w:r>
          </w:p>
          <w:p w14:paraId="0306457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（六）安全与合规</w:t>
            </w:r>
          </w:p>
          <w:p w14:paraId="3F9322E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1.仪器设计符合生物安全规范，具备封闭液路系统、废液集中收集装置，防止试剂泄漏与气溶胶扩散。</w:t>
            </w:r>
          </w:p>
          <w:p w14:paraId="7AC92BC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2.具备开机自检、故障自动诊断、异常报警（如样本不足、试剂耗尽、光路异常）等功能，保障检测过程安全稳定。</w:t>
            </w:r>
          </w:p>
          <w:p w14:paraId="684CD06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三、一般技术参数</w:t>
            </w:r>
          </w:p>
          <w:p w14:paraId="3702D8B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1.运行噪音：≤60dB(A)，适配检验科常规工作环境。</w:t>
            </w:r>
          </w:p>
          <w:p w14:paraId="4DABE5A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2.电源要求：AC 220V±10%，50Hz，适配医院常规供电。</w:t>
            </w:r>
          </w:p>
          <w:p w14:paraId="119DA3D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3.外形尺寸：适配检验科标准操作台摆放。</w:t>
            </w:r>
          </w:p>
          <w:p w14:paraId="4BE6257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4.具备样本质量监测功能，可自动识别溶血、黄疸、脂血样本并标注提示。</w:t>
            </w:r>
          </w:p>
          <w:p w14:paraId="3E29F0A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四、商务要求</w:t>
            </w:r>
          </w:p>
          <w:p w14:paraId="731D98C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1.质保服务：整机免费质保≥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年，终身维护；质保期内提供免费上门维修、零配件更换、仪器校准服务，厂家售后响应时间≤24小时，48小时内上门解决故障。</w:t>
            </w:r>
          </w:p>
          <w:p w14:paraId="185B99BC">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2.培训服务：厂家提供免费上门培训，涵盖仪器操作、日常维护、质控管理、常见故障排查等内容，确保检验科所有操作人员可独立熟练使用仪器。</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98D5">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7DA94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DAEE">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9BEB">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免疫荧光分析仪</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C1D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249BF97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本项目采购全自动免疫荧光分析仪1台，主要用于检验科、急诊科室临床快速免疫定量检测，涵盖心肌标志物、炎症感染、肾功能等核心项目。</w:t>
            </w:r>
          </w:p>
          <w:p w14:paraId="4DB31E3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二、执行标准</w:t>
            </w:r>
          </w:p>
          <w:p w14:paraId="54B1DE2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仪器及配套试剂需符合以下国家及行业标准，投标时提供相关检测报告、资质文件佐证：</w:t>
            </w:r>
          </w:p>
          <w:p w14:paraId="00DC993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1.YY/T 1590-2018《干式荧光免疫分析仪》</w:t>
            </w:r>
          </w:p>
          <w:p w14:paraId="0180383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2.YY/T 1468-2016《用于免疫检测的荧光免疫分析仪》</w:t>
            </w:r>
          </w:p>
          <w:p w14:paraId="250C42C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3.JJF 1892-2021《荧光免疫分析仪校准规范》</w:t>
            </w:r>
          </w:p>
          <w:p w14:paraId="3A69219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4.医疗器械生产质量管理规范</w:t>
            </w:r>
          </w:p>
          <w:p w14:paraId="6B39E62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5.实验室生物安全通用要求</w:t>
            </w:r>
          </w:p>
          <w:p w14:paraId="0DD8BA8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三、实质性技术参数</w:t>
            </w:r>
          </w:p>
          <w:p w14:paraId="088F0A1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（一）核心检测性能</w:t>
            </w:r>
          </w:p>
          <w:p w14:paraId="70097C7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w:t>
            </w:r>
            <w:r>
              <w:rPr>
                <w:rFonts w:hint="eastAsia" w:ascii="微软雅黑" w:hAnsi="微软雅黑" w:eastAsia="微软雅黑" w:cs="微软雅黑"/>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检测原理：采用干式免疫荧光定量法（</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基于</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免疫荧光层析）</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实现</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定量检测，光学系统稳定，具备光源自检＋背景信号扣除、非特异性荧光干扰消除功能，保证低值样本准确性。</w:t>
            </w:r>
          </w:p>
          <w:p w14:paraId="6F5A531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2.光路系统：配备高亮度LED/激光固态光源，使用寿命≥5年，检测波长覆盖470nm-650nm，单波长/双波长精准检测，保障低浓度样本灵敏度。</w:t>
            </w:r>
          </w:p>
          <w:p w14:paraId="3DAFEE1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3.检测通量：通道数量：≥20，满足急诊快速诊断需求。</w:t>
            </w:r>
          </w:p>
          <w:p w14:paraId="6F3D755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4.检测模式：支持随机检测、批量检测、急诊优先插入、样本连续加载四种模式，急诊样本可随时插队，不中断常规检测流程。</w:t>
            </w:r>
          </w:p>
          <w:p w14:paraId="389B859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5.精密度与准确度：</w:t>
            </w:r>
          </w:p>
          <w:p w14:paraId="61521EB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批内精密度CV≤2.0%，日间精密度CV≤3.0%，检测结果重复性优异；</w:t>
            </w:r>
          </w:p>
          <w:p w14:paraId="710E77E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携带污染率≤0.1%，无样本交叉污染；</w:t>
            </w:r>
          </w:p>
          <w:p w14:paraId="2F8D509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线性相关系数r≥0.98，准确度相对偏差≤±3.0%（与国家溯源质控品比对）；</w:t>
            </w:r>
          </w:p>
          <w:p w14:paraId="54FA02E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具备抗原过剩监测、自动稀释重测功能，避免高值样本结果失真。</w:t>
            </w:r>
          </w:p>
          <w:p w14:paraId="286B878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（二）样本处理系统</w:t>
            </w:r>
          </w:p>
          <w:p w14:paraId="151E82B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1.样本位配置：全自动轨道式进样，样本位≥40个，配备独立急诊样本位≥2个，支持批量样本同步上机。</w:t>
            </w:r>
          </w:p>
          <w:p w14:paraId="6454A46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2.样本用量：微量检测，单次样本用量3-10μL，兼容静脉全血、末梢全血、血清、血浆、尿液、脑脊液等多种样本类型。</w:t>
            </w:r>
          </w:p>
          <w:p w14:paraId="2DDA592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（三）试剂与耗材系统</w:t>
            </w:r>
          </w:p>
          <w:p w14:paraId="06B2AFC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1.试剂位配置：试剂仓数量：≥5个，全部支持2-8℃恒温冷藏，具备试剂冷藏温控报警功能，保障试剂稳定性。</w:t>
            </w:r>
          </w:p>
          <w:p w14:paraId="22B1128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2.试剂管理：支持RFID/条码自动识别试剂信息，具备试剂余量监测、效期预警、低液位报警功能，无需人工录入试剂参数。</w:t>
            </w:r>
          </w:p>
          <w:p w14:paraId="67D5C20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3.检测项目：原厂配套试剂注册证齐全，至少覆盖以下核心项目：心肌标志物（cTnI、BNP/NT-proBNP）、炎症感染（PCT、hs-CRP、SAA、IL-6）等，可根据临床需求扩展项目。</w:t>
            </w:r>
          </w:p>
          <w:p w14:paraId="37AD6F9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4.耗材要求：采用一次性检测卡/反应杯，废卡仓容量≥150片，一次性加样TIP头，杜绝交叉污染，耗材更换便捷。</w:t>
            </w:r>
          </w:p>
          <w:p w14:paraId="77E1327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（四）硬件与操作系统</w:t>
            </w:r>
          </w:p>
          <w:p w14:paraId="09E10E1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1.操作界面：高清彩色中文触摸屏，全中文可视化操作界面，一键启动检测，支持故障自动诊断、结果一键查询、异常结果标注，操作简单易上手。</w:t>
            </w:r>
          </w:p>
          <w:p w14:paraId="042868D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2.温控系统：反应区精准控温37.0℃±0.5℃，温控波动≤±0.2℃，保障免疫反应最佳环境。</w:t>
            </w:r>
          </w:p>
          <w:p w14:paraId="63794C8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3.液路与维护：全自动加样、清洗系统，具备防堵针、防溢液、自动保养功能，日常维护简单，故障率低。</w:t>
            </w:r>
          </w:p>
          <w:p w14:paraId="12F49DE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4.生物安全：全封闭检测系统，配备专用废液收集装置，防止气溶胶扩散与试剂泄漏，符合实验室生物安全要求。</w:t>
            </w:r>
          </w:p>
          <w:p w14:paraId="36FBC58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（五）数据管理与通讯</w:t>
            </w:r>
          </w:p>
          <w:p w14:paraId="0FD4707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1.数据输出：同步输出检测数值、参考范围、异常结果标记、检测时间、样本信息，支持中文标准化报告格式，可直接打印使用。</w:t>
            </w:r>
          </w:p>
          <w:p w14:paraId="4FF5D0A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2.系统连接：支持双向LIS/HIS系统无缝对接，实现数据自动传输、接收；配备USB数据导出接口、内置热敏打印机，支持实时打印、批量打印。</w:t>
            </w:r>
          </w:p>
          <w:p w14:paraId="72FD42D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3.数据存储：内置大容量存储，可存储≥10万份历史检测结果，支持按样本号、时间、项目多维度查询、统计、溯源。</w:t>
            </w:r>
          </w:p>
          <w:p w14:paraId="74FFD32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4.质控管理：支持多水平室内质控品检测，自动绘制质控图，具备质控失控报警、质控数据统计分析功能，满足检验科室间质评与室内质控要求。</w:t>
            </w:r>
          </w:p>
          <w:p w14:paraId="6FF828A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（六）合规资质</w:t>
            </w:r>
          </w:p>
          <w:p w14:paraId="7D0DE25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1.配套检测试剂具备对应医疗器械注册证；</w:t>
            </w:r>
          </w:p>
          <w:p w14:paraId="2802091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2.提供厂家生产许可证、产品检测报告、溯源证书等资质文件。</w:t>
            </w:r>
          </w:p>
          <w:p w14:paraId="086DC90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四、一般技术参数（允许微小无负偏离）</w:t>
            </w:r>
          </w:p>
          <w:p w14:paraId="319CD33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1.运行噪音：≤60dB(A)，适配检验科、急诊室工作环境；</w:t>
            </w:r>
          </w:p>
          <w:p w14:paraId="09DEB8D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2.电源要求：AC220V±10%，50Hz，适配医院常规供电；</w:t>
            </w:r>
          </w:p>
          <w:p w14:paraId="3AC709F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3.外形尺寸：适合科室操作台摆放；</w:t>
            </w:r>
          </w:p>
          <w:p w14:paraId="1E9F20A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4.具备开机自检、光路校准、故障自动报警功能；</w:t>
            </w:r>
          </w:p>
          <w:p w14:paraId="274279A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5.支持溶血、黄疸、脂血样本自动识别与干扰提示。</w:t>
            </w:r>
          </w:p>
          <w:p w14:paraId="434264B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五、商务要求</w:t>
            </w:r>
          </w:p>
          <w:p w14:paraId="2153158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1.质保服务：整机免费质保≥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年，终身维护；质保期内提供免费上门维修、零配件更换、仪器校准服务，厂家售后响应时间≤24小时，48小时内上门解决故障。</w:t>
            </w:r>
          </w:p>
          <w:p w14:paraId="4771FD34">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2.培训服务：厂家提供免费上门培训，涵盖仪器操作、日常维护、质控管理、故障排查等内容，确保科室2-3名操作人员可独立熟练使用仪器。</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7D24">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40EC1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DAEF">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F029">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血培养系统</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CAD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0AE8F06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采购全自动血培养仪1套，用于临床血液及无菌体液（脑脊液、胸腹水、心包液、骨髓等）中需氧菌、厌氧菌、真菌的自动化培养、连续监测与阳性报警，满足二级医院血流感染快速诊断、院感监测需求。</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配套培养瓶须具备完整医疗器械注册证。</w:t>
            </w:r>
          </w:p>
          <w:p w14:paraId="4250619B">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二、执行标准</w:t>
            </w:r>
          </w:p>
          <w:p w14:paraId="05FA90F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YY/T 0656—2008《自动化血培养系统》</w:t>
            </w:r>
          </w:p>
          <w:p w14:paraId="5989B5F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WS/T 807—2022《临床微生物检测系统性能验证》</w:t>
            </w:r>
          </w:p>
          <w:p w14:paraId="1B4CFDC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CLSI 最新标准</w:t>
            </w:r>
          </w:p>
          <w:p w14:paraId="711DE3C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医用电气安全、电磁兼容（EMC）标准</w:t>
            </w:r>
          </w:p>
          <w:p w14:paraId="7009DDD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兼容 LIS/HIS 系统、院感数据上报系统</w:t>
            </w:r>
          </w:p>
          <w:p w14:paraId="1434B13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实质性技术参数</w:t>
            </w:r>
          </w:p>
          <w:p w14:paraId="13F00596">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（一）检测原理</w:t>
            </w:r>
          </w:p>
          <w:p w14:paraId="762146A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采用非侵入式 CO₂ 光学比色/荧光感应法：瓶底传感器监测微生物代谢 CO₂，连续实时光电扫描，自动判读阴/阳性、绘制生长曲线。</w:t>
            </w:r>
          </w:p>
          <w:p w14:paraId="4DBF297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ascii="微软雅黑" w:hAnsi="微软雅黑" w:eastAsia="微软雅黑" w:cs="微软雅黑"/>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内置样本量检测模块，支持样本量检测，准确度±1ml。检测原理：采用视觉图像检测 方案识别样本量</w:t>
            </w:r>
          </w:p>
          <w:p w14:paraId="6461978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检测方法：每种瓶有早期判断算法、速率法、加速法、慢生长算法，四种瓶类型有16 种以上算法；</w:t>
            </w:r>
          </w:p>
          <w:p w14:paraId="4261CCF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（二）瓶位与通量</w:t>
            </w:r>
          </w:p>
          <w:p w14:paraId="303DA91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总瓶位 ≥ 60 个，模块化抽屉式孵育，可独立分区控温/振荡。</w:t>
            </w:r>
          </w:p>
          <w:p w14:paraId="44E27F1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支持实时盲置、盲取、延时上机（≥48h）。</w:t>
            </w:r>
          </w:p>
          <w:p w14:paraId="37A1868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最快报阳时间 ≤ 4h；24h 阳性检出率 ≥ 90%；5天自动判阴。</w:t>
            </w:r>
          </w:p>
          <w:p w14:paraId="208AE5F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（三）培养与温控</w:t>
            </w:r>
          </w:p>
          <w:p w14:paraId="1A7B54E4">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独立高精度温控：</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准确度±</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0.5℃，温度均匀稳定，开关门波动小。</w:t>
            </w:r>
          </w:p>
          <w:p w14:paraId="71B877D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连续摇摆振荡培养，促进细菌生长、缩短报阳时间。</w:t>
            </w:r>
          </w:p>
          <w:p w14:paraId="4207E96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支持需氧、厌氧、真菌、儿童、树脂中和等多类型培养瓶。</w:t>
            </w:r>
          </w:p>
          <w:p w14:paraId="1B65F4F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（四）培养瓶要求</w:t>
            </w:r>
          </w:p>
          <w:p w14:paraId="40215D6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配套原厂树脂型培养瓶（含抗生素中和功能），覆盖：</w:t>
            </w:r>
          </w:p>
          <w:p w14:paraId="33B8F449">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标准需氧瓶、厌氧瓶、儿童瓶</w:t>
            </w:r>
          </w:p>
          <w:p w14:paraId="004208B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含树脂/活性炭，有效中和血液中残留抗生素</w:t>
            </w:r>
          </w:p>
          <w:p w14:paraId="0DB7D7E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培养基无菌、稳定、有效期 ≥ 12 个月。</w:t>
            </w:r>
          </w:p>
          <w:p w14:paraId="4C3B5A4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（五）软件与报警</w:t>
            </w:r>
          </w:p>
          <w:p w14:paraId="2473D03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声光色三级报警（声音+灯光+颜色），阳性即时提醒。</w:t>
            </w:r>
          </w:p>
          <w:p w14:paraId="5003CCD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实时显示生长曲线、培养时间、状态。</w:t>
            </w:r>
          </w:p>
          <w:p w14:paraId="6B228484">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支持双条码扫描（瓶码+样本码），可匿名瓶检测。</w:t>
            </w:r>
          </w:p>
          <w:p w14:paraId="2FCD524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数据自动存储 ≥ 10 万份，可追溯、导出、统计。</w:t>
            </w:r>
          </w:p>
          <w:p w14:paraId="30113AD2">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双向对接 LIS/HIS，支持院感数据上报。</w:t>
            </w:r>
          </w:p>
          <w:p w14:paraId="2394BA8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（六）性能指标</w:t>
            </w:r>
          </w:p>
          <w:p w14:paraId="2A4DE12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假阳性率 ≤ 0.1%，假阴性率 = 0。</w:t>
            </w:r>
          </w:p>
          <w:p w14:paraId="7353E114">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重复性 CV ≤ 1%。</w:t>
            </w:r>
          </w:p>
          <w:p w14:paraId="7895160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运行噪音 ≤ 55dB(A)，稳定无故障 ≥ 3万小时。</w:t>
            </w:r>
          </w:p>
          <w:p w14:paraId="19C977A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（七）安全与扩展</w:t>
            </w:r>
          </w:p>
          <w:p w14:paraId="12549ADB">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超温、故障、错瓶、门未关多重报警保护。</w:t>
            </w:r>
          </w:p>
          <w:p w14:paraId="6A06E2A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模块化设计，支持后期扩展瓶位（≥120位）。</w:t>
            </w:r>
          </w:p>
          <w:p w14:paraId="3FBB414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全中文界面，易操作、易清洁、院感安全。</w:t>
            </w:r>
          </w:p>
          <w:p w14:paraId="796908D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四、商务要求</w:t>
            </w:r>
          </w:p>
          <w:p w14:paraId="196A985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投标方所投全自动血培养仪为完整成套设备，除设备主机外，需标配以下配套设备，全新原装二氧化碳培养箱1台、恒温培养箱1台、细菌浊度仪1台，与主机同步交货、安装、调试、验收。所有配套设备均需具备合法医疗器械相关资质，与主机统一供货、安装、调试及质保：</w:t>
            </w:r>
          </w:p>
          <w:p w14:paraId="2F8B2CF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二氧化碳培养箱核心参数：控温范围 RT+5℃~60℃，控温精度±0.1℃；CO₂浓度控制范围0%~20%，浓度精度±0.1%；内胆采用304不锈钢材质，具备紫外消毒、超温报警、缺水报警、气路密封保护功能，容量≥80L，符合微生物实验室细菌、苛养菌培养要求。</w:t>
            </w:r>
          </w:p>
          <w:p w14:paraId="606B236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恒温培养箱核心参数：控温范围RT+5℃~65℃，控温精度±0.1℃；内胆304不锈钢，强制空气对流循环，温度均匀度±0.3℃；具备定时功能、超温报警、断电记忆功能，容量≥100L，满足微生物常规培养、菌落培养需求。</w:t>
            </w:r>
          </w:p>
          <w:p w14:paraId="6B2E71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细菌浊度仪核心参数：采用麦氏浊度单位检测，检测范围 0.5~5.0麦氏单位，精度±0.01麦氏；具备LCD数字显示，一键校准，操作简便；适配药敏试验前细菌悬液浊度校准，机身小巧，符合微生物实验室前处理操作需求，为全新国产品牌正品，具备产品合格证。</w:t>
            </w:r>
          </w:p>
          <w:p w14:paraId="76944D7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设备需为全新正品、知名国产品牌，不得提供翻新、返修、淘汰机型，需具备产品合格证、检测报告及相关资质，享受与主机同等时长的免费质保服务，质保期内免费上门维修及更换零配件。</w:t>
            </w:r>
          </w:p>
          <w:p w14:paraId="6B17EE6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质保</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整机≥</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年免费质保，</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h 响应、</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24</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h上门。</w:t>
            </w:r>
          </w:p>
          <w:p w14:paraId="6C105D4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培训：免费上门培训操作、维护、质控、结果判读。</w:t>
            </w:r>
          </w:p>
          <w:p w14:paraId="627CD8B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资质：提供注册证、授权书、售后承诺、第三方检测报告。</w:t>
            </w:r>
          </w:p>
          <w:p w14:paraId="2A09D8FB">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449F">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0A459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6CD0">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BF93">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普通生物显微镜</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765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1.工作条件</w:t>
            </w:r>
          </w:p>
          <w:p w14:paraId="7748B4B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 工作温度：5℃～45℃</w:t>
            </w:r>
          </w:p>
          <w:p w14:paraId="7D2477D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 xml:space="preserve">1.2 湿度：20 ~ 85% </w:t>
            </w:r>
          </w:p>
          <w:p w14:paraId="0652D46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1.3 电源：220V, 50Hz</w:t>
            </w:r>
          </w:p>
          <w:p w14:paraId="4B6FAC2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2.主要技术指标</w:t>
            </w:r>
          </w:p>
          <w:p w14:paraId="392F842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2.1主机及光学系统：无限远矫正光学系统；</w:t>
            </w:r>
          </w:p>
          <w:p w14:paraId="3C88645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2.2调焦：低位聚焦控制，自调节聚焦机制。载物台垂直运动距离不小于25mm，带聚焦粗调上限自动停止装置。</w:t>
            </w:r>
          </w:p>
          <w:p w14:paraId="3B8C66A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2.3粗调带助力功能，便于精准聚焦；</w:t>
            </w:r>
          </w:p>
          <w:p w14:paraId="3452505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2.4观察镜筒：倾角为30°，目镜与镜筒集成在一起，螺丝固定防止脱落。配备用于安全旋转的指旋螺钉，可以随时任意旋转360度；</w:t>
            </w:r>
          </w:p>
          <w:p w14:paraId="7FEB620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2.5照明装置：内装式，LED冷光源，连续亮度调节，色温恒定=6000K；</w:t>
            </w:r>
          </w:p>
          <w:p w14:paraId="1E31CFB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2.6物镜：平场消色差物镜，采用国际标准45mm齐焦距离。为适应不同样品观察，物镜需满足下面放大倍数及相应数值孔径：</w:t>
            </w:r>
          </w:p>
          <w:p w14:paraId="3D9938F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4X（N.A=0.1）</w:t>
            </w:r>
          </w:p>
          <w:p w14:paraId="2E00B74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10X（N.A=0.22）</w:t>
            </w:r>
          </w:p>
          <w:p w14:paraId="7DB2BC0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40X（N.A=0.65）镜头内置保护弹簧</w:t>
            </w:r>
          </w:p>
          <w:p w14:paraId="5F8D775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100X（N.A=1.25）镜头内置保护弹簧，油镜</w:t>
            </w:r>
          </w:p>
          <w:p w14:paraId="4665650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2.7载物台：耐磨损载物台表面，尺寸≥185 mm (前面150 mm)宽x140mm深；圆形载物台边缘，无暴露齿条。</w:t>
            </w:r>
          </w:p>
          <w:p w14:paraId="27567C4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2.8样品夹：可单手操作样品夹；</w:t>
            </w:r>
          </w:p>
          <w:p w14:paraId="29FD428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2.9目镜：10X宽视野目镜，视野数≥20mm；</w:t>
            </w:r>
          </w:p>
          <w:p w14:paraId="5A67725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2.10物镜转换器：内顷式物镜转换器；</w:t>
            </w:r>
          </w:p>
          <w:p w14:paraId="1C6BAEB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2.11聚光镜：稳定的预对焦和预制中聚光镜，防止使用过程中误操作导致位置变化。N.A≥0.9，具有物镜倍数对应标识，具有扩展相差等功能插槽；</w:t>
            </w:r>
          </w:p>
          <w:p w14:paraId="2671B38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2.12防霉装置：在观察筒、目镜、物镜都做了防霉处理；</w:t>
            </w:r>
          </w:p>
          <w:p w14:paraId="6A56674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2.13主体构造、材质及防菌设计：主体结构为压铸铝，配备外部保险丝，方便更换。机体镀有银离子，有效防止细菌传播；</w:t>
            </w:r>
          </w:p>
          <w:p w14:paraId="6AC8EDC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2.14机身配备电源线绕线槽，方便收纳电源线；</w:t>
            </w:r>
          </w:p>
          <w:p w14:paraId="7D2F0AA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2.15配备易搬运提手，可单手持握进行搬运。</w:t>
            </w:r>
          </w:p>
          <w:p w14:paraId="68334AD2">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质保期：整机免费质保≥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年，质保期内免费上门维修、更换零配件，终身维护，厂家提供本地售后服务网点承诺。</w:t>
            </w:r>
          </w:p>
          <w:p w14:paraId="167BD65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F708">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016BE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3E9C">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C02D">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生物显微镜(带摄像功能 )</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3C7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一、项目概述</w:t>
            </w:r>
          </w:p>
          <w:p w14:paraId="448BC4E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 采购设备：数码生物显微镜</w:t>
            </w:r>
          </w:p>
          <w:p w14:paraId="34B2094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.设备用途：适用于检验科临床标本（血液、体液、分泌物、病理涂片等）的显微观察、图像采集、存储、测量及数据传输，满足二级医院临床检验日常诊断工作需求。</w:t>
            </w:r>
          </w:p>
          <w:p w14:paraId="017C68E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二、技术参数要求</w:t>
            </w:r>
          </w:p>
          <w:p w14:paraId="45B9DCF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（一）光学系统参数</w:t>
            </w:r>
          </w:p>
          <w:p w14:paraId="7205B7B6">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1.光学原理：采用无限远平场消色差光学系统，全光路无铅环保光学玻璃，具备防霉处理，适配临床长期使用环境。</w:t>
            </w:r>
          </w:p>
          <w:p w14:paraId="74EA063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2.观察筒：三目观察筒，30°倾斜、360°旋转，双目屈光度可调±5D，瞳距调节范围50-75mm，适配不同操作人员使用；内置分光结构，可同步实现目视观察与图像采集。</w:t>
            </w:r>
          </w:p>
          <w:p w14:paraId="333F70FB">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3.目镜：WF10X/22mm广角高眼点目镜，带护眼眼罩，视野宽阔，长时间操作无视觉疲劳，标配一对。</w:t>
            </w:r>
          </w:p>
          <w:p w14:paraId="79AAB52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 物镜转换器：4孔定位式物镜转换器，定位精准、切换顺滑，带防尘防护设计。</w:t>
            </w:r>
          </w:p>
          <w:p w14:paraId="64E78BE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5.平场消色差物镜</w:t>
            </w:r>
          </w:p>
          <w:p w14:paraId="4EB84CB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4X物镜：数值孔径NA≥0.10，工作距离WD≥27mm</w:t>
            </w:r>
          </w:p>
          <w:p w14:paraId="575907D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10X物镜：数值孔径NA≥0.25，工作距离WD≥8mm</w:t>
            </w:r>
          </w:p>
          <w:p w14:paraId="5723C51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40X物镜：弹簧防撞击平场消色差物镜，数值孔径NA≥0.65，工作距离WD≥0.6mm</w:t>
            </w:r>
          </w:p>
          <w:p w14:paraId="723770E2">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100X物镜：弹簧防撞击油浸物镜，数值孔径NA≥1.25，工作距离WD≥0.12mm</w:t>
            </w:r>
          </w:p>
          <w:p w14:paraId="26DFC3A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聚光镜系统：阿贝聚光镜，NA≥1.25，带可变孔径光阑，可升降调节，标配蓝色滤色片，照明光路均匀。</w:t>
            </w:r>
          </w:p>
          <w:p w14:paraId="599B9B7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（二）机械结构参数</w:t>
            </w:r>
          </w:p>
          <w:p w14:paraId="78E6C0F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1.调焦系统：粗微动同轴调焦，粗调行程≥24mm，微动格值2μm，粗调张力可调，带物镜限位装置，防止物镜撞击玻片。</w:t>
            </w:r>
          </w:p>
          <w:p w14:paraId="7A387BD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2.载物台：双层固定式机械载物台，面积≥210×140mm，移动范围≥76×50mm，线轨传动结构，无外露齿条，防腐蚀、易清洁，标配标本夹持器。</w:t>
            </w:r>
          </w:p>
          <w:p w14:paraId="60490AC4">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3.机身材质：全金属加厚机身，结构稳固，防锈、防霉、抗腐蚀，适配检验科潮湿工作环境。</w:t>
            </w:r>
          </w:p>
          <w:p w14:paraId="1D5B7A1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（三）照明系统参数</w:t>
            </w:r>
          </w:p>
          <w:p w14:paraId="6ADA0C7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1.光源：内置长寿命LED冷光源，使用寿命≥20000小时，亮度0-100%连续无极可调，无频闪、低散热，避免标本受热损伤。</w:t>
            </w:r>
          </w:p>
          <w:p w14:paraId="7C60FC7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2.照明色温：4500K-5500K，显色指数Ra≥90，成像色彩还原真实，符合临床观察色彩需求。</w:t>
            </w:r>
          </w:p>
          <w:p w14:paraId="2261CBE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3.供电：宽电压适配，220V±10%，50Hz，节能省电，具备过压保护功能。</w:t>
            </w:r>
          </w:p>
          <w:p w14:paraId="217BF324">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（四）数码摄像及成像系统参数</w:t>
            </w:r>
          </w:p>
          <w:p w14:paraId="74CC6EB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1.成像相机：国产原装高清CMOS数码摄像头，物理像素≥1200万（非插值像素），传感器尺寸≥1/2.3英寸，成像清晰、噪点低。</w:t>
            </w:r>
          </w:p>
          <w:p w14:paraId="69AEA3F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2.数据接口：USB3.0高速传输接口，搭配HDMI高清直出接口，可直接连接显示器实时显示，传输无延迟，帧率≥30fps（1080P高清模式）。</w:t>
            </w:r>
          </w:p>
          <w:p w14:paraId="1F4F0C6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3.成像分辨率：拍照分辨率≥4000×3000，录像分辨率≥1920×1080，支持自动/手动白平衡、曝光、增益调节，成像参数可自定义保存。</w:t>
            </w:r>
          </w:p>
          <w:p w14:paraId="35D27516">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图像分析软件：原厂配套专业临床显微图像分析软件，终身授权，无后续加密费用；支持实时图像预览、拍照、录像、图像标注、长度/面积几何测量、倍率自动校准、图片格式转换（JPG/BMP/PNG），可对接医院LIS系统，实现数据一键导出、存储、打印。</w:t>
            </w:r>
          </w:p>
          <w:p w14:paraId="7CB31D3B">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5.显示设备：标配15.6英寸医用级高清显示器，分辨率≥1920×1080，色彩还原准确，带专用安装支架，可调节角度。</w:t>
            </w:r>
          </w:p>
          <w:p w14:paraId="136E807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6.摄像接口：0.5X标准摄像转接接口，与显微镜三目筒完美适配，同步对焦，无需二次调焦。</w:t>
            </w:r>
          </w:p>
          <w:p w14:paraId="4C7D2762">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（五）安全及环境参数</w:t>
            </w:r>
          </w:p>
          <w:p w14:paraId="6E59BC0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1.电气安全：符合Ⅰ类防触电标准，带接地保护，漏电流≤0.1mA，运行噪音≤50dB(A)，满足实验室静音、安全使用要求。</w:t>
            </w:r>
          </w:p>
          <w:p w14:paraId="49243D4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2.工作环境：温度5℃-40℃，相对湿度≤85%，无强震动、无强磁场，适配医院检验科常规工作环境。</w:t>
            </w:r>
          </w:p>
          <w:p w14:paraId="2F3C499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三、标配配置清单</w:t>
            </w:r>
          </w:p>
          <w:p w14:paraId="4982DE76">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1.无限远平场消色差生物显微镜主机 1台</w:t>
            </w:r>
          </w:p>
          <w:p w14:paraId="22DB7DA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2.WF10X/22mm广角目镜 1对</w:t>
            </w:r>
          </w:p>
          <w:p w14:paraId="2FA79F7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3.4X、10X、40X、100X平场消色差物镜 各1个</w:t>
            </w:r>
          </w:p>
          <w:p w14:paraId="7B95A47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4.阿贝聚光镜、蓝色滤色片 1套</w:t>
            </w:r>
          </w:p>
          <w:p w14:paraId="126CBF5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5.1200万像素高清CMOS摄像相机 1台</w:t>
            </w:r>
          </w:p>
          <w:p w14:paraId="35A4A1F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6.0.5X摄像转接接口 1个</w:t>
            </w:r>
          </w:p>
          <w:p w14:paraId="16742DB9">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7.15.6英寸医用高清显示器及支架 1套</w:t>
            </w:r>
          </w:p>
          <w:p w14:paraId="0EE33E9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8.原厂显微图像分析软件（加密狗+安装U盘）1套</w:t>
            </w:r>
          </w:p>
          <w:p w14:paraId="6456206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9.镜油、防尘罩、电源线、说明书、合格证 1套</w:t>
            </w:r>
          </w:p>
          <w:p w14:paraId="337C4EE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10.产品第三方检测报告、医疗器械注册证复印件 1份</w:t>
            </w:r>
          </w:p>
          <w:p w14:paraId="6C453196">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四、商务及售后服务要求</w:t>
            </w:r>
          </w:p>
          <w:p w14:paraId="743D18F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1.交货期：合同签订后15个日历天内完成到货、安装、调试、培训，交付科室正常使用。</w:t>
            </w:r>
          </w:p>
          <w:p w14:paraId="7692286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2.质保期：整机免费质保≥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年，质保期内免费上门维修、更换零配件，终身维护，厂家提供本地售后服务网点承诺。</w:t>
            </w:r>
          </w:p>
          <w:p w14:paraId="5B6DA19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3.售后服务：接到故障报修后，2小时内响应，48小时内上门维修，保障设备正常运行。</w:t>
            </w:r>
          </w:p>
          <w:p w14:paraId="03C5D89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4.培训：厂家安排专业工程师上门，对检验科操作人员进行设备操作、日常维护、软件使用培训，确保操作人员独立熟练使用。</w:t>
            </w:r>
          </w:p>
          <w:p w14:paraId="06CD139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5.验收：设备安装调试完成后，按照招标参数、产品标准进行现场验收，验收不合格无条件退换货。</w:t>
            </w:r>
          </w:p>
          <w:p w14:paraId="15E4C04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五、其他要求</w:t>
            </w:r>
          </w:p>
          <w:p w14:paraId="23E55694">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1.投标人需提供产品原厂彩页、技术偏离表（标注正/负偏离及说明）、资质证书复印件并加盖公章。</w:t>
            </w:r>
          </w:p>
          <w:p w14:paraId="2C02C7B1">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2.设备需提供原厂质保承诺函，拒绝贴牌、改装产品，确保产品为全新原装正品。</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7BFD">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0190F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7472">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BDD5">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离心机</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CE3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78510E9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本项目采购台式低速自动脱帽离心机，主要用于检验科血清分离、采血管脱帽、常规样本离心处理，要求运行稳定、安全可靠、操作简便，适配日常检验工作。</w:t>
            </w:r>
          </w:p>
          <w:p w14:paraId="7A85946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二、执行标准</w:t>
            </w:r>
          </w:p>
          <w:p w14:paraId="6DBA862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1.符合 GB/T 30427-2013 台式离心机 国家标准</w:t>
            </w:r>
          </w:p>
          <w:p w14:paraId="2FB0C6C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2.符合实验室生物安全及医疗器械相关规范</w:t>
            </w:r>
          </w:p>
          <w:p w14:paraId="6CCE7F5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3.具备产品合格检测报告</w:t>
            </w:r>
          </w:p>
          <w:p w14:paraId="0B958EA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三、实质性技术参数</w:t>
            </w:r>
          </w:p>
          <w:p w14:paraId="1D2E7E2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1.设备类型：台式低速离心机</w:t>
            </w:r>
          </w:p>
          <w:p w14:paraId="209A829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2.驱动系统：无刷直流变频电机，免维护、无污染、启停平稳</w:t>
            </w:r>
          </w:p>
          <w:p w14:paraId="52A1037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3.最高转速：≥ 5500 r/min</w:t>
            </w:r>
          </w:p>
          <w:p w14:paraId="4833734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4.最大相对离心力（RCF）：≥ 5200 ×g</w:t>
            </w:r>
          </w:p>
          <w:p w14:paraId="36D9493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5.转速精度：≤ ± 10 r/min</w:t>
            </w:r>
          </w:p>
          <w:p w14:paraId="7193523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6.最大容量：≥ 72×5ml真空采血管，可兼容常规采血管</w:t>
            </w:r>
          </w:p>
          <w:p w14:paraId="3577776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7.升降速控制：具备软刹车功能，防止样本重悬</w:t>
            </w:r>
          </w:p>
          <w:p w14:paraId="5F9F61D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8.程序存储：可存储程序 ≥ 50组，支持快速调用</w:t>
            </w:r>
          </w:p>
          <w:p w14:paraId="29A336C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9.安全保护：</w:t>
            </w:r>
          </w:p>
          <w:p w14:paraId="52BBF68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电子 + 机械双门锁结构，运行时自动锁定</w:t>
            </w:r>
          </w:p>
          <w:p w14:paraId="31BE305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具备超速、过热、过流、不平衡自动检测保护</w:t>
            </w:r>
          </w:p>
          <w:p w14:paraId="18647D9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异常情况自动报警并停机</w:t>
            </w:r>
          </w:p>
          <w:p w14:paraId="0B19185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具备异常停机/断电手动开门装置</w:t>
            </w:r>
          </w:p>
          <w:p w14:paraId="7B22DCA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10.离心腔体：304不锈钢一体成型腔体，耐腐蚀易清洁</w:t>
            </w:r>
          </w:p>
          <w:p w14:paraId="1AA48F3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11.适配器：标配自动脱帽转子，适配器可121℃高温高压灭菌</w:t>
            </w:r>
          </w:p>
          <w:p w14:paraId="74B21D5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12.减震系统：高效减震结构，运行平稳，自动平衡</w:t>
            </w:r>
          </w:p>
          <w:p w14:paraId="0A08F04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13.运行噪音：≤ 58 dB(A)</w:t>
            </w:r>
          </w:p>
          <w:p w14:paraId="32B78E4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14.操作界面：微电脑控制，数码管或液晶显示，操作简单直观</w:t>
            </w:r>
          </w:p>
          <w:p w14:paraId="3EFB4F9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四、商务要求</w:t>
            </w:r>
          </w:p>
          <w:p w14:paraId="0BF7743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1.安装调试：免费上门安装、调试、培训</w:t>
            </w:r>
          </w:p>
          <w:p w14:paraId="4662A5E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2.质保期：整机免费质保 ≥ 10年，终身维修</w:t>
            </w:r>
          </w:p>
          <w:p w14:paraId="4549EEC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3.售后响应：2小时响应，24小时内上门服务</w:t>
            </w:r>
          </w:p>
          <w:p w14:paraId="1ED99CC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4.资质文件：提供产品合格证、检测报告</w:t>
            </w:r>
          </w:p>
          <w:p w14:paraId="21FFA5A1">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BEFD">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3台</w:t>
            </w:r>
          </w:p>
        </w:tc>
      </w:tr>
      <w:tr w14:paraId="2A558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EF71">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3A43">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体液离心机</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56B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一、总体要求</w:t>
            </w:r>
          </w:p>
          <w:p w14:paraId="18B0E92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1.设备名称：医用体液专用低速离心机</w:t>
            </w:r>
          </w:p>
          <w:p w14:paraId="1421F82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2.适用范围：用于检验科体液标本（脑脊液、胸腹水、心包积液、尿液、灌洗液等）分离沉淀，满足二级医院日常体液检验、细胞制片前处理需求。</w:t>
            </w:r>
          </w:p>
          <w:p w14:paraId="3FED351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3.设备要求：符合YY/T 0657医用离心机行业标准，医用级安全设计，适配检验科生物安全管理要求。</w:t>
            </w:r>
          </w:p>
          <w:p w14:paraId="4DBCBD4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二、核心技术参数</w:t>
            </w:r>
          </w:p>
          <w:p w14:paraId="1135A372">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1、驱动方式：采用无刷变频电机，免维护、低噪音、寿命长，运行稳定。</w:t>
            </w:r>
          </w:p>
          <w:p w14:paraId="6C00A7E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2、转速参数：最高转速≥4000r/min，转速连续可调；转速精度≤±20r/min。</w:t>
            </w:r>
          </w:p>
          <w:p w14:paraId="617FFE9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3、离心力：最大相对离心力RCF≥3200×g</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支持转速/离心力双模式设定。</w:t>
            </w:r>
          </w:p>
          <w:p w14:paraId="4E3AEF34">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4、定时范围：0～99min59s，秒级精准定时，满足不同体液标本离心要求。</w:t>
            </w:r>
          </w:p>
          <w:p w14:paraId="0499C9F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5、操控显示：微电脑控制，高清数码/液晶中文显示，按键操作简单，可储存常用程序。</w:t>
            </w:r>
          </w:p>
          <w:p w14:paraId="5B6D5979">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6、加减速率：多档位加减速调节，软启动、软停止，避免细胞破坏、标本震荡。</w:t>
            </w:r>
          </w:p>
          <w:p w14:paraId="0E35CED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三、转子与容量（体液专用配置）</w:t>
            </w:r>
          </w:p>
          <w:p w14:paraId="0B81D4E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w:t>
            </w:r>
            <w:r>
              <w:rPr>
                <w:rFonts w:hint="eastAsia" w:ascii="微软雅黑" w:hAnsi="微软雅黑" w:eastAsia="微软雅黑" w:cs="微软雅黑"/>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配置水平转子；可设置多组离心程序，可分别设置尿沉渣（400×g）以及胸腹水、脑脊液等体液离心参数；具备多档减速，支持自然停机；转子吊篮可拆卸，便于消毒清洁满足科室批量检测。</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单批次</w:t>
            </w:r>
            <w:r>
              <w:rPr>
                <w:rFonts w:hint="default" w:ascii="Arial" w:hAnsi="Arial" w:eastAsia="宋体" w:cs="Arial"/>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24。</w:t>
            </w:r>
          </w:p>
          <w:p w14:paraId="05D7887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8、转子、吊篮整机不锈钢防腐材质，耐酸碱、耐消毒液擦拭，易清洗消毒。</w:t>
            </w:r>
          </w:p>
          <w:p w14:paraId="538ECCE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9、试管托架防渗漏设计，防止标本废液渗漏、交叉污染。</w:t>
            </w:r>
          </w:p>
          <w:p w14:paraId="161846F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四、安全与生物安全设计</w:t>
            </w:r>
          </w:p>
          <w:p w14:paraId="1DD9FD9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10、标配电子安全门锁，运行中舱门自锁，开盖立即停机，杜绝气溶胶外泄。</w:t>
            </w:r>
          </w:p>
          <w:p w14:paraId="4330E9A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11、多重保护功能：不平衡报警、超速保护、过热保护、过载自动停机。</w:t>
            </w:r>
          </w:p>
          <w:p w14:paraId="7EF79BE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12、全封闭离心腔体，静音减震结构，整机运行噪音≤65dB，适合实验室长期使用。</w:t>
            </w:r>
          </w:p>
          <w:p w14:paraId="5DAB6C5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五、结构与环境参数</w:t>
            </w:r>
          </w:p>
          <w:p w14:paraId="0F6FE93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13、内腔及关键接触部位304不锈钢材质，耐腐蚀、易消杀，符合院感要求。</w:t>
            </w:r>
          </w:p>
          <w:p w14:paraId="14A0293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14、工作电源：AC220V±10%  50Hz，适配医院常规供电。</w:t>
            </w:r>
          </w:p>
          <w:p w14:paraId="3393A83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15、工作环境：温度5℃～40℃，相对湿度20%～80%，无强腐蚀、无强电磁干扰。</w:t>
            </w:r>
          </w:p>
          <w:p w14:paraId="0C41B5C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六、标准标配配置</w:t>
            </w:r>
          </w:p>
          <w:p w14:paraId="711631E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1、体液离心机主机 1台</w:t>
            </w:r>
          </w:p>
          <w:p w14:paraId="0A5735B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2、专用水平转子总成 1套</w:t>
            </w:r>
          </w:p>
          <w:p w14:paraId="4F2C2D1B">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3、原配悬挂吊篮、减震脚垫、定位配件全套</w:t>
            </w:r>
          </w:p>
          <w:p w14:paraId="033E254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4、产品合格证、出厂检测报告、操作维修说明书</w:t>
            </w:r>
          </w:p>
          <w:p w14:paraId="6C071C9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5、安装调试所需辅材、电源线等全套配件</w:t>
            </w:r>
          </w:p>
          <w:p w14:paraId="249EA03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七、资质、售后及服务要求</w:t>
            </w:r>
          </w:p>
          <w:p w14:paraId="7013697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投标设备生产厂家具备ISO9001、ISO13485医疗器械质量管理体系认证。</w:t>
            </w:r>
          </w:p>
          <w:p w14:paraId="106D22E0">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2、整机原厂质保≥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年，电机核心部件质保≥5年。</w:t>
            </w:r>
          </w:p>
          <w:p w14:paraId="6AD16E46">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3、供应商负责免费上门安装、调试、现场操作培训、院感使用指导。</w:t>
            </w:r>
          </w:p>
          <w:p w14:paraId="12CD3796">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4、售后7×24小时技术响应，本地48小时内上门维修，终身提供配件供应与技术支持。</w:t>
            </w:r>
          </w:p>
          <w:p w14:paraId="620CCDD4">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5、设备为全新原厂未拆封产品，严禁翻新、改装、贴牌设备。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B3EB">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00239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E1A3">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D41F">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血型/血清学专用离心机</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7F2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1.用途：专用于传统试管法血清学检测，适用于盐水介质交叉配血、间接抗球蛋白试验、凝聚胺试验、红细胞洗涤等操作，不适用于微柱凝胶卡离心。</w:t>
            </w:r>
          </w:p>
          <w:p w14:paraId="5CDAA8D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2.驱动系统：采用无刷直流变频电机驱动，免维护，运行稳定。</w:t>
            </w:r>
          </w:p>
          <w:p w14:paraId="0ADCA11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 转速与离心力：最高转速≥4000rpm，最大离心力≥1000×g，转速与离心力可双向换算显示，精度≤±20rpm。</w:t>
            </w:r>
          </w:p>
          <w:p w14:paraId="2F23C4E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4.升降速控制：具备多级可调软启动与智能软刹车功能，可实现即时制动，停机过程无冲击、无震荡、无液体回荡，不扰动红细胞沉淀层，不破坏红细胞、不产生溶血。</w:t>
            </w:r>
          </w:p>
          <w:p w14:paraId="7B7E87D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5.转子配置：标配水平转子，适配7mL～10mL玻璃或塑料血清试管，满足血清学批量标本离心需求。</w:t>
            </w:r>
          </w:p>
          <w:p w14:paraId="7C140C0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6.时间控制：离心时间可1秒～99分钟精准设置，支持瞬时点动离心功能。</w:t>
            </w:r>
          </w:p>
          <w:p w14:paraId="2BEDB92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7.温升要求：仪器采用低温升设计，连续运行10分钟腔体温升＜2℃，避免影响抗原抗体反应活性。</w:t>
            </w:r>
          </w:p>
          <w:p w14:paraId="6C95D9B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8.安全保护：配备门盖联锁保护、超速保护、不平衡自动停机保护功能，运行噪音≤60dB(A)。</w:t>
            </w:r>
          </w:p>
          <w:p w14:paraId="276E4A1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9.质保期内免费上门检修，免费人工、免费更换人为损坏零件；</w:t>
            </w:r>
          </w:p>
          <w:p w14:paraId="06FF3FA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10.质保期满后，提供终身成本价维修，免收上门费、维修费、检测费，仅收取配件材料费；</w:t>
            </w:r>
          </w:p>
          <w:p w14:paraId="15A66776">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11.厂家保证设备停产后10年以上原厂配件持续供应，保障设备长期使用。</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B05E">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6811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8EEE">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0970">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 xml:space="preserve">融浆机     </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B4D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一、1.设备类型：恒温循环解冻箱（水套式/摆动式融浆机），国产二类医疗器械</w:t>
            </w:r>
          </w:p>
          <w:p w14:paraId="3FD4BB6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2.控温范围：30℃～42℃（常用37℃±0.5℃）</w:t>
            </w:r>
          </w:p>
          <w:p w14:paraId="6793B88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3.控温精度：≤±0.1℃，显示分辨率0.1℃</w:t>
            </w:r>
          </w:p>
          <w:p w14:paraId="4033AE1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4.解冻方式：水循环恒温+摆动振荡（防纤维蛋白析出）</w:t>
            </w:r>
          </w:p>
          <w:p w14:paraId="2B2EA55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5.摆动频率：60次/分钟±5次</w:t>
            </w:r>
          </w:p>
          <w:p w14:paraId="2FF8FAD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6.摆动幅度：50mm±5mm</w:t>
            </w:r>
          </w:p>
          <w:p w14:paraId="69BEC1F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7.单次融浆量：≥3袋（50～200ml/袋）</w:t>
            </w:r>
          </w:p>
          <w:p w14:paraId="19FF74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8.解冻时间：≤10分钟/批（200ml标准血浆）</w:t>
            </w:r>
          </w:p>
          <w:p w14:paraId="00BBE6F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9.内胆材质：SUS304医用不锈钢，可拆洗消毒</w:t>
            </w:r>
          </w:p>
          <w:p w14:paraId="1E02C97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10.循环水量：≥35kg/min，双泵循环</w:t>
            </w:r>
          </w:p>
          <w:p w14:paraId="083BCF6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11.安全功能：超温、低水位、开门、故障声光报警</w:t>
            </w:r>
          </w:p>
          <w:p w14:paraId="7308A94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12.加热系统：水电分离、无氟环保、功率≥2000W</w:t>
            </w:r>
          </w:p>
          <w:p w14:paraId="7FAB1BB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13.数据记录：温度/时间存储≥3年，USB导出</w:t>
            </w:r>
          </w:p>
          <w:p w14:paraId="7241355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二、重要参数</w:t>
            </w:r>
          </w:p>
          <w:p w14:paraId="1678CEB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 显示屏：彩色中文触摸屏，触控+按键双控</w:t>
            </w:r>
          </w:p>
          <w:p w14:paraId="048C458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2.模式：常规/快速/连续/急诊插入多模式</w:t>
            </w:r>
          </w:p>
          <w:p w14:paraId="585551B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3.水箱：容量20-30L，自动补水、自动蒸发</w:t>
            </w:r>
          </w:p>
          <w:p w14:paraId="1A2DA6C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4.消毒：内置UV-C紫外消毒</w:t>
            </w:r>
          </w:p>
          <w:p w14:paraId="3D2405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5.结构：可分解式内胆、独立排污</w:t>
            </w:r>
          </w:p>
          <w:p w14:paraId="1E50395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6.门体：双层钢化玻璃、防凝露、安全锁</w:t>
            </w:r>
          </w:p>
          <w:p w14:paraId="6557F26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7.搁架：可调式血浆架，防倾倒</w:t>
            </w:r>
          </w:p>
          <w:p w14:paraId="21DCB56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8.供电：AC220V±10%，50Hz</w:t>
            </w:r>
          </w:p>
          <w:p w14:paraId="23D4973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9.噪音：≤55dB(A)</w:t>
            </w:r>
          </w:p>
          <w:p w14:paraId="538D7F3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三、一般参数</w:t>
            </w:r>
          </w:p>
          <w:p w14:paraId="1CA7D71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外壳：冷轧钢板喷塑</w:t>
            </w:r>
          </w:p>
          <w:p w14:paraId="66C9906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移动：万向轮+刹车</w:t>
            </w:r>
          </w:p>
          <w:p w14:paraId="631C207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定时：0～99min可调</w:t>
            </w:r>
          </w:p>
          <w:p w14:paraId="51DAD08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界面：全中文、故障自诊断</w:t>
            </w:r>
          </w:p>
          <w:p w14:paraId="23563E4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质保：整机≥</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年，核心部件≥</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w:t>
            </w:r>
          </w:p>
          <w:p w14:paraId="3D08B79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四、售后（招标通用）</w:t>
            </w:r>
          </w:p>
          <w:p w14:paraId="21568B2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30分钟响应、市区4小时上门、24小时修复</w:t>
            </w:r>
          </w:p>
          <w:p w14:paraId="4289189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质保期内全免费，终身维护</w:t>
            </w:r>
          </w:p>
          <w:p w14:paraId="64F0FA6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停产后≥8年配件供应</w:t>
            </w:r>
          </w:p>
          <w:p w14:paraId="31567F7B">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安装、培训、校准、验证全套</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F50F">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28249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BBA5">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DA0E">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生物安全柜(单人)</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0B29">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一、关键参数</w:t>
            </w:r>
          </w:p>
          <w:p w14:paraId="4361416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1.类型</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II级A2型生物安全柜（30%外排、70%循环）</w:t>
            </w:r>
          </w:p>
          <w:p w14:paraId="749169A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2.符合标准：YY 0569-2011、GB41918-2022，国产二类医疗器械</w:t>
            </w:r>
          </w:p>
          <w:p w14:paraId="267E403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3.过滤效率：送/排风ULPA≥99.9995%@0.12μm</w:t>
            </w:r>
          </w:p>
          <w:p w14:paraId="3D1B4FE9">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4.下降风速：0.33±0.025m/s</w:t>
            </w:r>
          </w:p>
          <w:p w14:paraId="0E853639">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5.流入风速：0.53±0.025m/s</w:t>
            </w:r>
          </w:p>
          <w:p w14:paraId="4125802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6.工作区：SUS304不锈钢一体成型，无缝耐腐蚀</w:t>
            </w:r>
          </w:p>
          <w:p w14:paraId="765FBF9F">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7.内部尺寸</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940</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mm×</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600</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660</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单</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人）</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外部尺寸：≤</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1100</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mm×</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780</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2250</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单</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人）</w:t>
            </w:r>
          </w:p>
          <w:p w14:paraId="6CBC53C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8.安全防护：人员/样品/交叉污染三重达标</w:t>
            </w:r>
          </w:p>
          <w:p w14:paraId="7341DB8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9.报警：风速异常、前窗超高、过滤器失效、断电、超压声光报警</w:t>
            </w:r>
          </w:p>
          <w:p w14:paraId="6AFD58A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10.电动前窗：电动升降、防夹、安全互锁</w:t>
            </w:r>
          </w:p>
          <w:p w14:paraId="7E36EC78">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11.负压结构：操作区全周负压，防泄漏</w:t>
            </w:r>
          </w:p>
          <w:p w14:paraId="4E13D81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重要参数</w:t>
            </w:r>
          </w:p>
          <w:p w14:paraId="484E28BC">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.显示：LCD大屏中文，实时显示风速、温度、时间</w:t>
            </w:r>
          </w:p>
          <w:p w14:paraId="7384A4DB">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.照明</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≥1000lx，LED无影照明</w:t>
            </w:r>
          </w:p>
          <w:p w14:paraId="5FF514E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.紫外灯：</w:t>
            </w:r>
            <w:r>
              <w:rPr>
                <w:rFonts w:hint="default" w:ascii="Arial" w:hAnsi="Arial" w:eastAsia="宋体" w:cs="Arial"/>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30W，</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定时，自动关灯</w:t>
            </w:r>
          </w:p>
          <w:p w14:paraId="5D64E0AA">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.噪音：≤65dB(A)</w:t>
            </w:r>
          </w:p>
          <w:p w14:paraId="37FBF7E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.振动</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台面≤5μm</w:t>
            </w:r>
          </w:p>
          <w:p w14:paraId="6821EF93">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.支架：可拆搁板≥2块，防滑易清洁</w:t>
            </w:r>
          </w:p>
          <w:p w14:paraId="4A6E71FE">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.门体：双层钢化玻璃、防凝露、10°倾角</w:t>
            </w:r>
          </w:p>
          <w:p w14:paraId="482EE0F7">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.供水：内置冷水嘴/水槽（选配）</w:t>
            </w:r>
          </w:p>
          <w:p w14:paraId="4FEFD07D">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.脚轮：万向轮+刹车+调平</w:t>
            </w:r>
          </w:p>
          <w:p w14:paraId="03457401">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w:t>
            </w:r>
            <w:r>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.供电：AC220V±10%，50Hz</w:t>
            </w:r>
          </w:p>
          <w:p w14:paraId="3B9DF2E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三、一般参数</w:t>
            </w:r>
          </w:p>
          <w:p w14:paraId="32B4458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外壳冷轧钢板静电喷塑</w:t>
            </w:r>
          </w:p>
          <w:p w14:paraId="4A656CC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插座：内置220V防水插座</w:t>
            </w:r>
          </w:p>
          <w:p w14:paraId="547176D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接口：USB数据导出（运行记录）</w:t>
            </w:r>
          </w:p>
          <w:p w14:paraId="6FBA351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密封：过滤器零泄漏、前置可换</w:t>
            </w:r>
          </w:p>
          <w:p w14:paraId="3527F7F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四、售后服务</w:t>
            </w:r>
          </w:p>
          <w:p w14:paraId="07C0C3F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整机质保≥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年，风机≥5年，过滤器3年内免费更换。</w:t>
            </w:r>
          </w:p>
          <w:p w14:paraId="06A9E6B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30分钟响应、4小时上门、24小时修复</w:t>
            </w:r>
          </w:p>
          <w:p w14:paraId="074E1E2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免费安装、培训、性能验证、3Q文件</w:t>
            </w:r>
          </w:p>
          <w:p w14:paraId="2647D48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停产后≥8年配件供应</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CB09">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2台</w:t>
            </w:r>
          </w:p>
        </w:tc>
      </w:tr>
      <w:tr w14:paraId="7FB1E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46F2">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35B1">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生物安全柜(双人)</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88B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一、关键参数</w:t>
            </w:r>
          </w:p>
          <w:p w14:paraId="2A0C27E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1.类型：II级A2型生物安全柜（30%外排、70%循环），双人单面</w:t>
            </w:r>
          </w:p>
          <w:p w14:paraId="374DF89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2.符合标准：YY 0569-2011、GB41918-2022，国产二类医疗器械</w:t>
            </w:r>
          </w:p>
          <w:p w14:paraId="1E63ECB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3.过滤效率：送/排风ULPA≥99.9995%@0.12μm</w:t>
            </w:r>
          </w:p>
          <w:p w14:paraId="4E1FF9C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4.下降风速：0.33±0.025m/s</w:t>
            </w:r>
          </w:p>
          <w:p w14:paraId="11C4C1D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5.流入风速：0.53±0.025m/s</w:t>
            </w:r>
          </w:p>
          <w:p w14:paraId="3C7DCEA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6.工作区：SUS304不锈钢一体成型，无缝耐腐蚀</w:t>
            </w:r>
          </w:p>
          <w:p w14:paraId="38A2AC0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7.内部尺寸：≥1350×600×660mm（双人），外部尺寸：≥1500×750×2200mm</w:t>
            </w:r>
          </w:p>
          <w:p w14:paraId="64E0B38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8.安全防护：人员/样品/交叉污染三重达标</w:t>
            </w:r>
          </w:p>
          <w:p w14:paraId="20A7C3F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9.报警：风速异常、前窗超高、过滤器失效、断电、超压声光报警</w:t>
            </w:r>
          </w:p>
          <w:p w14:paraId="66ACCE4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10.电动前窗：电动升降、防夹、安全互锁</w:t>
            </w:r>
          </w:p>
          <w:p w14:paraId="03F3602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11.负压结构：操作区全周负压，防泄漏</w:t>
            </w:r>
          </w:p>
          <w:p w14:paraId="106B92F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二、重要参数</w:t>
            </w:r>
          </w:p>
          <w:p w14:paraId="34AB2F0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1.显示：LCD大屏中文，实时显示风速、温度、时间</w:t>
            </w:r>
          </w:p>
          <w:p w14:paraId="264CC6C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2.照明：≥1000lx，LED无影照明</w:t>
            </w:r>
          </w:p>
          <w:p w14:paraId="2568CEB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3.紫外灯：</w:t>
            </w:r>
            <w:r>
              <w:rPr>
                <w:rFonts w:hint="default" w:ascii="Arial" w:hAnsi="Arial" w:eastAsia="宋体" w:cs="Arial"/>
                <w:b w:val="0"/>
                <w:bCs/>
                <w:snapToGrid/>
                <w:color w:val="000000" w:themeColor="text1"/>
                <w:kern w:val="0"/>
                <w:sz w:val="20"/>
                <w:szCs w:val="21"/>
                <w:highlight w:val="none"/>
                <w:lang w:val="en-US" w:eastAsia="zh-CN" w:bidi="ar-SA"/>
                <w14:textFill>
                  <w14:solidFill>
                    <w14:schemeClr w14:val="tx1"/>
                  </w14:solidFill>
                </w14:textFill>
              </w:rPr>
              <w:t>≥</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30W定时，自动关灯</w:t>
            </w:r>
          </w:p>
          <w:p w14:paraId="724A3BB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4.噪音：≤65dB(A)</w:t>
            </w:r>
          </w:p>
          <w:p w14:paraId="1F0F779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5.振动：台面≤5μm</w:t>
            </w:r>
          </w:p>
          <w:p w14:paraId="1E5BAE6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6.支架：可拆搁板≥2块，防滑易清洁</w:t>
            </w:r>
          </w:p>
          <w:p w14:paraId="45E2A2A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7.门体：双层钢化玻璃、防凝露、10°倾角</w:t>
            </w:r>
          </w:p>
          <w:p w14:paraId="569684A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8.供水：内置冷水嘴/水槽（选配）</w:t>
            </w:r>
          </w:p>
          <w:p w14:paraId="01B975B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9.脚轮：万向轮+刹车+调平</w:t>
            </w:r>
          </w:p>
          <w:p w14:paraId="29C8CC5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10.供电：AC220V±10%，50Hz</w:t>
            </w:r>
          </w:p>
          <w:p w14:paraId="5F5BB3D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三、一般参数</w:t>
            </w:r>
          </w:p>
          <w:p w14:paraId="414BAD9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外壳冷轧钢板静电喷塑</w:t>
            </w:r>
          </w:p>
          <w:p w14:paraId="723AD14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插座：内置220V防水插座</w:t>
            </w:r>
          </w:p>
          <w:p w14:paraId="725814C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接口：USB数据导出（运行记录）</w:t>
            </w:r>
          </w:p>
          <w:p w14:paraId="6A965BC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密封：过滤器零泄漏、前置可换</w:t>
            </w:r>
          </w:p>
          <w:p w14:paraId="2CC4141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四、售后服务</w:t>
            </w:r>
          </w:p>
          <w:p w14:paraId="0F49122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整机质保≥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年，风机≥5年，过滤器3年内免费更换。</w:t>
            </w:r>
          </w:p>
          <w:p w14:paraId="588CE3E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30分钟响应、4小时上门、24小时修复</w:t>
            </w:r>
          </w:p>
          <w:p w14:paraId="2E9F6C6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免费安装、培训、性能验证、3Q文件</w:t>
            </w:r>
          </w:p>
          <w:p w14:paraId="13FE447F">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停产后≥8年配件供应</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C52A">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0437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42B7">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14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166C">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通风柜</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8EB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3F86F32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本项目采购实验室全钢通风柜，主要用于检验科、病理科、微生物实验室、试剂配制室等场景，满足挥发性试剂、有毒有害气体、异味的排风操作需求，具备耐酸碱腐蚀、安全排风、操作便捷、耐用易清洁等特性，符合医院实验室生物安全及院感管理要求。</w:t>
            </w:r>
          </w:p>
          <w:p w14:paraId="09B9404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二、执行标准</w:t>
            </w:r>
          </w:p>
          <w:p w14:paraId="41EBBA8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1.JG/T 292-2010《实验室通风柜》</w:t>
            </w:r>
          </w:p>
          <w:p w14:paraId="41F28B3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2.GB 50736-2012《民用建筑供暖通风与空气调节设计规范》</w:t>
            </w:r>
          </w:p>
          <w:p w14:paraId="3D0F8CC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3.GB/T 19428-2019《实验室家具通用技术条件》</w:t>
            </w:r>
          </w:p>
          <w:p w14:paraId="217F07F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4.GB/T 2406-1993《塑料燃烧性能试验方法 氧指数法》</w:t>
            </w:r>
          </w:p>
          <w:p w14:paraId="784C2EB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5.符合医院生物安全实验室建设与管理相关规范</w:t>
            </w:r>
          </w:p>
          <w:p w14:paraId="1F0CC6D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三、实质性技术参数</w:t>
            </w:r>
          </w:p>
          <w:p w14:paraId="46DC023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（一）整体结构与材质</w:t>
            </w:r>
          </w:p>
          <w:p w14:paraId="3635835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1.柜体结构：全钢一体式结构，整体稳固承重，无松动变形，柜体拼接处密封严实，无漏气漏液风险。</w:t>
            </w:r>
          </w:p>
          <w:p w14:paraId="1EB6453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2.外壳材质：采用1.2mm厚优质冷轧钢板，经酸洗、磷化、钝化等防锈处理后，表面采用环氧树脂静电粉末高温喷涂，涂层厚度≥80μm，耐酸碱腐蚀、防生锈、防刮擦、易清洁，附着力强，不易脱落。</w:t>
            </w:r>
          </w:p>
          <w:p w14:paraId="1261FD8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3.内衬板与导流板：采用8mm厚实芯理化板/抗倍特板，一体成型，耐强酸碱、耐高温、防腐蚀、抗冲击，导流板采用三段式阶梯设计，确保排风无死角、无涡流，气体顺畅排出。</w:t>
            </w:r>
          </w:p>
          <w:p w14:paraId="071654D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4.操作台面：采用12.7mm厚实芯理化板，边缘加厚至25mm做圆弧钝化处理，台面承重≥100kg/㎡，耐强酸碱、防腐蚀、防水、耐高温、防渗漏，易清洁消毒，符合院感要求。</w:t>
            </w:r>
          </w:p>
          <w:p w14:paraId="44D35C1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5.门框与框架：采用加厚铝合金型材框架，表面阳极氧化处理，耐腐蚀、不生锈，结构坚固。</w:t>
            </w:r>
          </w:p>
          <w:p w14:paraId="6A23BFB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（二）操作视窗系统</w:t>
            </w:r>
          </w:p>
          <w:p w14:paraId="093E3A6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1.视窗材质：采用5mm厚钢化防爆玻璃，透光率高，抗冲击性强，破碎后无尖锐棱角，保障操作安全。</w:t>
            </w:r>
          </w:p>
          <w:p w14:paraId="3107DD7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2.视窗形式：垂直上下推拉式，配备不锈钢平衡配重系统，升降轻便顺滑，无噪音、不下坠，可停留在任意高度，操作灵活。</w:t>
            </w:r>
          </w:p>
          <w:p w14:paraId="578BED0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3.视窗开启高度：最大开启高度≥600mm，操作空间充足，满足日常实验操作需求。</w:t>
            </w:r>
          </w:p>
          <w:p w14:paraId="7780B68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（三）通风排风系统</w:t>
            </w:r>
          </w:p>
          <w:p w14:paraId="75E0315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1.工作面风速：操作面平均风速0.3～0.8m/s，风速连续可调，气流稳定均匀，无气体泄漏、无倒灌，符合实验室排风安全标准。</w:t>
            </w:r>
          </w:p>
          <w:p w14:paraId="7A12E87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2.风机配置：配套外置低噪音离心风机，风压充足，排风效率高，风机具备防腐蚀、耐高温特性，适配实验室长期运行。</w:t>
            </w:r>
          </w:p>
          <w:p w14:paraId="3C0D77D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3.风道系统：内置专用排风风道，与导流板完美配合，实现上下同步排风，杜绝有害气体残留，确保操作区域空气洁净。</w:t>
            </w:r>
          </w:p>
          <w:p w14:paraId="2E54AE8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4.噪音控制：整机运行噪音≤65dB(A)，无刺耳噪音，适配医院实验室安静工作环境。</w:t>
            </w:r>
          </w:p>
          <w:p w14:paraId="341DC01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（四）配套功能组件</w:t>
            </w:r>
          </w:p>
          <w:p w14:paraId="4685730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1.水嘴与水槽：标配高密度PP材质小水槽，耐腐蚀、防渗漏；配套铜质阀芯耐酸碱冷热水龙头，阀芯经久耐用，开关顺畅，可抵御强酸强碱腐蚀。</w:t>
            </w:r>
          </w:p>
          <w:p w14:paraId="5A2C41C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2.供电系统：内置防水防溅多功能插座≥3组，每组220V 10A，带独立过载保护、漏电保护，插座位置合理，不影响操作，符合用电安全规范。</w:t>
            </w:r>
          </w:p>
          <w:p w14:paraId="75C0275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3.照明系统：配备LED节能照明灯≥10W，照度≥300lx，光线柔和无阴影，照明开关与风机联动，风机启动时照明自动开启，节能且操作便捷。</w:t>
            </w:r>
          </w:p>
          <w:p w14:paraId="4880885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4.集液与排污：台面下方设置PP材质防溢漏集液槽，可收集残留液体，配备排污口，方便清洁排污，防止液体腐蚀柜体。</w:t>
            </w:r>
          </w:p>
          <w:p w14:paraId="665CCD2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5.调节脚垫：柜体底部配备不锈钢可调脚垫，高度可调节，确保柜体放置水平，适应不同地面环境。</w:t>
            </w:r>
          </w:p>
          <w:p w14:paraId="6261D9B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（五）安全与控制</w:t>
            </w:r>
          </w:p>
          <w:p w14:paraId="42BC2DD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1.控制模块：采用轻触式防水控制面板，可独立控制风机、照明、电源开关，操作简单直观，按键灵敏耐用。</w:t>
            </w:r>
          </w:p>
          <w:p w14:paraId="05525B1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2.安全保护：具备漏电保护、过载保护、接地保护三重防护，电路系统符合国家电工标准，杜绝用电安全隐患。</w:t>
            </w:r>
          </w:p>
          <w:p w14:paraId="640866C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3.密封性能：柜体所有接缝处均做密封处理，确保有害气体无泄漏，保障操作人员安全。</w:t>
            </w:r>
          </w:p>
          <w:p w14:paraId="1E8D20C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（六）标准尺寸</w:t>
            </w:r>
          </w:p>
          <w:p w14:paraId="1C1F458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1.柜体宽度：1100mm（常规标准，可适配实验室空间）</w:t>
            </w:r>
          </w:p>
          <w:p w14:paraId="4B4C2BC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2.柜体深度：≥750mm</w:t>
            </w:r>
          </w:p>
          <w:p w14:paraId="4058E4B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3.柜体总高度：≥1500mm</w:t>
            </w:r>
          </w:p>
          <w:p w14:paraId="3C968FB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4.内部操作高度：≥700mm</w:t>
            </w:r>
          </w:p>
          <w:p w14:paraId="2940E01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四、一般技术参数（允许微小无负偏离）</w:t>
            </w:r>
          </w:p>
          <w:p w14:paraId="79F25BB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1.外观工艺：柜体表面平整光滑，无毛刺、无划痕、无焊接瑕疵，喷涂涂层均匀无色差，外观简洁美观。</w:t>
            </w:r>
          </w:p>
          <w:p w14:paraId="1C2F7FD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2.材质性能：理化板阻燃性能达标，氧指数≥32，具备良好的防火性能。</w:t>
            </w:r>
          </w:p>
          <w:p w14:paraId="728A0CF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3.维护性：柜体结构设计合理，组件可拆卸更换，方便后期清洁、维护与检修。</w:t>
            </w:r>
          </w:p>
          <w:p w14:paraId="76FBD60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4.环保性能：所用材质均符合环保标准，无甲醛、苯等有害气体释放，适配医院室内环境。</w:t>
            </w:r>
          </w:p>
          <w:p w14:paraId="3498F89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五、商务要求</w:t>
            </w:r>
          </w:p>
          <w:p w14:paraId="2AA6B44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1.安装调试：免费上门送货、安装、调试，确保设备正常运行。</w:t>
            </w:r>
          </w:p>
          <w:p w14:paraId="3EBDB96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2.质保服务：整机免费质保≥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年，配套风机免费质保≥5年，质保期内免费上门维修、更换零配件，人为损坏除外。</w:t>
            </w:r>
          </w:p>
          <w:p w14:paraId="327C5755">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3.售后响应：厂家提供7×24小时售后咨询服务，故障响应时间≤2小时，48小时内上门解决问题。</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4250">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252A2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1729">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15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4E2F">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血细胞保存专用冰箱</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755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一、适用标准</w:t>
            </w:r>
          </w:p>
          <w:p w14:paraId="30AEAA7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 xml:space="preserve"> 符合 GB/T 21278、GB 18469《全血及成分血质量要求》</w:t>
            </w:r>
          </w:p>
          <w:p w14:paraId="765A4E7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属于Ⅱ类医疗器械</w:t>
            </w:r>
          </w:p>
          <w:p w14:paraId="6AD74AE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 xml:space="preserve"> 温度：4±1℃（2℃～6℃）</w:t>
            </w:r>
          </w:p>
          <w:p w14:paraId="7692CE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二、关键技术参数</w:t>
            </w:r>
          </w:p>
          <w:p w14:paraId="08F81AE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1.有效容积：≥ 180L</w:t>
            </w:r>
          </w:p>
          <w:p w14:paraId="794936A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2.温度控制：4±1℃，控温精度 0.1℃</w:t>
            </w:r>
          </w:p>
          <w:p w14:paraId="2B3C7A8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3.温度均匀性：箱内任意点温差 ≤±1℃</w:t>
            </w:r>
          </w:p>
          <w:p w14:paraId="2B1A472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 制冷方式：强制风冷循环（无霜、均匀）</w:t>
            </w:r>
          </w:p>
          <w:p w14:paraId="48F85FC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5.报警功能：</w:t>
            </w:r>
          </w:p>
          <w:p w14:paraId="1DF148C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高低温、传感器故障、开门超时、断电、电池低电量</w:t>
            </w:r>
          </w:p>
          <w:p w14:paraId="7E96F4B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声光报警 + 远程报警接口</w:t>
            </w:r>
          </w:p>
          <w:p w14:paraId="6A0E0F0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6.内胆材质：医用级 SUS304 不锈钢</w:t>
            </w:r>
          </w:p>
          <w:p w14:paraId="16C1307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7.门体：电加热防雾玻璃门，带门锁</w:t>
            </w:r>
          </w:p>
          <w:p w14:paraId="4A96080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8.断电保温：环境 25℃ 断电后，≥8小时温度仍≤8℃</w:t>
            </w:r>
          </w:p>
          <w:p w14:paraId="2B54FE7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9.数据记录：内置温度记录仪，USB 导出，存储 ≥10年</w:t>
            </w:r>
          </w:p>
          <w:p w14:paraId="14D155D5">
            <w:pPr>
              <w:widowControl w:val="0"/>
              <w:shd w:val="clear"/>
              <w:adjustRightInd w:val="0"/>
              <w:snapToGrid w:val="0"/>
              <w:spacing w:line="240" w:lineRule="auto"/>
              <w:ind w:firstLine="0" w:firstLineChars="0"/>
              <w:jc w:val="left"/>
              <w:rPr>
                <w:rFonts w:hint="default"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10.配置24小时温度监控器</w:t>
            </w:r>
          </w:p>
          <w:p w14:paraId="0D8F000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 重要参数</w:t>
            </w:r>
          </w:p>
          <w:p w14:paraId="73D486B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1.压缩机：变频/高效全封闭，无氟环保制冷剂</w:t>
            </w:r>
          </w:p>
          <w:p w14:paraId="487B080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2.搁架/血筐：</w:t>
            </w:r>
          </w:p>
          <w:p w14:paraId="5E5BBAF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标准血筐（450ml）≥10个</w:t>
            </w:r>
          </w:p>
          <w:p w14:paraId="075180C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3.内门：≥4 个分层内门（减少开门冷量流失）</w:t>
            </w:r>
          </w:p>
          <w:p w14:paraId="1FC2500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4.温度显示：液晶大屏，实时显示/历史/报警记录</w:t>
            </w:r>
          </w:p>
          <w:p w14:paraId="5BA6480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5.开门恢复：开门 30s 后关闭，≤10min 恢复至 4±1℃</w:t>
            </w:r>
          </w:p>
          <w:p w14:paraId="2926D1B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6.测试孔：≥2个温度验证孔（直径≥25mm）</w:t>
            </w:r>
          </w:p>
          <w:p w14:paraId="02618A0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7.噪声：≤ 45dB(A)</w:t>
            </w:r>
          </w:p>
          <w:p w14:paraId="7A8A2C4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8.电压：220V±10%，50Hz</w:t>
            </w:r>
          </w:p>
          <w:p w14:paraId="7B1B3EB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四、一般参数</w:t>
            </w:r>
          </w:p>
          <w:p w14:paraId="207813A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结构：立式单门/双门</w:t>
            </w:r>
          </w:p>
          <w:p w14:paraId="112DD9B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保温：无CFC聚氨酯发泡，厚度≥80mm</w:t>
            </w:r>
          </w:p>
          <w:p w14:paraId="5653D13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冷凝水：自动电加热蒸发</w:t>
            </w:r>
          </w:p>
          <w:p w14:paraId="7A41B8F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保护：开机延时、停机间隔、密码锁、断电记忆</w:t>
            </w:r>
          </w:p>
          <w:p w14:paraId="4ABA000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底部：万向轮+可调底脚</w:t>
            </w:r>
          </w:p>
          <w:p w14:paraId="7EF9DE5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外壳：冷轧钢板静电喷涂</w:t>
            </w:r>
          </w:p>
          <w:p w14:paraId="1DA8A01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质保：整机 ≥</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年，24小时服务</w:t>
            </w:r>
          </w:p>
          <w:p w14:paraId="23B3679F">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接到用户故障报修后，30分钟内电话响应， 4小时内到达现场；</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50DA">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765F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278D">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16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1642">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冰箱(试剂存储)</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722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一、资质与合规</w:t>
            </w:r>
          </w:p>
          <w:p w14:paraId="43D9FB5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1.产品具有第二类医疗器械注册证。</w:t>
            </w:r>
          </w:p>
          <w:p w14:paraId="7919F31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2.符合 GB 9706.1-2020 医用电气安全要求。</w:t>
            </w:r>
          </w:p>
          <w:p w14:paraId="22DE3A9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3.符合医疗机构冷链管理、标本/药品储存质控规范。</w:t>
            </w:r>
          </w:p>
          <w:p w14:paraId="5BE76EB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二、温度控制</w:t>
            </w:r>
          </w:p>
          <w:p w14:paraId="236285A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1.控温范围：2℃～8℃。</w:t>
            </w:r>
          </w:p>
          <w:p w14:paraId="2DD93C3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2.温度精度：±0.5℃。</w:t>
            </w:r>
          </w:p>
          <w:p w14:paraId="5EB92C9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3.温度均匀性：≤±1.0℃。</w:t>
            </w:r>
          </w:p>
          <w:p w14:paraId="2A9E38E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4.显示分辨率：0.1℃。</w:t>
            </w:r>
          </w:p>
          <w:p w14:paraId="14CDC63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5.微电脑控制，双传感器，运行稳定。</w:t>
            </w:r>
          </w:p>
          <w:p w14:paraId="5BE1EA2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6.具备开机延时、停机延时，保护压缩机。</w:t>
            </w:r>
          </w:p>
          <w:p w14:paraId="40E3D3C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三、容积与结构</w:t>
            </w:r>
          </w:p>
          <w:p w14:paraId="658FBC5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1.有效容积：≥2000L（立式），高度低于2.2米。</w:t>
            </w:r>
          </w:p>
          <w:p w14:paraId="3AC7D3F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2.内胆材质：304医用不锈钢，圆角易清洁。</w:t>
            </w:r>
          </w:p>
          <w:p w14:paraId="6E444E8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3.搁架：可调节钢化玻璃/不锈钢搁架≥5层。</w:t>
            </w:r>
          </w:p>
          <w:p w14:paraId="032D19C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4.门体：双层真空钢化玻璃门，带门锁。</w:t>
            </w:r>
          </w:p>
          <w:p w14:paraId="146E81E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5.门封条：可拆卸、抗菌、易清洗。</w:t>
            </w:r>
          </w:p>
          <w:p w14:paraId="61D592B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四、制冷系统</w:t>
            </w:r>
          </w:p>
          <w:p w14:paraId="1EB214F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1.风冷式强制循环，温度均匀无死角。</w:t>
            </w:r>
          </w:p>
          <w:p w14:paraId="3773C9D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2.无氟环保制冷剂。</w:t>
            </w:r>
          </w:p>
          <w:p w14:paraId="29A36A6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3.具备自动化霜或手动化霜功能。</w:t>
            </w:r>
          </w:p>
          <w:p w14:paraId="5ED401F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4.开门内置LED灯，关门熄灭。</w:t>
            </w:r>
          </w:p>
          <w:p w14:paraId="1D05346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五、报警系统（必带）</w:t>
            </w:r>
          </w:p>
          <w:p w14:paraId="6D89C31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1.超温报警：＞8℃ 或 ＜2℃ 声光报警。</w:t>
            </w:r>
          </w:p>
          <w:p w14:paraId="60E349E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2.传感器故障报警。</w:t>
            </w:r>
          </w:p>
          <w:p w14:paraId="4FC8D1B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3.开门超时报警。</w:t>
            </w:r>
          </w:p>
          <w:p w14:paraId="58E73C2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4.断电报警（可选配电池）。</w:t>
            </w:r>
          </w:p>
          <w:p w14:paraId="4E5E2DD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5.支持远程报警接口（加分项）。</w:t>
            </w:r>
          </w:p>
          <w:p w14:paraId="0FBF4C8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六、数据记录与追溯</w:t>
            </w:r>
          </w:p>
          <w:p w14:paraId="3F78C6D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1.内置温度记录，连续存储≥90天。</w:t>
            </w:r>
          </w:p>
          <w:p w14:paraId="6A0D4ED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2.支持 USB 导出温度数据/曲线。</w:t>
            </w:r>
          </w:p>
          <w:p w14:paraId="13A5092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3.断电数据不丢失，来电自动恢复。</w:t>
            </w:r>
          </w:p>
          <w:p w14:paraId="4D7DCC7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4.支持温度校准功能。</w:t>
            </w:r>
          </w:p>
          <w:p w14:paraId="68E1E15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七、安全与环境</w:t>
            </w:r>
          </w:p>
          <w:p w14:paraId="5D80C08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1.运行噪音：≤50dB(A)。</w:t>
            </w:r>
          </w:p>
          <w:p w14:paraId="57AA6AB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2.电源：AC220V±10%，50Hz。</w:t>
            </w:r>
          </w:p>
          <w:p w14:paraId="4F7F91D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3.漏电保护、过热保护、过载保护。</w:t>
            </w:r>
          </w:p>
          <w:p w14:paraId="3DA20A9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4.整机环保无氟，符合医疗场所使用要求。</w:t>
            </w:r>
          </w:p>
          <w:p w14:paraId="576D256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八、售后服务</w:t>
            </w:r>
          </w:p>
          <w:p w14:paraId="22A5196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1.整机质保≥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年，压缩机质保≥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w:t>
            </w:r>
          </w:p>
          <w:p w14:paraId="49215CF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2.7×24h技术响应，48小时内上门。</w:t>
            </w:r>
          </w:p>
          <w:p w14:paraId="34BF200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3.免费安装、调试、操作培训。</w:t>
            </w:r>
          </w:p>
          <w:p w14:paraId="78A3DDE5">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4.长期供应门封条、传感器等配件。</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B422">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3台</w:t>
            </w:r>
          </w:p>
        </w:tc>
      </w:tr>
      <w:tr w14:paraId="1758A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1604">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17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1358">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细胞离心涂片机</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F0E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1AAA6B6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本项目采购全自动体液离心涂片一体机1台，专为检验科设计，可全自动完成尿液、胸腹水、脑脊液、关节液、穿刺液、支气管灌洗液等各类体液标本的离心浓缩、细胞富集、自动薄层涂片全流程作业，替代传统手工操作，实现制片流程标准化、规范化，提升细胞检出率与形态学检测准确性。</w:t>
            </w:r>
          </w:p>
          <w:p w14:paraId="5A55B0B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二、适用标本范围</w:t>
            </w:r>
          </w:p>
          <w:p w14:paraId="7FB75E8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1.尿液有形成分标本</w:t>
            </w:r>
          </w:p>
          <w:p w14:paraId="1F8239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2.胸腹水、心包液等体腔积液标本</w:t>
            </w:r>
          </w:p>
          <w:p w14:paraId="28B4107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3.脑脊液标本</w:t>
            </w:r>
          </w:p>
          <w:p w14:paraId="585AC5F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4.关节液、各类穿刺液标本</w:t>
            </w:r>
          </w:p>
          <w:p w14:paraId="37C1A18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5.痰液、支气管灌洗液等非妇科体液标本</w:t>
            </w:r>
          </w:p>
          <w:p w14:paraId="0C1DCC3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三、执行标准</w:t>
            </w:r>
          </w:p>
          <w:p w14:paraId="40FCAB2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1.符合《医疗机构临床实验室管理办法》相关要求</w:t>
            </w:r>
          </w:p>
          <w:p w14:paraId="7B15CDF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2.符合医用离心机安全技术标准</w:t>
            </w:r>
          </w:p>
          <w:p w14:paraId="57D08F4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3.符合医疗器械生产质量管理规范</w:t>
            </w:r>
          </w:p>
          <w:p w14:paraId="50B3DA2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4.具备医疗器械注册证/备案凭证、产品合格证</w:t>
            </w:r>
          </w:p>
          <w:p w14:paraId="4C0A503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四、实质性技术参数</w:t>
            </w:r>
          </w:p>
          <w:p w14:paraId="1DAD72F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（一）整机核心性能</w:t>
            </w:r>
          </w:p>
          <w:p w14:paraId="5BC5AAC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1.工作模式：全自动一体化设计，单台设备独立完成样本离心、细胞富集、自动涂片全流程，无需人工转移标本，杜绝人工操作误差与交叉污染。</w:t>
            </w:r>
          </w:p>
          <w:p w14:paraId="4E0348E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2.制片原理：采用离心沉降式细胞富集技术，细胞单层均匀平铺，无重叠、无挤压、形态完整，保留细胞原有结构，便于镜检识别。</w:t>
            </w:r>
          </w:p>
          <w:p w14:paraId="1E7DD6C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3.处理通量：单次同步制片≥8片，批次处理时间≤5分钟，满足二级医院检验科日常体液标本检测通量需求。</w:t>
            </w:r>
          </w:p>
          <w:p w14:paraId="3986E8F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4.离心参数：最高转速≥2000r/min，最大离心力≥800×g，转速与离心力可自动换算，数值可精准设定、自由调节。</w:t>
            </w:r>
          </w:p>
          <w:p w14:paraId="57DEE69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5.适用样本量：适配0.1～10mL各类体液标本，尤其支持低细胞量微量标本高效富集。</w:t>
            </w:r>
          </w:p>
          <w:p w14:paraId="5704827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（二）控制系统</w:t>
            </w:r>
          </w:p>
          <w:p w14:paraId="3890CDF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1.采用微电脑智能控制，配备彩色液晶中文显示屏，支持触摸+按键双操作，界面简洁易懂，操作流程贴合检验科日常工作。</w:t>
            </w:r>
          </w:p>
          <w:p w14:paraId="16ADB24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2.设有脑脊液、胸腹液、关节液、引流液、尿液、肺泡灌洗液、细菌 7 个常见标本运行参数程序，预留三个用户自定义程序，能根据用户需求增加或减少，所有参数可编程操作，可根据需求设置且自动存储</w:t>
            </w:r>
          </w:p>
          <w:p w14:paraId="6BB2FB8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3.离心时间0～99min连续可调，转速控制精度±20r/min，运行参数实时显示。</w:t>
            </w:r>
          </w:p>
          <w:p w14:paraId="2DD0F88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4.具备多重安全保护功能：电子门锁、开盖自动停机、自动平衡检测、超速保护、异常报警、故障自检，运行安全可靠。</w:t>
            </w:r>
          </w:p>
          <w:p w14:paraId="6548B24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5.最高转速≦2000r/min，最大相对离心力≦447g。</w:t>
            </w:r>
          </w:p>
          <w:p w14:paraId="094F104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最低转速≧200r/min，最小相对离心力≧15g。</w:t>
            </w:r>
          </w:p>
          <w:p w14:paraId="6120EA4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（三）转子与耗材设计</w:t>
            </w:r>
          </w:p>
          <w:p w14:paraId="5716CFE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1.标配体液专用离心涂片转子，支持8/12片载玻片同步制片，拆装便捷，便于清洁维护。</w:t>
            </w:r>
          </w:p>
          <w:p w14:paraId="60DFCAB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2.采用一次性独立密闭制片耗材（标本沉降仓、样本杯、玻片夹），标本全程密闭处理，无交叉污染，废液直接排放，防堵塞、易清洁。</w:t>
            </w:r>
          </w:p>
          <w:p w14:paraId="116CD09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（四）制片质量要求</w:t>
            </w:r>
          </w:p>
          <w:p w14:paraId="5546263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1.制片效果：细胞单层均匀分布、无重叠、无丢失、形态完整，有效去除黏液、杂质、碎片，背景清晰干净，显著提升细胞检出率。</w:t>
            </w:r>
          </w:p>
          <w:p w14:paraId="24A5D54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2.重复性：同一样本重复制片，细胞分布一致性≥95%，结果稳定可靠，满足室内质控要求。</w:t>
            </w:r>
          </w:p>
          <w:p w14:paraId="3C04D7E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3.适配后续染色操作，涂片固定后不脱片，便于染色镜检与图文报告采集。</w:t>
            </w:r>
          </w:p>
          <w:p w14:paraId="023E773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（五）设备物理参数</w:t>
            </w:r>
          </w:p>
          <w:p w14:paraId="654A209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1.设备类型：台式紧凑型设计，占地面积小，适配检验科常规操作台摆放。</w:t>
            </w:r>
          </w:p>
          <w:p w14:paraId="2F908A6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2.运行噪音≤55dB(A)，无刺耳噪音，符合实验室静音工作环境要求。</w:t>
            </w:r>
          </w:p>
          <w:p w14:paraId="041896D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3.电源：AC220V±10%，50Hz，整机功率≤200W，低功耗、节能省电。</w:t>
            </w:r>
          </w:p>
          <w:p w14:paraId="292B255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五、一般技术参数</w:t>
            </w:r>
          </w:p>
          <w:p w14:paraId="2BA9FBC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1.支持点动离心功能，可实现样本快速预分离。</w:t>
            </w:r>
          </w:p>
          <w:p w14:paraId="53D4FD4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2.具备程序记忆、断电记忆功能，重启后可恢复原有运行程序。</w:t>
            </w:r>
          </w:p>
          <w:p w14:paraId="5B3D742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3.可选配自动染色模块，实现制片、染色一体化拓展。</w:t>
            </w:r>
          </w:p>
          <w:p w14:paraId="1B096FC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4.机身采用耐腐蚀材质，易清洁消毒，符合医院院感管理要求。</w:t>
            </w:r>
          </w:p>
          <w:p w14:paraId="1818271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5.配备设备操作手册、维护保养手册、故障排查指南。</w:t>
            </w:r>
          </w:p>
          <w:p w14:paraId="1E84F56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六、商务要求</w:t>
            </w:r>
          </w:p>
          <w:p w14:paraId="04B8B83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1.安装调试：免费上门送货、安装、调试，现场进行性能验证，确保制片效果符合招标参数要求。</w:t>
            </w:r>
          </w:p>
          <w:p w14:paraId="5FF2039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2.培训服务：免费上门专业培训，涵盖设备操作、样本处理、日常维护、故障排查等内容，确保检验科2名及以上操作人员可独立熟练使用。</w:t>
            </w:r>
          </w:p>
          <w:p w14:paraId="556980C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3.质保服务：整机免费质保≥5年，核心电机免费质保≥5年，终身维护；质保期内免费上门维修、更换零配件，售后响应时间≤4小时，24小时内上门解决故障。</w:t>
            </w:r>
          </w:p>
          <w:p w14:paraId="047AD9DA">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4.耗材保障：承诺配套耗材长期稳定供应，价格透明合理，不无故涨价、断供。</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ED76">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55536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04B0">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18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F4A1">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血小板震荡保存箱</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D46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适用：血小板 22℃ 振荡保存，符合《血站管理办法》《全血及成分血质量要求》</w:t>
            </w:r>
          </w:p>
          <w:p w14:paraId="63878B8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一、关键技术参数</w:t>
            </w:r>
          </w:p>
          <w:p w14:paraId="32CB657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1.设备用途：专用于血小板振荡保存，控温+振荡一体化。</w:t>
            </w:r>
          </w:p>
          <w:p w14:paraId="2988621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2.温度控制范围：22℃±2℃。</w:t>
            </w:r>
          </w:p>
          <w:p w14:paraId="017D8A4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3.温度均匀性：≤±1℃。</w:t>
            </w:r>
          </w:p>
          <w:p w14:paraId="281745A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4.振荡方式：水平往复振荡（血小板标准保存方式）。</w:t>
            </w:r>
          </w:p>
          <w:p w14:paraId="542FE91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5.振荡频率：60次/分钟±2次。</w:t>
            </w:r>
          </w:p>
          <w:p w14:paraId="12C438A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6.振幅：40mm±5mm。</w:t>
            </w:r>
          </w:p>
          <w:p w14:paraId="01ECFF9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7.有效容积：≥30L</w:t>
            </w:r>
          </w:p>
          <w:p w14:paraId="69A63FE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8.内胆材质：SUS304 医用不锈钢。</w:t>
            </w:r>
          </w:p>
          <w:p w14:paraId="4F4A1A3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9.制冷系统：无氟环保压缩机，风冷循环。</w:t>
            </w:r>
          </w:p>
          <w:p w14:paraId="525D03F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10.报警功能：具备高温、低温、传感器故障、开门超时、断电声光报警。</w:t>
            </w:r>
          </w:p>
          <w:p w14:paraId="2DE3C70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11.具备断电保护功能，断电后箱内温度 25℃环境下保持 22±2℃ 不少于 6小时。</w:t>
            </w:r>
          </w:p>
          <w:p w14:paraId="7246699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二、重要技术参数</w:t>
            </w:r>
          </w:p>
          <w:p w14:paraId="2439CD4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1.温度显示精度：0.1℃，可实时显示箱内温度。</w:t>
            </w:r>
          </w:p>
          <w:p w14:paraId="479D107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2.具备温度数据记录存储功能，支持 USB 数据导出。</w:t>
            </w:r>
          </w:p>
          <w:p w14:paraId="4A42C52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3.门体：双层真空钢化玻璃门，带防凝露加热功能，带门锁。</w:t>
            </w:r>
          </w:p>
          <w:p w14:paraId="2905395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4.搁架/托盘：可抽取式托盘≥3层，便于放置血小板振荡筐。</w:t>
            </w:r>
          </w:p>
          <w:p w14:paraId="2EE329D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5.具备开机延时、停机间隔保护功能，延长压缩机寿命。</w:t>
            </w:r>
          </w:p>
          <w:p w14:paraId="1A7AEA4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6.配备温度校准孔，便于计量校准。</w:t>
            </w:r>
          </w:p>
          <w:p w14:paraId="3CE86BA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7.箱体隔热层：高密度聚氨酯整体发泡，保温性能良好。</w:t>
            </w:r>
          </w:p>
          <w:p w14:paraId="60B3F50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8.工作电压：AC220V±10%，50Hz。</w:t>
            </w:r>
          </w:p>
          <w:p w14:paraId="7A4B066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三、一般技术参数</w:t>
            </w:r>
          </w:p>
          <w:p w14:paraId="12E6C5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1.外壳材质：冷轧钢板静电喷塑，耐腐蚀易清洁。</w:t>
            </w:r>
          </w:p>
          <w:p w14:paraId="39CE079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2.底部配置万向轮及固定脚，便于移动和定位。</w:t>
            </w:r>
          </w:p>
          <w:p w14:paraId="3591AC3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3.噪音≤50dB(A)。</w:t>
            </w:r>
          </w:p>
          <w:p w14:paraId="6103AAB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4.具备照明灯，便于观察内部情况。</w:t>
            </w:r>
          </w:p>
          <w:p w14:paraId="2CD8E14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5.冷凝水自动蒸发，无需人工倒水。</w:t>
            </w:r>
          </w:p>
          <w:p w14:paraId="6BA2ECB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6.提供中文操作界面、操作手册及维护手册。</w:t>
            </w:r>
          </w:p>
          <w:p w14:paraId="078B0EA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四、售后服务</w:t>
            </w:r>
          </w:p>
          <w:p w14:paraId="22C4569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1.整机免费质保≥</w:t>
            </w:r>
            <w:r>
              <w:rPr>
                <w:rFonts w:hint="eastAsia"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年，核心部件（压缩机、控制系统）质保≥2年。</w:t>
            </w:r>
          </w:p>
          <w:p w14:paraId="1134FAC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2.故障报修后30分钟内响应，本地2~4小时上门，24小时内修复。</w:t>
            </w:r>
          </w:p>
          <w:p w14:paraId="228F433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3.免费安装调试、操作培训。</w:t>
            </w:r>
          </w:p>
          <w:p w14:paraId="5C0AA5B8">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4.设备停产后≥8年配件供应。</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3957">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r w14:paraId="4C0BE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2C8F">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19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DC2B">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图文报告系统</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855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一、项目概况</w:t>
            </w:r>
          </w:p>
          <w:p w14:paraId="057C3DD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本项目采购检验科专用图文报告系统1套，主要用于检验科微生物、尿液有形成分、阴道分泌物、粪便寄生虫、精子质量、脱落细胞、外周血细胞，骨髓等形态学检验项目，实现图像采集、图像处理、标准化报告生成、数据存储、统计分析及系统对接一体化功能，满足二级医院检验科形态学检验规范化、数字化管理要求，适配现有检验设备及实验室工作流程。</w:t>
            </w:r>
          </w:p>
          <w:p w14:paraId="75A0DA1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二、执行标准</w:t>
            </w:r>
          </w:p>
          <w:p w14:paraId="33ADAFDF">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1.符合《医疗机构临床实验室管理办法》相关规范</w:t>
            </w:r>
          </w:p>
          <w:p w14:paraId="3FCBADA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2.支持图像标准格式：BMP、JPG、PNG、TIFF、DICOM 3.0</w:t>
            </w:r>
          </w:p>
          <w:p w14:paraId="567D603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3.支持与医院LIS、HIS系统无缝对接，符合医疗信息化数据交互标准</w:t>
            </w:r>
          </w:p>
          <w:p w14:paraId="20B29B0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4.具备计算机软件著作权登记证书，若属医疗器械管理范畴，需提供有效医疗器械注册证/备案凭证</w:t>
            </w:r>
          </w:p>
          <w:p w14:paraId="10D8440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三、实质性技术参数</w:t>
            </w:r>
          </w:p>
          <w:p w14:paraId="1DE26E2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（一）系统基础架构</w:t>
            </w:r>
          </w:p>
          <w:p w14:paraId="716E0FD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1.采用C/S或B/S稳定架构，适配Windows全系列操作系统，支持7×24小时不间断稳定运行，无卡顿、无死机、无数据丢失风险。</w:t>
            </w:r>
          </w:p>
          <w:p w14:paraId="570C107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2.支持多工作站联网部署，数据集中存储、实时共享，可同步实现标本采集、报告编辑、审核、查询、统计功能。</w:t>
            </w:r>
          </w:p>
          <w:p w14:paraId="2808520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3.全中文可视化操作界面，布局简洁直观，操作流程贴合检验科日常工作，新手可快速上手，无需专业信息化培训。</w:t>
            </w:r>
          </w:p>
          <w:p w14:paraId="14D66C07">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（二）图像采集模块</w:t>
            </w:r>
          </w:p>
          <w:p w14:paraId="501421F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1.兼容市面主流USB/CMOS/CCD显微镜摄像头，支持显微镜直连采集，无需额外转接设备，不绑定专用硬件。</w:t>
            </w:r>
          </w:p>
          <w:p w14:paraId="708BA31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2.支持视频实时预览、单帧静态采集、连续动态采集、脚踏开关快捷采图，满足不同检验场景快速采图需求，采集图像无畸变、无模糊、色彩还原真实。</w:t>
            </w:r>
          </w:p>
          <w:p w14:paraId="48982C6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3.图像采集分辨率≥130万像素，支持自动白平衡、自动曝光调节、标尺校准，确保图像测量精准。</w:t>
            </w:r>
          </w:p>
          <w:p w14:paraId="296B53D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4.支持同一标本多图采集存储，单份报告可嵌入1-8张图像，自由排版布局，不破坏原始图像数据。</w:t>
            </w:r>
          </w:p>
          <w:p w14:paraId="233EE09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（三）图像处理功能</w:t>
            </w:r>
          </w:p>
          <w:p w14:paraId="29DA6DF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1.基础图像处理：支持图像放大、缩小、旋转、裁剪、镜像、亮度/对比度/饱和度调节、锐化、平滑滤波等操作。</w:t>
            </w:r>
          </w:p>
          <w:p w14:paraId="4F6168A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2.专业测量功能：具备长度、直径、面积、细胞计数、标注测量功能，测量数据可直接同步至报告。</w:t>
            </w:r>
          </w:p>
          <w:p w14:paraId="1A26E06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3.图像标注功能：支持文字、箭头、方框、图例、病灶标记等标注，标注内容可编辑、可删除，不覆盖原始图像。</w:t>
            </w:r>
          </w:p>
          <w:p w14:paraId="29C491D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4.支持图像导出、打印、本地保存，兼容PDF、Word、Excel等常用格式。</w:t>
            </w:r>
          </w:p>
          <w:p w14:paraId="22A46F2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（四）报告编辑与模板管理</w:t>
            </w:r>
          </w:p>
          <w:p w14:paraId="4D60511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系统自带有骨髓，外周血，体液多种有形成分的结果描述模板，如骨髓对红细胞、血小板、白细胞、疑似肿瘤细胞；如外周血对有核红细胞、单核细胞、淋巴细胞、其他有形成分，如脑脊液等体液中细菌、真菌等有形成分，对镜下可见细胞形态描述、疾病诊断意见描述模板，同时模板支持自定义配置，可对模板进行增删改查操作。诊断意见模板数量≥300种，并支持诊断数据库定期更新。除了外周血、骨髓、胸腹水、脑脊液报告模版外，支持多种常见类型如肺泡灌洗液，关节腔液，前列腺液，精液，痰液等体液数量≥18种。</w:t>
            </w:r>
          </w:p>
          <w:p w14:paraId="4CB491B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2.支持模板自定义编辑，可新增、修改、删除模板，内置常用术语库、诊断词条库，一键调用，提升报告编辑效率。</w:t>
            </w:r>
          </w:p>
          <w:p w14:paraId="5E42582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3.所有修改操作留痕，可追溯、可还原，满足检验科质控要求。</w:t>
            </w:r>
          </w:p>
          <w:p w14:paraId="1EB080A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4.支持危急值高亮标识，危急值项目红色醒目提示，打印强制提醒，确保临床及时获知。</w:t>
            </w:r>
          </w:p>
          <w:p w14:paraId="043D0F5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5.报告格式可自定义，支持页眉页脚设置、医院LOGO添加、报告编号自动生成，打印格式规范统一。</w:t>
            </w:r>
          </w:p>
          <w:p w14:paraId="1835A0A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（五）数据管理与存储</w:t>
            </w:r>
          </w:p>
          <w:p w14:paraId="6DB9860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1.系统存储容量≥10万例图文报告，支持历史数据长期存储，查询响应时间≤2秒。</w:t>
            </w:r>
          </w:p>
          <w:p w14:paraId="38427AC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2.支持多维度快速检索，可按患者姓名、性别、年龄、门诊/住院号、标本号、检验项目、诊断结果、送检日期等条件精准查询。</w:t>
            </w:r>
          </w:p>
          <w:p w14:paraId="322EC19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3.具备数据自动备份功能，支持本地备份、云端备份，防止数据意外丢失，支持备份数据一键恢复。</w:t>
            </w:r>
          </w:p>
          <w:p w14:paraId="039CBAA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4.持报告批量导出、批量打印，数据可导出为Excel、PDF格式，方便科室统计归档。</w:t>
            </w:r>
          </w:p>
          <w:p w14:paraId="76A5D256">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（六）系统对接与拓展</w:t>
            </w:r>
          </w:p>
          <w:p w14:paraId="381FBA6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1.可支持对接医院的LIS系统，同时也支持手工创建病人档案和病历档案。数据日志管理与操作追溯：支持修改内容通过日志记录，操作记录可追溯，满足ISO15189管理要求，并减少多人操作可能造成的争议。</w:t>
            </w:r>
          </w:p>
          <w:p w14:paraId="1036AB2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2.支持标本条码扫描识别，自动匹配对应患者及检验信息，适配检验科条码化管理流程。</w:t>
            </w:r>
          </w:p>
          <w:p w14:paraId="2FC5A9F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3.支持后续功能免费拓展，可新增AI细胞辅助识别、远程会诊、医联体数据共享等模块。</w:t>
            </w:r>
          </w:p>
          <w:p w14:paraId="1F75FED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（七）统计与质控管理</w:t>
            </w:r>
          </w:p>
          <w:p w14:paraId="16B7851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1.具备科室工作量统计功能，可统计标本人次、阳性率、医生工作量、检验项目分布等数据，自动生成柱状图、饼图等可视化图表。</w:t>
            </w:r>
          </w:p>
          <w:p w14:paraId="7CBBAC8C">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2.全程记录操作日志，包含登录、采图、编辑、审核、打印、删除等所有操作，日志存储≥5年，可查询追溯，满足院感及质控核查要求。</w:t>
            </w:r>
          </w:p>
          <w:p w14:paraId="3613F62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3.支持室内质控数据关联，可同步录入质控结果，实现形态学检验质控规范化管理。</w:t>
            </w:r>
          </w:p>
          <w:p w14:paraId="75BC573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四、一般技术参数</w:t>
            </w:r>
          </w:p>
          <w:p w14:paraId="134BB8A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1.系统安装部署简便，不影响医院现有信息化系统正常运行。</w:t>
            </w:r>
          </w:p>
          <w:p w14:paraId="3BDB44B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2.运行噪音低，功耗小，适配检验科实验室环境。</w:t>
            </w:r>
          </w:p>
          <w:p w14:paraId="55EDBEE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3.支持鼠标、键盘、脚踏开关多种操作方式，提升操作便捷性。</w:t>
            </w:r>
          </w:p>
          <w:p w14:paraId="182166F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4.提供系统操作手册、维护手册，便于日常运维管理。</w:t>
            </w:r>
          </w:p>
          <w:p w14:paraId="14C88AF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五、商务要求</w:t>
            </w:r>
          </w:p>
          <w:p w14:paraId="760DC5B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1.安装调试：免费上门安装、调试，负责与医院现有LIS、HIS系统对接调试，确保数据传输正常。</w:t>
            </w:r>
          </w:p>
          <w:p w14:paraId="467820D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2.培训服务：免费上门专业培训，覆盖系统操作、图像采集、报告编辑、审核、数据查询、日常维护等内容，确保检验科2-3名操作人员可独立熟练使用。</w:t>
            </w:r>
          </w:p>
          <w:p w14:paraId="5AB38AF0">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3.质保服务：软件终身免费质保，终身免费版本升级、功能更新、漏洞修复；售后响应时间≤4小时，24小时内上门解决故障。</w:t>
            </w:r>
          </w:p>
          <w:p w14:paraId="317080A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资质文件：</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投标时需提供计算机软件著作权登记证书、医疗器械注册证（如有）、厂家授权书、售后服务承诺函，复印件加盖公章，否则视为无效投标。</w:t>
            </w:r>
          </w:p>
          <w:p w14:paraId="60F6BF44">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5.售后保障：提供长期技术支持，承诺系统终身可用，不无故终止服务，不捆绑销售硬件、耗材。</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3237">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1套</w:t>
            </w:r>
          </w:p>
        </w:tc>
      </w:tr>
      <w:tr w14:paraId="36209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05E4">
            <w:pPr>
              <w:keepNext w:val="0"/>
              <w:keepLines w:val="0"/>
              <w:widowControl/>
              <w:suppressLineNumbers w:val="0"/>
              <w:jc w:val="center"/>
              <w:textAlignment w:val="center"/>
              <w:rPr>
                <w:rFonts w:hint="eastAsia" w:eastAsia="宋体" w:cs="宋体" w:asciiTheme="minorEastAsia" w:hAnsiTheme="minorEastAsia"/>
                <w:color w:val="000000" w:themeColor="text1"/>
                <w:sz w:val="21"/>
                <w:szCs w:val="21"/>
                <w:highlight w:val="none"/>
                <w14:textFill>
                  <w14:solidFill>
                    <w14:schemeClr w14:val="tx1"/>
                  </w14:solidFill>
                </w14:textFill>
              </w:rPr>
            </w:pPr>
            <w:r>
              <w:rPr>
                <w:rFonts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 </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6C30">
            <w:pPr>
              <w:widowControl/>
              <w:shd w:val="clear"/>
              <w:adjustRightInd w:val="0"/>
              <w:snapToGrid w:val="0"/>
              <w:jc w:val="center"/>
              <w:rPr>
                <w:rFonts w:hint="eastAsia" w:eastAsia="宋体" w:cs="宋体" w:asciiTheme="minorEastAsia" w:hAnsiTheme="minorEastAsia"/>
                <w:color w:val="000000" w:themeColor="text1"/>
                <w:szCs w:val="21"/>
                <w:highlight w:val="none"/>
                <w14:textFill>
                  <w14:solidFill>
                    <w14:schemeClr w14:val="tx1"/>
                  </w14:solidFill>
                </w14:textFill>
              </w:rPr>
            </w:pP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液体恒温箱(≥88L)</w:t>
            </w:r>
          </w:p>
        </w:tc>
        <w:tc>
          <w:tcPr>
            <w:tcW w:w="5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CC6D">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1.产品用于医院检验科，细菌、霉菌、微生物的培养保存，用的恒温设备。</w:t>
            </w:r>
          </w:p>
          <w:p w14:paraId="52432E0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2..容积：</w:t>
            </w:r>
            <w:r>
              <w:rPr>
                <w:rFonts w:hint="eastAsia" w:eastAsia="宋体" w:cs="宋体" w:asciiTheme="minorEastAsia" w:hAnsiTheme="minorEastAsia"/>
                <w:color w:val="000000" w:themeColor="text1"/>
                <w:szCs w:val="21"/>
                <w:highlight w:val="none"/>
                <w:lang w:val="en-US" w:eastAsia="zh-CN"/>
                <w14:textFill>
                  <w14:solidFill>
                    <w14:schemeClr w14:val="tx1"/>
                  </w14:solidFill>
                </w14:textFill>
              </w:rPr>
              <w:t>≥88L</w:t>
            </w:r>
          </w:p>
          <w:p w14:paraId="44BBDD65">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3.控温范围：0-60℃</w:t>
            </w:r>
          </w:p>
          <w:p w14:paraId="144A676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4..温度分辨率：≤0.1℃</w:t>
            </w:r>
          </w:p>
          <w:p w14:paraId="0F398988">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5.波动度：±1.0℃</w:t>
            </w:r>
          </w:p>
          <w:p w14:paraId="2148B9A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6.均匀度：±2.0℃</w:t>
            </w:r>
          </w:p>
          <w:p w14:paraId="25BB04C4">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7.隔板数量：大于等于2块，可选配增加；隔板可自由拆卸自由调节高度。</w:t>
            </w:r>
          </w:p>
          <w:p w14:paraId="1AF76EBA">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8.控温方式：</w:t>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ab/>
            </w: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PID调节</w:t>
            </w:r>
          </w:p>
          <w:p w14:paraId="5EC9ABAE">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9.界面显示：大于等于5.0寸触摸屏</w:t>
            </w:r>
          </w:p>
          <w:p w14:paraId="68B8518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10.定时范围：0-999h59min</w:t>
            </w:r>
          </w:p>
          <w:p w14:paraId="2D87E269">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11.外门带有超大透视窗</w:t>
            </w:r>
          </w:p>
          <w:p w14:paraId="27413E12">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12.防滑脱隔板设计，防止培养皿滑脱。</w:t>
            </w:r>
          </w:p>
          <w:p w14:paraId="3568D5A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13.温度偏高报警。</w:t>
            </w:r>
          </w:p>
          <w:p w14:paraId="3546FB93">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14.配有限温系统，当工作室温度超过指定温度时，设备停止加热功能。</w:t>
            </w:r>
          </w:p>
          <w:p w14:paraId="5FE46DAB">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15.在工作状态，外门随意开关不影响培养箱正常工作，玻璃门配机械门锁，防止玻璃门任意开关。</w:t>
            </w:r>
          </w:p>
          <w:p w14:paraId="721EB411">
            <w:pPr>
              <w:widowControl w:val="0"/>
              <w:shd w:val="clear"/>
              <w:adjustRightInd w:val="0"/>
              <w:snapToGrid w:val="0"/>
              <w:spacing w:line="240" w:lineRule="auto"/>
              <w:ind w:firstLine="0" w:firstLineChars="0"/>
              <w:jc w:val="left"/>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16.具有断电记忆功能。</w:t>
            </w:r>
          </w:p>
          <w:p w14:paraId="02C77A8F">
            <w:pPr>
              <w:widowControl w:val="0"/>
              <w:shd w:val="clear"/>
              <w:adjustRightInd w:val="0"/>
              <w:snapToGrid w:val="0"/>
              <w:spacing w:line="240" w:lineRule="auto"/>
              <w:ind w:firstLine="0" w:firstLineChars="0"/>
              <w:jc w:val="left"/>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snapToGrid/>
                <w:color w:val="000000" w:themeColor="text1"/>
                <w:kern w:val="0"/>
                <w:sz w:val="20"/>
                <w:szCs w:val="21"/>
                <w:highlight w:val="none"/>
                <w:lang w:val="en-US" w:eastAsia="zh-CN" w:bidi="ar-SA"/>
                <w14:textFill>
                  <w14:solidFill>
                    <w14:schemeClr w14:val="tx1"/>
                  </w14:solidFill>
                </w14:textFill>
              </w:rPr>
              <w:t>17.产品具有医疗器械产品注册证</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4AEE">
            <w:pPr>
              <w:widowControl w:val="0"/>
              <w:shd w:val="clear"/>
              <w:adjustRightInd w:val="0"/>
              <w:snapToGrid w:val="0"/>
              <w:jc w:val="center"/>
              <w:rPr>
                <w:rFonts w:hint="eastAsia" w:eastAsia="宋体" w:cs="宋体" w:asciiTheme="minorEastAsia" w:hAnsiTheme="minorEastAsia"/>
                <w:color w:val="000000" w:themeColor="text1"/>
                <w:kern w:val="0"/>
                <w:sz w:val="20"/>
                <w:szCs w:val="21"/>
                <w:highlight w:val="none"/>
                <w:lang w:val="en-US" w:eastAsia="zh-CN" w:bidi="ar-SA"/>
                <w14:textFill>
                  <w14:solidFill>
                    <w14:schemeClr w14:val="tx1"/>
                  </w14:solidFill>
                </w14:textFill>
              </w:rPr>
            </w:pPr>
            <w:r>
              <w:rPr>
                <w:rFonts w:hint="eastAsia" w:eastAsia="宋体" w:cs="Times New Roman" w:asciiTheme="minorEastAsia" w:hAnsiTheme="minorEastAsia"/>
                <w:b w:val="0"/>
                <w:bCs/>
                <w:color w:val="000000" w:themeColor="text1"/>
                <w:kern w:val="0"/>
                <w:sz w:val="20"/>
                <w:szCs w:val="21"/>
                <w:highlight w:val="none"/>
                <w:lang w:val="en-US" w:eastAsia="zh-CN" w:bidi="ar-SA"/>
                <w14:textFill>
                  <w14:solidFill>
                    <w14:schemeClr w14:val="tx1"/>
                  </w14:solidFill>
                </w14:textFill>
              </w:rPr>
              <w:t>1台</w:t>
            </w:r>
          </w:p>
        </w:tc>
      </w:tr>
    </w:tbl>
    <w:p w14:paraId="345561AC">
      <w:pPr>
        <w:rPr>
          <w:rFonts w:hint="eastAsia" w:ascii="宋体" w:hAnsi="宋体" w:eastAsia="宋体" w:cs="宋体"/>
          <w:b/>
          <w:color w:val="000000" w:themeColor="text1"/>
          <w:szCs w:val="21"/>
          <w:highlight w:val="none"/>
          <w14:textFill>
            <w14:solidFill>
              <w14:schemeClr w14:val="tx1"/>
            </w14:solidFill>
          </w14:textFill>
        </w:rPr>
      </w:pPr>
    </w:p>
    <w:p w14:paraId="766904EE">
      <w:pPr>
        <w:shd w:val="clea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三、</w:t>
      </w:r>
      <w:r>
        <w:rPr>
          <w:rFonts w:hint="eastAsia" w:ascii="宋体" w:hAnsi="宋体" w:cs="宋体"/>
          <w:b/>
          <w:bCs/>
          <w:color w:val="000000" w:themeColor="text1"/>
          <w:sz w:val="24"/>
          <w:szCs w:val="24"/>
          <w:highlight w:val="none"/>
          <w14:textFill>
            <w14:solidFill>
              <w14:schemeClr w14:val="tx1"/>
            </w14:solidFill>
          </w14:textFill>
        </w:rPr>
        <w:t>商务参数要求</w:t>
      </w:r>
    </w:p>
    <w:p w14:paraId="0E18A89C">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bookmarkStart w:id="54" w:name="OLE_LINK4"/>
      <w:r>
        <w:rPr>
          <w:rFonts w:hint="eastAsia" w:ascii="宋体" w:hAnsi="宋体" w:eastAsia="宋体" w:cs="宋体"/>
          <w:b/>
          <w:bCs/>
          <w:iCs/>
          <w:color w:val="000000" w:themeColor="text1"/>
          <w:kern w:val="0"/>
          <w:sz w:val="24"/>
          <w:highlight w:val="none"/>
          <w14:textFill>
            <w14:solidFill>
              <w14:schemeClr w14:val="tx1"/>
            </w14:solidFill>
          </w14:textFill>
        </w:rPr>
        <w:t>交付时间、地点及付款方式</w:t>
      </w:r>
    </w:p>
    <w:p w14:paraId="158FE80B">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1.1</w:t>
      </w:r>
      <w:r>
        <w:rPr>
          <w:rFonts w:hint="eastAsia" w:eastAsia="宋体" w:cs="Times New Roman" w:asciiTheme="minorEastAsia" w:hAnsiTheme="minorEastAsia"/>
          <w:color w:val="000000" w:themeColor="text1"/>
          <w:szCs w:val="21"/>
          <w:highlight w:val="none"/>
          <w14:textFill>
            <w14:solidFill>
              <w14:schemeClr w14:val="tx1"/>
            </w14:solidFill>
          </w14:textFill>
        </w:rPr>
        <w:t>项目现场：采购人指定地点。</w:t>
      </w:r>
    </w:p>
    <w:p w14:paraId="24FA20BA">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1.2</w:t>
      </w:r>
      <w:r>
        <w:rPr>
          <w:rFonts w:hint="eastAsia" w:eastAsia="宋体" w:cs="Times New Roman" w:asciiTheme="minorEastAsia" w:hAnsiTheme="minorEastAsia"/>
          <w:color w:val="000000" w:themeColor="text1"/>
          <w:szCs w:val="21"/>
          <w:highlight w:val="none"/>
          <w14:textFill>
            <w14:solidFill>
              <w14:schemeClr w14:val="tx1"/>
            </w14:solidFill>
          </w14:textFill>
        </w:rPr>
        <w:t>交付时间及方式：合同签订后，场地符合安装条件，收到采购人通知后发货，并在约定时间内到货并安装。交货时间为：</w:t>
      </w:r>
      <w:r>
        <w:rPr>
          <w:rFonts w:hint="eastAsia" w:eastAsia="宋体" w:cs="Times New Roman" w:asciiTheme="minorEastAsia" w:hAnsiTheme="minorEastAsia"/>
          <w:color w:val="000000" w:themeColor="text1"/>
          <w:szCs w:val="21"/>
          <w:highlight w:val="none"/>
          <w:lang w:eastAsia="zh-CN"/>
          <w14:textFill>
            <w14:solidFill>
              <w14:schemeClr w14:val="tx1"/>
            </w14:solidFill>
          </w14:textFill>
        </w:rPr>
        <w:t>自签订合同之日起</w:t>
      </w:r>
      <w:r>
        <w:rPr>
          <w:rFonts w:hint="eastAsia" w:cs="Times New Roman" w:asciiTheme="minorEastAsia" w:hAnsiTheme="minorEastAsia"/>
          <w:color w:val="000000" w:themeColor="text1"/>
          <w:szCs w:val="21"/>
          <w:highlight w:val="none"/>
          <w:lang w:val="en-US" w:eastAsia="zh-CN"/>
          <w14:textFill>
            <w14:solidFill>
              <w14:schemeClr w14:val="tx1"/>
            </w14:solidFill>
          </w14:textFill>
        </w:rPr>
        <w:t>30</w:t>
      </w:r>
      <w:r>
        <w:rPr>
          <w:rFonts w:hint="eastAsia" w:eastAsia="宋体" w:cs="Times New Roman" w:asciiTheme="minorEastAsia" w:hAnsiTheme="minorEastAsia"/>
          <w:color w:val="000000" w:themeColor="text1"/>
          <w:szCs w:val="21"/>
          <w:highlight w:val="none"/>
          <w:lang w:eastAsia="zh-CN"/>
          <w14:textFill>
            <w14:solidFill>
              <w14:schemeClr w14:val="tx1"/>
            </w14:solidFill>
          </w14:textFill>
        </w:rPr>
        <w:t>天</w:t>
      </w:r>
      <w:r>
        <w:rPr>
          <w:rFonts w:hint="eastAsia" w:cs="Times New Roman" w:asciiTheme="minorEastAsia" w:hAnsiTheme="minorEastAsia"/>
          <w:color w:val="000000" w:themeColor="text1"/>
          <w:szCs w:val="21"/>
          <w:highlight w:val="none"/>
          <w:lang w:val="en-US" w:eastAsia="zh-CN"/>
          <w14:textFill>
            <w14:solidFill>
              <w14:schemeClr w14:val="tx1"/>
            </w14:solidFill>
          </w14:textFill>
        </w:rPr>
        <w:t>内</w:t>
      </w:r>
      <w:r>
        <w:rPr>
          <w:rFonts w:hint="eastAsia" w:eastAsia="宋体" w:cs="Times New Roman" w:asciiTheme="minorEastAsia" w:hAnsiTheme="minorEastAsia"/>
          <w:color w:val="000000" w:themeColor="text1"/>
          <w:szCs w:val="21"/>
          <w:highlight w:val="none"/>
          <w:lang w:eastAsia="zh-CN"/>
          <w14:textFill>
            <w14:solidFill>
              <w14:schemeClr w14:val="tx1"/>
            </w14:solidFill>
          </w14:textFill>
        </w:rPr>
        <w:t>完成供货要求。</w:t>
      </w:r>
    </w:p>
    <w:p w14:paraId="65FA528F">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1.3</w:t>
      </w:r>
      <w:r>
        <w:rPr>
          <w:rFonts w:hint="eastAsia" w:eastAsia="宋体" w:cs="Times New Roman" w:asciiTheme="minorEastAsia" w:hAnsiTheme="minorEastAsia"/>
          <w:color w:val="000000" w:themeColor="text1"/>
          <w:szCs w:val="21"/>
          <w:highlight w:val="none"/>
          <w14:textFill>
            <w14:solidFill>
              <w14:schemeClr w14:val="tx1"/>
            </w14:solidFill>
          </w14:textFill>
        </w:rPr>
        <w:t>付款方式：</w:t>
      </w:r>
    </w:p>
    <w:p w14:paraId="725EE94D">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1.3.1</w:t>
      </w:r>
      <w:r>
        <w:rPr>
          <w:rFonts w:hint="eastAsia" w:eastAsia="宋体" w:cs="Times New Roman" w:asciiTheme="minorEastAsia" w:hAnsiTheme="minorEastAsia"/>
          <w:color w:val="000000" w:themeColor="text1"/>
          <w:szCs w:val="21"/>
          <w:highlight w:val="none"/>
          <w14:textFill>
            <w14:solidFill>
              <w14:schemeClr w14:val="tx1"/>
            </w14:solidFill>
          </w14:textFill>
        </w:rPr>
        <w:t>设备安装完成调试、试运行，调试验收合格后，开具相应金额的增值税发票后支付至合同价款的90%；余款10%验收合格1年后无息支付。</w:t>
      </w:r>
    </w:p>
    <w:p w14:paraId="423EBBB9">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安装调试和验收</w:t>
      </w:r>
    </w:p>
    <w:p w14:paraId="2375BFC1">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2.1中标人配合和指导医院对货物储存、安装和使用场地的建设或改良（含配套设施及条件），确保货物达到规定的运行、安装、使用环境，保证使用条件安全。</w:t>
      </w:r>
      <w:bookmarkStart w:id="163" w:name="_GoBack"/>
      <w:bookmarkEnd w:id="163"/>
    </w:p>
    <w:p w14:paraId="083153F1">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2.2在货物到达使用单位，现场场地符合安装条件后，采购人将通知中标人派技术人员对所投设备全面进行安装调试。中标人应派制造商技术人员在7日内到达采购人指定安装地点，并在医院技术人员在场的情况下开箱清点货物，组织安装、调试所需费用包含在投标报价内。如中标人未在7日内到达采购人指定安装地点，采购人有权自行开箱安装调试。开箱如有缺货、错装、损坏或技术问题，中标人应承担全部责任。</w:t>
      </w:r>
    </w:p>
    <w:p w14:paraId="0BCCD23F">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2.3设备验收签字前如有任何质量问题，中标人必须无条件更换整机。</w:t>
      </w:r>
    </w:p>
    <w:p w14:paraId="52816F48">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2.4中标人须承担货物验收前的财产保护责任，在验收前出现损坏由中标人负责。在安装运输过程中如出现人员伤亡及财产损坏由中标人承担赔偿责任。</w:t>
      </w:r>
    </w:p>
    <w:p w14:paraId="64CA624B">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2.5设备安装后，采购人按国际和国家标准、厂方标准、医院验收制度流程及合同要求如仪器设备需要特殊工作条件（如水、电源、磁场强度、温度、湿度、动强度等）进行验收。中标人应向采购人提供详细的验收标准，验收手册和部分验收专用仪器，所需费用包含在投标报价内。设备各项技术性能、指标必须达到合同和技术文件规定的要求。投标文件中提供详细的验收说明。</w:t>
      </w:r>
    </w:p>
    <w:p w14:paraId="3EE41513">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★2.6设备从安装到完成调试时间不超过1个月，否则由此引发的后果由中标人自行承担（须提供承诺函，格式自拟）。</w:t>
      </w:r>
    </w:p>
    <w:p w14:paraId="775A91BF">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★2.7.所有设备的接入信息系统费用由中标商负责，相关费用计入报价中。</w:t>
      </w:r>
    </w:p>
    <w:p w14:paraId="394539F6">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质量保证和</w:t>
      </w:r>
      <w:r>
        <w:rPr>
          <w:rFonts w:hint="eastAsia" w:ascii="宋体" w:hAnsi="宋体" w:eastAsia="宋体" w:cs="宋体"/>
          <w:b/>
          <w:bCs/>
          <w:iCs/>
          <w:color w:val="000000" w:themeColor="text1"/>
          <w:kern w:val="0"/>
          <w:sz w:val="24"/>
          <w:highlight w:val="none"/>
          <w14:textFill>
            <w14:solidFill>
              <w14:schemeClr w14:val="tx1"/>
            </w14:solidFill>
          </w14:textFill>
        </w:rPr>
        <w:t>质保期</w:t>
      </w:r>
      <w:r>
        <w:rPr>
          <w:rFonts w:hint="eastAsia" w:ascii="宋体" w:hAnsi="宋体" w:eastAsia="宋体" w:cs="宋体"/>
          <w:b/>
          <w:bCs/>
          <w:iCs/>
          <w:color w:val="000000" w:themeColor="text1"/>
          <w:kern w:val="0"/>
          <w:sz w:val="24"/>
          <w:highlight w:val="none"/>
          <w14:textFill>
            <w14:solidFill>
              <w14:schemeClr w14:val="tx1"/>
            </w14:solidFill>
          </w14:textFill>
        </w:rPr>
        <w:t>（技术参数有规定的以参数内容为准）</w:t>
      </w:r>
    </w:p>
    <w:p w14:paraId="7CB2B928">
      <w:pPr>
        <w:shd w:val="clear"/>
        <w:adjustRightInd w:val="0"/>
        <w:snapToGrid w:val="0"/>
        <w:spacing w:before="156" w:beforeLines="50"/>
        <w:ind w:firstLine="422"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bookmarkStart w:id="55" w:name="OLE_LINK160"/>
      <w:r>
        <w:rPr>
          <w:rFonts w:hint="eastAsia" w:ascii="宋体" w:hAnsi="宋体" w:eastAsia="宋体" w:cs="宋体"/>
          <w:b/>
          <w:bCs/>
          <w:iCs/>
          <w:color w:val="000000" w:themeColor="text1"/>
          <w:kern w:val="0"/>
          <w:sz w:val="21"/>
          <w:szCs w:val="21"/>
          <w:highlight w:val="none"/>
          <w:lang w:val="en-US" w:eastAsia="zh-CN"/>
          <w14:textFill>
            <w14:solidFill>
              <w14:schemeClr w14:val="tx1"/>
            </w14:solidFill>
          </w14:textFill>
        </w:rPr>
        <w:t>★</w:t>
      </w: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3.1在正常操作下</w:t>
      </w: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，整机</w:t>
      </w:r>
      <w:r>
        <w:rPr>
          <w:rFonts w:hint="eastAsia" w:cs="Times New Roman" w:asciiTheme="minorEastAsia" w:hAnsiTheme="minorEastAsia"/>
          <w:color w:val="000000" w:themeColor="text1"/>
          <w:szCs w:val="21"/>
          <w:highlight w:val="none"/>
          <w:lang w:val="en-US" w:eastAsia="zh-CN"/>
          <w14:textFill>
            <w14:solidFill>
              <w14:schemeClr w14:val="tx1"/>
            </w14:solidFill>
          </w14:textFill>
        </w:rPr>
        <w:t>免费</w:t>
      </w: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质保期3年（技术参数有规定的以参数内容为准）</w:t>
      </w: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即采购人安装调试验收合格，运转正常后，采购人认可，签字之日起三十六月内连续运转良好。质保期内，如货物故障导致停机时间连续超过三个工作日，则每个超出的停机工作日获得补偿保修期四日。质保期内</w:t>
      </w:r>
      <w:r>
        <w:rPr>
          <w:rFonts w:hint="eastAsia" w:cs="Times New Roman" w:asciiTheme="minorEastAsia" w:hAnsiTheme="minorEastAsia"/>
          <w:color w:val="000000" w:themeColor="text1"/>
          <w:szCs w:val="21"/>
          <w:highlight w:val="none"/>
          <w:lang w:val="en-US" w:eastAsia="zh-CN"/>
          <w14:textFill>
            <w14:solidFill>
              <w14:schemeClr w14:val="tx1"/>
            </w14:solidFill>
          </w14:textFill>
        </w:rPr>
        <w:t>中标人</w:t>
      </w: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负责</w:t>
      </w:r>
      <w:r>
        <w:rPr>
          <w:rFonts w:hint="eastAsia" w:cs="Times New Roman" w:asciiTheme="minorEastAsia" w:hAnsiTheme="minorEastAsia"/>
          <w:color w:val="000000" w:themeColor="text1"/>
          <w:szCs w:val="21"/>
          <w:highlight w:val="none"/>
          <w:lang w:val="en-US" w:eastAsia="zh-CN"/>
          <w14:textFill>
            <w14:solidFill>
              <w14:schemeClr w14:val="tx1"/>
            </w14:solidFill>
          </w14:textFill>
        </w:rPr>
        <w:t>免费</w:t>
      </w: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维修与更换有缺陷的货物或部件，质保期满后只收取投标时承诺的备品备件成本费用。每次维护维修后，应及时向采购人提供相关记录。质保期从最终验收合格之日起计算。</w:t>
      </w:r>
    </w:p>
    <w:p w14:paraId="2B96795C">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3.2中标人应保证货物是全新的，未使用过的，手续合法，渠道正规，出厂时间少于一年。全部设备的规格型号、技术参数不但要与合同中的描述一致，还应该与随机资料说明一致。</w:t>
      </w:r>
      <w:bookmarkEnd w:id="55"/>
    </w:p>
    <w:p w14:paraId="37D99991">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3.3投标人除了报出维保价格外，还应提供制造商最低维保价格承诺书或提供承诺函承诺中标后提供相应的制造商盖章的承诺书。</w:t>
      </w:r>
    </w:p>
    <w:p w14:paraId="20627AFF">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3.4投标人除了报出备品配件（提供本配置可能未列举的其它设备和部件含系统软件）的价格之外，还应对所投设备的备品配件保障期限做出承诺且保证5年内不涨价，并提供承诺函承诺中标后提供相应的承诺书。</w:t>
      </w:r>
    </w:p>
    <w:p w14:paraId="5EC6ED47">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备品备件</w:t>
      </w:r>
    </w:p>
    <w:p w14:paraId="7F161E6B">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4.1中标人应向采购人随设备提供全套设备技术资料（技术资料非中文的，应译成中文），费用已包括在投标价格之内。</w:t>
      </w:r>
    </w:p>
    <w:p w14:paraId="70B51690">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（1）设备安装图；</w:t>
      </w:r>
    </w:p>
    <w:p w14:paraId="427B50A7">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（2）电气设备及系统原理图；</w:t>
      </w:r>
    </w:p>
    <w:p w14:paraId="028B06D8">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（3）电气设备及系统安装线路图；</w:t>
      </w:r>
    </w:p>
    <w:p w14:paraId="59DB33D1">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（4）构件、机械安装图；</w:t>
      </w:r>
    </w:p>
    <w:p w14:paraId="4F8A5800">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（5）安装、操作手册；</w:t>
      </w:r>
    </w:p>
    <w:p w14:paraId="16D6F33E">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（6）故障代码表、维修密码（如有）；</w:t>
      </w:r>
    </w:p>
    <w:p w14:paraId="45B62F2B">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（7）维护和维修手册（包括电子版）；</w:t>
      </w:r>
    </w:p>
    <w:p w14:paraId="5FF70430">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（8）详细维修用的资料和图纸（包含产品内部主要机械结构与控制电路、管路原理图、控制面板布置图、接线图、装配示意图）；</w:t>
      </w:r>
    </w:p>
    <w:p w14:paraId="0EB65D6F">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（9）制造、安装标准含技术规范；</w:t>
      </w:r>
    </w:p>
    <w:p w14:paraId="19798EE2">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（10）出厂检验报告及合格证；</w:t>
      </w:r>
    </w:p>
    <w:p w14:paraId="290E210D">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（11）安装和验收报告（包括验收数据资料）；</w:t>
      </w:r>
    </w:p>
    <w:p w14:paraId="6E3DFBC3">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（12）易损件、零部件和备件清单；</w:t>
      </w:r>
    </w:p>
    <w:p w14:paraId="6B8A9662">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（13）系统、软件备份硬盘。</w:t>
      </w:r>
    </w:p>
    <w:p w14:paraId="7352DC27">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人员培训</w:t>
      </w:r>
    </w:p>
    <w:p w14:paraId="45695341">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5.1中标人负责在现场向采购人技术人员（包括医师、技师以及维修工程师）直接提供保修、维修、使用培训服务。设备人员专项进修的具体培训时间、地点另行协商，至采购人技术人员能正常操作设备的各种功能、简单的故障排除为止，所需费用由中标人负责。</w:t>
      </w:r>
    </w:p>
    <w:p w14:paraId="56E2FC66">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5.2中标人在投标文件中提供详细的培训计划。</w:t>
      </w:r>
    </w:p>
    <w:p w14:paraId="6743AD39">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5.3中标人应配置专业技术人员提供现场技术培训，保证使用人员能正常操作设备的各种功能；除现场培训外,在保修期内，厂方每年安排集中培训一次（含在投标总价中，采购人不再另行支付费用）。</w:t>
      </w:r>
    </w:p>
    <w:p w14:paraId="2BF2BA75">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售后服务（技术参数有规定的以参数内容为准）</w:t>
      </w:r>
    </w:p>
    <w:p w14:paraId="56E174B3">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6.1投标人应承诺由制造商负责保质期内的售后服务，并提供售后单位的名称、地址。联系电话等；售后服务单位名称、地址、联系电话撤销或者变更的，应当及时告知采购人；售后服务单位应当具有维修资质证书，维修人员应当具有执业资格，持证上岗。</w:t>
      </w:r>
    </w:p>
    <w:p w14:paraId="4FA58B82">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6.2在质保期内，设备出现质量问题，应当由中标人负责修理或者更换新的主要部件（包括工时费和材料费）（含在投标总价中，采购人不再另行支付费用）。</w:t>
      </w:r>
    </w:p>
    <w:p w14:paraId="6AECB476">
      <w:pPr>
        <w:shd w:val="clear"/>
        <w:adjustRightInd w:val="0"/>
        <w:snapToGrid w:val="0"/>
        <w:spacing w:before="156" w:beforeLines="50"/>
        <w:ind w:firstLine="420" w:firstLineChars="200"/>
        <w:rPr>
          <w:color w:val="000000" w:themeColor="text1"/>
          <w:highlight w:val="none"/>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6.3</w:t>
      </w:r>
      <w:r>
        <w:rPr>
          <w:color w:val="000000" w:themeColor="text1"/>
          <w:highlight w:val="none"/>
          <w14:textFill>
            <w14:solidFill>
              <w14:schemeClr w14:val="tx1"/>
            </w14:solidFill>
          </w14:textFill>
        </w:rPr>
        <w:t>质保期外，中标人应提供有偿维修服务，维修材料仅收取成本费用，维修服务费用不高于市场价，确保合理透明。</w:t>
      </w:r>
    </w:p>
    <w:p w14:paraId="4271F2D0">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6.4质保期内，中标人对产品质量实行三包，负责维修或更换（人为因素或不可抗力造成事故除外）。（含在投标总价中，采购人不再另行支付费用）。</w:t>
      </w:r>
    </w:p>
    <w:p w14:paraId="669EFEA6">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6.5质保期内投标人提供硬件维护和咨询等，并提供7*24小时电话、E-mail技术支持，一般性系统故障需在2小时内解决，重大系统故障需在12小时内解决，特别重大系统故障需在24小时内解决。</w:t>
      </w: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若所投设备“主要参数和技术指标”中有明确售后服务要求，则优先按要求执行。</w:t>
      </w:r>
    </w:p>
    <w:p w14:paraId="5BBEC066">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6.6中标人保证长期优质服务，定期提供例行检查，终身维护。</w:t>
      </w:r>
    </w:p>
    <w:p w14:paraId="4D3CD8FB">
      <w:pPr>
        <w:shd w:val="clear"/>
        <w:adjustRightInd w:val="0"/>
        <w:snapToGrid w:val="0"/>
        <w:spacing w:before="156" w:beforeLines="50"/>
        <w:ind w:firstLine="420" w:firstLineChars="200"/>
        <w:rPr>
          <w:color w:val="000000" w:themeColor="text1"/>
          <w:highlight w:val="none"/>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6.7投标人在投标文件中提供详细的售后服务方案</w:t>
      </w:r>
      <w:r>
        <w:rPr>
          <w:color w:val="000000" w:themeColor="text1"/>
          <w:highlight w:val="none"/>
          <w14:textFill>
            <w14:solidFill>
              <w14:schemeClr w14:val="tx1"/>
            </w14:solidFill>
          </w14:textFill>
        </w:rPr>
        <w:t>。</w:t>
      </w:r>
    </w:p>
    <w:p w14:paraId="37A9C9FC">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履约验收</w:t>
      </w:r>
    </w:p>
    <w:p w14:paraId="666906C7">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7.1设备计量及防护检测：设备在使用前和质保期满后，中标人必须提供国家强制执行的年度计量检测报告，提供计量器具型式批准证书并负责相关费用及手续。如检测达不到国家标准，中标人应负责设备的整改和再次检测费用，直至检测达标；若为防护设备，设备在使用前中标人必须提供防护检测报告并办理相关手续，如检测达不到国家标准，中标人应负责设备的整改和再次检测费用，直至检测达标，</w:t>
      </w:r>
    </w:p>
    <w:p w14:paraId="5F7E8BB4">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7.2项目验收时采购人或者其委托的采购代理机构组织对中标人履约的验收。大型设备或技术复杂的应当邀请国家认可的质量检测机构参加验收工作。验收方成员应当在验收书上签字，并承担相应的法律责任。验收所产生的费用由中标人承担（费用应包含在投标报价内），采购人不再另行支付其他任何费用。</w:t>
      </w:r>
    </w:p>
    <w:p w14:paraId="73728182">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7.3中标人在项目验收阶段，须配合采购人进行履约验收，验收符合相关标准（如国家标准、行业标准、技术规范等），验收过程中，中标人须准备相关资料（投标文件、中标通知书、采购合同、验收单等），确保验收过程有序进行。如需要第三方参与验收的，所需费用包含在投标报价内，中标人无条件配合。</w:t>
      </w:r>
    </w:p>
    <w:p w14:paraId="2014DEFC">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其他要求</w:t>
      </w:r>
    </w:p>
    <w:p w14:paraId="1A3DC44D">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8.1本项目为交钥匙项目，采购人负责提供适合安装的场地。中标人提供场地的装修及防护方案及实施，中标人承诺负责设备进入安装场地所产生的防护装修费用（技术参数有规定的以参数内容为准）；投标总价包括但不限于设备安装、调试等所有费用，采购人不再另行支付其他任何费用。</w:t>
      </w:r>
    </w:p>
    <w:p w14:paraId="3D7D6D0E">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8.2投标人如进行现场踏勘，由此产生的费用及安全问题由投标人自行承担。</w:t>
      </w:r>
    </w:p>
    <w:p w14:paraId="4E4C88E5">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8.3投标人负责提供设备软件的开放（质量保证期以内和超出质量保证期）及永久性维修密码的承诺书。</w:t>
      </w:r>
    </w:p>
    <w:p w14:paraId="0D9C2EFC">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8.4投标人负责其派出人员的人身以外保险，承担其派出人员在服务过程中产生的一切法律责任和后果。</w:t>
      </w:r>
    </w:p>
    <w:p w14:paraId="1FFF5195">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0" w:firstLine="0"/>
        <w:textAlignment w:val="auto"/>
        <w:rPr>
          <w:rFonts w:hint="eastAsia" w:ascii="宋体" w:hAnsi="宋体" w:eastAsia="宋体" w:cs="宋体"/>
          <w:b/>
          <w:bCs/>
          <w:iCs/>
          <w:color w:val="000000" w:themeColor="text1"/>
          <w:kern w:val="0"/>
          <w:sz w:val="24"/>
          <w:highlight w:val="none"/>
          <w14:textFill>
            <w14:solidFill>
              <w14:schemeClr w14:val="tx1"/>
            </w14:solidFill>
          </w14:textFill>
        </w:rPr>
      </w:pPr>
      <w:r>
        <w:rPr>
          <w:rFonts w:hint="eastAsia" w:ascii="宋体" w:hAnsi="宋体" w:eastAsia="宋体" w:cs="宋体"/>
          <w:b/>
          <w:bCs/>
          <w:iCs/>
          <w:color w:val="000000" w:themeColor="text1"/>
          <w:kern w:val="0"/>
          <w:sz w:val="24"/>
          <w:highlight w:val="none"/>
          <w14:textFill>
            <w14:solidFill>
              <w14:schemeClr w14:val="tx1"/>
            </w14:solidFill>
          </w14:textFill>
        </w:rPr>
        <w:t>违约责任</w:t>
      </w:r>
    </w:p>
    <w:p w14:paraId="2E4283DD">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9.1验收前如设备出现重大故障，导致更换整机，影响采购人项目开展或临床使用，由此引发的责任由中标人承担，采购人保留对中标人追究损失赔偿责任的权力。</w:t>
      </w:r>
    </w:p>
    <w:p w14:paraId="1D438318">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9.2延期交货：如果中标人未能按合同规定的时间按期交货（不可抗力除外）中标人应向采购人支付违约金，每延期一天，按合同总额0.5%交付违约金，最多不超过延期交付的货物总额的10%。违约金从合同款项中扣除，合同款项不足的，中标人应补足。如果中标人在采购人书面同意的延期时间内仍不能交货，采购人有权解除合同，中标人退还采购人已经支付的一切费用，并应按上述规定向采购人支付违约金（按合同总额的30%计算）。</w:t>
      </w:r>
    </w:p>
    <w:p w14:paraId="3AE1B049">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9.3如发现中标产品无法满足招标文件及投标文件所列示的技术参数要求，或者发现中标人的投标文件存在虚假响应的情况，采购人有权单方面解除合同，并要求中标人支付与解除合同相关的一切费用，责任由中标人承担。（本项需出具单独承诺函）</w:t>
      </w:r>
    </w:p>
    <w:p w14:paraId="239FAC99">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p>
    <w:p w14:paraId="0E4383C4">
      <w:pPr>
        <w:shd w:val="clear"/>
        <w:adjustRightInd w:val="0"/>
        <w:snapToGrid w:val="0"/>
        <w:spacing w:before="156" w:beforeLines="50"/>
        <w:ind w:firstLine="420" w:firstLineChars="200"/>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Cs w:val="21"/>
          <w:highlight w:val="none"/>
          <w:lang w:val="en-US" w:eastAsia="zh-CN"/>
          <w14:textFill>
            <w14:solidFill>
              <w14:schemeClr w14:val="tx1"/>
            </w14:solidFill>
          </w14:textFill>
        </w:rPr>
        <w:t>备注：以上“1至9”项商务要求的每一项均视为一项商务需求内容，对其中任意一项子项（“★”条款除外）的偏离均视为对该项商务需求内容的偏离，予以扣除相应分数。</w:t>
      </w:r>
      <w:bookmarkEnd w:id="54"/>
    </w:p>
    <w:p w14:paraId="1A8D8082">
      <w:pPr>
        <w:shd w:val="clear"/>
        <w:adjustRightInd w:val="0"/>
        <w:snapToGrid w:val="0"/>
        <w:spacing w:line="360" w:lineRule="auto"/>
        <w:ind w:firstLine="420" w:firstLineChars="200"/>
        <w:rPr>
          <w:rFonts w:hint="eastAsia" w:ascii="宋体" w:hAnsi="宋体" w:eastAsia="宋体" w:cs="Times New Roman"/>
          <w:color w:val="000000" w:themeColor="text1"/>
          <w:szCs w:val="21"/>
          <w:highlight w:val="none"/>
          <w:lang w:val="en-US" w:eastAsia="zh-CN"/>
          <w14:textFill>
            <w14:solidFill>
              <w14:schemeClr w14:val="tx1"/>
            </w14:solidFill>
          </w14:textFill>
        </w:rPr>
      </w:pPr>
    </w:p>
    <w:bookmarkEnd w:id="51"/>
    <w:bookmarkEnd w:id="52"/>
    <w:bookmarkEnd w:id="53"/>
    <w:p w14:paraId="5F8123B2">
      <w:pPr>
        <w:pStyle w:val="53"/>
        <w:shd w:val="clear"/>
        <w:rPr>
          <w:color w:val="000000" w:themeColor="text1"/>
          <w:highlight w:val="none"/>
          <w14:textFill>
            <w14:solidFill>
              <w14:schemeClr w14:val="tx1"/>
            </w14:solidFill>
          </w14:textFill>
        </w:rPr>
      </w:pPr>
    </w:p>
    <w:p w14:paraId="276BE08F">
      <w:pPr>
        <w:pStyle w:val="53"/>
        <w:shd w:val="clear"/>
        <w:rPr>
          <w:color w:val="000000" w:themeColor="text1"/>
          <w:highlight w:val="none"/>
          <w14:textFill>
            <w14:solidFill>
              <w14:schemeClr w14:val="tx1"/>
            </w14:solidFill>
          </w14:textFill>
        </w:rPr>
      </w:pPr>
    </w:p>
    <w:p w14:paraId="4864D838">
      <w:pPr>
        <w:widowControl/>
        <w:shd w:val="clea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E1FEF1D">
      <w:pPr>
        <w:pStyle w:val="4"/>
        <w:shd w:val="clear"/>
        <w:rPr>
          <w:rFonts w:ascii="黑体" w:hAnsi="黑体" w:eastAsia="黑体"/>
          <w:color w:val="000000" w:themeColor="text1"/>
          <w:sz w:val="32"/>
          <w:szCs w:val="32"/>
          <w:highlight w:val="none"/>
          <w14:textFill>
            <w14:solidFill>
              <w14:schemeClr w14:val="tx1"/>
            </w14:solidFill>
          </w14:textFill>
        </w:rPr>
      </w:pPr>
      <w:bookmarkStart w:id="56" w:name="_Toc78815074"/>
      <w:r>
        <w:rPr>
          <w:rFonts w:hint="eastAsia" w:ascii="黑体" w:hAnsi="黑体" w:eastAsia="黑体"/>
          <w:color w:val="000000" w:themeColor="text1"/>
          <w:sz w:val="32"/>
          <w:szCs w:val="32"/>
          <w:highlight w:val="none"/>
          <w14:textFill>
            <w14:solidFill>
              <w14:schemeClr w14:val="tx1"/>
            </w14:solidFill>
          </w14:textFill>
        </w:rPr>
        <w:t>第六章 政府采购合同</w:t>
      </w:r>
      <w:bookmarkEnd w:id="56"/>
    </w:p>
    <w:p w14:paraId="38DB2FD5">
      <w:pPr>
        <w:shd w:val="clea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第一节 采购合同协议书（格式可自拟）</w:t>
      </w:r>
    </w:p>
    <w:p w14:paraId="325A001B">
      <w:pPr>
        <w:shd w:val="clear"/>
        <w:adjustRightInd w:val="0"/>
        <w:snapToGrid w:val="0"/>
        <w:spacing w:before="156" w:beforeLines="5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采购编号：</w:t>
      </w:r>
      <w:r>
        <w:rPr>
          <w:rFonts w:ascii="宋体" w:hAnsi="宋体"/>
          <w:color w:val="000000" w:themeColor="text1"/>
          <w:szCs w:val="21"/>
          <w:highlight w:val="none"/>
          <w14:textFill>
            <w14:solidFill>
              <w14:schemeClr w14:val="tx1"/>
            </w14:solidFill>
          </w14:textFill>
        </w:rPr>
        <w:tab/>
      </w:r>
    </w:p>
    <w:p w14:paraId="6E4A6804">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采购人（全称）：（甲方）</w:t>
      </w:r>
    </w:p>
    <w:p w14:paraId="62B1C32D">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供应商（全称）：（乙方）</w:t>
      </w:r>
    </w:p>
    <w:p w14:paraId="59011E61">
      <w:pPr>
        <w:pStyle w:val="17"/>
        <w:shd w:val="clear"/>
        <w:tabs>
          <w:tab w:val="left" w:pos="2715"/>
        </w:tabs>
        <w:adjustRightInd w:val="0"/>
        <w:snapToGrid w:val="0"/>
        <w:spacing w:after="0"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b/>
      </w:r>
    </w:p>
    <w:p w14:paraId="438E9833">
      <w:pPr>
        <w:pStyle w:val="17"/>
        <w:shd w:val="clear"/>
        <w:adjustRightInd w:val="0"/>
        <w:snapToGrid w:val="0"/>
        <w:spacing w:after="0" w:line="360" w:lineRule="auto"/>
        <w:ind w:left="0" w:leftChars="0"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为了保护甲、乙双方合法权益，根据《</w:t>
      </w:r>
      <w:r>
        <w:rPr>
          <w:rFonts w:hint="eastAsia" w:ascii="宋体" w:hAnsi="宋体"/>
          <w:color w:val="000000" w:themeColor="text1"/>
          <w:sz w:val="21"/>
          <w:szCs w:val="21"/>
          <w:highlight w:val="none"/>
          <w:lang w:eastAsia="zh-CN"/>
          <w14:textFill>
            <w14:solidFill>
              <w14:schemeClr w14:val="tx1"/>
            </w14:solidFill>
          </w14:textFill>
        </w:rPr>
        <w:t>中华人民共和国民法典</w:t>
      </w:r>
      <w:r>
        <w:rPr>
          <w:rFonts w:hint="eastAsia" w:ascii="宋体" w:hAnsi="宋体"/>
          <w:color w:val="000000" w:themeColor="text1"/>
          <w:sz w:val="21"/>
          <w:szCs w:val="21"/>
          <w:highlight w:val="none"/>
          <w14:textFill>
            <w14:solidFill>
              <w14:schemeClr w14:val="tx1"/>
            </w14:solidFill>
          </w14:textFill>
        </w:rPr>
        <w:t>》、参照《</w:t>
      </w:r>
      <w:r>
        <w:rPr>
          <w:rFonts w:hint="eastAsia" w:ascii="宋体" w:hAnsi="宋体"/>
          <w:color w:val="000000" w:themeColor="text1"/>
          <w:sz w:val="21"/>
          <w:szCs w:val="21"/>
          <w:highlight w:val="none"/>
          <w:lang w:eastAsia="zh-CN"/>
          <w14:textFill>
            <w14:solidFill>
              <w14:schemeClr w14:val="tx1"/>
            </w14:solidFill>
          </w14:textFill>
        </w:rPr>
        <w:t>中华人民共和国政府采购法</w:t>
      </w:r>
      <w:r>
        <w:rPr>
          <w:rFonts w:hint="eastAsia" w:ascii="宋体" w:hAnsi="宋体"/>
          <w:color w:val="000000" w:themeColor="text1"/>
          <w:sz w:val="21"/>
          <w:szCs w:val="21"/>
          <w:highlight w:val="none"/>
          <w14:textFill>
            <w14:solidFill>
              <w14:schemeClr w14:val="tx1"/>
            </w14:solidFill>
          </w14:textFill>
        </w:rPr>
        <w:t>》及其他有关法律、法规、规章，双方签订本合同协议书。</w:t>
      </w:r>
    </w:p>
    <w:p w14:paraId="6AD9215A">
      <w:pPr>
        <w:shd w:val="clear"/>
        <w:tabs>
          <w:tab w:val="left" w:pos="2760"/>
        </w:tabs>
        <w:adjustRightInd w:val="0"/>
        <w:snapToGrid w:val="0"/>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1.项目管理信息</w:t>
      </w:r>
      <w:r>
        <w:rPr>
          <w:rFonts w:hint="eastAsia" w:ascii="宋体" w:hAnsi="宋体"/>
          <w:b/>
          <w:color w:val="000000" w:themeColor="text1"/>
          <w:szCs w:val="21"/>
          <w:highlight w:val="none"/>
          <w14:textFill>
            <w14:solidFill>
              <w14:schemeClr w14:val="tx1"/>
            </w14:solidFill>
          </w14:textFill>
        </w:rPr>
        <w:tab/>
      </w:r>
    </w:p>
    <w:p w14:paraId="0D96E8E7">
      <w:pPr>
        <w:pStyle w:val="17"/>
        <w:shd w:val="clear"/>
        <w:adjustRightInd w:val="0"/>
        <w:snapToGrid w:val="0"/>
        <w:spacing w:after="0" w:line="360" w:lineRule="auto"/>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（1）采购组织形式：</w:t>
      </w:r>
    </w:p>
    <w:p w14:paraId="1FF9201D">
      <w:pPr>
        <w:pStyle w:val="17"/>
        <w:shd w:val="clear"/>
        <w:adjustRightInd w:val="0"/>
        <w:snapToGrid w:val="0"/>
        <w:spacing w:after="0" w:line="360" w:lineRule="auto"/>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（2）采购方式：</w:t>
      </w:r>
    </w:p>
    <w:p w14:paraId="6F4292E2">
      <w:pPr>
        <w:pStyle w:val="17"/>
        <w:shd w:val="clear"/>
        <w:adjustRightInd w:val="0"/>
        <w:snapToGrid w:val="0"/>
        <w:spacing w:after="0" w:line="360" w:lineRule="auto"/>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（3）项目名称：</w:t>
      </w:r>
    </w:p>
    <w:p w14:paraId="20249389">
      <w:pPr>
        <w:shd w:val="clear"/>
        <w:adjustRightInd w:val="0"/>
        <w:snapToGrid w:val="0"/>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2.合同标的及金额</w:t>
      </w:r>
    </w:p>
    <w:tbl>
      <w:tblPr>
        <w:tblStyle w:val="43"/>
        <w:tblW w:w="8510" w:type="dxa"/>
        <w:tblInd w:w="675"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480"/>
        <w:gridCol w:w="1812"/>
        <w:gridCol w:w="1259"/>
        <w:gridCol w:w="1258"/>
        <w:gridCol w:w="868"/>
        <w:gridCol w:w="916"/>
      </w:tblGrid>
      <w:tr w14:paraId="3B488D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917" w:type="dxa"/>
            <w:vAlign w:val="center"/>
          </w:tcPr>
          <w:p w14:paraId="31A1029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序号</w:t>
            </w:r>
          </w:p>
        </w:tc>
        <w:tc>
          <w:tcPr>
            <w:tcW w:w="1480" w:type="dxa"/>
            <w:vAlign w:val="center"/>
          </w:tcPr>
          <w:p w14:paraId="655AF8D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标的名称</w:t>
            </w:r>
          </w:p>
        </w:tc>
        <w:tc>
          <w:tcPr>
            <w:tcW w:w="1812" w:type="dxa"/>
            <w:vAlign w:val="center"/>
          </w:tcPr>
          <w:p w14:paraId="290929F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型号规格</w:t>
            </w:r>
          </w:p>
        </w:tc>
        <w:tc>
          <w:tcPr>
            <w:tcW w:w="1259" w:type="dxa"/>
            <w:vAlign w:val="center"/>
          </w:tcPr>
          <w:p w14:paraId="59B6BD2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p>
        </w:tc>
        <w:tc>
          <w:tcPr>
            <w:tcW w:w="1258" w:type="dxa"/>
            <w:vAlign w:val="center"/>
          </w:tcPr>
          <w:p w14:paraId="26A2DA8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单价</w:t>
            </w:r>
          </w:p>
        </w:tc>
        <w:tc>
          <w:tcPr>
            <w:tcW w:w="868" w:type="dxa"/>
            <w:vAlign w:val="center"/>
          </w:tcPr>
          <w:p w14:paraId="5EEDDE5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总价</w:t>
            </w:r>
          </w:p>
        </w:tc>
        <w:tc>
          <w:tcPr>
            <w:tcW w:w="916" w:type="dxa"/>
            <w:vAlign w:val="center"/>
          </w:tcPr>
          <w:p w14:paraId="7F5F8BE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p>
        </w:tc>
      </w:tr>
      <w:tr w14:paraId="4B5AA1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17" w:type="dxa"/>
            <w:vAlign w:val="center"/>
          </w:tcPr>
          <w:p w14:paraId="2542E1B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480" w:type="dxa"/>
            <w:vAlign w:val="center"/>
          </w:tcPr>
          <w:p w14:paraId="37A5B0C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812" w:type="dxa"/>
            <w:vAlign w:val="center"/>
          </w:tcPr>
          <w:p w14:paraId="3F7D8EC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259" w:type="dxa"/>
            <w:vAlign w:val="center"/>
          </w:tcPr>
          <w:p w14:paraId="76111434">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258" w:type="dxa"/>
            <w:vAlign w:val="center"/>
          </w:tcPr>
          <w:p w14:paraId="347FF214">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868" w:type="dxa"/>
            <w:vAlign w:val="center"/>
          </w:tcPr>
          <w:p w14:paraId="1838D72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916" w:type="dxa"/>
            <w:vAlign w:val="center"/>
          </w:tcPr>
          <w:p w14:paraId="7842D38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r>
      <w:tr w14:paraId="2FB8DF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17" w:type="dxa"/>
            <w:vAlign w:val="center"/>
          </w:tcPr>
          <w:p w14:paraId="5CF9900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480" w:type="dxa"/>
            <w:vAlign w:val="center"/>
          </w:tcPr>
          <w:p w14:paraId="6C826D88">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812" w:type="dxa"/>
            <w:vAlign w:val="center"/>
          </w:tcPr>
          <w:p w14:paraId="1391E9A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259" w:type="dxa"/>
            <w:vAlign w:val="center"/>
          </w:tcPr>
          <w:p w14:paraId="69733A12">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258" w:type="dxa"/>
            <w:vAlign w:val="center"/>
          </w:tcPr>
          <w:p w14:paraId="7408753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868" w:type="dxa"/>
            <w:vAlign w:val="center"/>
          </w:tcPr>
          <w:p w14:paraId="54AA117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916" w:type="dxa"/>
            <w:vAlign w:val="center"/>
          </w:tcPr>
          <w:p w14:paraId="1579464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r>
      <w:tr w14:paraId="49277C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8510" w:type="dxa"/>
            <w:gridSpan w:val="7"/>
            <w:vAlign w:val="center"/>
          </w:tcPr>
          <w:p w14:paraId="6CB61BEC">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合同金额小写：</w:t>
            </w:r>
          </w:p>
          <w:p w14:paraId="4FFA43D2">
            <w:pPr>
              <w:shd w:val="clear"/>
              <w:adjustRightInd w:val="0"/>
              <w:snapToGrid w:val="0"/>
              <w:spacing w:line="360" w:lineRule="auto"/>
              <w:ind w:firstLine="840" w:firstLineChars="4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大写：</w:t>
            </w:r>
          </w:p>
        </w:tc>
      </w:tr>
    </w:tbl>
    <w:p w14:paraId="49775411">
      <w:pPr>
        <w:shd w:val="clear"/>
        <w:adjustRightInd w:val="0"/>
        <w:snapToGrid w:val="0"/>
        <w:spacing w:line="360" w:lineRule="auto"/>
        <w:ind w:firstLine="422"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3.履行合同的期限、地点及方式：</w:t>
      </w:r>
    </w:p>
    <w:p w14:paraId="53EC3C6C">
      <w:pPr>
        <w:shd w:val="clear"/>
        <w:adjustRightInd w:val="0"/>
        <w:snapToGrid w:val="0"/>
        <w:spacing w:line="360" w:lineRule="auto"/>
        <w:ind w:firstLine="422" w:firstLineChars="200"/>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4.付款：</w:t>
      </w:r>
      <w:r>
        <w:rPr>
          <w:rFonts w:hint="eastAsia" w:ascii="宋体" w:hAnsi="宋体"/>
          <w:color w:val="000000" w:themeColor="text1"/>
          <w:szCs w:val="21"/>
          <w:highlight w:val="none"/>
          <w14:textFill>
            <w14:solidFill>
              <w14:schemeClr w14:val="tx1"/>
            </w14:solidFill>
          </w14:textFill>
        </w:rPr>
        <w:t>。</w:t>
      </w:r>
    </w:p>
    <w:p w14:paraId="38952532">
      <w:pPr>
        <w:shd w:val="clear"/>
        <w:adjustRightInd w:val="0"/>
        <w:snapToGrid w:val="0"/>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5.履约验收方式：</w:t>
      </w:r>
    </w:p>
    <w:p w14:paraId="20D00640">
      <w:pPr>
        <w:shd w:val="clear"/>
        <w:adjustRightInd w:val="0"/>
        <w:snapToGrid w:val="0"/>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6.解决合同纠纷方式</w:t>
      </w:r>
    </w:p>
    <w:p w14:paraId="6A8B83A1">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首先通过双方协商解决，协商解决不成，则通过以下途径之一解决纠纷：</w:t>
      </w:r>
    </w:p>
    <w:p w14:paraId="2D779F3C">
      <w:pPr>
        <w:shd w:val="clear"/>
        <w:adjustRightInd w:val="0"/>
        <w:snapToGrid w:val="0"/>
        <w:spacing w:line="360" w:lineRule="auto"/>
        <w:ind w:firstLine="840" w:firstLineChars="4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提请仲裁       □ 向人民法院提起诉讼</w:t>
      </w:r>
    </w:p>
    <w:p w14:paraId="60632AE1">
      <w:pPr>
        <w:shd w:val="clear"/>
        <w:adjustRightInd w:val="0"/>
        <w:snapToGrid w:val="0"/>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7.组成合同的文件</w:t>
      </w:r>
    </w:p>
    <w:p w14:paraId="5761CC80">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合同由以下文件构成，如下述文件之间有任何抵触、矛盾或歧义，应按以下顺序解释：</w:t>
      </w:r>
    </w:p>
    <w:p w14:paraId="11F87994">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（1）在采购或合同履行过程中乙方作出的承诺以及双方协商达成的变更或补充协议</w:t>
      </w:r>
    </w:p>
    <w:p w14:paraId="349267A7">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（2）本合同协议书</w:t>
      </w:r>
    </w:p>
    <w:p w14:paraId="5C443792">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（3）中标通知书</w:t>
      </w:r>
    </w:p>
    <w:p w14:paraId="2C0D68F4">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（4）采购合同格式条款</w:t>
      </w:r>
    </w:p>
    <w:p w14:paraId="3758CD72">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（5）投标文件</w:t>
      </w:r>
    </w:p>
    <w:p w14:paraId="4DE1A9AA">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（6）招标文件</w:t>
      </w:r>
    </w:p>
    <w:p w14:paraId="13E8561E">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（7）标准、规范及有关技术文件</w:t>
      </w:r>
    </w:p>
    <w:p w14:paraId="32AC72E5">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p>
    <w:p w14:paraId="5D3A3DB2">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合同订立时间：年月日</w:t>
      </w:r>
    </w:p>
    <w:p w14:paraId="360205AB">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合同订立地点：</w:t>
      </w:r>
    </w:p>
    <w:p w14:paraId="5C2EFDF1">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p>
    <w:p w14:paraId="1BE53444">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甲      方：（公章）                     乙      方：（公章）</w:t>
      </w:r>
    </w:p>
    <w:p w14:paraId="6661E740">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法定代表人：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法定代表人：</w:t>
      </w:r>
    </w:p>
    <w:p w14:paraId="39580B36">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委托代理人：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委托代理人：</w:t>
      </w:r>
    </w:p>
    <w:p w14:paraId="2FE4A635">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电      话：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电      话：</w:t>
      </w:r>
    </w:p>
    <w:p w14:paraId="38192015">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传      真：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传      真：</w:t>
      </w:r>
    </w:p>
    <w:p w14:paraId="046D5035">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开 户 银 行：</w:t>
      </w:r>
    </w:p>
    <w:p w14:paraId="1A9683C8">
      <w:pPr>
        <w:shd w:val="clear"/>
        <w:adjustRightInd w:val="0"/>
        <w:snapToGrid w:val="0"/>
        <w:spacing w:before="156" w:beforeLines="50" w:line="360" w:lineRule="auto"/>
        <w:jc w:val="center"/>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帐       号：</w:t>
      </w:r>
    </w:p>
    <w:p w14:paraId="43BC5D54">
      <w:pPr>
        <w:pStyle w:val="16"/>
        <w:shd w:val="clear"/>
        <w:rPr>
          <w:color w:val="000000" w:themeColor="text1"/>
          <w:highlight w:val="none"/>
          <w14:textFill>
            <w14:solidFill>
              <w14:schemeClr w14:val="tx1"/>
            </w14:solidFill>
          </w14:textFill>
        </w:rPr>
      </w:pPr>
    </w:p>
    <w:p w14:paraId="471AA959">
      <w:pPr>
        <w:pStyle w:val="34"/>
        <w:shd w:val="clear"/>
        <w:rPr>
          <w:color w:val="000000" w:themeColor="text1"/>
          <w:highlight w:val="none"/>
          <w14:textFill>
            <w14:solidFill>
              <w14:schemeClr w14:val="tx1"/>
            </w14:solidFill>
          </w14:textFill>
        </w:rPr>
      </w:pPr>
    </w:p>
    <w:p w14:paraId="7BB4E130">
      <w:pPr>
        <w:shd w:val="clea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28CBDCE">
      <w:pPr>
        <w:shd w:val="clea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第二节 政府采购合同通用条款</w:t>
      </w:r>
    </w:p>
    <w:p w14:paraId="4E596C8D">
      <w:pPr>
        <w:shd w:val="clear"/>
        <w:tabs>
          <w:tab w:val="left" w:pos="8820"/>
          <w:tab w:val="left" w:pos="9345"/>
          <w:tab w:val="left" w:pos="9765"/>
        </w:tabs>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14:textFill>
            <w14:solidFill>
              <w14:schemeClr w14:val="tx1"/>
            </w14:solidFill>
          </w14:textFill>
        </w:rPr>
        <w:t>定义</w:t>
      </w:r>
    </w:p>
    <w:p w14:paraId="1DA4485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317FEC5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（1）采购人（以下称甲方）是指使用财政性资金，通过政府采购程序向供应商购买货物、服务的国家机关、事业单位、团体组织。本次采购的甲方名称、地址见</w:t>
      </w:r>
      <w:r>
        <w:rPr>
          <w:rFonts w:hint="eastAsia" w:ascii="宋体" w:hAnsi="宋体"/>
          <w:b/>
          <w:color w:val="000000" w:themeColor="text1"/>
          <w:szCs w:val="21"/>
          <w:highlight w:val="none"/>
          <w14:textFill>
            <w14:solidFill>
              <w14:schemeClr w14:val="tx1"/>
            </w14:solidFill>
          </w14:textFill>
        </w:rPr>
        <w:t>【政府采购合同专用条款】。</w:t>
      </w:r>
    </w:p>
    <w:p w14:paraId="58F4E86A">
      <w:pPr>
        <w:shd w:val="clear"/>
        <w:autoSpaceDE w:val="0"/>
        <w:autoSpaceDN w:val="0"/>
        <w:adjustRightInd w:val="0"/>
        <w:snapToGrid w:val="0"/>
        <w:spacing w:before="50"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（2）供应商（以下称乙方）是指参加政府采购活动而取得中标结果，并向采购人提供货物、服务的法人、其他组织或者自然人。</w:t>
      </w:r>
    </w:p>
    <w:p w14:paraId="1DCF1345">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1.2本合同下列术语应解释为：</w:t>
      </w:r>
    </w:p>
    <w:p w14:paraId="281F8E85">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（1）“合同”系指甲乙双方签署的、政府采购合同协议书中载明的甲乙双方所达成的协议，包括所有的附件、附录和上述文件所提到的构成合同的所有文件。</w:t>
      </w:r>
    </w:p>
    <w:p w14:paraId="7DC266AB">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（2）“合同价”系指根据本合同规定乙方在正确地完全履行合同义务后甲方应支付给乙方的价款。</w:t>
      </w:r>
    </w:p>
    <w:p w14:paraId="1058F47F">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（3）“货物”系指乙方根据本合同规定须向甲方提供的各种形态和种类的物品，包括原材料、设备、产品（包括软件）及相关的其备品备件、工具、手册及其它技术资料和材料。</w:t>
      </w:r>
    </w:p>
    <w:p w14:paraId="2FDA71F4">
      <w:pPr>
        <w:shd w:val="clear"/>
        <w:tabs>
          <w:tab w:val="left" w:pos="570"/>
          <w:tab w:val="left" w:pos="888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（4）“伴随服务”系指根据本合同规定乙方承担与供货有关的辅助服务，如运输、保</w:t>
      </w:r>
      <w:r>
        <w:rPr>
          <w:rFonts w:hint="eastAsia" w:ascii="宋体" w:hAnsi="宋体"/>
          <w:color w:val="000000" w:themeColor="text1"/>
          <w:spacing w:val="2"/>
          <w:szCs w:val="21"/>
          <w:highlight w:val="none"/>
          <w14:textFill>
            <w14:solidFill>
              <w14:schemeClr w14:val="tx1"/>
            </w14:solidFill>
          </w14:textFill>
        </w:rPr>
        <w:t>险以及其它的伴随服务，例如安装、调试、提供技术</w:t>
      </w:r>
      <w:r>
        <w:rPr>
          <w:rFonts w:hint="eastAsia" w:ascii="宋体" w:hAnsi="宋体"/>
          <w:color w:val="000000" w:themeColor="text1"/>
          <w:szCs w:val="21"/>
          <w:highlight w:val="none"/>
          <w14:textFill>
            <w14:solidFill>
              <w14:schemeClr w14:val="tx1"/>
            </w14:solidFill>
          </w14:textFill>
        </w:rPr>
        <w:t>协</w:t>
      </w:r>
      <w:r>
        <w:rPr>
          <w:rFonts w:hint="eastAsia" w:ascii="宋体" w:hAnsi="宋体"/>
          <w:color w:val="000000" w:themeColor="text1"/>
          <w:spacing w:val="2"/>
          <w:szCs w:val="21"/>
          <w:highlight w:val="none"/>
          <w14:textFill>
            <w14:solidFill>
              <w14:schemeClr w14:val="tx1"/>
            </w14:solidFill>
          </w14:textFill>
        </w:rPr>
        <w:t>助、培训和合同中规定</w:t>
      </w:r>
      <w:r>
        <w:rPr>
          <w:rFonts w:hint="eastAsia" w:ascii="宋体" w:hAnsi="宋体"/>
          <w:color w:val="000000" w:themeColor="text1"/>
          <w:szCs w:val="21"/>
          <w:highlight w:val="none"/>
          <w14:textFill>
            <w14:solidFill>
              <w14:schemeClr w14:val="tx1"/>
            </w14:solidFill>
          </w14:textFill>
        </w:rPr>
        <w:t>乙方应承担的其它义务。</w:t>
      </w:r>
    </w:p>
    <w:p w14:paraId="1AC22937">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（5）“合同条款”系指本合同条款。</w:t>
      </w:r>
    </w:p>
    <w:p w14:paraId="2DCFBBCB">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（6）“项目现场”系指本合同项下货物安装、运行的现场，其名称见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1485665E">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2.合同的适用范围</w:t>
      </w:r>
    </w:p>
    <w:p w14:paraId="6E7141F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 本合同条款适用于没有被本合同其他部分的条款所取代的范围。</w:t>
      </w:r>
    </w:p>
    <w:p w14:paraId="25C9D5D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 合同内容根据招标文件、投标文件而确定。</w:t>
      </w:r>
    </w:p>
    <w:p w14:paraId="1DFA0CF3">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14:textFill>
            <w14:solidFill>
              <w14:schemeClr w14:val="tx1"/>
            </w14:solidFill>
          </w14:textFill>
        </w:rPr>
        <w:t>合同标的及金额</w:t>
      </w:r>
    </w:p>
    <w:p w14:paraId="71A7A33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 合同标的及金额应与中标结果一致。</w:t>
      </w:r>
    </w:p>
    <w:p w14:paraId="42C31095">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4.</w:t>
      </w:r>
      <w:r>
        <w:rPr>
          <w:rFonts w:hint="eastAsia" w:ascii="宋体" w:hAnsi="宋体"/>
          <w:b/>
          <w:color w:val="000000" w:themeColor="text1"/>
          <w:sz w:val="24"/>
          <w:highlight w:val="none"/>
          <w14:textFill>
            <w14:solidFill>
              <w14:schemeClr w14:val="tx1"/>
            </w14:solidFill>
          </w14:textFill>
        </w:rPr>
        <w:t>合同价款</w:t>
      </w:r>
    </w:p>
    <w:p w14:paraId="40A85C90">
      <w:pPr>
        <w:shd w:val="clear"/>
        <w:adjustRightInd w:val="0"/>
        <w:snapToGrid w:val="0"/>
        <w:spacing w:before="50" w:line="360" w:lineRule="auto"/>
        <w:ind w:firstLine="42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4.1具体合同价款见本合同第3.1条。乙方为履行本合同而发生的所有费用均应包含在合同价款中，甲方不再另行支付其它任何费用。</w:t>
      </w:r>
    </w:p>
    <w:p w14:paraId="79B7A20E">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5.履行合同的时间、地点和方式</w:t>
      </w:r>
    </w:p>
    <w:p w14:paraId="675B4EB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5.1 乙方应当在甲方确定的时间、指定的地点履行合同，具体的交货时间、地点和方式见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170A805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5.2 乙方提供服务的应当在甲方指定的地点完成服务项目。</w:t>
      </w:r>
    </w:p>
    <w:p w14:paraId="6BBABD96">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6.</w:t>
      </w:r>
      <w:r>
        <w:rPr>
          <w:rFonts w:hint="eastAsia" w:ascii="宋体" w:hAnsi="宋体"/>
          <w:b/>
          <w:color w:val="000000" w:themeColor="text1"/>
          <w:sz w:val="24"/>
          <w:highlight w:val="none"/>
          <w14:textFill>
            <w14:solidFill>
              <w14:schemeClr w14:val="tx1"/>
            </w14:solidFill>
          </w14:textFill>
        </w:rPr>
        <w:t>货物的验收</w:t>
      </w:r>
    </w:p>
    <w:p w14:paraId="5D4622E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 甲方在收到乙方交付的货物后应当及时组织验收。</w:t>
      </w:r>
    </w:p>
    <w:p w14:paraId="1B865C9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6.2 货物的表面瑕疵，甲方应在验收时当面提出；对质量问题有异议的应在安装调试后十个工作日内提出。</w:t>
      </w:r>
    </w:p>
    <w:p w14:paraId="5AD5A15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6.3 在验收过程中发现数量不足或有质量、技术等问题，乙方应负责按照甲方的要求采取补足、更换或退货等处理措施，并承担由此发生的一切费用和损失。</w:t>
      </w:r>
    </w:p>
    <w:p w14:paraId="660FBF2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6.4 甲方在乙方按合同规定交货或安装、调试后，无正当理由而拖延接收、验收或拒绝接收、验收的，应承担因此给乙方造成的直接损失。</w:t>
      </w:r>
    </w:p>
    <w:p w14:paraId="20D16A9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6.5 甲方对货物进行检查验收合格后，应当收取发票并在《交货验收单》上签署验收意见及加盖单位印章。</w:t>
      </w:r>
    </w:p>
    <w:p w14:paraId="05D654C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6.6 大型或者复杂的货物采购项目，甲方可以邀请国家认可的质量检测机构参加验收工作，并由其出具验收报告单。</w:t>
      </w:r>
    </w:p>
    <w:p w14:paraId="4AFB21C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6.7 乙方提供的进口产品，乙方应出示中华人民共和国进出口商品检验部门出具的检验证书（招标文件第五章采购需求另有约定的除外）。</w:t>
      </w:r>
    </w:p>
    <w:p w14:paraId="624E1F28">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7.货物包装要求</w:t>
      </w:r>
    </w:p>
    <w:p w14:paraId="40C54B6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30428EE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每一个包装箱内应附一份详细装箱单、质量证书和保修保养证书。</w:t>
      </w:r>
    </w:p>
    <w:p w14:paraId="2BBCBFF0">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8.运输和保险</w:t>
      </w:r>
    </w:p>
    <w:p w14:paraId="72A72620">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8.1乙方负责办理将货物运抵本合同第5.1条规定的交货地点的一切运输事项，相关费用应包括在合同总价中。</w:t>
      </w:r>
    </w:p>
    <w:p w14:paraId="082349D7">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8.2乙方应向保险公司投保以甲方为受益人的发运合同货物发票金额的110％运输一切险。</w:t>
      </w:r>
    </w:p>
    <w:p w14:paraId="00DD512D">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9.质量标准和保证</w:t>
      </w:r>
    </w:p>
    <w:p w14:paraId="73955A51">
      <w:pPr>
        <w:pStyle w:val="22"/>
        <w:shd w:val="clear"/>
        <w:adjustRightInd w:val="0"/>
        <w:snapToGrid w:val="0"/>
        <w:spacing w:before="50" w:line="360" w:lineRule="auto"/>
        <w:ind w:firstLine="400" w:firstLineChars="200"/>
        <w:jc w:val="left"/>
        <w:rPr>
          <w:rFonts w:hAnsi="宋体"/>
          <w:b/>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9.1 质量标准</w:t>
      </w:r>
    </w:p>
    <w:p w14:paraId="3C7A948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（1）本合同下交付的货物应符合招标文件第五章“采购需求”所述的标准。如果没有提及适用标准，则应符合中华人民共和国有关机构发布的最新版本的标准。</w:t>
      </w:r>
    </w:p>
    <w:p w14:paraId="4D0CBE3F">
      <w:pPr>
        <w:pStyle w:val="22"/>
        <w:shd w:val="clear"/>
        <w:adjustRightInd w:val="0"/>
        <w:snapToGrid w:val="0"/>
        <w:spacing w:before="50" w:line="360" w:lineRule="auto"/>
        <w:ind w:firstLine="400" w:firstLineChars="200"/>
        <w:jc w:val="left"/>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（2）采用中华人民共和国法定计量单位。</w:t>
      </w:r>
    </w:p>
    <w:p w14:paraId="2562D95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（3）乙方所出售的货物还应符合国家有关安全、环保、卫生之规定。</w:t>
      </w:r>
    </w:p>
    <w:p w14:paraId="5EAF27D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9.2 保证</w:t>
      </w:r>
    </w:p>
    <w:p w14:paraId="37A3961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规定或乙方承诺（两者以较长的为准）的质量保证期内，本保证保持有效。</w:t>
      </w:r>
    </w:p>
    <w:p w14:paraId="222736D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（2）在质量保证期内所发现的缺陷，甲方应尽快以书面形式通知乙方。</w:t>
      </w:r>
    </w:p>
    <w:p w14:paraId="3D23251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（3）乙方收到通知后应在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规定的响应时间内以合理的速度免费维修或更换有缺陷的货物或部件。</w:t>
      </w:r>
    </w:p>
    <w:p w14:paraId="38ECD51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（4）在质量保证期内，如果货物的质量或规格与合同不符，或证实货物是有缺陷的，包括潜在的缺陷或使用不符合要求的材料等，甲方可以根据本合同第15.1条规定以书面形式向乙方提出补救措施或索赔。</w:t>
      </w:r>
    </w:p>
    <w:p w14:paraId="1E83E289">
      <w:pPr>
        <w:shd w:val="clear"/>
        <w:adjustRightInd w:val="0"/>
        <w:snapToGrid w:val="0"/>
        <w:spacing w:before="50"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（5）乙方在约定的时间内未能弥补缺陷，甲方可采取必要的补救措施，但其风险和费用将由乙方承担，甲方根据合同规定对乙方行使的其他权利不受影响。</w:t>
      </w:r>
    </w:p>
    <w:p w14:paraId="39ED57CA">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10.权利瑕疵担保</w:t>
      </w:r>
    </w:p>
    <w:p w14:paraId="4290CA0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 乙方保证对其出售的货物享有合法的权利。</w:t>
      </w:r>
    </w:p>
    <w:p w14:paraId="41E7493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10.2 乙方保证在其出售的货物上不存在任何未曾向甲方透露的担保物权，如抵押权、质押权、留置权等。</w:t>
      </w:r>
    </w:p>
    <w:p w14:paraId="1FEE143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10.3 如甲方使用该货物构成上述侵权的，则由乙方承担全部责任。</w:t>
      </w:r>
    </w:p>
    <w:p w14:paraId="0CFD5FB6">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11.知识产权保护</w:t>
      </w:r>
    </w:p>
    <w:p w14:paraId="2AD746F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11.1 乙方对其所销售的货物应当享有知识产权或经权利人合法授权，保证没有侵犯任何第三人的知识产权和商业秘密等权利。</w:t>
      </w:r>
    </w:p>
    <w:p w14:paraId="05ACFDD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11.2 甲方使用乙方提供的货物对第三人构成侵权的，应当由乙方承担全部法律责任，给甲方造成损害的，乙方应当承担赔偿责任。</w:t>
      </w:r>
    </w:p>
    <w:p w14:paraId="200D6B8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11.3 甲方委托乙方开发的产品，甲方享有知识产权，未经甲方许可不得转让任何第三人。</w:t>
      </w:r>
    </w:p>
    <w:p w14:paraId="5AFB987B">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12.保密义务</w:t>
      </w:r>
    </w:p>
    <w:p w14:paraId="7BB6F2E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12.1 甲、乙双方在采购和履行合同过程中所获悉的对方属于保密的内容，双方均有保密义务。</w:t>
      </w:r>
    </w:p>
    <w:p w14:paraId="7C488183">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13.合同价款支付</w:t>
      </w:r>
    </w:p>
    <w:p w14:paraId="59405621">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13.1验收合格后，乙方出具正规发票给甲方，凭甲方开具的《政府采购合同验收报告单》办理合同价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结算手续。</w:t>
      </w:r>
    </w:p>
    <w:p w14:paraId="09721DF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13.2 合同价款构成中应当由财政支付的部分，甲方应当在货物验收合格后的十五个工作日内向国库管理部门申请支付，经国库管理部门审核后直接支付给乙方。</w:t>
      </w:r>
    </w:p>
    <w:p w14:paraId="247DE662">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13.3 合同价款构成中应当由甲方自行支付的部分，甲方应当在货物验收合格后十五个工作</w:t>
      </w:r>
      <w:r>
        <w:rPr>
          <w:rFonts w:hint="eastAsia" w:ascii="宋体" w:hAnsi="宋体"/>
          <w:color w:val="000000" w:themeColor="text1"/>
          <w:szCs w:val="21"/>
          <w:highlight w:val="none"/>
          <w:lang w:val="en-US" w:eastAsia="zh-CN"/>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内支付。</w:t>
      </w:r>
    </w:p>
    <w:p w14:paraId="19972F48">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13.4支付合同价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时，一律不向乙方以外的任何第三方办理付款手续。开户行和账号以签订的政府采购合同为准，如果乙方要求变更，则乙方必须提供加盖了财务专用章、法定代表人签字的证明文件，报经甲方审查同意。</w:t>
      </w:r>
    </w:p>
    <w:p w14:paraId="3EDA5D3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13.5 合同价款支付方式</w:t>
      </w:r>
      <w:r>
        <w:rPr>
          <w:rFonts w:hint="eastAsia" w:ascii="宋体" w:hAnsi="宋体"/>
          <w:bCs/>
          <w:color w:val="000000" w:themeColor="text1"/>
          <w:szCs w:val="21"/>
          <w:highlight w:val="none"/>
          <w14:textFill>
            <w14:solidFill>
              <w14:schemeClr w14:val="tx1"/>
            </w14:solidFill>
          </w14:textFill>
        </w:rPr>
        <w:t>和条件在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中另有规定。</w:t>
      </w:r>
    </w:p>
    <w:p w14:paraId="3B63279F">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14.</w:t>
      </w:r>
      <w:r>
        <w:rPr>
          <w:rFonts w:hint="eastAsia" w:ascii="宋体" w:hAnsi="宋体"/>
          <w:b/>
          <w:color w:val="000000" w:themeColor="text1"/>
          <w:sz w:val="24"/>
          <w:highlight w:val="none"/>
          <w14:textFill>
            <w14:solidFill>
              <w14:schemeClr w14:val="tx1"/>
            </w14:solidFill>
          </w14:textFill>
        </w:rPr>
        <w:t>伴随服务</w:t>
      </w:r>
    </w:p>
    <w:p w14:paraId="4CEFD1F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乙方应向甲方提交所提供货物的技术文件，包括相应的中文技术文件，如：产品目录、图纸、操作手册、使用说明、维护手册或服务指南。这些文件应包装好随同货物一起发运。</w:t>
      </w:r>
    </w:p>
    <w:p w14:paraId="3606F66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14.2 乙方还应提供下列服务：</w:t>
      </w:r>
    </w:p>
    <w:p w14:paraId="4CA6F33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（1）货物的现场移动、安装、调试、启动监督及技术支持；</w:t>
      </w:r>
    </w:p>
    <w:p w14:paraId="76D71CD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（2）提供货物组装和维修所需的专用工具和辅助材料；</w:t>
      </w:r>
    </w:p>
    <w:p w14:paraId="742CA16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（3）在合同各方商定的一定期限内对所有的货物实施运行监督、维修，但前提条件是该服务并不能免除乙方在质量保证期内所承担的义务；</w:t>
      </w:r>
    </w:p>
    <w:p w14:paraId="6D1E097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（4）在制造商或项目现场就货物的安装、启动、运营、维护对甲方操作人员进行培训；</w:t>
      </w:r>
    </w:p>
    <w:p w14:paraId="30EB43B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与招标文件第五章采购需求规定的其他伴随服务。</w:t>
      </w:r>
    </w:p>
    <w:p w14:paraId="713609F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14.3 乙方提供的伴随服务的费用应包含在合同价款中，甲方不再另行支付。</w:t>
      </w:r>
    </w:p>
    <w:p w14:paraId="29E9C902">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15.违约责任</w:t>
      </w:r>
    </w:p>
    <w:p w14:paraId="595B83DC">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15.1质量瑕疵的补救措施和索赔</w:t>
      </w:r>
    </w:p>
    <w:p w14:paraId="7BD9800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078364E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①乙方同意退货并将货款退还给甲方，由此发生的一切费用和损失由乙方承担。</w:t>
      </w:r>
    </w:p>
    <w:p w14:paraId="20C60CD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②根据货物的质量状况以及甲方所遭受的损失，经过甲乙双方商定降低货物的价格。</w:t>
      </w:r>
    </w:p>
    <w:p w14:paraId="7929DC6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39E4E83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5EB0F91">
      <w:pPr>
        <w:shd w:val="clear"/>
        <w:autoSpaceDE w:val="0"/>
        <w:autoSpaceDN w:val="0"/>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15.2 迟延交货的违约责任</w:t>
      </w:r>
    </w:p>
    <w:p w14:paraId="6D9F353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4288233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（2）除本合同</w:t>
      </w:r>
      <w:r>
        <w:rPr>
          <w:rFonts w:hint="eastAsia" w:ascii="宋体" w:hAnsi="宋体"/>
          <w:bCs/>
          <w:color w:val="000000" w:themeColor="text1"/>
          <w:szCs w:val="21"/>
          <w:highlight w:val="none"/>
          <w14:textFill>
            <w14:solidFill>
              <w14:schemeClr w14:val="tx1"/>
            </w14:solidFill>
          </w14:textFill>
        </w:rPr>
        <w:t>第20条</w:t>
      </w:r>
      <w:r>
        <w:rPr>
          <w:rFonts w:hint="eastAsia" w:ascii="宋体" w:hAnsi="宋体"/>
          <w:color w:val="000000" w:themeColor="text1"/>
          <w:szCs w:val="21"/>
          <w:highlight w:val="none"/>
          <w14:textFill>
            <w14:solidFill>
              <w14:schemeClr w14:val="tx1"/>
            </w14:solidFill>
          </w14:textFill>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3AF1112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022F6B28">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16.合同的变更</w:t>
      </w:r>
    </w:p>
    <w:p w14:paraId="44C6EC2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16.1 在合同履行过程中，甲、乙双方可就合同履行的时间、地点和方式等协商进行变更。协商一致后，双方应签订书面的补充协议。</w:t>
      </w:r>
    </w:p>
    <w:p w14:paraId="5A8E212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16.2 在不改变合同其他条款的前提下，甲方有权在合同价款百分之十的范围内追加与合同标的相同的货物或服务，并就此与乙方签订补充合同，乙方不得拒绝。</w:t>
      </w:r>
    </w:p>
    <w:p w14:paraId="3EAAADA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16.3 除双方签署书面协议，并成为合同不可分割的一部分外，本合同条件不得有任何变更。</w:t>
      </w:r>
    </w:p>
    <w:p w14:paraId="34A9995D">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17.合同中止与终止</w:t>
      </w:r>
    </w:p>
    <w:p w14:paraId="084D10B2">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17.1合同的中止</w:t>
      </w:r>
    </w:p>
    <w:p w14:paraId="5DE2D0A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（1）合同在履行过程中，因采购计划调整，甲方可以要求中止履行，待计划确定后继续履行；</w:t>
      </w:r>
    </w:p>
    <w:p w14:paraId="4330C32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（2）合同履行过程中因供应商就采购过程或结果提起投诉的，甲方认为有必要或财政部门责令中止的，应当中止合同的履行。</w:t>
      </w:r>
    </w:p>
    <w:p w14:paraId="30926A26">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17.2合同的终止</w:t>
      </w:r>
    </w:p>
    <w:p w14:paraId="45329E4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（1）合同因有效期限届满而终止；</w:t>
      </w:r>
    </w:p>
    <w:p w14:paraId="26025F0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（2）乙方未能依照本合同约定条件履行合同，已构成根本性违约的，甲方有权终止本合同，并追究乙方的违约责任。</w:t>
      </w:r>
    </w:p>
    <w:p w14:paraId="38853F1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（3）如果乙方丧失履约能力或被宣告破产，甲方可在任何时候以书面形式通知乙方终止合同而不给乙方补偿。</w:t>
      </w:r>
    </w:p>
    <w:p w14:paraId="0F3641D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（4）如果乙方在履行合同过程中有不正当竞争行为，甲方有权解除合同，并按《中华人民共和国反不正当竞争法》规定由有关部门追究其法律责任。</w:t>
      </w:r>
    </w:p>
    <w:p w14:paraId="25C517E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（5）如果合同的履行将损害国家利益或社会公共利益，甲方有权终止合同的履行，给乙方造成损失的予以相应补偿。</w:t>
      </w:r>
    </w:p>
    <w:p w14:paraId="1F12FAC0">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18.合同转让和分包</w:t>
      </w:r>
    </w:p>
    <w:p w14:paraId="00D9627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18.1 乙方不得以任何形式将合同转包。</w:t>
      </w:r>
    </w:p>
    <w:p w14:paraId="24914F8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18.2 乙方未在投标文件中说明，不得将</w:t>
      </w:r>
      <w:r>
        <w:rPr>
          <w:rFonts w:hint="eastAsia" w:ascii="宋体" w:hAnsi="宋体"/>
          <w:bCs/>
          <w:color w:val="000000" w:themeColor="text1"/>
          <w:szCs w:val="21"/>
          <w:highlight w:val="none"/>
          <w14:textFill>
            <w14:solidFill>
              <w14:schemeClr w14:val="tx1"/>
            </w14:solidFill>
          </w14:textFill>
        </w:rPr>
        <w:t>合同</w:t>
      </w:r>
      <w:r>
        <w:rPr>
          <w:rFonts w:hint="eastAsia" w:ascii="宋体" w:hAnsi="宋体"/>
          <w:color w:val="000000" w:themeColor="text1"/>
          <w:szCs w:val="21"/>
          <w:highlight w:val="none"/>
          <w14:textFill>
            <w14:solidFill>
              <w14:schemeClr w14:val="tx1"/>
            </w14:solidFill>
          </w14:textFill>
        </w:rPr>
        <w:t>的非主体、非关键性工作分包给他人。</w:t>
      </w:r>
    </w:p>
    <w:p w14:paraId="7A71C901">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19.不可抗力</w:t>
      </w:r>
    </w:p>
    <w:p w14:paraId="02238E2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19.1 不可抗力是指合同双方不可预见、不可避免、不可克服的自然灾害和社会事件。</w:t>
      </w:r>
    </w:p>
    <w:p w14:paraId="3823DA6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19.2 任何一方对由于不可抗力造成的部分或全部不能履行合同不承担违约责任。但迟延履行后发生不可抗力的，不能免除责任。</w:t>
      </w:r>
    </w:p>
    <w:p w14:paraId="7A49B38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19.3 遇有不可抗力的一方，应在三日内将事件的情况以书面形式通知另一方，并在事件发生后十日内，向另一方提交合同不能履行或部分不能履行或需要延期履行理由的报告。</w:t>
      </w:r>
    </w:p>
    <w:p w14:paraId="45EBD0F4">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20.解决争议的方法</w:t>
      </w:r>
    </w:p>
    <w:p w14:paraId="05DEED1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20.1 合同各方应通过友好协商，解决在执行合同过程中所发生的或与合同有关的一切争端。如从协商开始后十日内仍不能解决，可以向财政部门提请调解。</w:t>
      </w:r>
    </w:p>
    <w:p w14:paraId="706F16F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20.2 调解不成可以按</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中约定中规定下列方式之一提起仲裁或诉讼：</w:t>
      </w:r>
    </w:p>
    <w:p w14:paraId="78D22BA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（1）向甲方所在地仲裁机构提起仲裁；</w:t>
      </w:r>
    </w:p>
    <w:p w14:paraId="4239F69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（2）向甲方所在地人民法院提起诉讼。</w:t>
      </w:r>
    </w:p>
    <w:p w14:paraId="571F85D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20.3 如仲裁或诉讼事项不影响合同其它部分的履行，则在仲裁或诉讼期间，除正在进行仲裁或诉讼的部分外，合同的其它部分应继续执行。</w:t>
      </w:r>
    </w:p>
    <w:p w14:paraId="07C04EC5">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21.法律适用</w:t>
      </w:r>
    </w:p>
    <w:p w14:paraId="2205698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21.1 本合同适用中华人民共和国现行法律、行政法规和规章，如合同条款与法律、行政法规和规章不一致的，按照法律、行政法规和规章修改本合同。</w:t>
      </w:r>
    </w:p>
    <w:p w14:paraId="64D456BF">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22.</w:t>
      </w:r>
      <w:r>
        <w:rPr>
          <w:rFonts w:hint="eastAsia" w:ascii="宋体" w:hAnsi="宋体"/>
          <w:b/>
          <w:color w:val="000000" w:themeColor="text1"/>
          <w:sz w:val="24"/>
          <w:highlight w:val="none"/>
          <w14:textFill>
            <w14:solidFill>
              <w14:schemeClr w14:val="tx1"/>
            </w14:solidFill>
          </w14:textFill>
        </w:rPr>
        <w:t>通知</w:t>
      </w:r>
    </w:p>
    <w:p w14:paraId="3FB6E28F">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22.1本合同一方给另一方的通知均应采用书面形式，传真或快递送到本合同中规定的对方的地址和办理签收手续，</w:t>
      </w:r>
    </w:p>
    <w:p w14:paraId="0FFF4B61">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22.2通知以送到之日或通知书中规定的生效之日起生效，两者中以较迟之日为准。</w:t>
      </w:r>
    </w:p>
    <w:p w14:paraId="22292A87">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23. 合同未尽事项</w:t>
      </w:r>
    </w:p>
    <w:p w14:paraId="6569E4C1">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23.1合同未尽事项见</w:t>
      </w:r>
      <w:r>
        <w:rPr>
          <w:rFonts w:hint="eastAsia" w:ascii="宋体" w:hAnsi="宋体"/>
          <w:b/>
          <w:color w:val="000000" w:themeColor="text1"/>
          <w:szCs w:val="21"/>
          <w:highlight w:val="none"/>
          <w14:textFill>
            <w14:solidFill>
              <w14:schemeClr w14:val="tx1"/>
            </w14:solidFill>
          </w14:textFill>
        </w:rPr>
        <w:t>【政府采购合同专用条款】。</w:t>
      </w:r>
    </w:p>
    <w:p w14:paraId="2FE89BBC">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24.合同生效</w:t>
      </w:r>
    </w:p>
    <w:p w14:paraId="20EBCF1D">
      <w:pPr>
        <w:shd w:val="clear"/>
        <w:autoSpaceDE w:val="0"/>
        <w:autoSpaceDN w:val="0"/>
        <w:adjustRightInd w:val="0"/>
        <w:snapToGrid w:val="0"/>
        <w:spacing w:before="50" w:line="360" w:lineRule="auto"/>
        <w:ind w:firstLine="420" w:firstLineChars="200"/>
        <w:jc w:val="left"/>
        <w:rPr>
          <w:rFonts w:ascii="黑体" w:hAnsi="黑体" w:eastAsia="黑体"/>
          <w:b/>
          <w:bCs/>
          <w:color w:val="000000" w:themeColor="text1"/>
          <w:sz w:val="3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24.1 本合同在合同双方签字盖章后生效。</w:t>
      </w:r>
      <w:r>
        <w:rPr>
          <w:rFonts w:ascii="黑体" w:hAnsi="黑体" w:eastAsia="黑体"/>
          <w:b/>
          <w:bCs/>
          <w:color w:val="000000" w:themeColor="text1"/>
          <w:sz w:val="32"/>
          <w:highlight w:val="none"/>
          <w14:textFill>
            <w14:solidFill>
              <w14:schemeClr w14:val="tx1"/>
            </w14:solidFill>
          </w14:textFill>
        </w:rPr>
        <w:br w:type="page"/>
      </w:r>
    </w:p>
    <w:p w14:paraId="7BA2FE0A">
      <w:pPr>
        <w:shd w:val="clear"/>
        <w:jc w:val="center"/>
        <w:rPr>
          <w:rFonts w:ascii="宋体" w:hAnsi="宋体" w:cs="宋体"/>
          <w:b/>
          <w:color w:val="000000" w:themeColor="text1"/>
          <w:sz w:val="24"/>
          <w:highlight w:val="none"/>
          <w14:textFill>
            <w14:solidFill>
              <w14:schemeClr w14:val="tx1"/>
            </w14:solidFill>
          </w14:textFill>
        </w:rPr>
      </w:pPr>
      <w:bookmarkStart w:id="57" w:name="_Toc23520008"/>
    </w:p>
    <w:p w14:paraId="5B636DDA">
      <w:pPr>
        <w:shd w:val="clea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第三节 政府采购合同专用条款</w:t>
      </w:r>
      <w:bookmarkEnd w:id="57"/>
    </w:p>
    <w:p w14:paraId="61115DE2">
      <w:pPr>
        <w:shd w:val="clear"/>
        <w:adjustRightInd w:val="0"/>
        <w:snapToGrid w:val="0"/>
        <w:spacing w:line="360" w:lineRule="auto"/>
        <w:jc w:val="center"/>
        <w:rPr>
          <w:rFonts w:ascii="宋体" w:hAnsi="宋体"/>
          <w:color w:val="000000" w:themeColor="text1"/>
          <w:sz w:val="24"/>
          <w:highlight w:val="none"/>
          <w14:textFill>
            <w14:solidFill>
              <w14:schemeClr w14:val="tx1"/>
            </w14:solidFill>
          </w14:textFill>
        </w:rPr>
      </w:pPr>
    </w:p>
    <w:tbl>
      <w:tblPr>
        <w:tblStyle w:val="43"/>
        <w:tblW w:w="9356"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812"/>
      </w:tblGrid>
      <w:tr w14:paraId="6BDC60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701" w:type="dxa"/>
            <w:vAlign w:val="center"/>
          </w:tcPr>
          <w:p w14:paraId="1665A3B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264044F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第1.1款</w:t>
            </w:r>
          </w:p>
        </w:tc>
        <w:tc>
          <w:tcPr>
            <w:tcW w:w="1843" w:type="dxa"/>
            <w:vAlign w:val="center"/>
          </w:tcPr>
          <w:p w14:paraId="703FE2E5">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甲方名称、地址 </w:t>
            </w:r>
          </w:p>
        </w:tc>
        <w:tc>
          <w:tcPr>
            <w:tcW w:w="5812" w:type="dxa"/>
            <w:vAlign w:val="center"/>
          </w:tcPr>
          <w:p w14:paraId="50515E63">
            <w:pPr>
              <w:shd w:val="clea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 购 人：</w:t>
            </w:r>
            <w:r>
              <w:rPr>
                <w:rFonts w:hint="eastAsia" w:ascii="宋体" w:hAnsi="宋体" w:cs="宋体"/>
                <w:color w:val="000000" w:themeColor="text1"/>
                <w:szCs w:val="21"/>
                <w:highlight w:val="none"/>
                <w:lang w:eastAsia="zh-CN"/>
                <w14:textFill>
                  <w14:solidFill>
                    <w14:schemeClr w14:val="tx1"/>
                  </w14:solidFill>
                </w14:textFill>
              </w:rPr>
              <w:t>岳阳市君山区人民医院</w:t>
            </w:r>
          </w:p>
          <w:p w14:paraId="4559F62F">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单位地址：</w:t>
            </w:r>
            <w:r>
              <w:rPr>
                <w:rFonts w:hint="eastAsia" w:ascii="宋体" w:hAnsi="宋体" w:cs="宋体"/>
                <w:color w:val="000000" w:themeColor="text1"/>
                <w:szCs w:val="21"/>
                <w:highlight w:val="none"/>
                <w:lang w:eastAsia="zh-CN"/>
                <w14:textFill>
                  <w14:solidFill>
                    <w14:schemeClr w14:val="tx1"/>
                  </w14:solidFill>
                </w14:textFill>
              </w:rPr>
              <w:t>岳阳市君山区旅游路</w:t>
            </w:r>
          </w:p>
        </w:tc>
      </w:tr>
      <w:tr w14:paraId="1DBD26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51C9915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4903C28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第1.2（6）项</w:t>
            </w:r>
          </w:p>
        </w:tc>
        <w:tc>
          <w:tcPr>
            <w:tcW w:w="1843" w:type="dxa"/>
            <w:vAlign w:val="center"/>
          </w:tcPr>
          <w:p w14:paraId="0B19821A">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项目现场</w:t>
            </w:r>
          </w:p>
        </w:tc>
        <w:tc>
          <w:tcPr>
            <w:tcW w:w="5812" w:type="dxa"/>
            <w:vAlign w:val="center"/>
          </w:tcPr>
          <w:p w14:paraId="25C99C61">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采购人指定地点</w:t>
            </w:r>
          </w:p>
        </w:tc>
      </w:tr>
      <w:tr w14:paraId="2C58A3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1928315A">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6CCB8CA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第5.1款</w:t>
            </w:r>
          </w:p>
        </w:tc>
        <w:tc>
          <w:tcPr>
            <w:tcW w:w="1843" w:type="dxa"/>
            <w:vAlign w:val="center"/>
          </w:tcPr>
          <w:p w14:paraId="6A2268EE">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履行合同的时间、地点及方式</w:t>
            </w:r>
          </w:p>
        </w:tc>
        <w:tc>
          <w:tcPr>
            <w:tcW w:w="5812" w:type="dxa"/>
            <w:vAlign w:val="center"/>
          </w:tcPr>
          <w:p w14:paraId="5F5E11B5">
            <w:pPr>
              <w:widowControl/>
              <w:numPr>
                <w:ilvl w:val="0"/>
                <w:numId w:val="5"/>
              </w:numPr>
              <w:shd w:val="clear"/>
              <w:spacing w:line="44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交货时间：</w:t>
            </w:r>
            <w:r>
              <w:rPr>
                <w:rFonts w:hint="eastAsia"/>
                <w:color w:val="000000" w:themeColor="text1"/>
                <w:highlight w:val="none"/>
                <w:lang w:eastAsia="zh-CN"/>
                <w14:textFill>
                  <w14:solidFill>
                    <w14:schemeClr w14:val="tx1"/>
                  </w14:solidFill>
                </w14:textFill>
              </w:rPr>
              <w:t>自签订合同之日起30天内完成供货要求</w:t>
            </w:r>
            <w:r>
              <w:rPr>
                <w:rFonts w:hint="eastAsia"/>
                <w:color w:val="000000" w:themeColor="text1"/>
                <w:highlight w:val="none"/>
                <w14:textFill>
                  <w14:solidFill>
                    <w14:schemeClr w14:val="tx1"/>
                  </w14:solidFill>
                </w14:textFill>
              </w:rPr>
              <w:t>。</w:t>
            </w:r>
          </w:p>
          <w:p w14:paraId="0B37B1A3">
            <w:pPr>
              <w:widowControl/>
              <w:numPr>
                <w:ilvl w:val="0"/>
                <w:numId w:val="0"/>
              </w:numPr>
              <w:shd w:val="clear"/>
              <w:spacing w:line="440" w:lineRule="exact"/>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交付地点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供货地点由采购人确定</w:t>
            </w:r>
            <w:r>
              <w:rPr>
                <w:rFonts w:hint="eastAsia"/>
                <w:color w:val="000000" w:themeColor="text1"/>
                <w:highlight w:val="none"/>
                <w14:textFill>
                  <w14:solidFill>
                    <w14:schemeClr w14:val="tx1"/>
                  </w14:solidFill>
                </w14:textFill>
              </w:rPr>
              <w:t>。</w:t>
            </w:r>
          </w:p>
          <w:p w14:paraId="18661AD3">
            <w:pPr>
              <w:widowControl/>
              <w:shd w:val="clear"/>
              <w:spacing w:line="440" w:lineRule="exact"/>
              <w:jc w:val="left"/>
              <w:rPr>
                <w:rFonts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3、交货方式：本项目为交钥匙工程，所有货物安装调试并经用户代表验收合格（验收内容主要为：型号、规格、数量、外包装、性能等）</w:t>
            </w:r>
          </w:p>
        </w:tc>
      </w:tr>
      <w:tr w14:paraId="02AC7F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25BD9532">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6260EB10">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第9.2（1）项</w:t>
            </w:r>
          </w:p>
        </w:tc>
        <w:tc>
          <w:tcPr>
            <w:tcW w:w="1843" w:type="dxa"/>
            <w:vAlign w:val="center"/>
          </w:tcPr>
          <w:p w14:paraId="28E4D090">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质量保证期</w:t>
            </w:r>
          </w:p>
        </w:tc>
        <w:tc>
          <w:tcPr>
            <w:tcW w:w="5812" w:type="dxa"/>
            <w:vAlign w:val="center"/>
          </w:tcPr>
          <w:p w14:paraId="11D930E0">
            <w:pPr>
              <w:shd w:val="clear"/>
              <w:autoSpaceDE w:val="0"/>
              <w:autoSpaceDN w:val="0"/>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bCs/>
                <w:color w:val="000000" w:themeColor="text1"/>
                <w:highlight w:val="none"/>
                <w14:textFill>
                  <w14:solidFill>
                    <w14:schemeClr w14:val="tx1"/>
                  </w14:solidFill>
                </w14:textFill>
              </w:rPr>
              <w:t>本项目质保期</w:t>
            </w:r>
            <w:r>
              <w:rPr>
                <w:rFonts w:hint="eastAsia"/>
                <w:bCs/>
                <w:color w:val="000000" w:themeColor="text1"/>
                <w:highlight w:val="none"/>
                <w:lang w:val="en-US" w:eastAsia="zh-CN"/>
                <w14:textFill>
                  <w14:solidFill>
                    <w14:schemeClr w14:val="tx1"/>
                  </w14:solidFill>
                </w14:textFill>
              </w:rPr>
              <w:t>三</w:t>
            </w:r>
            <w:r>
              <w:rPr>
                <w:rFonts w:hint="eastAsia"/>
                <w:bCs/>
                <w:color w:val="000000" w:themeColor="text1"/>
                <w:highlight w:val="none"/>
                <w14:textFill>
                  <w14:solidFill>
                    <w14:schemeClr w14:val="tx1"/>
                  </w14:solidFill>
                </w14:textFill>
              </w:rPr>
              <w:t>年，质保期内供应商提供本项目的免费售后服务</w:t>
            </w:r>
            <w:r>
              <w:rPr>
                <w:rFonts w:hint="eastAsia"/>
                <w:bCs/>
                <w:color w:val="000000" w:themeColor="text1"/>
                <w:highlight w:val="none"/>
                <w14:textFill>
                  <w14:solidFill>
                    <w14:schemeClr w14:val="tx1"/>
                  </w14:solidFill>
                </w14:textFill>
              </w:rPr>
              <w:t>。</w:t>
            </w:r>
          </w:p>
        </w:tc>
      </w:tr>
      <w:tr w14:paraId="3C830D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5E2715D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77909A04">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第9.2（3）项</w:t>
            </w:r>
          </w:p>
        </w:tc>
        <w:tc>
          <w:tcPr>
            <w:tcW w:w="1843" w:type="dxa"/>
            <w:vAlign w:val="center"/>
          </w:tcPr>
          <w:p w14:paraId="66409457">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响应时间</w:t>
            </w:r>
          </w:p>
        </w:tc>
        <w:tc>
          <w:tcPr>
            <w:tcW w:w="5812" w:type="dxa"/>
            <w:vAlign w:val="center"/>
          </w:tcPr>
          <w:p w14:paraId="7A73BD6F">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详见第五章“采购需求”</w:t>
            </w:r>
          </w:p>
        </w:tc>
      </w:tr>
      <w:tr w14:paraId="0FA8CB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149CE7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5B6CD85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第13.5款</w:t>
            </w:r>
          </w:p>
        </w:tc>
        <w:tc>
          <w:tcPr>
            <w:tcW w:w="1843" w:type="dxa"/>
            <w:vAlign w:val="center"/>
          </w:tcPr>
          <w:p w14:paraId="2DA45023">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合同价款支付方式</w:t>
            </w:r>
            <w:r>
              <w:rPr>
                <w:rFonts w:hint="eastAsia" w:ascii="宋体" w:hAnsi="宋体"/>
                <w:bCs/>
                <w:color w:val="000000" w:themeColor="text1"/>
                <w:szCs w:val="21"/>
                <w:highlight w:val="none"/>
                <w14:textFill>
                  <w14:solidFill>
                    <w14:schemeClr w14:val="tx1"/>
                  </w14:solidFill>
                </w14:textFill>
              </w:rPr>
              <w:t>和条件</w:t>
            </w:r>
          </w:p>
        </w:tc>
        <w:tc>
          <w:tcPr>
            <w:tcW w:w="5812" w:type="dxa"/>
            <w:vAlign w:val="center"/>
          </w:tcPr>
          <w:p w14:paraId="4DB5EC97">
            <w:pPr>
              <w:shd w:val="clear"/>
              <w:adjustRightInd w:val="0"/>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详见第五章“采购需求”</w:t>
            </w:r>
          </w:p>
        </w:tc>
      </w:tr>
      <w:tr w14:paraId="7B3B19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49F998B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5F95C2F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第14.2（5）项</w:t>
            </w:r>
          </w:p>
        </w:tc>
        <w:tc>
          <w:tcPr>
            <w:tcW w:w="1843" w:type="dxa"/>
            <w:vAlign w:val="center"/>
          </w:tcPr>
          <w:p w14:paraId="1E3AA945">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伴随服务</w:t>
            </w:r>
          </w:p>
        </w:tc>
        <w:tc>
          <w:tcPr>
            <w:tcW w:w="5812" w:type="dxa"/>
            <w:vAlign w:val="center"/>
          </w:tcPr>
          <w:p w14:paraId="6745F026">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详见第五章“采购需求”</w:t>
            </w:r>
          </w:p>
        </w:tc>
      </w:tr>
      <w:tr w14:paraId="58ABD9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43AAE77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0301F3B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第20.2款</w:t>
            </w:r>
          </w:p>
        </w:tc>
        <w:tc>
          <w:tcPr>
            <w:tcW w:w="1843" w:type="dxa"/>
            <w:vAlign w:val="center"/>
          </w:tcPr>
          <w:p w14:paraId="14C3A384">
            <w:pPr>
              <w:shd w:val="clea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解决争议的方式</w:t>
            </w:r>
          </w:p>
        </w:tc>
        <w:tc>
          <w:tcPr>
            <w:tcW w:w="5812" w:type="dxa"/>
            <w:vAlign w:val="center"/>
          </w:tcPr>
          <w:p w14:paraId="2E42B12E">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 诉讼</w:t>
            </w:r>
          </w:p>
          <w:p w14:paraId="07922237">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仲裁</w:t>
            </w:r>
          </w:p>
        </w:tc>
      </w:tr>
      <w:tr w14:paraId="7B7283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28DF296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第五章第二节</w:t>
            </w:r>
          </w:p>
          <w:p w14:paraId="726393F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第23.1款</w:t>
            </w:r>
          </w:p>
        </w:tc>
        <w:tc>
          <w:tcPr>
            <w:tcW w:w="1843" w:type="dxa"/>
            <w:vAlign w:val="center"/>
          </w:tcPr>
          <w:p w14:paraId="2AA12278">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合同未尽事项</w:t>
            </w:r>
          </w:p>
        </w:tc>
        <w:tc>
          <w:tcPr>
            <w:tcW w:w="5812" w:type="dxa"/>
            <w:vAlign w:val="center"/>
          </w:tcPr>
          <w:p w14:paraId="0E1A896F">
            <w:pPr>
              <w:shd w:val="clear"/>
              <w:adjustRightInd w:val="0"/>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r>
    </w:tbl>
    <w:p w14:paraId="741C9EE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210F87C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7FB9B4D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16DD6CB2">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298D602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20695DC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684948B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53580B3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p w14:paraId="32B589E6">
      <w:pPr>
        <w:pStyle w:val="4"/>
        <w:shd w:val="clear"/>
        <w:rPr>
          <w:rFonts w:ascii="黑体" w:hAnsi="黑体" w:eastAsia="黑体"/>
          <w:color w:val="000000" w:themeColor="text1"/>
          <w:sz w:val="32"/>
          <w:szCs w:val="32"/>
          <w:highlight w:val="none"/>
          <w14:textFill>
            <w14:solidFill>
              <w14:schemeClr w14:val="tx1"/>
            </w14:solidFill>
          </w14:textFill>
        </w:rPr>
      </w:pPr>
      <w:bookmarkStart w:id="58" w:name="_Toc78815075"/>
      <w:r>
        <w:rPr>
          <w:rFonts w:hint="eastAsia" w:ascii="黑体" w:hAnsi="黑体" w:eastAsia="黑体"/>
          <w:color w:val="000000" w:themeColor="text1"/>
          <w:sz w:val="32"/>
          <w:szCs w:val="32"/>
          <w:highlight w:val="none"/>
          <w14:textFill>
            <w14:solidFill>
              <w14:schemeClr w14:val="tx1"/>
            </w14:solidFill>
          </w14:textFill>
        </w:rPr>
        <w:t>第七章 投标文件的组成</w:t>
      </w:r>
      <w:bookmarkEnd w:id="58"/>
    </w:p>
    <w:p w14:paraId="571C464D">
      <w:pPr>
        <w:shd w:val="clear"/>
        <w:adjustRightInd w:val="0"/>
        <w:snapToGrid w:val="0"/>
        <w:spacing w:line="400" w:lineRule="atLeast"/>
        <w:ind w:left="-88" w:leftChars="-42"/>
        <w:jc w:val="center"/>
        <w:rPr>
          <w:b/>
          <w:bCs/>
          <w:color w:val="000000" w:themeColor="text1"/>
          <w:sz w:val="32"/>
          <w:highlight w:val="none"/>
          <w14:textFill>
            <w14:solidFill>
              <w14:schemeClr w14:val="tx1"/>
            </w14:solidFill>
          </w14:textFill>
        </w:rPr>
      </w:pPr>
    </w:p>
    <w:p w14:paraId="22127EA2">
      <w:pPr>
        <w:shd w:val="clear"/>
        <w:adjustRightInd w:val="0"/>
        <w:snapToGrid w:val="0"/>
        <w:spacing w:before="156" w:beforeLines="50"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第一部分 资格证明文件</w:t>
      </w:r>
    </w:p>
    <w:p w14:paraId="1D338F3A">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一、开标一览表</w:t>
      </w:r>
    </w:p>
    <w:p w14:paraId="0BA75872">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二、投标保</w:t>
      </w:r>
      <w:r>
        <w:rPr>
          <w:rFonts w:hint="eastAsia" w:ascii="宋体" w:hAnsi="宋体"/>
          <w:bCs/>
          <w:color w:val="000000" w:themeColor="text1"/>
          <w:szCs w:val="21"/>
          <w:highlight w:val="none"/>
          <w14:textFill>
            <w14:solidFill>
              <w14:schemeClr w14:val="tx1"/>
            </w14:solidFill>
          </w14:textFill>
        </w:rPr>
        <w:t>证金</w:t>
      </w:r>
    </w:p>
    <w:p w14:paraId="566A29E0">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三、法定代表人（单位负责人）身份证明或授权委托书</w:t>
      </w:r>
    </w:p>
    <w:p w14:paraId="7B761230">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四、投标人提供的资格证明文件</w:t>
      </w:r>
    </w:p>
    <w:p w14:paraId="0E3547F3">
      <w:pPr>
        <w:shd w:val="clear"/>
        <w:adjustRightInd w:val="0"/>
        <w:snapToGrid w:val="0"/>
        <w:spacing w:before="156" w:beforeLines="50" w:line="360" w:lineRule="auto"/>
        <w:jc w:val="left"/>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第二部分 商务技术文件</w:t>
      </w:r>
    </w:p>
    <w:p w14:paraId="28FBDDDB">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五、投标函</w:t>
      </w:r>
    </w:p>
    <w:p w14:paraId="1434A31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六、分项报价</w:t>
      </w:r>
    </w:p>
    <w:p w14:paraId="3AF21366">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七、采购需求响应</w:t>
      </w:r>
    </w:p>
    <w:p w14:paraId="0C30FBCD">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八、合同条款偏离表</w:t>
      </w:r>
    </w:p>
    <w:p w14:paraId="68B2FECF">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九、采购需求偏离表</w:t>
      </w:r>
    </w:p>
    <w:p w14:paraId="3905D30B">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十、享受政府采购政策优惠的证明资料和清单表</w:t>
      </w:r>
    </w:p>
    <w:p w14:paraId="37B5CB99">
      <w:pPr>
        <w:shd w:val="clear"/>
        <w:adjustRightInd w:val="0"/>
        <w:snapToGrid w:val="0"/>
        <w:spacing w:before="156"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十一、投标货物符合招标文件规定的证明文件</w:t>
      </w:r>
    </w:p>
    <w:p w14:paraId="4C9C2D6F">
      <w:pPr>
        <w:shd w:val="clear"/>
        <w:adjustRightInd w:val="0"/>
        <w:snapToGrid w:val="0"/>
        <w:spacing w:before="156" w:beforeLines="50"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十二、投标人认为需提供的其他资料</w:t>
      </w:r>
    </w:p>
    <w:p w14:paraId="39C095BC">
      <w:pPr>
        <w:shd w:val="clear"/>
        <w:adjustRightInd w:val="0"/>
        <w:snapToGrid w:val="0"/>
        <w:spacing w:before="156" w:beforeLines="50" w:line="360" w:lineRule="auto"/>
        <w:ind w:firstLine="422"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注：1、投标人应按照电子招标文件格式及投标工具编制资格证明文件，不得将其编制到商务和技术文件中。否则，由于编制失误所产生的后果，由投标人自行承担。</w:t>
      </w:r>
    </w:p>
    <w:p w14:paraId="031BFE36">
      <w:pPr>
        <w:shd w:val="clear"/>
        <w:adjustRightInd w:val="0"/>
        <w:snapToGrid w:val="0"/>
        <w:spacing w:before="156" w:beforeLines="50" w:line="360" w:lineRule="auto"/>
        <w:ind w:firstLine="422" w:firstLineChars="200"/>
        <w:jc w:val="left"/>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2、投标人应按照电子招标文件格式及投标工具编制商务和技术及综合评分表相关资料。否则，由于编制失误所产生的后果，由投标人自行承担。</w:t>
      </w:r>
    </w:p>
    <w:p w14:paraId="2599DB8F">
      <w:pPr>
        <w:shd w:val="clear"/>
        <w:adjustRightInd w:val="0"/>
        <w:snapToGrid w:val="0"/>
        <w:spacing w:before="156" w:beforeLines="50"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p>
    <w:p w14:paraId="0E817EFF">
      <w:pPr>
        <w:shd w:val="clear"/>
        <w:adjustRightInd w:val="0"/>
        <w:snapToGrid w:val="0"/>
        <w:spacing w:line="360" w:lineRule="auto"/>
        <w:jc w:val="center"/>
        <w:rPr>
          <w:rFonts w:ascii="仿宋_GB2312" w:hAnsi="宋体" w:eastAsia="仿宋_GB2312"/>
          <w:color w:val="000000" w:themeColor="text1"/>
          <w:szCs w:val="21"/>
          <w:highlight w:val="none"/>
          <w14:textFill>
            <w14:solidFill>
              <w14:schemeClr w14:val="tx1"/>
            </w14:solidFill>
          </w14:textFill>
        </w:rPr>
      </w:pPr>
    </w:p>
    <w:p w14:paraId="67A44442">
      <w:pPr>
        <w:shd w:val="clear"/>
        <w:adjustRightInd w:val="0"/>
        <w:snapToGrid w:val="0"/>
        <w:spacing w:line="360" w:lineRule="auto"/>
        <w:jc w:val="center"/>
        <w:rPr>
          <w:rFonts w:ascii="黑体" w:eastAsia="黑体"/>
          <w:color w:val="000000" w:themeColor="text1"/>
          <w:sz w:val="32"/>
          <w:szCs w:val="32"/>
          <w:highlight w:val="none"/>
          <w14:textFill>
            <w14:solidFill>
              <w14:schemeClr w14:val="tx1"/>
            </w14:solidFill>
          </w14:textFill>
        </w:rPr>
      </w:pPr>
      <w:r>
        <w:rPr>
          <w:rFonts w:ascii="仿宋_GB2312" w:hAnsi="宋体" w:eastAsia="仿宋_GB2312"/>
          <w:color w:val="000000" w:themeColor="text1"/>
          <w:szCs w:val="21"/>
          <w:highlight w:val="none"/>
          <w14:textFill>
            <w14:solidFill>
              <w14:schemeClr w14:val="tx1"/>
            </w14:solidFill>
          </w14:textFill>
        </w:rPr>
        <w:br w:type="page"/>
      </w:r>
    </w:p>
    <w:p w14:paraId="587FA313">
      <w:pPr>
        <w:shd w:val="clear"/>
        <w:adjustRightInd w:val="0"/>
        <w:snapToGrid w:val="0"/>
        <w:spacing w:line="360" w:lineRule="auto"/>
        <w:rPr>
          <w:rFonts w:ascii="黑体" w:eastAsia="黑体"/>
          <w:color w:val="000000" w:themeColor="text1"/>
          <w:sz w:val="32"/>
          <w:szCs w:val="32"/>
          <w:highlight w:val="none"/>
          <w14:textFill>
            <w14:solidFill>
              <w14:schemeClr w14:val="tx1"/>
            </w14:solidFill>
          </w14:textFill>
        </w:rPr>
      </w:pPr>
    </w:p>
    <w:p w14:paraId="443FCEB9">
      <w:pPr>
        <w:pStyle w:val="22"/>
        <w:shd w:val="clear"/>
        <w:adjustRightInd w:val="0"/>
        <w:snapToGrid w:val="0"/>
        <w:spacing w:line="360" w:lineRule="auto"/>
        <w:jc w:val="center"/>
        <w:rPr>
          <w:rFonts w:asciiTheme="minorEastAsia" w:hAnsiTheme="minorEastAsia" w:eastAsia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b/>
          <w:bCs/>
          <w:color w:val="000000" w:themeColor="text1"/>
          <w:sz w:val="72"/>
          <w:szCs w:val="72"/>
          <w:highlight w:val="none"/>
          <w14:textFill>
            <w14:solidFill>
              <w14:schemeClr w14:val="tx1"/>
            </w14:solidFill>
          </w14:textFill>
        </w:rPr>
        <w:t>政府采购</w:t>
      </w:r>
    </w:p>
    <w:p w14:paraId="0E5A0E9D">
      <w:pPr>
        <w:shd w:val="clear"/>
        <w:adjustRightInd w:val="0"/>
        <w:snapToGrid w:val="0"/>
        <w:spacing w:line="360" w:lineRule="auto"/>
        <w:jc w:val="center"/>
        <w:rPr>
          <w:rFonts w:asciiTheme="minorEastAsia" w:hAnsiTheme="minorEastAsia" w:eastAsiaTheme="minorEastAsia"/>
          <w:b/>
          <w:bCs/>
          <w:color w:val="000000" w:themeColor="text1"/>
          <w:sz w:val="84"/>
          <w:szCs w:val="84"/>
          <w:highlight w:val="none"/>
          <w14:textFill>
            <w14:solidFill>
              <w14:schemeClr w14:val="tx1"/>
            </w14:solidFill>
          </w14:textFill>
        </w:rPr>
      </w:pPr>
      <w:r>
        <w:rPr>
          <w:rFonts w:hint="eastAsia" w:asciiTheme="minorEastAsia" w:hAnsiTheme="minorEastAsia" w:eastAsiaTheme="minorEastAsia"/>
          <w:b/>
          <w:bCs/>
          <w:color w:val="000000" w:themeColor="text1"/>
          <w:sz w:val="84"/>
          <w:szCs w:val="84"/>
          <w:highlight w:val="none"/>
          <w14:textFill>
            <w14:solidFill>
              <w14:schemeClr w14:val="tx1"/>
            </w14:solidFill>
          </w14:textFill>
        </w:rPr>
        <w:t>投 标 文 件</w:t>
      </w:r>
    </w:p>
    <w:p w14:paraId="24C46F7D">
      <w:pPr>
        <w:pStyle w:val="2"/>
        <w:numPr>
          <w:ilvl w:val="0"/>
          <w:numId w:val="6"/>
        </w:numPr>
        <w:shd w:val="clear"/>
        <w:adjustRightInd w:val="0"/>
        <w:snapToGrid w:val="0"/>
        <w:jc w:val="center"/>
        <w:rPr>
          <w:rFonts w:ascii="黑体" w:hAnsi="黑体" w:eastAsia="黑体"/>
          <w:color w:val="000000" w:themeColor="text1"/>
          <w:sz w:val="44"/>
          <w:szCs w:val="44"/>
          <w:highlight w:val="none"/>
          <w14:textFill>
            <w14:solidFill>
              <w14:schemeClr w14:val="tx1"/>
            </w14:solidFill>
          </w14:textFill>
        </w:rPr>
      </w:pPr>
      <w:bookmarkStart w:id="59" w:name="_Toc30240"/>
      <w:bookmarkStart w:id="60" w:name="_Toc31278"/>
      <w:bookmarkStart w:id="61" w:name="_Toc2107"/>
      <w:bookmarkStart w:id="62" w:name="_Toc7723"/>
      <w:r>
        <w:rPr>
          <w:rFonts w:hint="eastAsia" w:ascii="黑体" w:hAnsi="黑体" w:eastAsia="黑体"/>
          <w:color w:val="000000" w:themeColor="text1"/>
          <w:sz w:val="44"/>
          <w:szCs w:val="44"/>
          <w:highlight w:val="none"/>
          <w14:textFill>
            <w14:solidFill>
              <w14:schemeClr w14:val="tx1"/>
            </w14:solidFill>
          </w14:textFill>
        </w:rPr>
        <w:t>资格证明文件</w:t>
      </w:r>
      <w:bookmarkEnd w:id="59"/>
      <w:bookmarkEnd w:id="60"/>
      <w:bookmarkEnd w:id="61"/>
      <w:bookmarkEnd w:id="62"/>
    </w:p>
    <w:p w14:paraId="4F44AAE3">
      <w:pPr>
        <w:shd w:val="clear"/>
        <w:adjustRightInd w:val="0"/>
        <w:snapToGrid w:val="0"/>
        <w:spacing w:line="360" w:lineRule="auto"/>
        <w:rPr>
          <w:rFonts w:ascii="黑体" w:hAnsi="黑体" w:eastAsia="黑体"/>
          <w:b/>
          <w:color w:val="000000" w:themeColor="text1"/>
          <w:sz w:val="32"/>
          <w:szCs w:val="32"/>
          <w:highlight w:val="none"/>
          <w14:textFill>
            <w14:solidFill>
              <w14:schemeClr w14:val="tx1"/>
            </w14:solidFill>
          </w14:textFill>
        </w:rPr>
      </w:pPr>
    </w:p>
    <w:p w14:paraId="1F227EB8">
      <w:pPr>
        <w:pStyle w:val="103"/>
        <w:shd w:val="clear"/>
        <w:ind w:firstLine="420"/>
        <w:rPr>
          <w:color w:val="000000" w:themeColor="text1"/>
          <w:highlight w:val="none"/>
          <w14:textFill>
            <w14:solidFill>
              <w14:schemeClr w14:val="tx1"/>
            </w14:solidFill>
          </w14:textFill>
        </w:rPr>
      </w:pPr>
    </w:p>
    <w:p w14:paraId="5F10A850">
      <w:pPr>
        <w:shd w:val="clear"/>
        <w:adjustRightInd w:val="0"/>
        <w:snapToGrid w:val="0"/>
        <w:spacing w:line="360" w:lineRule="auto"/>
        <w:rPr>
          <w:rFonts w:asciiTheme="minorEastAsia" w:hAnsiTheme="minorEastAsia" w:eastAsiaTheme="minorEastAsia"/>
          <w:b/>
          <w:color w:val="000000" w:themeColor="text1"/>
          <w:sz w:val="30"/>
          <w:szCs w:val="30"/>
          <w:highlight w:val="none"/>
          <w14:textFill>
            <w14:solidFill>
              <w14:schemeClr w14:val="tx1"/>
            </w14:solidFill>
          </w14:textFill>
        </w:rPr>
      </w:pPr>
    </w:p>
    <w:p w14:paraId="1C9C99AA">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采购项目名称:</w:t>
      </w:r>
    </w:p>
    <w:p w14:paraId="24F9234D">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   购   人：</w:t>
      </w:r>
    </w:p>
    <w:p w14:paraId="3D776D5C">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政府采购编号:</w:t>
      </w:r>
    </w:p>
    <w:p w14:paraId="29AB64FA">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采购代理编号:</w:t>
      </w:r>
    </w:p>
    <w:p w14:paraId="12920A5D">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采购代理机构：</w:t>
      </w:r>
    </w:p>
    <w:p w14:paraId="1B4F10B4">
      <w:pPr>
        <w:shd w:val="clear"/>
        <w:adjustRightInd w:val="0"/>
        <w:snapToGrid w:val="0"/>
        <w:spacing w:line="360" w:lineRule="auto"/>
        <w:rPr>
          <w:rFonts w:ascii="黑体" w:hAnsi="黑体" w:eastAsia="黑体"/>
          <w:color w:val="000000" w:themeColor="text1"/>
          <w:sz w:val="30"/>
          <w:szCs w:val="30"/>
          <w:highlight w:val="none"/>
          <w14:textFill>
            <w14:solidFill>
              <w14:schemeClr w14:val="tx1"/>
            </w14:solidFill>
          </w14:textFill>
        </w:rPr>
      </w:pPr>
    </w:p>
    <w:p w14:paraId="6EBE148F">
      <w:pPr>
        <w:shd w:val="clear"/>
        <w:adjustRightInd w:val="0"/>
        <w:snapToGrid w:val="0"/>
        <w:rPr>
          <w:rFonts w:ascii="黑体" w:hAnsi="宋体" w:eastAsia="黑体"/>
          <w:color w:val="000000" w:themeColor="text1"/>
          <w:sz w:val="30"/>
          <w:szCs w:val="30"/>
          <w:highlight w:val="none"/>
          <w14:textFill>
            <w14:solidFill>
              <w14:schemeClr w14:val="tx1"/>
            </w14:solidFill>
          </w14:textFill>
        </w:rPr>
      </w:pPr>
    </w:p>
    <w:p w14:paraId="2D6F35BD">
      <w:pPr>
        <w:shd w:val="clear"/>
        <w:adjustRightInd w:val="0"/>
        <w:snapToGrid w:val="0"/>
        <w:spacing w:line="360" w:lineRule="auto"/>
        <w:rPr>
          <w:rFonts w:ascii="黑体" w:hAnsi="宋体" w:eastAsia="黑体"/>
          <w:color w:val="000000" w:themeColor="text1"/>
          <w:sz w:val="30"/>
          <w:szCs w:val="30"/>
          <w:highlight w:val="none"/>
          <w14:textFill>
            <w14:solidFill>
              <w14:schemeClr w14:val="tx1"/>
            </w14:solidFill>
          </w14:textFill>
        </w:rPr>
      </w:pPr>
    </w:p>
    <w:p w14:paraId="52E634F3">
      <w:pPr>
        <w:shd w:val="clear"/>
        <w:adjustRightInd w:val="0"/>
        <w:snapToGrid w:val="0"/>
        <w:spacing w:line="360" w:lineRule="auto"/>
        <w:rPr>
          <w:rFonts w:ascii="黑体" w:hAnsi="宋体" w:eastAsia="黑体"/>
          <w:color w:val="000000" w:themeColor="text1"/>
          <w:sz w:val="30"/>
          <w:szCs w:val="30"/>
          <w:highlight w:val="none"/>
          <w14:textFill>
            <w14:solidFill>
              <w14:schemeClr w14:val="tx1"/>
            </w14:solidFill>
          </w14:textFill>
        </w:rPr>
      </w:pPr>
    </w:p>
    <w:p w14:paraId="02C77350">
      <w:pPr>
        <w:shd w:val="clear"/>
        <w:adjustRightInd w:val="0"/>
        <w:snapToGrid w:val="0"/>
        <w:spacing w:line="360" w:lineRule="auto"/>
        <w:rPr>
          <w:rFonts w:ascii="黑体" w:hAnsi="宋体" w:eastAsia="黑体"/>
          <w:color w:val="000000" w:themeColor="text1"/>
          <w:sz w:val="30"/>
          <w:szCs w:val="30"/>
          <w:highlight w:val="none"/>
          <w14:textFill>
            <w14:solidFill>
              <w14:schemeClr w14:val="tx1"/>
            </w14:solidFill>
          </w14:textFill>
        </w:rPr>
      </w:pPr>
    </w:p>
    <w:p w14:paraId="1139A2E7">
      <w:pPr>
        <w:shd w:val="clear"/>
        <w:adjustRightInd w:val="0"/>
        <w:snapToGrid w:val="0"/>
        <w:spacing w:line="360" w:lineRule="auto"/>
        <w:ind w:firstLine="1984" w:firstLineChars="620"/>
        <w:rPr>
          <w:rFonts w:hint="default" w:eastAsia="黑体" w:asciiTheme="minorEastAsia" w:hAnsiTheme="minorEastAsia"/>
          <w:color w:val="000000" w:themeColor="text1"/>
          <w:szCs w:val="21"/>
          <w:highlight w:val="none"/>
          <w:u w:val="single"/>
          <w:lang w:val="en-US" w:eastAsia="zh-CN"/>
          <w14:textFill>
            <w14:solidFill>
              <w14:schemeClr w14:val="tx1"/>
            </w14:solidFill>
          </w14:textFill>
        </w:rPr>
      </w:pPr>
      <w:r>
        <w:rPr>
          <w:rFonts w:hint="eastAsia" w:ascii="黑体" w:hAnsi="宋体" w:eastAsia="黑体"/>
          <w:color w:val="000000" w:themeColor="text1"/>
          <w:sz w:val="32"/>
          <w:szCs w:val="32"/>
          <w:highlight w:val="none"/>
          <w14:textFill>
            <w14:solidFill>
              <w14:schemeClr w14:val="tx1"/>
            </w14:solidFill>
          </w14:textFill>
        </w:rPr>
        <w:t>投标人</w:t>
      </w:r>
      <w:r>
        <w:rPr>
          <w:rFonts w:hint="eastAsia" w:ascii="黑体" w:hAnsi="宋体" w:eastAsia="黑体"/>
          <w:color w:val="000000" w:themeColor="text1"/>
          <w:sz w:val="32"/>
          <w:szCs w:val="32"/>
          <w:highlight w:val="none"/>
          <w:u w:val="single"/>
          <w14:textFill>
            <w14:solidFill>
              <w14:schemeClr w14:val="tx1"/>
            </w14:solidFill>
          </w14:textFill>
        </w:rPr>
        <w:t>：</w:t>
      </w:r>
      <w:r>
        <w:rPr>
          <w:rFonts w:hint="eastAsia" w:ascii="黑体" w:hAnsi="宋体" w:eastAsia="黑体"/>
          <w:color w:val="000000" w:themeColor="text1"/>
          <w:sz w:val="32"/>
          <w:szCs w:val="32"/>
          <w:highlight w:val="none"/>
          <w:u w:val="single"/>
          <w:lang w:val="en-US" w:eastAsia="zh-CN"/>
          <w14:textFill>
            <w14:solidFill>
              <w14:schemeClr w14:val="tx1"/>
            </w14:solidFill>
          </w14:textFill>
        </w:rPr>
        <w:t xml:space="preserve">                       </w:t>
      </w:r>
    </w:p>
    <w:p w14:paraId="4BA71532">
      <w:pPr>
        <w:shd w:val="clear"/>
        <w:adjustRightInd w:val="0"/>
        <w:snapToGrid w:val="0"/>
        <w:spacing w:line="360" w:lineRule="auto"/>
        <w:jc w:val="center"/>
        <w:rPr>
          <w:rFonts w:ascii="黑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32"/>
          <w:szCs w:val="32"/>
          <w:highlight w:val="none"/>
          <w14:textFill>
            <w14:solidFill>
              <w14:schemeClr w14:val="tx1"/>
            </w14:solidFill>
          </w14:textFill>
        </w:rPr>
        <w:t>年  月  日</w:t>
      </w:r>
      <w:r>
        <w:rPr>
          <w:rFonts w:ascii="黑体" w:eastAsia="黑体"/>
          <w:color w:val="000000" w:themeColor="text1"/>
          <w:sz w:val="28"/>
          <w:szCs w:val="28"/>
          <w:highlight w:val="none"/>
          <w14:textFill>
            <w14:solidFill>
              <w14:schemeClr w14:val="tx1"/>
            </w14:solidFill>
          </w14:textFill>
        </w:rPr>
        <w:br w:type="page"/>
      </w:r>
    </w:p>
    <w:p w14:paraId="21E67413">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bookmarkStart w:id="63" w:name="_Toc18711"/>
      <w:bookmarkStart w:id="64" w:name="_Toc30101"/>
      <w:bookmarkStart w:id="65" w:name="_Toc23864"/>
      <w:bookmarkStart w:id="66" w:name="_Toc31488"/>
      <w:r>
        <w:rPr>
          <w:rFonts w:hint="eastAsia" w:ascii="黑体" w:hAnsi="宋体" w:eastAsia="黑体"/>
          <w:color w:val="000000" w:themeColor="text1"/>
          <w:sz w:val="28"/>
          <w:szCs w:val="28"/>
          <w:highlight w:val="none"/>
          <w14:textFill>
            <w14:solidFill>
              <w14:schemeClr w14:val="tx1"/>
            </w14:solidFill>
          </w14:textFill>
        </w:rPr>
        <w:t>一、开标一览表</w:t>
      </w:r>
      <w:bookmarkEnd w:id="63"/>
      <w:bookmarkEnd w:id="64"/>
      <w:bookmarkEnd w:id="65"/>
      <w:bookmarkEnd w:id="66"/>
    </w:p>
    <w:p w14:paraId="039D92B4">
      <w:pPr>
        <w:shd w:val="clear"/>
        <w:adjustRightInd w:val="0"/>
        <w:snapToGrid w:val="0"/>
        <w:spacing w:line="360" w:lineRule="auto"/>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采购代理编号：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项目名称：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p w14:paraId="6DEC1E76">
      <w:pPr>
        <w:shd w:val="clear"/>
        <w:adjustRightInd w:val="0"/>
        <w:snapToGrid w:val="0"/>
        <w:spacing w:line="360" w:lineRule="auto"/>
        <w:rPr>
          <w:rFonts w:hint="default" w:asciiTheme="minorEastAsia" w:hAnsiTheme="minorEastAsia" w:eastAsiaTheme="minorEastAsia"/>
          <w:b/>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包号：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包名称：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tbl>
      <w:tblPr>
        <w:tblStyle w:val="43"/>
        <w:tblW w:w="892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83"/>
        <w:gridCol w:w="2740"/>
      </w:tblGrid>
      <w:tr w14:paraId="785E02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1" w:hRule="atLeast"/>
        </w:trPr>
        <w:tc>
          <w:tcPr>
            <w:tcW w:w="6183" w:type="dxa"/>
            <w:vAlign w:val="center"/>
          </w:tcPr>
          <w:p w14:paraId="1AE66B28">
            <w:pPr>
              <w:shd w:val="clear"/>
              <w:adjustRightInd w:val="0"/>
              <w:snapToGrid w:val="0"/>
              <w:spacing w:line="360" w:lineRule="auto"/>
              <w:jc w:val="center"/>
              <w:rPr>
                <w:rFonts w:asciiTheme="minorEastAsia" w:hAnsiTheme="minorEastAsia" w:eastAsiaTheme="minorEastAsia"/>
                <w:b/>
                <w:color w:val="000000" w:themeColor="text1"/>
                <w:kern w:val="0"/>
                <w:sz w:val="20"/>
                <w:szCs w:val="21"/>
                <w:highlight w:val="none"/>
                <w14:textFill>
                  <w14:solidFill>
                    <w14:schemeClr w14:val="tx1"/>
                  </w14:solidFill>
                </w14:textFill>
              </w:rPr>
            </w:pPr>
            <w:r>
              <w:rPr>
                <w:rFonts w:hint="eastAsia" w:asciiTheme="minorEastAsia" w:hAnsiTheme="minorEastAsia" w:eastAsiaTheme="minorEastAsia"/>
                <w:b/>
                <w:color w:val="000000" w:themeColor="text1"/>
                <w:kern w:val="0"/>
                <w:szCs w:val="21"/>
                <w:highlight w:val="none"/>
                <w14:textFill>
                  <w14:solidFill>
                    <w14:schemeClr w14:val="tx1"/>
                  </w14:solidFill>
                </w14:textFill>
              </w:rPr>
              <w:t>投标总报价</w:t>
            </w:r>
          </w:p>
        </w:tc>
        <w:tc>
          <w:tcPr>
            <w:tcW w:w="2740" w:type="dxa"/>
            <w:vAlign w:val="center"/>
          </w:tcPr>
          <w:p w14:paraId="152D4E76">
            <w:pPr>
              <w:shd w:val="clear"/>
              <w:adjustRightInd w:val="0"/>
              <w:snapToGrid w:val="0"/>
              <w:spacing w:line="360" w:lineRule="auto"/>
              <w:jc w:val="center"/>
              <w:rPr>
                <w:rFonts w:asciiTheme="minorEastAsia" w:hAnsiTheme="minorEastAsia" w:eastAsiaTheme="minorEastAsia"/>
                <w:b/>
                <w:color w:val="000000" w:themeColor="text1"/>
                <w:kern w:val="0"/>
                <w:szCs w:val="21"/>
                <w:highlight w:val="none"/>
                <w14:textFill>
                  <w14:solidFill>
                    <w14:schemeClr w14:val="tx1"/>
                  </w14:solidFill>
                </w14:textFill>
              </w:rPr>
            </w:pPr>
            <w:r>
              <w:rPr>
                <w:rFonts w:hint="eastAsia" w:asciiTheme="minorEastAsia" w:hAnsiTheme="minorEastAsia" w:eastAsiaTheme="minorEastAsia"/>
                <w:b/>
                <w:color w:val="000000" w:themeColor="text1"/>
                <w:kern w:val="0"/>
                <w:szCs w:val="21"/>
                <w:highlight w:val="none"/>
                <w14:textFill>
                  <w14:solidFill>
                    <w14:schemeClr w14:val="tx1"/>
                  </w14:solidFill>
                </w14:textFill>
              </w:rPr>
              <w:t>备注</w:t>
            </w:r>
          </w:p>
        </w:tc>
      </w:tr>
      <w:tr w14:paraId="146FC8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70" w:hRule="atLeast"/>
        </w:trPr>
        <w:tc>
          <w:tcPr>
            <w:tcW w:w="6183" w:type="dxa"/>
            <w:vAlign w:val="center"/>
          </w:tcPr>
          <w:p w14:paraId="78CF1BDF">
            <w:pPr>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小写金额：</w:t>
            </w:r>
            <w:r>
              <w:rPr>
                <w:rFonts w:hint="eastAsia" w:asciiTheme="minorEastAsia" w:hAnsiTheme="minorEastAsia" w:eastAsiaTheme="minorEastAsia"/>
                <w:color w:val="000000" w:themeColor="text1"/>
                <w:kern w:val="0"/>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 w:val="20"/>
                <w:szCs w:val="21"/>
                <w:highlight w:val="none"/>
                <w14:textFill>
                  <w14:solidFill>
                    <w14:schemeClr w14:val="tx1"/>
                  </w14:solidFill>
                </w14:textFill>
              </w:rPr>
              <w:t>人民币元</w:t>
            </w:r>
            <w:r>
              <w:rPr>
                <w:rFonts w:hint="eastAsia" w:asciiTheme="minorEastAsia" w:hAnsiTheme="minorEastAsia" w:eastAsiaTheme="minorEastAsia"/>
                <w:color w:val="000000" w:themeColor="text1"/>
                <w:kern w:val="0"/>
                <w:szCs w:val="21"/>
                <w:highlight w:val="none"/>
                <w14:textFill>
                  <w14:solidFill>
                    <w14:schemeClr w14:val="tx1"/>
                  </w14:solidFill>
                </w14:textFill>
              </w:rPr>
              <w:t>）</w:t>
            </w:r>
          </w:p>
          <w:p w14:paraId="49FB2528">
            <w:pPr>
              <w:shd w:val="clear"/>
              <w:adjustRightInd w:val="0"/>
              <w:snapToGrid w:val="0"/>
              <w:spacing w:line="360" w:lineRule="auto"/>
              <w:jc w:val="center"/>
              <w:rPr>
                <w:rFonts w:asciiTheme="minorEastAsia" w:hAnsiTheme="minorEastAsia" w:eastAsiaTheme="minorEastAsia"/>
                <w:color w:val="000000" w:themeColor="text1"/>
                <w:kern w:val="0"/>
                <w:szCs w:val="21"/>
                <w:highlight w:val="none"/>
                <w:u w:val="singl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大写金额：</w:t>
            </w:r>
            <w:r>
              <w:rPr>
                <w:rFonts w:hint="eastAsia" w:asciiTheme="minorEastAsia" w:hAnsiTheme="minorEastAsia" w:eastAsiaTheme="minorEastAsia"/>
                <w:color w:val="000000" w:themeColor="text1"/>
                <w:kern w:val="0"/>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 w:val="20"/>
                <w:szCs w:val="21"/>
                <w:highlight w:val="none"/>
                <w14:textFill>
                  <w14:solidFill>
                    <w14:schemeClr w14:val="tx1"/>
                  </w14:solidFill>
                </w14:textFill>
              </w:rPr>
              <w:t>人民币元</w:t>
            </w:r>
            <w:r>
              <w:rPr>
                <w:rFonts w:hint="eastAsia" w:asciiTheme="minorEastAsia" w:hAnsiTheme="minorEastAsia" w:eastAsiaTheme="minorEastAsia"/>
                <w:color w:val="000000" w:themeColor="text1"/>
                <w:kern w:val="0"/>
                <w:szCs w:val="21"/>
                <w:highlight w:val="none"/>
                <w14:textFill>
                  <w14:solidFill>
                    <w14:schemeClr w14:val="tx1"/>
                  </w14:solidFill>
                </w14:textFill>
              </w:rPr>
              <w:t>）</w:t>
            </w:r>
          </w:p>
          <w:p w14:paraId="6FDDFF16">
            <w:pPr>
              <w:shd w:val="clear"/>
              <w:adjustRightInd w:val="0"/>
              <w:snapToGrid w:val="0"/>
              <w:spacing w:line="360" w:lineRule="auto"/>
              <w:jc w:val="center"/>
              <w:rPr>
                <w:rFonts w:asciiTheme="minorEastAsia" w:hAnsiTheme="minorEastAsia" w:eastAsiaTheme="minorEastAsia"/>
                <w:color w:val="000000" w:themeColor="text1"/>
                <w:kern w:val="0"/>
                <w:sz w:val="20"/>
                <w:szCs w:val="21"/>
                <w:highlight w:val="none"/>
                <w14:textFill>
                  <w14:solidFill>
                    <w14:schemeClr w14:val="tx1"/>
                  </w14:solidFill>
                </w14:textFill>
              </w:rPr>
            </w:pPr>
            <w:r>
              <w:rPr>
                <w:rFonts w:hint="eastAsia" w:asciiTheme="minorEastAsia" w:hAnsiTheme="minorEastAsia" w:eastAsiaTheme="minorEastAsia"/>
                <w:b/>
                <w:bCs/>
                <w:color w:val="000000" w:themeColor="text1"/>
                <w:kern w:val="0"/>
                <w:szCs w:val="18"/>
                <w:highlight w:val="none"/>
                <w14:textFill>
                  <w14:solidFill>
                    <w14:schemeClr w14:val="tx1"/>
                  </w14:solidFill>
                </w14:textFill>
              </w:rPr>
              <w:t>（</w:t>
            </w:r>
            <w:r>
              <w:rPr>
                <w:rFonts w:hint="eastAsia" w:ascii="黑体" w:hAnsi="黑体" w:eastAsia="黑体"/>
                <w:b/>
                <w:bCs/>
                <w:color w:val="000000" w:themeColor="text1"/>
                <w:kern w:val="0"/>
                <w:szCs w:val="18"/>
                <w:highlight w:val="none"/>
                <w14:textFill>
                  <w14:solidFill>
                    <w14:schemeClr w14:val="tx1"/>
                  </w14:solidFill>
                </w14:textFill>
              </w:rPr>
              <w:t>大写金额与小写金额不一致时，以大写金额为准</w:t>
            </w:r>
            <w:r>
              <w:rPr>
                <w:rFonts w:hint="eastAsia" w:asciiTheme="minorEastAsia" w:hAnsiTheme="minorEastAsia" w:eastAsiaTheme="minorEastAsia"/>
                <w:b/>
                <w:bCs/>
                <w:color w:val="000000" w:themeColor="text1"/>
                <w:kern w:val="0"/>
                <w:szCs w:val="18"/>
                <w:highlight w:val="none"/>
                <w14:textFill>
                  <w14:solidFill>
                    <w14:schemeClr w14:val="tx1"/>
                  </w14:solidFill>
                </w14:textFill>
              </w:rPr>
              <w:t>）</w:t>
            </w:r>
          </w:p>
        </w:tc>
        <w:tc>
          <w:tcPr>
            <w:tcW w:w="2740" w:type="dxa"/>
            <w:vAlign w:val="center"/>
          </w:tcPr>
          <w:p w14:paraId="78BC986B">
            <w:pPr>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p>
        </w:tc>
      </w:tr>
      <w:tr w14:paraId="660227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8923" w:type="dxa"/>
            <w:gridSpan w:val="2"/>
          </w:tcPr>
          <w:p w14:paraId="381383F9">
            <w:pPr>
              <w:shd w:val="clear"/>
              <w:adjustRightInd w:val="0"/>
              <w:snapToGrid w:val="0"/>
              <w:ind w:left="71" w:leftChars="34"/>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优惠声明：</w:t>
            </w:r>
          </w:p>
          <w:p w14:paraId="619FAFC9">
            <w:pPr>
              <w:shd w:val="clear"/>
              <w:jc w:val="left"/>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中小企业价格折扣金额：元</w:t>
            </w:r>
          </w:p>
          <w:p w14:paraId="5B7B5BC1">
            <w:pPr>
              <w:shd w:val="clear"/>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节能产品金额：元</w:t>
            </w:r>
          </w:p>
          <w:p w14:paraId="193D3244">
            <w:pPr>
              <w:shd w:val="clear"/>
              <w:jc w:val="left"/>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环境标志产品金额：元</w:t>
            </w:r>
          </w:p>
          <w:p w14:paraId="11E59A05">
            <w:pPr>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未在开标一览表中注明优惠声明的，一律不给</w:t>
            </w:r>
            <w:r>
              <w:rPr>
                <w:rFonts w:hint="eastAsia" w:ascii="宋体" w:hAnsi="宋体"/>
                <w:b/>
                <w:bCs/>
                <w:color w:val="000000" w:themeColor="text1"/>
                <w:szCs w:val="21"/>
                <w:highlight w:val="none"/>
                <w:lang w:val="en-US" w:eastAsia="zh-CN"/>
                <w14:textFill>
                  <w14:solidFill>
                    <w14:schemeClr w14:val="tx1"/>
                  </w14:solidFill>
                </w14:textFill>
              </w:rPr>
              <w:t>予</w:t>
            </w:r>
            <w:r>
              <w:rPr>
                <w:rFonts w:hint="eastAsia" w:ascii="宋体" w:hAnsi="宋体"/>
                <w:b/>
                <w:bCs/>
                <w:color w:val="000000" w:themeColor="text1"/>
                <w:szCs w:val="21"/>
                <w:highlight w:val="none"/>
                <w14:textFill>
                  <w14:solidFill>
                    <w14:schemeClr w14:val="tx1"/>
                  </w14:solidFill>
                </w14:textFill>
              </w:rPr>
              <w:t>相应的价格折扣。</w:t>
            </w:r>
          </w:p>
        </w:tc>
      </w:tr>
    </w:tbl>
    <w:p w14:paraId="51E36C12">
      <w:pPr>
        <w:shd w:val="clear"/>
        <w:adjustRightInd w:val="0"/>
        <w:snapToGrid w:val="0"/>
        <w:spacing w:line="360" w:lineRule="auto"/>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备注：1、本“开标一览表”所填报价应与交易平台上所填电子“开标一览表”报价一致，否则，以交易平台上所填电子“开标一览表”报价为准。</w:t>
      </w:r>
    </w:p>
    <w:p w14:paraId="0F4EE184">
      <w:pPr>
        <w:shd w:val="clear"/>
        <w:adjustRightInd w:val="0"/>
        <w:snapToGrid w:val="0"/>
        <w:spacing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2、本表须按包填写，一个“包号”一份。</w:t>
      </w:r>
    </w:p>
    <w:p w14:paraId="0DB981ED">
      <w:pPr>
        <w:shd w:val="clear"/>
        <w:adjustRightInd w:val="0"/>
        <w:snapToGrid w:val="0"/>
        <w:spacing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3、投标人提交两份及以上投标报价不同的“开标一览表”，且未书面说明哪个有效或以哪个为准的，其</w:t>
      </w:r>
      <w:r>
        <w:rPr>
          <w:rFonts w:hint="eastAsia" w:asciiTheme="minorEastAsia" w:hAnsiTheme="minorEastAsia" w:eastAsiaTheme="minorEastAsia"/>
          <w:b/>
          <w:color w:val="000000" w:themeColor="text1"/>
          <w:szCs w:val="21"/>
          <w:highlight w:val="none"/>
          <w14:textFill>
            <w14:solidFill>
              <w14:schemeClr w14:val="tx1"/>
            </w14:solidFill>
          </w14:textFill>
        </w:rPr>
        <w:t>投标无效</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4FAB823F">
      <w:pPr>
        <w:shd w:val="clear"/>
        <w:adjustRightInd w:val="0"/>
        <w:snapToGrid w:val="0"/>
        <w:spacing w:line="360" w:lineRule="auto"/>
        <w:ind w:firstLine="630" w:firstLineChars="3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w:t>
      </w:r>
      <w:r>
        <w:rPr>
          <w:rFonts w:hint="eastAsia" w:asciiTheme="minorEastAsia" w:hAnsiTheme="minorEastAsia" w:eastAsiaTheme="minorEastAsia"/>
          <w:color w:val="000000" w:themeColor="text1"/>
          <w:highlight w:val="none"/>
          <w14:textFill>
            <w14:solidFill>
              <w14:schemeClr w14:val="tx1"/>
            </w14:solidFill>
          </w14:textFill>
        </w:rPr>
        <w:t>投标人在投标截止时间前修改“开标一览表”中的投标报价的，应同时修改投标文件“分项报价明细表”“享受政府采购政策优惠的证明资料”以及“联合体协议书”等相关内容。</w:t>
      </w:r>
    </w:p>
    <w:p w14:paraId="7813E414">
      <w:pPr>
        <w:shd w:val="clea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63E8330B">
      <w:pPr>
        <w:shd w:val="clea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投标人名称（盖单位电子章）：</w:t>
      </w:r>
    </w:p>
    <w:p w14:paraId="1719E728">
      <w:pPr>
        <w:shd w:val="clea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或其授权的代理人（电子签字或电子印章）：</w:t>
      </w:r>
    </w:p>
    <w:p w14:paraId="243A20AA">
      <w:pPr>
        <w:shd w:val="clea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日期：年月日</w:t>
      </w:r>
    </w:p>
    <w:p w14:paraId="153C7DB6">
      <w:pPr>
        <w:widowControl/>
        <w:shd w:val="clear"/>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br w:type="page"/>
      </w:r>
    </w:p>
    <w:p w14:paraId="492CE684">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bookmarkStart w:id="67" w:name="_Toc26538"/>
      <w:bookmarkStart w:id="68" w:name="_Toc20217"/>
      <w:bookmarkStart w:id="69" w:name="_Toc9048"/>
      <w:bookmarkStart w:id="70" w:name="_Toc15192"/>
      <w:r>
        <w:rPr>
          <w:rFonts w:hint="eastAsia" w:ascii="黑体" w:hAnsi="宋体" w:eastAsia="黑体"/>
          <w:color w:val="000000" w:themeColor="text1"/>
          <w:sz w:val="28"/>
          <w:szCs w:val="28"/>
          <w:highlight w:val="none"/>
          <w14:textFill>
            <w14:solidFill>
              <w14:schemeClr w14:val="tx1"/>
            </w14:solidFill>
          </w14:textFill>
        </w:rPr>
        <w:t>二、投标保证金</w:t>
      </w:r>
      <w:bookmarkEnd w:id="67"/>
      <w:bookmarkEnd w:id="68"/>
      <w:bookmarkEnd w:id="69"/>
      <w:bookmarkEnd w:id="70"/>
    </w:p>
    <w:p w14:paraId="6E1CC0E5">
      <w:pPr>
        <w:shd w:val="clear"/>
        <w:adjustRightInd w:val="0"/>
        <w:snapToGrid w:val="0"/>
        <w:spacing w:before="156" w:beforeLines="50"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p>
    <w:p w14:paraId="2DD33357">
      <w:pPr>
        <w:shd w:val="clear"/>
        <w:adjustRightInd w:val="0"/>
        <w:snapToGrid w:val="0"/>
        <w:spacing w:before="156" w:beforeLines="50" w:line="360" w:lineRule="auto"/>
        <w:ind w:firstLine="422"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备注</w:t>
      </w:r>
      <w:r>
        <w:rPr>
          <w:rFonts w:hint="eastAsia" w:asciiTheme="minorEastAsia" w:hAnsiTheme="minorEastAsia" w:eastAsiaTheme="minorEastAsia"/>
          <w:color w:val="000000" w:themeColor="text1"/>
          <w:szCs w:val="21"/>
          <w:highlight w:val="none"/>
          <w14:textFill>
            <w14:solidFill>
              <w14:schemeClr w14:val="tx1"/>
            </w14:solidFill>
          </w14:textFill>
        </w:rPr>
        <w:t>：本项目不适用。</w:t>
      </w:r>
    </w:p>
    <w:p w14:paraId="67D7EC45">
      <w:pPr>
        <w:shd w:val="clear"/>
        <w:adjustRightInd w:val="0"/>
        <w:snapToGrid w:val="0"/>
        <w:spacing w:before="156" w:beforeLines="50" w:line="360" w:lineRule="auto"/>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p>
    <w:p w14:paraId="4B708B4B">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59798C9B">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2A71266A">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7AE12C7F">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383DC0A9">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503ADB59">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06666C92">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65E1163E">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4A925A1C">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2980C9BA">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25C9BFD3">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0788BF01">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639A0F3A">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5B19E5D2">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1CF11D6F">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7B2662F8">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4C4B29C5">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0CB01EAD">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35E6A18D">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29D35293">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1E374689">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0B448D78">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59EDE14E">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54B29465">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3EFED786">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588AC6B3">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778866F7">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7EA2AAD7">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0DF5ADEA">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76F853CD">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14265E68">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2115CD9B">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57959559">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6EEC0797">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7562046C">
      <w:pPr>
        <w:pStyle w:val="103"/>
        <w:shd w:val="clear"/>
        <w:ind w:firstLine="420"/>
        <w:rPr>
          <w:rFonts w:asciiTheme="minorEastAsia" w:hAnsiTheme="minorEastAsia" w:eastAsiaTheme="minorEastAsia"/>
          <w:color w:val="000000" w:themeColor="text1"/>
          <w:highlight w:val="none"/>
          <w14:textFill>
            <w14:solidFill>
              <w14:schemeClr w14:val="tx1"/>
            </w14:solidFill>
          </w14:textFill>
        </w:rPr>
      </w:pPr>
    </w:p>
    <w:p w14:paraId="1C99E5C6">
      <w:pPr>
        <w:pStyle w:val="5"/>
        <w:shd w:val="clear"/>
        <w:adjustRightInd w:val="0"/>
        <w:snapToGrid w:val="0"/>
        <w:spacing w:before="0" w:after="0" w:line="360" w:lineRule="auto"/>
        <w:jc w:val="center"/>
        <w:rPr>
          <w:rFonts w:hint="eastAsia" w:ascii="黑体" w:hAnsi="黑体" w:eastAsia="黑体"/>
          <w:color w:val="000000" w:themeColor="text1"/>
          <w:sz w:val="28"/>
          <w:szCs w:val="28"/>
          <w:highlight w:val="none"/>
          <w14:textFill>
            <w14:solidFill>
              <w14:schemeClr w14:val="tx1"/>
            </w14:solidFill>
          </w14:textFill>
        </w:rPr>
      </w:pPr>
      <w:bookmarkStart w:id="71" w:name="_Toc30652"/>
      <w:bookmarkStart w:id="72" w:name="_Toc13605"/>
      <w:bookmarkStart w:id="73" w:name="_Toc28980"/>
      <w:bookmarkStart w:id="74" w:name="_Toc1504"/>
    </w:p>
    <w:p w14:paraId="0B49C435">
      <w:pPr>
        <w:pStyle w:val="5"/>
        <w:shd w:val="clear"/>
        <w:adjustRightInd w:val="0"/>
        <w:snapToGrid w:val="0"/>
        <w:spacing w:before="0" w:after="0" w:line="360" w:lineRule="auto"/>
        <w:jc w:val="center"/>
        <w:rPr>
          <w:rFonts w:ascii="黑体" w:hAnsi="黑体" w:eastAsia="黑体"/>
          <w:color w:val="000000" w:themeColor="text1"/>
          <w:sz w:val="28"/>
          <w:szCs w:val="28"/>
          <w:highlight w:val="none"/>
          <w14:textFill>
            <w14:solidFill>
              <w14:schemeClr w14:val="tx1"/>
            </w14:solidFill>
          </w14:textFill>
        </w:rPr>
      </w:pPr>
      <w:r>
        <w:rPr>
          <w:rFonts w:hint="eastAsia" w:ascii="黑体" w:hAnsi="黑体" w:eastAsia="黑体"/>
          <w:color w:val="000000" w:themeColor="text1"/>
          <w:sz w:val="28"/>
          <w:szCs w:val="28"/>
          <w:highlight w:val="none"/>
          <w14:textFill>
            <w14:solidFill>
              <w14:schemeClr w14:val="tx1"/>
            </w14:solidFill>
          </w14:textFill>
        </w:rPr>
        <w:t>三、法定代表人（单位负责人）身份证明</w:t>
      </w:r>
      <w:bookmarkEnd w:id="71"/>
      <w:bookmarkEnd w:id="72"/>
      <w:bookmarkEnd w:id="73"/>
      <w:bookmarkEnd w:id="74"/>
    </w:p>
    <w:p w14:paraId="2E2A90BD">
      <w:pPr>
        <w:shd w:val="clear"/>
        <w:tabs>
          <w:tab w:val="left" w:pos="3880"/>
        </w:tabs>
        <w:autoSpaceDE w:val="0"/>
        <w:autoSpaceDN w:val="0"/>
        <w:adjustRightInd w:val="0"/>
        <w:snapToGrid w:val="0"/>
        <w:spacing w:line="360" w:lineRule="auto"/>
        <w:ind w:left="100" w:right="-20"/>
        <w:jc w:val="left"/>
        <w:rPr>
          <w:rFonts w:cs="微软雅黑" w:asciiTheme="minorEastAsia" w:hAnsiTheme="minorEastAsia" w:eastAsiaTheme="minorEastAsia"/>
          <w:color w:val="000000" w:themeColor="text1"/>
          <w:kern w:val="0"/>
          <w:position w:val="-4"/>
          <w:szCs w:val="21"/>
          <w:highlight w:val="none"/>
          <w14:textFill>
            <w14:solidFill>
              <w14:schemeClr w14:val="tx1"/>
            </w14:solidFill>
          </w14:textFill>
        </w:rPr>
      </w:pPr>
    </w:p>
    <w:p w14:paraId="683EAA00">
      <w:pPr>
        <w:shd w:val="clear"/>
        <w:tabs>
          <w:tab w:val="left" w:pos="3880"/>
        </w:tabs>
        <w:autoSpaceDE w:val="0"/>
        <w:autoSpaceDN w:val="0"/>
        <w:adjustRightInd w:val="0"/>
        <w:snapToGrid w:val="0"/>
        <w:spacing w:line="360" w:lineRule="auto"/>
        <w:ind w:left="100" w:right="-20"/>
        <w:jc w:val="left"/>
        <w:rPr>
          <w:rFonts w:cs="微软雅黑" w:asciiTheme="minorEastAsia" w:hAnsiTheme="minorEastAsia" w:eastAsiaTheme="minorEastAsia"/>
          <w:color w:val="000000" w:themeColor="text1"/>
          <w:kern w:val="0"/>
          <w:szCs w:val="21"/>
          <w:highlight w:val="none"/>
          <w14:textFill>
            <w14:solidFill>
              <w14:schemeClr w14:val="tx1"/>
            </w14:solidFill>
          </w14:textFill>
        </w:rPr>
      </w:pPr>
      <w:r>
        <w:rPr>
          <w:rFonts w:hint="eastAsia" w:cs="微软雅黑" w:asciiTheme="minorEastAsia" w:hAnsiTheme="minorEastAsia" w:eastAsiaTheme="minorEastAsia"/>
          <w:color w:val="000000" w:themeColor="text1"/>
          <w:kern w:val="0"/>
          <w:position w:val="-4"/>
          <w:szCs w:val="21"/>
          <w:highlight w:val="none"/>
          <w14:textFill>
            <w14:solidFill>
              <w14:schemeClr w14:val="tx1"/>
            </w14:solidFill>
          </w14:textFill>
        </w:rPr>
        <w:t>投标</w:t>
      </w:r>
      <w:r>
        <w:rPr>
          <w:rFonts w:hint="eastAsia" w:cs="微软雅黑" w:asciiTheme="minorEastAsia" w:hAnsiTheme="minorEastAsia" w:eastAsiaTheme="minorEastAsia"/>
          <w:color w:val="000000" w:themeColor="text1"/>
          <w:spacing w:val="-2"/>
          <w:kern w:val="0"/>
          <w:position w:val="-4"/>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position w:val="-4"/>
          <w:szCs w:val="21"/>
          <w:highlight w:val="none"/>
          <w14:textFill>
            <w14:solidFill>
              <w14:schemeClr w14:val="tx1"/>
            </w14:solidFill>
          </w14:textFill>
        </w:rPr>
        <w:t>名</w:t>
      </w:r>
      <w:r>
        <w:rPr>
          <w:rFonts w:hint="eastAsia" w:cs="微软雅黑" w:asciiTheme="minorEastAsia" w:hAnsiTheme="minorEastAsia" w:eastAsiaTheme="minorEastAsia"/>
          <w:color w:val="000000" w:themeColor="text1"/>
          <w:spacing w:val="-2"/>
          <w:kern w:val="0"/>
          <w:position w:val="-4"/>
          <w:szCs w:val="21"/>
          <w:highlight w:val="none"/>
          <w14:textFill>
            <w14:solidFill>
              <w14:schemeClr w14:val="tx1"/>
            </w14:solidFill>
          </w14:textFill>
        </w:rPr>
        <w:t>称</w:t>
      </w:r>
      <w:r>
        <w:rPr>
          <w:rFonts w:hint="eastAsia" w:cs="微软雅黑" w:asciiTheme="minorEastAsia" w:hAnsiTheme="minorEastAsia" w:eastAsiaTheme="minorEastAsia"/>
          <w:color w:val="000000" w:themeColor="text1"/>
          <w:kern w:val="0"/>
          <w:position w:val="-4"/>
          <w:szCs w:val="21"/>
          <w:highlight w:val="none"/>
          <w14:textFill>
            <w14:solidFill>
              <w14:schemeClr w14:val="tx1"/>
            </w14:solidFill>
          </w14:textFill>
        </w:rPr>
        <w:t>：</w:t>
      </w:r>
    </w:p>
    <w:p w14:paraId="763B1436">
      <w:pPr>
        <w:shd w:val="clear"/>
        <w:tabs>
          <w:tab w:val="left" w:pos="2400"/>
          <w:tab w:val="left" w:pos="3880"/>
          <w:tab w:val="left" w:pos="5340"/>
          <w:tab w:val="left" w:pos="6820"/>
        </w:tabs>
        <w:autoSpaceDE w:val="0"/>
        <w:autoSpaceDN w:val="0"/>
        <w:adjustRightInd w:val="0"/>
        <w:snapToGrid w:val="0"/>
        <w:spacing w:line="360" w:lineRule="auto"/>
        <w:ind w:left="100" w:right="-20"/>
        <w:jc w:val="left"/>
        <w:rPr>
          <w:rFonts w:cs="微软雅黑" w:asciiTheme="minorEastAsia" w:hAnsiTheme="minorEastAsia" w:eastAsiaTheme="minorEastAsia"/>
          <w:color w:val="000000" w:themeColor="text1"/>
          <w:kern w:val="0"/>
          <w:position w:val="-2"/>
          <w:szCs w:val="21"/>
          <w:highlight w:val="none"/>
          <w14:textFill>
            <w14:solidFill>
              <w14:schemeClr w14:val="tx1"/>
            </w14:solidFill>
          </w14:textFill>
        </w:rPr>
      </w:pP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统一社会信用代码：</w:t>
      </w:r>
    </w:p>
    <w:p w14:paraId="5EBF59F9">
      <w:pPr>
        <w:shd w:val="clear"/>
        <w:tabs>
          <w:tab w:val="left" w:pos="2400"/>
          <w:tab w:val="left" w:pos="3880"/>
          <w:tab w:val="left" w:pos="5340"/>
          <w:tab w:val="left" w:pos="6820"/>
        </w:tabs>
        <w:autoSpaceDE w:val="0"/>
        <w:autoSpaceDN w:val="0"/>
        <w:adjustRightInd w:val="0"/>
        <w:snapToGrid w:val="0"/>
        <w:spacing w:line="360" w:lineRule="auto"/>
        <w:ind w:left="100" w:right="-20"/>
        <w:jc w:val="left"/>
        <w:rPr>
          <w:rFonts w:cs="微软雅黑" w:asciiTheme="minorEastAsia" w:hAnsiTheme="minorEastAsia" w:eastAsiaTheme="minorEastAsia"/>
          <w:color w:val="000000" w:themeColor="text1"/>
          <w:kern w:val="0"/>
          <w:position w:val="-2"/>
          <w:szCs w:val="21"/>
          <w:highlight w:val="none"/>
          <w14:textFill>
            <w14:solidFill>
              <w14:schemeClr w14:val="tx1"/>
            </w14:solidFill>
          </w14:textFill>
        </w:rPr>
      </w:pP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注册地址：</w:t>
      </w:r>
    </w:p>
    <w:p w14:paraId="56DE2F2B">
      <w:pPr>
        <w:shd w:val="clea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cs="微软雅黑" w:asciiTheme="minorEastAsia" w:hAnsiTheme="minorEastAsia" w:eastAsiaTheme="minorEastAsia"/>
          <w:color w:val="000000" w:themeColor="text1"/>
          <w:kern w:val="0"/>
          <w:szCs w:val="21"/>
          <w:highlight w:val="none"/>
          <w14:textFill>
            <w14:solidFill>
              <w14:schemeClr w14:val="tx1"/>
            </w14:solidFill>
          </w14:textFill>
        </w:rPr>
      </w:pP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姓名</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性别</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年</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龄</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：职</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务</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：系</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投</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标</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名</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称</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的</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法定</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代表</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责</w:t>
      </w:r>
      <w:r>
        <w:rPr>
          <w:rFonts w:hint="eastAsia" w:cs="微软雅黑" w:asciiTheme="minorEastAsia" w:hAnsiTheme="minorEastAsia" w:eastAsiaTheme="minorEastAsia"/>
          <w:color w:val="000000" w:themeColor="text1"/>
          <w:spacing w:val="-2"/>
          <w:kern w:val="0"/>
          <w:position w:val="-2"/>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spacing w:val="-106"/>
          <w:kern w:val="0"/>
          <w:position w:val="-2"/>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kern w:val="0"/>
          <w:position w:val="-2"/>
          <w:szCs w:val="21"/>
          <w:highlight w:val="none"/>
          <w14:textFill>
            <w14:solidFill>
              <w14:schemeClr w14:val="tx1"/>
            </w14:solidFill>
          </w14:textFill>
        </w:rPr>
        <w:t>。</w:t>
      </w:r>
    </w:p>
    <w:p w14:paraId="7EA6EE07">
      <w:pPr>
        <w:shd w:val="clear"/>
        <w:autoSpaceDE w:val="0"/>
        <w:autoSpaceDN w:val="0"/>
        <w:adjustRightInd w:val="0"/>
        <w:snapToGrid w:val="0"/>
        <w:spacing w:line="360" w:lineRule="auto"/>
        <w:ind w:left="520" w:right="-20"/>
        <w:jc w:val="left"/>
        <w:rPr>
          <w:rFonts w:cs="微软雅黑" w:asciiTheme="minorEastAsia" w:hAnsiTheme="minorEastAsia" w:eastAsiaTheme="minorEastAsia"/>
          <w:color w:val="000000" w:themeColor="text1"/>
          <w:kern w:val="0"/>
          <w:szCs w:val="21"/>
          <w:highlight w:val="none"/>
          <w14:textFill>
            <w14:solidFill>
              <w14:schemeClr w14:val="tx1"/>
            </w14:solidFill>
          </w14:textFill>
        </w:rPr>
      </w:pP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特此</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证</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明。</w:t>
      </w:r>
    </w:p>
    <w:p w14:paraId="09D17C95">
      <w:pPr>
        <w:shd w:val="clear"/>
        <w:autoSpaceDE w:val="0"/>
        <w:autoSpaceDN w:val="0"/>
        <w:adjustRightInd w:val="0"/>
        <w:snapToGrid w:val="0"/>
        <w:spacing w:line="360" w:lineRule="auto"/>
        <w:ind w:left="100" w:right="4231"/>
        <w:jc w:val="left"/>
        <w:rPr>
          <w:rFonts w:cs="微软雅黑" w:asciiTheme="minorEastAsia" w:hAnsiTheme="minorEastAsia" w:eastAsiaTheme="minorEastAsia"/>
          <w:color w:val="000000" w:themeColor="text1"/>
          <w:kern w:val="0"/>
          <w:szCs w:val="21"/>
          <w:highlight w:val="none"/>
          <w14:textFill>
            <w14:solidFill>
              <w14:schemeClr w14:val="tx1"/>
            </w14:solidFill>
          </w14:textFill>
        </w:rPr>
      </w:pP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附：</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身</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份</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证</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原件扫描件</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p>
    <w:tbl>
      <w:tblPr>
        <w:tblStyle w:val="43"/>
        <w:tblW w:w="8647" w:type="dxa"/>
        <w:tblInd w:w="250" w:type="dxa"/>
        <w:tblLayout w:type="fixed"/>
        <w:tblCellMar>
          <w:top w:w="0" w:type="dxa"/>
          <w:left w:w="108" w:type="dxa"/>
          <w:bottom w:w="0" w:type="dxa"/>
          <w:right w:w="108" w:type="dxa"/>
        </w:tblCellMar>
      </w:tblPr>
      <w:tblGrid>
        <w:gridCol w:w="4323"/>
        <w:gridCol w:w="4324"/>
      </w:tblGrid>
      <w:tr w14:paraId="6165FD86">
        <w:tblPrEx>
          <w:tblCellMar>
            <w:top w:w="0" w:type="dxa"/>
            <w:left w:w="108" w:type="dxa"/>
            <w:bottom w:w="0" w:type="dxa"/>
            <w:right w:w="108" w:type="dxa"/>
          </w:tblCellMar>
        </w:tblPrEx>
        <w:trPr>
          <w:trHeight w:val="1265" w:hRule="atLeast"/>
        </w:trPr>
        <w:tc>
          <w:tcPr>
            <w:tcW w:w="4323" w:type="dxa"/>
            <w:vAlign w:val="center"/>
          </w:tcPr>
          <w:p w14:paraId="3578649C">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身份证（正面）</w:t>
            </w:r>
          </w:p>
        </w:tc>
        <w:tc>
          <w:tcPr>
            <w:tcW w:w="4324" w:type="dxa"/>
            <w:vAlign w:val="center"/>
          </w:tcPr>
          <w:p w14:paraId="4C702884">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身份证（反面）</w:t>
            </w:r>
          </w:p>
        </w:tc>
      </w:tr>
    </w:tbl>
    <w:p w14:paraId="1C6B237E">
      <w:pPr>
        <w:shd w:val="clear"/>
        <w:adjustRightInd w:val="0"/>
        <w:snapToGrid w:val="0"/>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注：投标人代表为法定代表人（单位负责人）的提供。自然人投标的无需提供。</w:t>
      </w:r>
    </w:p>
    <w:p w14:paraId="5DCF826A">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p>
    <w:p w14:paraId="5FBC9832">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p>
    <w:p w14:paraId="2F61B9C3">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投标人名称（盖单位电子章）：</w:t>
      </w:r>
    </w:p>
    <w:p w14:paraId="649D3E56">
      <w:pPr>
        <w:shd w:val="clear"/>
        <w:adjustRightInd w:val="0"/>
        <w:snapToGrid w:val="0"/>
        <w:spacing w:line="360" w:lineRule="auto"/>
        <w:ind w:right="420"/>
        <w:rPr>
          <w:rFonts w:ascii="宋体" w:hAnsi="宋体"/>
          <w:color w:val="000000" w:themeColor="text1"/>
          <w:szCs w:val="21"/>
          <w:highlight w:val="none"/>
          <w14:textFill>
            <w14:solidFill>
              <w14:schemeClr w14:val="tx1"/>
            </w14:solidFill>
          </w14:textFill>
        </w:rPr>
      </w:pPr>
      <w:r>
        <w:rPr>
          <w:rFonts w:hint="eastAsia" w:cs="宋体" w:asciiTheme="minorEastAsia" w:hAnsiTheme="minorEastAsia" w:eastAsiaTheme="minorEastAsia"/>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14:textFill>
            <w14:solidFill>
              <w14:schemeClr w14:val="tx1"/>
            </w14:solidFill>
          </w14:textFill>
        </w:rPr>
        <w:t>年月日</w:t>
      </w:r>
    </w:p>
    <w:p w14:paraId="2EA3ED10">
      <w:pPr>
        <w:shd w:val="clear"/>
        <w:adjustRightInd w:val="0"/>
        <w:snapToGrid w:val="0"/>
        <w:spacing w:line="360" w:lineRule="auto"/>
        <w:rPr>
          <w:color w:val="000000" w:themeColor="text1"/>
          <w:highlight w:val="none"/>
          <w14:textFill>
            <w14:solidFill>
              <w14:schemeClr w14:val="tx1"/>
            </w14:solidFill>
          </w14:textFill>
        </w:rPr>
      </w:pPr>
    </w:p>
    <w:p w14:paraId="262399CE">
      <w:pPr>
        <w:widowControl/>
        <w:shd w:val="clea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CC0BEB5">
      <w:pPr>
        <w:pStyle w:val="5"/>
        <w:shd w:val="clear"/>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75" w:name="_Toc6718"/>
      <w:bookmarkStart w:id="76" w:name="_Toc7745"/>
      <w:bookmarkStart w:id="77" w:name="_Toc6920"/>
      <w:bookmarkStart w:id="78" w:name="_Toc30947"/>
    </w:p>
    <w:p w14:paraId="6508A090">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28"/>
          <w:szCs w:val="28"/>
          <w:highlight w:val="none"/>
          <w14:textFill>
            <w14:solidFill>
              <w14:schemeClr w14:val="tx1"/>
            </w14:solidFill>
          </w14:textFill>
        </w:rPr>
        <w:t>三、授权委托书</w:t>
      </w:r>
      <w:bookmarkEnd w:id="75"/>
      <w:bookmarkEnd w:id="76"/>
      <w:bookmarkEnd w:id="77"/>
      <w:bookmarkEnd w:id="78"/>
    </w:p>
    <w:p w14:paraId="6308FF0C">
      <w:pPr>
        <w:shd w:val="clear"/>
        <w:autoSpaceDE w:val="0"/>
        <w:autoSpaceDN w:val="0"/>
        <w:adjustRightInd w:val="0"/>
        <w:snapToGrid w:val="0"/>
        <w:spacing w:line="360" w:lineRule="auto"/>
        <w:ind w:firstLine="446" w:firstLineChars="200"/>
        <w:jc w:val="left"/>
        <w:rPr>
          <w:rFonts w:ascii="宋体" w:hAnsi="宋体"/>
          <w:b/>
          <w:color w:val="000000" w:themeColor="text1"/>
          <w:spacing w:val="6"/>
          <w:szCs w:val="21"/>
          <w:highlight w:val="none"/>
          <w14:textFill>
            <w14:solidFill>
              <w14:schemeClr w14:val="tx1"/>
            </w14:solidFill>
          </w14:textFill>
        </w:rPr>
      </w:pPr>
    </w:p>
    <w:p w14:paraId="1D79A786">
      <w:pPr>
        <w:shd w:val="clear"/>
        <w:autoSpaceDE w:val="0"/>
        <w:autoSpaceDN w:val="0"/>
        <w:adjustRightInd w:val="0"/>
        <w:snapToGrid w:val="0"/>
        <w:spacing w:line="360" w:lineRule="auto"/>
        <w:ind w:firstLine="420" w:firstLineChars="200"/>
        <w:jc w:val="left"/>
        <w:rPr>
          <w:rFonts w:ascii="宋体" w:hAnsi="宋体" w:cs="宋体"/>
          <w:color w:val="000000" w:themeColor="text1"/>
          <w:kern w:val="0"/>
          <w:szCs w:val="21"/>
          <w:highlight w:val="none"/>
          <w14:textFill>
            <w14:solidFill>
              <w14:schemeClr w14:val="tx1"/>
            </w14:solidFill>
          </w14:textFill>
        </w:rPr>
      </w:pPr>
    </w:p>
    <w:p w14:paraId="393A196D">
      <w:pPr>
        <w:shd w:val="clear"/>
        <w:autoSpaceDE w:val="0"/>
        <w:autoSpaceDN w:val="0"/>
        <w:adjustRightInd w:val="0"/>
        <w:snapToGrid w:val="0"/>
        <w:spacing w:line="360" w:lineRule="auto"/>
        <w:ind w:firstLine="420" w:firstLineChars="2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本人（姓名、职务）系（</w:t>
      </w:r>
      <w:r>
        <w:rPr>
          <w:rFonts w:hint="eastAsia" w:ascii="宋体" w:hAnsi="宋体"/>
          <w:color w:val="000000" w:themeColor="text1"/>
          <w:szCs w:val="21"/>
          <w:highlight w:val="none"/>
          <w14:textFill>
            <w14:solidFill>
              <w14:schemeClr w14:val="tx1"/>
            </w14:solidFill>
          </w14:textFill>
        </w:rPr>
        <w:t>投标人</w:t>
      </w:r>
      <w:r>
        <w:rPr>
          <w:rFonts w:hint="eastAsia" w:ascii="宋体" w:hAnsi="宋体" w:cs="宋体"/>
          <w:color w:val="000000" w:themeColor="text1"/>
          <w:kern w:val="0"/>
          <w:szCs w:val="21"/>
          <w:highlight w:val="none"/>
          <w14:textFill>
            <w14:solidFill>
              <w14:schemeClr w14:val="tx1"/>
            </w14:solidFill>
          </w14:textFill>
        </w:rPr>
        <w:t>名称）的法定代表人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，现授权（姓名、职务）为我方代理人。代理人根据授权，以我方名义签署、澄清、说明、补正、递交、撤回、修改（项目名称</w:t>
      </w:r>
      <w:r>
        <w:rPr>
          <w:rFonts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highlight w:val="none"/>
          <w14:textFill>
            <w14:solidFill>
              <w14:schemeClr w14:val="tx1"/>
            </w14:solidFill>
          </w14:textFill>
        </w:rPr>
        <w:t>政府</w:t>
      </w:r>
      <w:r>
        <w:rPr>
          <w:rFonts w:hint="eastAsia" w:asciiTheme="minorEastAsia" w:hAnsiTheme="minorEastAsia" w:eastAsiaTheme="minorEastAsia"/>
          <w:iCs/>
          <w:color w:val="000000" w:themeColor="text1"/>
          <w:highlight w:val="none"/>
          <w14:textFill>
            <w14:solidFill>
              <w14:schemeClr w14:val="tx1"/>
            </w14:solidFill>
          </w14:textFill>
        </w:rPr>
        <w:t>采购编号：，</w:t>
      </w:r>
      <w:r>
        <w:rPr>
          <w:rFonts w:hint="eastAsia" w:ascii="宋体" w:hAnsi="宋体" w:cs="宋体"/>
          <w:color w:val="000000" w:themeColor="text1"/>
          <w:kern w:val="0"/>
          <w:szCs w:val="21"/>
          <w:highlight w:val="none"/>
          <w14:textFill>
            <w14:solidFill>
              <w14:schemeClr w14:val="tx1"/>
            </w14:solidFill>
          </w14:textFill>
        </w:rPr>
        <w:t>采购代理编号：）投标文件、签订合同和处理有关事宜，其法律后果由我方承担。</w:t>
      </w:r>
    </w:p>
    <w:p w14:paraId="580AF599">
      <w:pPr>
        <w:shd w:val="clear"/>
        <w:autoSpaceDE w:val="0"/>
        <w:autoSpaceDN w:val="0"/>
        <w:adjustRightInd w:val="0"/>
        <w:snapToGrid w:val="0"/>
        <w:spacing w:line="360" w:lineRule="auto"/>
        <w:ind w:firstLine="420" w:firstLineChars="2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委托期限：。</w:t>
      </w:r>
    </w:p>
    <w:p w14:paraId="7339CCD7">
      <w:pPr>
        <w:shd w:val="clear"/>
        <w:adjustRightInd w:val="0"/>
        <w:snapToGrid w:val="0"/>
        <w:spacing w:line="360" w:lineRule="auto"/>
        <w:ind w:firstLine="435"/>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代理人无转委托权。</w:t>
      </w:r>
    </w:p>
    <w:p w14:paraId="55ADA628">
      <w:pPr>
        <w:shd w:val="clear"/>
        <w:adjustRightInd w:val="0"/>
        <w:snapToGrid w:val="0"/>
        <w:spacing w:line="360" w:lineRule="auto"/>
        <w:ind w:firstLine="435"/>
        <w:rPr>
          <w:rFonts w:cs="微软雅黑"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本授权书于年月日签字生效，特此声明。</w:t>
      </w:r>
    </w:p>
    <w:tbl>
      <w:tblPr>
        <w:tblStyle w:val="43"/>
        <w:tblW w:w="8789" w:type="dxa"/>
        <w:tblInd w:w="108" w:type="dxa"/>
        <w:tblLayout w:type="fixed"/>
        <w:tblCellMar>
          <w:top w:w="0" w:type="dxa"/>
          <w:left w:w="108" w:type="dxa"/>
          <w:bottom w:w="0" w:type="dxa"/>
          <w:right w:w="108" w:type="dxa"/>
        </w:tblCellMar>
      </w:tblPr>
      <w:tblGrid>
        <w:gridCol w:w="4465"/>
        <w:gridCol w:w="4324"/>
      </w:tblGrid>
      <w:tr w14:paraId="6409D185">
        <w:tblPrEx>
          <w:tblCellMar>
            <w:top w:w="0" w:type="dxa"/>
            <w:left w:w="108" w:type="dxa"/>
            <w:bottom w:w="0" w:type="dxa"/>
            <w:right w:w="108" w:type="dxa"/>
          </w:tblCellMar>
        </w:tblPrEx>
        <w:trPr>
          <w:trHeight w:val="1265" w:hRule="atLeast"/>
        </w:trPr>
        <w:tc>
          <w:tcPr>
            <w:tcW w:w="4465" w:type="dxa"/>
            <w:vAlign w:val="center"/>
          </w:tcPr>
          <w:p w14:paraId="3A3695A8">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身份证（正面）</w:t>
            </w:r>
          </w:p>
        </w:tc>
        <w:tc>
          <w:tcPr>
            <w:tcW w:w="4324" w:type="dxa"/>
            <w:vAlign w:val="center"/>
          </w:tcPr>
          <w:p w14:paraId="00A8F19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身份证（反面）</w:t>
            </w:r>
          </w:p>
        </w:tc>
      </w:tr>
    </w:tbl>
    <w:p w14:paraId="636E7FD3">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注：投标人代表不是投标人的法定代表人（单位负责人）的提供。自然人投标的无需提供。</w:t>
      </w:r>
    </w:p>
    <w:p w14:paraId="54B11644">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p>
    <w:p w14:paraId="0BD542A4">
      <w:pPr>
        <w:shd w:val="clear"/>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p>
    <w:p w14:paraId="3494D408">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投标人名称（盖单位电子章）：</w:t>
      </w:r>
    </w:p>
    <w:p w14:paraId="43A3E36E">
      <w:pPr>
        <w:shd w:val="clear"/>
        <w:adjustRightInd w:val="0"/>
        <w:snapToGrid w:val="0"/>
        <w:spacing w:line="360" w:lineRule="auto"/>
        <w:ind w:right="420"/>
        <w:rPr>
          <w:rFonts w:ascii="宋体" w:hAnsi="宋体"/>
          <w:color w:val="000000" w:themeColor="text1"/>
          <w:szCs w:val="21"/>
          <w:highlight w:val="non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（电子签字或电子印章）：</w:t>
      </w:r>
    </w:p>
    <w:p w14:paraId="0C84C835">
      <w:pPr>
        <w:shd w:val="clear"/>
        <w:adjustRightInd w:val="0"/>
        <w:snapToGrid w:val="0"/>
        <w:spacing w:line="360" w:lineRule="auto"/>
        <w:ind w:righ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委托代理人（电子签字或电子印章）：</w:t>
      </w:r>
    </w:p>
    <w:p w14:paraId="39E27D30">
      <w:pPr>
        <w:shd w:val="clear"/>
        <w:adjustRightInd w:val="0"/>
        <w:snapToGrid w:val="0"/>
        <w:spacing w:line="360" w:lineRule="auto"/>
        <w:ind w:right="420"/>
        <w:rPr>
          <w:rFonts w:ascii="宋体" w:hAnsi="宋体"/>
          <w:color w:val="000000" w:themeColor="text1"/>
          <w:szCs w:val="21"/>
          <w:highlight w:val="none"/>
          <w14:textFill>
            <w14:solidFill>
              <w14:schemeClr w14:val="tx1"/>
            </w14:solidFill>
          </w14:textFill>
        </w:rPr>
      </w:pPr>
      <w:r>
        <w:rPr>
          <w:rFonts w:hint="eastAsia" w:cs="宋体" w:asciiTheme="minorEastAsia" w:hAnsiTheme="minorEastAsia" w:eastAsiaTheme="minorEastAsia"/>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14:textFill>
            <w14:solidFill>
              <w14:schemeClr w14:val="tx1"/>
            </w14:solidFill>
          </w14:textFill>
        </w:rPr>
        <w:t>年月日</w:t>
      </w:r>
    </w:p>
    <w:p w14:paraId="5B4DA612">
      <w:pPr>
        <w:shd w:val="clear"/>
        <w:adjustRightInd w:val="0"/>
        <w:snapToGrid w:val="0"/>
        <w:spacing w:line="360" w:lineRule="auto"/>
        <w:jc w:val="left"/>
        <w:rPr>
          <w:rFonts w:ascii="黑体" w:hAnsi="黑体" w:eastAsia="黑体"/>
          <w:bCs/>
          <w:color w:val="000000" w:themeColor="text1"/>
          <w:sz w:val="28"/>
          <w:szCs w:val="28"/>
          <w:highlight w:val="none"/>
          <w14:textFill>
            <w14:solidFill>
              <w14:schemeClr w14:val="tx1"/>
            </w14:solidFill>
          </w14:textFill>
        </w:rPr>
      </w:pPr>
      <w:r>
        <w:rPr>
          <w:rFonts w:ascii="黑体" w:hAnsi="黑体" w:eastAsia="黑体"/>
          <w:bCs/>
          <w:color w:val="000000" w:themeColor="text1"/>
          <w:sz w:val="28"/>
          <w:szCs w:val="28"/>
          <w:highlight w:val="none"/>
          <w14:textFill>
            <w14:solidFill>
              <w14:schemeClr w14:val="tx1"/>
            </w14:solidFill>
          </w14:textFill>
        </w:rPr>
        <w:br w:type="page"/>
      </w:r>
    </w:p>
    <w:p w14:paraId="74F8CF83">
      <w:pPr>
        <w:pStyle w:val="5"/>
        <w:shd w:val="clear"/>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79" w:name="_Toc4389"/>
      <w:bookmarkStart w:id="80" w:name="_Toc22836"/>
      <w:bookmarkStart w:id="81" w:name="_Toc25417"/>
      <w:bookmarkStart w:id="82" w:name="_Toc20815"/>
    </w:p>
    <w:p w14:paraId="11D8861E">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28"/>
          <w:szCs w:val="28"/>
          <w:highlight w:val="none"/>
          <w14:textFill>
            <w14:solidFill>
              <w14:schemeClr w14:val="tx1"/>
            </w14:solidFill>
          </w14:textFill>
        </w:rPr>
        <w:t>四、投标人提供的资格证明文件</w:t>
      </w:r>
      <w:bookmarkEnd w:id="79"/>
      <w:bookmarkEnd w:id="80"/>
      <w:bookmarkEnd w:id="81"/>
      <w:bookmarkEnd w:id="82"/>
    </w:p>
    <w:p w14:paraId="64691FA8">
      <w:pPr>
        <w:pStyle w:val="22"/>
        <w:shd w:val="clear"/>
        <w:adjustRightInd w:val="0"/>
        <w:snapToGrid w:val="0"/>
        <w:spacing w:line="360" w:lineRule="auto"/>
        <w:jc w:val="center"/>
        <w:rPr>
          <w:rFonts w:hAnsi="宋体"/>
          <w:b/>
          <w:bCs/>
          <w:color w:val="000000" w:themeColor="text1"/>
          <w:sz w:val="24"/>
          <w:szCs w:val="24"/>
          <w:highlight w:val="none"/>
          <w14:textFill>
            <w14:solidFill>
              <w14:schemeClr w14:val="tx1"/>
            </w14:solidFill>
          </w14:textFill>
        </w:rPr>
      </w:pPr>
    </w:p>
    <w:p w14:paraId="09723422">
      <w:pPr>
        <w:pStyle w:val="22"/>
        <w:shd w:val="clear" w:color="auto"/>
        <w:adjustRightInd w:val="0"/>
        <w:snapToGrid w:val="0"/>
        <w:spacing w:line="360" w:lineRule="auto"/>
        <w:jc w:val="center"/>
        <w:rPr>
          <w:rFonts w:ascii="黑体" w:hAnsi="黑体" w:eastAsia="黑体"/>
          <w:b/>
          <w:bCs/>
          <w:color w:val="000000" w:themeColor="text1"/>
          <w:sz w:val="28"/>
          <w:szCs w:val="28"/>
          <w:highlight w:val="none"/>
          <w14:textFill>
            <w14:solidFill>
              <w14:schemeClr w14:val="tx1"/>
            </w14:solidFill>
          </w14:textFill>
        </w:rPr>
      </w:pPr>
      <w:r>
        <w:rPr>
          <w:rFonts w:hint="eastAsia" w:ascii="黑体" w:hAnsi="黑体" w:eastAsia="黑体"/>
          <w:b/>
          <w:bCs/>
          <w:color w:val="000000" w:themeColor="text1"/>
          <w:sz w:val="28"/>
          <w:szCs w:val="28"/>
          <w:highlight w:val="none"/>
          <w14:textFill>
            <w14:solidFill>
              <w14:schemeClr w14:val="tx1"/>
            </w14:solidFill>
          </w14:textFill>
        </w:rPr>
        <w:t>须  知</w:t>
      </w:r>
    </w:p>
    <w:p w14:paraId="00CE7D49">
      <w:pPr>
        <w:shd w:val="clear" w:color="auto"/>
        <w:tabs>
          <w:tab w:val="left" w:pos="4725"/>
        </w:tabs>
        <w:adjustRightInd w:val="0"/>
        <w:snapToGrid w:val="0"/>
        <w:spacing w:before="156" w:beforeLines="50"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1、投标人应按第三章资格审查要求提供资格证明材料</w:t>
      </w:r>
    </w:p>
    <w:p w14:paraId="1AA29397">
      <w:pPr>
        <w:shd w:val="clear" w:color="auto"/>
        <w:tabs>
          <w:tab w:val="left" w:pos="4725"/>
        </w:tabs>
        <w:adjustRightInd w:val="0"/>
        <w:snapToGrid w:val="0"/>
        <w:spacing w:before="156" w:beforeLines="50" w:line="360" w:lineRule="auto"/>
        <w:ind w:firstLine="735" w:firstLineChars="350"/>
        <w:rPr>
          <w:rFonts w:ascii="宋体" w:hAnsi="宋体" w:eastAsia="宋体"/>
          <w:color w:val="000000" w:themeColor="text1"/>
          <w:szCs w:val="21"/>
          <w:highlight w:val="none"/>
          <w14:textFill>
            <w14:solidFill>
              <w14:schemeClr w14:val="tx1"/>
            </w14:solidFill>
          </w14:textFill>
        </w:rPr>
      </w:pPr>
      <w:r>
        <w:rPr>
          <w:rFonts w:hint="eastAsia" w:ascii="宋体" w:hAnsi="宋体" w:eastAsia="宋体"/>
          <w:color w:val="000000" w:themeColor="text1"/>
          <w:szCs w:val="21"/>
          <w:highlight w:val="none"/>
          <w14:textFill>
            <w14:solidFill>
              <w14:schemeClr w14:val="tx1"/>
            </w14:solidFill>
          </w14:textFill>
        </w:rPr>
        <w:t>附件4-1 法人或者其他组织的营业执照等主体资格证明文件，自然人的身份证明</w:t>
      </w:r>
    </w:p>
    <w:p w14:paraId="119B2F42">
      <w:pPr>
        <w:shd w:val="clear" w:color="auto"/>
        <w:tabs>
          <w:tab w:val="left" w:pos="4725"/>
        </w:tabs>
        <w:adjustRightInd w:val="0"/>
        <w:snapToGrid w:val="0"/>
        <w:spacing w:before="156" w:beforeLines="50" w:line="360" w:lineRule="auto"/>
        <w:ind w:firstLine="735" w:firstLineChars="350"/>
        <w:rPr>
          <w:rFonts w:ascii="宋体" w:hAnsi="宋体" w:eastAsia="宋体"/>
          <w:color w:val="000000" w:themeColor="text1"/>
          <w:szCs w:val="21"/>
          <w:highlight w:val="none"/>
          <w14:textFill>
            <w14:solidFill>
              <w14:schemeClr w14:val="tx1"/>
            </w14:solidFill>
          </w14:textFill>
        </w:rPr>
      </w:pPr>
      <w:r>
        <w:rPr>
          <w:rFonts w:hint="eastAsia" w:ascii="宋体" w:hAnsi="宋体" w:eastAsia="宋体"/>
          <w:color w:val="000000" w:themeColor="text1"/>
          <w:szCs w:val="21"/>
          <w:highlight w:val="none"/>
          <w14:textFill>
            <w14:solidFill>
              <w14:schemeClr w14:val="tx1"/>
            </w14:solidFill>
          </w14:textFill>
        </w:rPr>
        <w:t>附件4-2 湖南省政府采购供应商资格承诺函(格式)</w:t>
      </w:r>
    </w:p>
    <w:p w14:paraId="4DEA44E4">
      <w:pPr>
        <w:shd w:val="clear" w:color="auto"/>
        <w:tabs>
          <w:tab w:val="left" w:pos="4725"/>
        </w:tabs>
        <w:adjustRightInd w:val="0"/>
        <w:snapToGrid w:val="0"/>
        <w:spacing w:before="156" w:beforeLines="50" w:line="360" w:lineRule="auto"/>
        <w:ind w:firstLine="735" w:firstLineChars="350"/>
        <w:rPr>
          <w:rFonts w:ascii="宋体" w:hAnsi="宋体" w:eastAsia="宋体"/>
          <w:color w:val="000000" w:themeColor="text1"/>
          <w:szCs w:val="21"/>
          <w:highlight w:val="none"/>
          <w14:textFill>
            <w14:solidFill>
              <w14:schemeClr w14:val="tx1"/>
            </w14:solidFill>
          </w14:textFill>
        </w:rPr>
      </w:pPr>
      <w:r>
        <w:rPr>
          <w:rFonts w:hint="eastAsia" w:ascii="宋体" w:hAnsi="宋体" w:eastAsia="宋体"/>
          <w:color w:val="000000" w:themeColor="text1"/>
          <w:szCs w:val="21"/>
          <w:highlight w:val="none"/>
          <w14:textFill>
            <w14:solidFill>
              <w14:schemeClr w14:val="tx1"/>
            </w14:solidFill>
          </w14:textFill>
        </w:rPr>
        <w:t>附件4-3 符合特定资格条件证明材料或者情况说明</w:t>
      </w:r>
    </w:p>
    <w:p w14:paraId="7ED53555">
      <w:pPr>
        <w:shd w:val="clear" w:color="auto"/>
        <w:tabs>
          <w:tab w:val="left" w:pos="4725"/>
        </w:tabs>
        <w:adjustRightInd w:val="0"/>
        <w:snapToGrid w:val="0"/>
        <w:spacing w:before="156" w:beforeLines="50" w:line="360" w:lineRule="auto"/>
        <w:ind w:firstLine="735" w:firstLineChars="3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附件4-4 联合体协议书（格式）（联合体形式投标的提供）</w:t>
      </w:r>
    </w:p>
    <w:p w14:paraId="222646CC">
      <w:pPr>
        <w:shd w:val="clear" w:color="auto"/>
        <w:tabs>
          <w:tab w:val="left" w:pos="4725"/>
        </w:tabs>
        <w:adjustRightInd w:val="0"/>
        <w:snapToGrid w:val="0"/>
        <w:spacing w:before="156" w:beforeLines="50"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投标人以联合体形式投标的，除应提交联合协议书(本节附4-4)外，参加联合体的各方均应提交上款资格证明材料。</w:t>
      </w:r>
    </w:p>
    <w:p w14:paraId="342868F9">
      <w:pPr>
        <w:shd w:val="clear" w:color="auto"/>
        <w:tabs>
          <w:tab w:val="left" w:pos="4725"/>
        </w:tabs>
        <w:adjustRightInd w:val="0"/>
        <w:snapToGrid w:val="0"/>
        <w:spacing w:line="360" w:lineRule="auto"/>
        <w:rPr>
          <w:rFonts w:ascii="宋体" w:hAnsi="宋体" w:cs="宋体"/>
          <w:color w:val="000000" w:themeColor="text1"/>
          <w:szCs w:val="21"/>
          <w:highlight w:val="none"/>
          <w14:textFill>
            <w14:solidFill>
              <w14:schemeClr w14:val="tx1"/>
            </w14:solidFill>
          </w14:textFill>
        </w:rPr>
      </w:pPr>
    </w:p>
    <w:p w14:paraId="0DA14D99">
      <w:pPr>
        <w:widowControl/>
        <w:shd w:val="clear" w:color="auto"/>
        <w:adjustRightInd w:val="0"/>
        <w:snapToGrid w:val="0"/>
        <w:spacing w:line="360" w:lineRule="auto"/>
        <w:jc w:val="left"/>
        <w:rPr>
          <w:rFonts w:ascii="黑体" w:hAnsi="仿宋" w:eastAsia="黑体" w:cs="宋体"/>
          <w:color w:val="000000" w:themeColor="text1"/>
          <w:szCs w:val="21"/>
          <w:highlight w:val="none"/>
          <w14:textFill>
            <w14:solidFill>
              <w14:schemeClr w14:val="tx1"/>
            </w14:solidFill>
          </w14:textFill>
        </w:rPr>
      </w:pPr>
      <w:r>
        <w:rPr>
          <w:rFonts w:ascii="黑体" w:hAnsi="仿宋" w:eastAsia="黑体" w:cs="宋体"/>
          <w:color w:val="000000" w:themeColor="text1"/>
          <w:szCs w:val="21"/>
          <w:highlight w:val="none"/>
          <w14:textFill>
            <w14:solidFill>
              <w14:schemeClr w14:val="tx1"/>
            </w14:solidFill>
          </w14:textFill>
        </w:rPr>
        <w:br w:type="page"/>
      </w:r>
      <w:bookmarkStart w:id="83" w:name="_Toc20651249"/>
    </w:p>
    <w:p w14:paraId="71D77AC3">
      <w:pPr>
        <w:widowControl/>
        <w:shd w:val="clear" w:color="auto"/>
        <w:adjustRightInd w:val="0"/>
        <w:snapToGrid w:val="0"/>
        <w:spacing w:line="360" w:lineRule="auto"/>
        <w:jc w:val="left"/>
        <w:rPr>
          <w:rFonts w:hint="eastAsia" w:ascii="黑体" w:hAnsi="仿宋" w:cs="宋体"/>
          <w:b/>
          <w:bCs/>
          <w:color w:val="000000" w:themeColor="text1"/>
          <w:szCs w:val="21"/>
          <w:highlight w:val="none"/>
          <w14:textFill>
            <w14:solidFill>
              <w14:schemeClr w14:val="tx1"/>
            </w14:solidFill>
          </w14:textFill>
        </w:rPr>
      </w:pPr>
    </w:p>
    <w:p w14:paraId="0E5EE539">
      <w:pPr>
        <w:widowControl/>
        <w:shd w:val="clear" w:color="auto"/>
        <w:adjustRightInd w:val="0"/>
        <w:snapToGrid w:val="0"/>
        <w:spacing w:line="360" w:lineRule="auto"/>
        <w:jc w:val="left"/>
        <w:rPr>
          <w:rFonts w:hint="eastAsia" w:ascii="黑体" w:hAnsi="仿宋" w:cs="宋体"/>
          <w:b/>
          <w:bCs/>
          <w:color w:val="000000" w:themeColor="text1"/>
          <w:szCs w:val="21"/>
          <w:highlight w:val="none"/>
          <w14:textFill>
            <w14:solidFill>
              <w14:schemeClr w14:val="tx1"/>
            </w14:solidFill>
          </w14:textFill>
        </w:rPr>
      </w:pPr>
      <w:r>
        <w:rPr>
          <w:rFonts w:hint="eastAsia" w:ascii="黑体" w:hAnsi="仿宋" w:cs="宋体"/>
          <w:b/>
          <w:bCs/>
          <w:color w:val="000000" w:themeColor="text1"/>
          <w:szCs w:val="21"/>
          <w:highlight w:val="none"/>
          <w14:textFill>
            <w14:solidFill>
              <w14:schemeClr w14:val="tx1"/>
            </w14:solidFill>
          </w14:textFill>
        </w:rPr>
        <w:t xml:space="preserve">附件4-1 </w:t>
      </w:r>
      <w:bookmarkEnd w:id="83"/>
    </w:p>
    <w:p w14:paraId="35526BA9">
      <w:pPr>
        <w:widowControl/>
        <w:shd w:val="clear" w:color="auto"/>
        <w:adjustRightInd w:val="0"/>
        <w:snapToGrid w:val="0"/>
        <w:spacing w:line="360" w:lineRule="auto"/>
        <w:jc w:val="center"/>
        <w:rPr>
          <w:rFonts w:hint="eastAsia" w:ascii="黑体" w:hAnsi="仿宋" w:eastAsia="黑体" w:cs="宋体"/>
          <w:b/>
          <w:color w:val="000000" w:themeColor="text1"/>
          <w:sz w:val="28"/>
          <w:szCs w:val="28"/>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符合基本资格条件证明材料复印件或者情况说明</w:t>
      </w:r>
    </w:p>
    <w:p w14:paraId="3FAD12B6">
      <w:pPr>
        <w:shd w:val="clear" w:color="auto"/>
        <w:adjustRightInd w:val="0"/>
        <w:snapToGrid w:val="0"/>
        <w:spacing w:before="156" w:beforeLines="50"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法人、或者其他组织的营业执照等主体资格证明文件，自然人的身份证明，信用查询记录、财务状况报告、依法缴纳税收和社会保险费的相关证明、履行本项目采购合同所必须的设备和专业技术能力证明材料等</w:t>
      </w:r>
    </w:p>
    <w:p w14:paraId="087FA4CC">
      <w:pPr>
        <w:shd w:val="clear" w:color="auto"/>
        <w:adjustRightInd w:val="0"/>
        <w:snapToGrid w:val="0"/>
        <w:spacing w:before="156" w:beforeLines="50"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p>
    <w:p w14:paraId="7AE2066B">
      <w:pPr>
        <w:shd w:val="clear" w:color="auto"/>
        <w:adjustRightInd w:val="0"/>
        <w:snapToGrid w:val="0"/>
        <w:spacing w:before="156" w:beforeLines="50"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olor w:val="000000" w:themeColor="text1"/>
          <w:highlight w:val="none"/>
          <w14:textFill>
            <w14:solidFill>
              <w14:schemeClr w14:val="tx1"/>
            </w14:solidFill>
          </w14:textFill>
        </w:rPr>
        <w:t>投标人为法人的，应提交营业执照或法人登记证书的复印件</w:t>
      </w:r>
    </w:p>
    <w:p w14:paraId="33D1317C">
      <w:pPr>
        <w:shd w:val="clear" w:color="auto"/>
        <w:adjustRightInd w:val="0"/>
        <w:snapToGrid w:val="0"/>
        <w:spacing w:before="156" w:beforeLines="50"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投标人为非法人组织的，应提交依法登记证书复印件；</w:t>
      </w:r>
    </w:p>
    <w:p w14:paraId="6F208575">
      <w:pPr>
        <w:shd w:val="clear" w:color="auto"/>
        <w:adjustRightInd w:val="0"/>
        <w:snapToGrid w:val="0"/>
        <w:spacing w:before="156" w:beforeLines="50"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投标人为个体工商户的，应提交个体工商户营业执照复印件；</w:t>
      </w:r>
    </w:p>
    <w:p w14:paraId="6947EE49">
      <w:pPr>
        <w:shd w:val="clear" w:color="auto"/>
        <w:adjustRightInd w:val="0"/>
        <w:snapToGrid w:val="0"/>
        <w:spacing w:before="156" w:beforeLines="50"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hint="eastAsia" w:ascii="宋体" w:hAnsi="宋体"/>
          <w:color w:val="000000" w:themeColor="text1"/>
          <w:highlight w:val="none"/>
          <w14:textFill>
            <w14:solidFill>
              <w14:schemeClr w14:val="tx1"/>
            </w14:solidFill>
          </w14:textFill>
        </w:rPr>
        <w:t>投标人为自然人的，应提交自然人的身份证明复印件。</w:t>
      </w:r>
    </w:p>
    <w:p w14:paraId="3B9B770E">
      <w:pPr>
        <w:shd w:val="clear" w:color="auto"/>
        <w:adjustRightInd w:val="0"/>
        <w:snapToGrid w:val="0"/>
        <w:spacing w:before="156" w:beforeLines="50" w:line="360" w:lineRule="auto"/>
        <w:ind w:firstLine="420" w:firstLineChars="200"/>
        <w:rPr>
          <w:rFonts w:ascii="宋体" w:hAnsi="宋体"/>
          <w:color w:val="000000" w:themeColor="text1"/>
          <w:highlight w:val="none"/>
          <w14:textFill>
            <w14:solidFill>
              <w14:schemeClr w14:val="tx1"/>
            </w14:solidFill>
          </w14:textFill>
        </w:rPr>
      </w:pPr>
    </w:p>
    <w:p w14:paraId="2BE920A7">
      <w:pPr>
        <w:widowControl/>
        <w:shd w:val="clear" w:color="auto"/>
        <w:jc w:val="left"/>
        <w:rPr>
          <w:rFonts w:ascii="黑体" w:hAnsi="仿宋" w:eastAsia="黑体" w:cs="宋体"/>
          <w:bCs/>
          <w:color w:val="000000" w:themeColor="text1"/>
          <w:szCs w:val="21"/>
          <w:highlight w:val="none"/>
          <w14:textFill>
            <w14:solidFill>
              <w14:schemeClr w14:val="tx1"/>
            </w14:solidFill>
          </w14:textFill>
        </w:rPr>
      </w:pPr>
      <w:r>
        <w:rPr>
          <w:rFonts w:ascii="黑体" w:hAnsi="仿宋" w:cs="宋体"/>
          <w:b/>
          <w:color w:val="000000" w:themeColor="text1"/>
          <w:szCs w:val="21"/>
          <w:highlight w:val="none"/>
          <w14:textFill>
            <w14:solidFill>
              <w14:schemeClr w14:val="tx1"/>
            </w14:solidFill>
          </w14:textFill>
        </w:rPr>
        <w:br w:type="page"/>
      </w:r>
    </w:p>
    <w:p w14:paraId="72734588">
      <w:pPr>
        <w:pStyle w:val="6"/>
        <w:shd w:val="clear" w:color="auto"/>
        <w:adjustRightInd w:val="0"/>
        <w:snapToGrid w:val="0"/>
        <w:spacing w:before="156" w:beforeLines="50" w:after="0" w:line="360" w:lineRule="auto"/>
        <w:rPr>
          <w:rFonts w:hint="eastAsia" w:ascii="黑体" w:hAnsi="仿宋" w:cs="宋体"/>
          <w:b w:val="0"/>
          <w:color w:val="000000" w:themeColor="text1"/>
          <w:sz w:val="21"/>
          <w:szCs w:val="21"/>
          <w:highlight w:val="none"/>
          <w14:textFill>
            <w14:solidFill>
              <w14:schemeClr w14:val="tx1"/>
            </w14:solidFill>
          </w14:textFill>
        </w:rPr>
      </w:pPr>
      <w:bookmarkStart w:id="84" w:name="_Toc5736"/>
      <w:bookmarkStart w:id="85" w:name="_Toc30081"/>
      <w:bookmarkStart w:id="86" w:name="_Toc12080"/>
      <w:bookmarkStart w:id="87" w:name="_Toc7527"/>
    </w:p>
    <w:p w14:paraId="1180B9F5">
      <w:pPr>
        <w:pStyle w:val="6"/>
        <w:shd w:val="clear" w:color="auto"/>
        <w:adjustRightInd w:val="0"/>
        <w:snapToGrid w:val="0"/>
        <w:spacing w:before="156" w:beforeLines="50" w:after="0" w:line="360" w:lineRule="auto"/>
        <w:rPr>
          <w:rFonts w:ascii="黑体" w:hAnsi="仿宋" w:cs="宋体"/>
          <w:b w:val="0"/>
          <w:color w:val="000000" w:themeColor="text1"/>
          <w:sz w:val="21"/>
          <w:szCs w:val="21"/>
          <w:highlight w:val="none"/>
          <w14:textFill>
            <w14:solidFill>
              <w14:schemeClr w14:val="tx1"/>
            </w14:solidFill>
          </w14:textFill>
        </w:rPr>
      </w:pPr>
      <w:r>
        <w:rPr>
          <w:rFonts w:hint="eastAsia" w:ascii="黑体" w:hAnsi="仿宋" w:cs="宋体"/>
          <w:b w:val="0"/>
          <w:color w:val="000000" w:themeColor="text1"/>
          <w:sz w:val="21"/>
          <w:szCs w:val="21"/>
          <w:highlight w:val="none"/>
          <w14:textFill>
            <w14:solidFill>
              <w14:schemeClr w14:val="tx1"/>
            </w14:solidFill>
          </w14:textFill>
        </w:rPr>
        <w:t>附件4-2湖南省政府采购供应商资格承诺函(格式)</w:t>
      </w:r>
      <w:bookmarkEnd w:id="84"/>
      <w:bookmarkEnd w:id="85"/>
      <w:bookmarkEnd w:id="86"/>
      <w:bookmarkEnd w:id="87"/>
    </w:p>
    <w:p w14:paraId="41C0C3B4">
      <w:pPr>
        <w:widowControl/>
        <w:shd w:val="clear" w:color="auto"/>
        <w:adjustRightInd w:val="0"/>
        <w:snapToGrid w:val="0"/>
        <w:spacing w:before="468" w:beforeLines="150" w:line="360" w:lineRule="auto"/>
        <w:jc w:val="center"/>
        <w:rPr>
          <w:rFonts w:ascii="宋体" w:hAnsi="宋体" w:cs="宋体"/>
          <w:color w:val="000000" w:themeColor="text1"/>
          <w:szCs w:val="21"/>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湖南省政府采购供应商资格承诺函</w:t>
      </w:r>
    </w:p>
    <w:p w14:paraId="45B175E9">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C538145">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按照《政府采购促进中小企业发展管理办法》(财库〔2020〕46号),本公司企业规模为: 大型口中型口小型□微型□。</w:t>
      </w:r>
    </w:p>
    <w:p w14:paraId="380F31F4">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□本公司自愿入驻湖南省政府采购电子卖场,遵守《湖南省政府采购电子卖场管理办法》(湘财购〔2019〕27号),如违反承诺,同意金融机构将增信保证划缴国库(非电子卖场采购活动项目不需勾选)。</w:t>
      </w:r>
    </w:p>
    <w:p w14:paraId="33E31ADF">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p>
    <w:p w14:paraId="2EC940B4">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公司(单位)名称(盖章)：</w:t>
      </w:r>
    </w:p>
    <w:p w14:paraId="34E21D28">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机构代码、注册登记机构、日期、有效期、注册资本、地 址、经济行业、经济性质</w:t>
      </w:r>
    </w:p>
    <w:p w14:paraId="42B3FAFB">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法定代表人(负责人)姓名(签字)、身份证号、手机号:</w:t>
      </w:r>
    </w:p>
    <w:p w14:paraId="43346783">
      <w:pPr>
        <w:widowControl/>
        <w:shd w:val="clear" w:color="auto"/>
        <w:spacing w:before="156" w:beforeLines="50"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授权代表人姓名(签字)、身份证号、手机号:</w:t>
      </w:r>
    </w:p>
    <w:p w14:paraId="5A44EA80">
      <w:pPr>
        <w:widowControl/>
        <w:shd w:val="clear" w:color="auto"/>
        <w:adjustRightInd w:val="0"/>
        <w:snapToGrid w:val="0"/>
        <w:spacing w:before="468" w:beforeLines="150" w:line="360" w:lineRule="auto"/>
        <w:jc w:val="center"/>
        <w:rPr>
          <w:rFonts w:hint="default" w:ascii="黑体" w:hAnsi="仿宋" w:eastAsia="黑体" w:cs="宋体"/>
          <w:b/>
          <w:color w:val="000000" w:themeColor="text1"/>
          <w:sz w:val="28"/>
          <w:szCs w:val="28"/>
          <w:highlight w:val="none"/>
          <w14:textFill>
            <w14:solidFill>
              <w14:schemeClr w14:val="tx1"/>
            </w14:solidFill>
          </w14:textFill>
        </w:rPr>
      </w:pPr>
      <w:r>
        <w:rPr>
          <w:rFonts w:ascii="黑体" w:hAnsi="仿宋" w:cs="宋体"/>
          <w:b/>
          <w:color w:val="000000" w:themeColor="text1"/>
          <w:szCs w:val="21"/>
          <w:highlight w:val="none"/>
          <w14:textFill>
            <w14:solidFill>
              <w14:schemeClr w14:val="tx1"/>
            </w14:solidFill>
          </w14:textFill>
        </w:rPr>
        <w:br w:type="page"/>
      </w:r>
      <w:bookmarkStart w:id="88" w:name="_Toc23675"/>
      <w:bookmarkStart w:id="89" w:name="_Toc32042"/>
      <w:bookmarkStart w:id="90" w:name="_Toc20651251"/>
      <w:r>
        <w:rPr>
          <w:rFonts w:hint="default" w:ascii="黑体" w:hAnsi="仿宋" w:eastAsia="黑体" w:cs="宋体"/>
          <w:b/>
          <w:color w:val="000000" w:themeColor="text1"/>
          <w:sz w:val="28"/>
          <w:szCs w:val="28"/>
          <w:highlight w:val="none"/>
          <w14:textFill>
            <w14:solidFill>
              <w14:schemeClr w14:val="tx1"/>
            </w14:solidFill>
          </w14:textFill>
        </w:rPr>
        <w:t>参加政府采购活动前三年内在经营活动中没有重大违法记录的书面声明</w:t>
      </w:r>
      <w:bookmarkEnd w:id="88"/>
      <w:bookmarkEnd w:id="89"/>
    </w:p>
    <w:p w14:paraId="1724B1D1">
      <w:pPr>
        <w:shd w:val="clear"/>
        <w:adjustRightInd w:val="0"/>
        <w:snapToGrid w:val="0"/>
        <w:spacing w:before="156" w:beforeLines="50" w:line="360" w:lineRule="auto"/>
        <w:ind w:left="-88" w:leftChars="-42"/>
        <w:outlineLvl w:val="0"/>
        <w:rPr>
          <w:rFonts w:hint="eastAsia" w:ascii="宋体" w:hAnsi="宋体" w:eastAsia="宋体" w:cs="宋体"/>
          <w:color w:val="000000" w:themeColor="text1"/>
          <w:sz w:val="21"/>
          <w:szCs w:val="21"/>
          <w:highlight w:val="none"/>
          <w14:textFill>
            <w14:solidFill>
              <w14:schemeClr w14:val="tx1"/>
            </w14:solidFill>
          </w14:textFill>
        </w:rPr>
      </w:pPr>
      <w:bookmarkStart w:id="91" w:name="_Toc20169"/>
      <w:bookmarkStart w:id="92" w:name="_Toc10029"/>
      <w:r>
        <w:rPr>
          <w:rFonts w:hint="eastAsia" w:ascii="宋体" w:hAnsi="宋体" w:eastAsia="宋体" w:cs="宋体"/>
          <w:color w:val="000000" w:themeColor="text1"/>
          <w:sz w:val="21"/>
          <w:szCs w:val="21"/>
          <w:highlight w:val="none"/>
          <w14:textFill>
            <w14:solidFill>
              <w14:schemeClr w14:val="tx1"/>
            </w14:solidFill>
          </w14:textFill>
        </w:rPr>
        <w:t>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(采购代理机构)：</w:t>
      </w:r>
      <w:bookmarkEnd w:id="91"/>
      <w:bookmarkEnd w:id="92"/>
    </w:p>
    <w:p w14:paraId="46CBA37D">
      <w:pPr>
        <w:widowControl/>
        <w:shd w:val="clear" w:color="auto"/>
        <w:spacing w:before="156" w:beforeLines="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我单位郑重声明，参加本政府采购项目前 3 年内在经营活动中没有重大违法记录（重大违法记录是指供应商因违法经营受到刑事处罚或责令停产停业、吊销许可证或者执照、较大数额等行政处罚）。</w:t>
      </w:r>
    </w:p>
    <w:p w14:paraId="007AE551">
      <w:pPr>
        <w:widowControl/>
        <w:shd w:val="clear" w:color="auto"/>
        <w:spacing w:before="156" w:beforeLines="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我单位对上述声明的真实性负责。如有虚假，将依法承担相应责任。</w:t>
      </w:r>
    </w:p>
    <w:p w14:paraId="5B726A7F">
      <w:pPr>
        <w:widowControl/>
        <w:shd w:val="clear" w:color="auto"/>
        <w:spacing w:before="156" w:beforeLines="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特此声明。</w:t>
      </w:r>
    </w:p>
    <w:p w14:paraId="5EC8B272">
      <w:pPr>
        <w:widowControl/>
        <w:shd w:val="clear"/>
        <w:adjustRightInd w:val="0"/>
        <w:snapToGrid w:val="0"/>
        <w:spacing w:before="156" w:beforeLines="50"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p>
    <w:p w14:paraId="33E1AD11">
      <w:pPr>
        <w:widowControl/>
        <w:shd w:val="clear"/>
        <w:adjustRightInd w:val="0"/>
        <w:snapToGrid w:val="0"/>
        <w:spacing w:before="156" w:beforeLines="50"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p>
    <w:p w14:paraId="376D3AD1">
      <w:pPr>
        <w:shd w:val="clear"/>
        <w:adjustRightInd w:val="0"/>
        <w:snapToGrid w:val="0"/>
        <w:spacing w:before="156" w:beforeLines="50"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供应商名称(盖单位章)：</w:t>
      </w:r>
      <w:r>
        <w:rPr>
          <w:rFonts w:hint="eastAsia" w:ascii="宋体" w:hAnsi="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28A37F04">
      <w:pPr>
        <w:shd w:val="clear"/>
        <w:adjustRightInd w:val="0"/>
        <w:snapToGrid w:val="0"/>
        <w:spacing w:before="156" w:beforeLines="50"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法定代表人或其委托代理人（签</w:t>
      </w:r>
      <w:r>
        <w:rPr>
          <w:rFonts w:hint="eastAsia" w:ascii="宋体" w:hAnsi="宋体" w:eastAsia="宋体" w:cs="宋体"/>
          <w:color w:val="000000" w:themeColor="text1"/>
          <w:sz w:val="21"/>
          <w:szCs w:val="21"/>
          <w:highlight w:val="none"/>
          <w:lang w:val="en-US" w:eastAsia="zh-CN"/>
          <w14:textFill>
            <w14:solidFill>
              <w14:schemeClr w14:val="tx1"/>
            </w14:solidFill>
          </w14:textFill>
        </w:rPr>
        <w:t>字或盖章</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u w:val="single"/>
          <w:lang w:val="en-US" w:eastAsia="zh-CN"/>
          <w14:textFill>
            <w14:solidFill>
              <w14:schemeClr w14:val="tx1"/>
            </w14:solidFill>
          </w14:textFill>
        </w:rPr>
        <w:t xml:space="preserve">               </w:t>
      </w:r>
    </w:p>
    <w:p w14:paraId="3C6A627E">
      <w:pPr>
        <w:shd w:val="clear"/>
        <w:adjustRightInd w:val="0"/>
        <w:snapToGrid w:val="0"/>
        <w:spacing w:line="360" w:lineRule="auto"/>
        <w:rPr>
          <w:b/>
          <w:bCs/>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日期：</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w:t>
      </w:r>
    </w:p>
    <w:p w14:paraId="6079111D">
      <w:pPr>
        <w:shd w:val="clear"/>
        <w:adjustRightInd w:val="0"/>
        <w:snapToGrid w:val="0"/>
        <w:spacing w:line="480" w:lineRule="exact"/>
        <w:rPr>
          <w:rFonts w:hint="eastAsia" w:ascii="宋体" w:hAnsi="宋体"/>
          <w:color w:val="000000" w:themeColor="text1"/>
          <w:sz w:val="21"/>
          <w:szCs w:val="21"/>
          <w:highlight w:val="none"/>
          <w14:textFill>
            <w14:solidFill>
              <w14:schemeClr w14:val="tx1"/>
            </w14:solidFill>
          </w14:textFill>
        </w:rPr>
      </w:pPr>
    </w:p>
    <w:p w14:paraId="100ED7FE">
      <w:pPr>
        <w:pStyle w:val="6"/>
        <w:shd w:val="clear"/>
        <w:adjustRightInd w:val="0"/>
        <w:snapToGrid w:val="0"/>
        <w:spacing w:before="156" w:beforeLines="50" w:after="0" w:line="360" w:lineRule="auto"/>
        <w:outlineLvl w:val="9"/>
        <w:rPr>
          <w:rFonts w:hint="eastAsia" w:ascii="黑体" w:hAnsi="黑体" w:cs="宋体"/>
          <w:b w:val="0"/>
          <w:color w:val="000000" w:themeColor="text1"/>
          <w:spacing w:val="6"/>
          <w:kern w:val="0"/>
          <w:sz w:val="21"/>
          <w:szCs w:val="21"/>
          <w:highlight w:val="none"/>
          <w14:textFill>
            <w14:solidFill>
              <w14:schemeClr w14:val="tx1"/>
            </w14:solidFill>
          </w14:textFill>
        </w:rPr>
      </w:pPr>
      <w:r>
        <w:rPr>
          <w:rFonts w:hint="eastAsia" w:ascii="黑体" w:hAnsi="黑体" w:cs="宋体"/>
          <w:b w:val="0"/>
          <w:color w:val="000000" w:themeColor="text1"/>
          <w:spacing w:val="6"/>
          <w:kern w:val="0"/>
          <w:sz w:val="21"/>
          <w:szCs w:val="21"/>
          <w:highlight w:val="none"/>
          <w14:textFill>
            <w14:solidFill>
              <w14:schemeClr w14:val="tx1"/>
            </w14:solidFill>
          </w14:textFill>
        </w:rPr>
        <w:t>（附“信用中国”网站（www.creditchina.gov.cn）、中国政府采购网（www.ccgp.gov.cn）信用记录查询的网页截图并加盖公司公章）</w:t>
      </w:r>
    </w:p>
    <w:p w14:paraId="33A81B54">
      <w:pPr>
        <w:shd w:val="clear"/>
        <w:rPr>
          <w:rFonts w:hint="eastAsia" w:ascii="黑体" w:hAnsi="仿宋" w:cs="宋体"/>
          <w:b/>
          <w:color w:val="000000" w:themeColor="text1"/>
          <w:sz w:val="21"/>
          <w:szCs w:val="21"/>
          <w:highlight w:val="none"/>
          <w14:textFill>
            <w14:solidFill>
              <w14:schemeClr w14:val="tx1"/>
            </w14:solidFill>
          </w14:textFill>
        </w:rPr>
      </w:pPr>
      <w:r>
        <w:rPr>
          <w:rFonts w:hint="eastAsia" w:ascii="黑体" w:hAnsi="仿宋" w:cs="宋体"/>
          <w:b/>
          <w:color w:val="000000" w:themeColor="text1"/>
          <w:sz w:val="21"/>
          <w:szCs w:val="21"/>
          <w:highlight w:val="none"/>
          <w14:textFill>
            <w14:solidFill>
              <w14:schemeClr w14:val="tx1"/>
            </w14:solidFill>
          </w14:textFill>
        </w:rPr>
        <w:br w:type="page"/>
      </w:r>
    </w:p>
    <w:p w14:paraId="345F0F35">
      <w:pPr>
        <w:widowControl/>
        <w:shd w:val="clear" w:color="auto"/>
        <w:jc w:val="left"/>
        <w:rPr>
          <w:rFonts w:hint="eastAsia" w:ascii="黑体" w:hAnsi="仿宋" w:cs="宋体"/>
          <w:b/>
          <w:color w:val="000000" w:themeColor="text1"/>
          <w:sz w:val="21"/>
          <w:szCs w:val="21"/>
          <w:highlight w:val="none"/>
          <w14:textFill>
            <w14:solidFill>
              <w14:schemeClr w14:val="tx1"/>
            </w14:solidFill>
          </w14:textFill>
        </w:rPr>
      </w:pPr>
    </w:p>
    <w:p w14:paraId="041F63B7">
      <w:pPr>
        <w:widowControl/>
        <w:shd w:val="clear" w:color="auto"/>
        <w:jc w:val="left"/>
        <w:rPr>
          <w:rFonts w:ascii="黑体" w:hAnsi="仿宋" w:cs="宋体"/>
          <w:b/>
          <w:color w:val="000000" w:themeColor="text1"/>
          <w:sz w:val="21"/>
          <w:szCs w:val="21"/>
          <w:highlight w:val="none"/>
          <w14:textFill>
            <w14:solidFill>
              <w14:schemeClr w14:val="tx1"/>
            </w14:solidFill>
          </w14:textFill>
        </w:rPr>
      </w:pPr>
      <w:r>
        <w:rPr>
          <w:rFonts w:hint="eastAsia" w:ascii="黑体" w:hAnsi="仿宋" w:cs="宋体"/>
          <w:b/>
          <w:color w:val="000000" w:themeColor="text1"/>
          <w:sz w:val="21"/>
          <w:szCs w:val="21"/>
          <w:highlight w:val="none"/>
          <w14:textFill>
            <w14:solidFill>
              <w14:schemeClr w14:val="tx1"/>
            </w14:solidFill>
          </w14:textFill>
        </w:rPr>
        <w:t xml:space="preserve">附件4-3 </w:t>
      </w:r>
      <w:bookmarkEnd w:id="90"/>
    </w:p>
    <w:p w14:paraId="7F39417C">
      <w:pPr>
        <w:widowControl/>
        <w:shd w:val="clear" w:color="auto"/>
        <w:adjustRightInd w:val="0"/>
        <w:snapToGrid w:val="0"/>
        <w:spacing w:line="360" w:lineRule="auto"/>
        <w:jc w:val="center"/>
        <w:rPr>
          <w:rFonts w:ascii="黑体" w:hAnsi="仿宋" w:eastAsia="黑体" w:cs="宋体"/>
          <w:b/>
          <w:color w:val="000000" w:themeColor="text1"/>
          <w:sz w:val="28"/>
          <w:szCs w:val="28"/>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符合特定资格条件证明材料复印件或者情况说明</w:t>
      </w:r>
    </w:p>
    <w:p w14:paraId="78A3AB3E">
      <w:pPr>
        <w:widowControl/>
        <w:shd w:val="clear" w:color="auto"/>
        <w:adjustRightInd w:val="0"/>
        <w:snapToGrid w:val="0"/>
        <w:spacing w:line="360" w:lineRule="auto"/>
        <w:ind w:firstLine="560" w:firstLineChars="200"/>
        <w:jc w:val="left"/>
        <w:rPr>
          <w:rFonts w:ascii="黑体" w:hAnsi="仿宋" w:eastAsia="黑体" w:cs="宋体"/>
          <w:color w:val="000000" w:themeColor="text1"/>
          <w:sz w:val="28"/>
          <w:szCs w:val="28"/>
          <w:highlight w:val="none"/>
          <w14:textFill>
            <w14:solidFill>
              <w14:schemeClr w14:val="tx1"/>
            </w14:solidFill>
          </w14:textFill>
        </w:rPr>
      </w:pPr>
    </w:p>
    <w:p w14:paraId="135B55F2">
      <w:pPr>
        <w:widowControl/>
        <w:shd w:val="clear" w:color="auto"/>
        <w:adjustRightInd w:val="0"/>
        <w:snapToGrid w:val="0"/>
        <w:spacing w:line="360" w:lineRule="auto"/>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注：按第三章资格审查要求提供。</w:t>
      </w:r>
    </w:p>
    <w:p w14:paraId="0D5478C6">
      <w:pPr>
        <w:widowControl/>
        <w:shd w:val="clear" w:color="auto"/>
        <w:jc w:val="left"/>
        <w:rPr>
          <w:rFonts w:hint="eastAsia" w:ascii="宋体" w:hAnsi="宋体"/>
          <w:color w:val="000000" w:themeColor="text1"/>
          <w:sz w:val="30"/>
          <w:szCs w:val="30"/>
          <w:highlight w:val="none"/>
          <w14:textFill>
            <w14:solidFill>
              <w14:schemeClr w14:val="tx1"/>
            </w14:solidFill>
          </w14:textFill>
        </w:rPr>
      </w:pPr>
      <w:r>
        <w:rPr>
          <w:rFonts w:hint="eastAsia" w:ascii="宋体" w:hAnsi="宋体"/>
          <w:color w:val="000000" w:themeColor="text1"/>
          <w:sz w:val="30"/>
          <w:szCs w:val="30"/>
          <w:highlight w:val="none"/>
          <w14:textFill>
            <w14:solidFill>
              <w14:schemeClr w14:val="tx1"/>
            </w14:solidFill>
          </w14:textFill>
        </w:rPr>
        <w:br w:type="page"/>
      </w:r>
      <w:bookmarkStart w:id="93" w:name="_Toc20651252"/>
    </w:p>
    <w:p w14:paraId="37F031A1">
      <w:pPr>
        <w:widowControl/>
        <w:shd w:val="clear" w:color="auto"/>
        <w:jc w:val="left"/>
        <w:rPr>
          <w:rFonts w:ascii="黑体" w:hAnsi="宋体" w:cs="宋体"/>
          <w:color w:val="000000" w:themeColor="text1"/>
          <w:kern w:val="0"/>
          <w:szCs w:val="21"/>
          <w:highlight w:val="none"/>
          <w14:textFill>
            <w14:solidFill>
              <w14:schemeClr w14:val="tx1"/>
            </w14:solidFill>
          </w14:textFill>
        </w:rPr>
      </w:pPr>
      <w:r>
        <w:rPr>
          <w:rFonts w:hint="eastAsia" w:ascii="黑体" w:hAnsi="仿宋" w:cs="宋体"/>
          <w:color w:val="000000" w:themeColor="text1"/>
          <w:szCs w:val="21"/>
          <w:highlight w:val="none"/>
          <w14:textFill>
            <w14:solidFill>
              <w14:schemeClr w14:val="tx1"/>
            </w14:solidFill>
          </w14:textFill>
        </w:rPr>
        <w:t>附件4-4 联合体协议书（格式）</w:t>
      </w:r>
      <w:bookmarkEnd w:id="93"/>
    </w:p>
    <w:p w14:paraId="21848EF4">
      <w:pPr>
        <w:shd w:val="clear" w:color="auto"/>
        <w:adjustRightInd w:val="0"/>
        <w:snapToGrid w:val="0"/>
        <w:spacing w:line="360" w:lineRule="auto"/>
        <w:jc w:val="center"/>
        <w:rPr>
          <w:rFonts w:ascii="宋体" w:hAnsi="宋体"/>
          <w:b/>
          <w:color w:val="000000" w:themeColor="text1"/>
          <w:szCs w:val="21"/>
          <w:highlight w:val="none"/>
          <w14:textFill>
            <w14:solidFill>
              <w14:schemeClr w14:val="tx1"/>
            </w14:solidFill>
          </w14:textFill>
        </w:rPr>
      </w:pPr>
      <w:r>
        <w:rPr>
          <w:rFonts w:hint="eastAsia" w:ascii="黑体" w:hAnsi="仿宋" w:eastAsia="黑体" w:cs="宋体"/>
          <w:b/>
          <w:color w:val="000000" w:themeColor="text1"/>
          <w:sz w:val="28"/>
          <w:szCs w:val="28"/>
          <w:highlight w:val="none"/>
          <w14:textFill>
            <w14:solidFill>
              <w14:schemeClr w14:val="tx1"/>
            </w14:solidFill>
          </w14:textFill>
        </w:rPr>
        <w:t>联合体协议书（格式）</w:t>
      </w:r>
    </w:p>
    <w:p w14:paraId="5B194AEC">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p>
    <w:p w14:paraId="1A415818">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（采购人、采购代理机构）：</w:t>
      </w:r>
    </w:p>
    <w:p w14:paraId="0C594716">
      <w:pPr>
        <w:shd w:val="clear" w:color="auto"/>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经研究，我们决定自愿组成联合体共同参加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（项目名称</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（采购代理编号：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）项目的投标。现就联合体投标事宜订立如下协议：</w:t>
      </w:r>
    </w:p>
    <w:p w14:paraId="416D30E0">
      <w:pPr>
        <w:shd w:val="clear" w:color="auto"/>
        <w:adjustRightInd w:val="0"/>
        <w:snapToGrid w:val="0"/>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一、联合体基本信息：</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（各方公司名称、地址、注册资金、营业执照、</w:t>
      </w: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姓名）</w:t>
      </w:r>
    </w:p>
    <w:p w14:paraId="258B7535">
      <w:pPr>
        <w:shd w:val="clear" w:color="auto"/>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（某成员单位名称）为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（联合体名称）牵头人。</w:t>
      </w:r>
    </w:p>
    <w:p w14:paraId="505BDDE6">
      <w:pPr>
        <w:shd w:val="clear" w:color="auto"/>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1CBE21B1">
      <w:pPr>
        <w:shd w:val="clear" w:color="auto"/>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四．联合体将严格按照招标文件的各项要求，递交投标文件，参加投标，履行中标义务和中标后的合同，并向采购人承担连带责任。</w:t>
      </w:r>
    </w:p>
    <w:p w14:paraId="7AEFCF5A">
      <w:pPr>
        <w:shd w:val="clear" w:color="auto"/>
        <w:adjustRightInd w:val="0"/>
        <w:snapToGrid w:val="0"/>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五、联合体各成员单位内部的职责分工如下：</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。按照本条上述分工，联合体各成员的协议合同金额占联合体协议合同总金额比例如下：</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613B20A5">
      <w:pPr>
        <w:shd w:val="clear" w:color="auto"/>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六、本协议书自签署之日起生效，合同履行完毕后自动失效。</w:t>
      </w:r>
    </w:p>
    <w:p w14:paraId="6B0D191E">
      <w:pPr>
        <w:shd w:val="clear" w:color="auto"/>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七、本协议书一式</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份，联合体成员和采购人各执一份。</w:t>
      </w:r>
    </w:p>
    <w:p w14:paraId="7ADBECD7">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p>
    <w:p w14:paraId="14370BD4">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牵头人名称（盖单位章）：</w:t>
      </w:r>
    </w:p>
    <w:p w14:paraId="2BC7C6EC">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7D9841C1">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p>
    <w:p w14:paraId="562A9324">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成员1名称（盖单位章）：</w:t>
      </w:r>
    </w:p>
    <w:p w14:paraId="60B2FB36">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51C230F8">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成员2名称（盖单位章）：</w:t>
      </w:r>
    </w:p>
    <w:p w14:paraId="77F021DF">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s="微软雅黑"/>
          <w:color w:val="000000" w:themeColor="text1"/>
          <w:spacing w:val="-2"/>
          <w:kern w:val="0"/>
          <w:szCs w:val="21"/>
          <w:highlight w:val="none"/>
          <w14:textFill>
            <w14:solidFill>
              <w14:schemeClr w14:val="tx1"/>
            </w14:solidFill>
          </w14:textFill>
        </w:rPr>
        <w:t>法</w:t>
      </w:r>
      <w:r>
        <w:rPr>
          <w:rFonts w:hint="eastAsia" w:ascii="宋体" w:hAnsi="宋体" w:cs="微软雅黑"/>
          <w:color w:val="000000" w:themeColor="text1"/>
          <w:kern w:val="0"/>
          <w:szCs w:val="21"/>
          <w:highlight w:val="none"/>
          <w14:textFill>
            <w14:solidFill>
              <w14:schemeClr w14:val="tx1"/>
            </w14:solidFill>
          </w14:textFill>
        </w:rPr>
        <w:t>定</w:t>
      </w:r>
      <w:r>
        <w:rPr>
          <w:rFonts w:hint="eastAsia" w:ascii="宋体" w:hAnsi="宋体" w:cs="微软雅黑"/>
          <w:color w:val="000000" w:themeColor="text1"/>
          <w:spacing w:val="-2"/>
          <w:kern w:val="0"/>
          <w:szCs w:val="21"/>
          <w:highlight w:val="none"/>
          <w14:textFill>
            <w14:solidFill>
              <w14:schemeClr w14:val="tx1"/>
            </w14:solidFill>
          </w14:textFill>
        </w:rPr>
        <w:t>代</w:t>
      </w:r>
      <w:r>
        <w:rPr>
          <w:rFonts w:hint="eastAsia" w:ascii="宋体" w:hAnsi="宋体" w:cs="微软雅黑"/>
          <w:color w:val="000000" w:themeColor="text1"/>
          <w:kern w:val="0"/>
          <w:szCs w:val="21"/>
          <w:highlight w:val="none"/>
          <w14:textFill>
            <w14:solidFill>
              <w14:schemeClr w14:val="tx1"/>
            </w14:solidFill>
          </w14:textFill>
        </w:rPr>
        <w:t>表</w:t>
      </w:r>
      <w:r>
        <w:rPr>
          <w:rFonts w:hint="eastAsia" w:ascii="宋体" w:hAnsi="宋体" w:cs="微软雅黑"/>
          <w:color w:val="000000" w:themeColor="text1"/>
          <w:spacing w:val="-2"/>
          <w:kern w:val="0"/>
          <w:szCs w:val="21"/>
          <w:highlight w:val="none"/>
          <w14:textFill>
            <w14:solidFill>
              <w14:schemeClr w14:val="tx1"/>
            </w14:solidFill>
          </w14:textFill>
        </w:rPr>
        <w:t>人</w:t>
      </w:r>
      <w:r>
        <w:rPr>
          <w:rFonts w:hint="eastAsia" w:ascii="宋体" w:hAnsi="宋体" w:cs="微软雅黑"/>
          <w:color w:val="000000" w:themeColor="text1"/>
          <w:kern w:val="0"/>
          <w:szCs w:val="21"/>
          <w:highlight w:val="none"/>
          <w14:textFill>
            <w14:solidFill>
              <w14:schemeClr w14:val="tx1"/>
            </w14:solidFill>
          </w14:textFill>
        </w:rPr>
        <w:t>（</w:t>
      </w:r>
      <w:r>
        <w:rPr>
          <w:rFonts w:hint="eastAsia" w:ascii="宋体" w:hAnsi="宋体" w:cs="微软雅黑"/>
          <w:color w:val="000000" w:themeColor="text1"/>
          <w:spacing w:val="-2"/>
          <w:kern w:val="0"/>
          <w:szCs w:val="21"/>
          <w:highlight w:val="none"/>
          <w14:textFill>
            <w14:solidFill>
              <w14:schemeClr w14:val="tx1"/>
            </w14:solidFill>
          </w14:textFill>
        </w:rPr>
        <w:t>单</w:t>
      </w:r>
      <w:r>
        <w:rPr>
          <w:rFonts w:hint="eastAsia" w:ascii="宋体" w:hAnsi="宋体" w:cs="微软雅黑"/>
          <w:color w:val="000000" w:themeColor="text1"/>
          <w:kern w:val="0"/>
          <w:szCs w:val="21"/>
          <w:highlight w:val="none"/>
          <w14:textFill>
            <w14:solidFill>
              <w14:schemeClr w14:val="tx1"/>
            </w14:solidFill>
          </w14:textFill>
        </w:rPr>
        <w:t>位</w:t>
      </w:r>
      <w:r>
        <w:rPr>
          <w:rFonts w:hint="eastAsia" w:ascii="宋体" w:hAnsi="宋体" w:cs="微软雅黑"/>
          <w:color w:val="000000" w:themeColor="text1"/>
          <w:spacing w:val="-2"/>
          <w:kern w:val="0"/>
          <w:szCs w:val="21"/>
          <w:highlight w:val="none"/>
          <w14:textFill>
            <w14:solidFill>
              <w14:schemeClr w14:val="tx1"/>
            </w14:solidFill>
          </w14:textFill>
        </w:rPr>
        <w:t>负</w:t>
      </w:r>
      <w:r>
        <w:rPr>
          <w:rFonts w:hint="eastAsia" w:ascii="宋体" w:hAnsi="宋体" w:cs="微软雅黑"/>
          <w:color w:val="000000" w:themeColor="text1"/>
          <w:kern w:val="0"/>
          <w:szCs w:val="21"/>
          <w:highlight w:val="none"/>
          <w14:textFill>
            <w14:solidFill>
              <w14:schemeClr w14:val="tx1"/>
            </w14:solidFill>
          </w14:textFill>
        </w:rPr>
        <w:t>责人</w:t>
      </w:r>
      <w:r>
        <w:rPr>
          <w:rFonts w:hint="eastAsia" w:ascii="宋体" w:hAnsi="宋体" w:cs="微软雅黑"/>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或其委托代理人（签字或印章）：</w:t>
      </w:r>
      <w:r>
        <w:rPr>
          <w:rFonts w:hint="eastAsia" w:ascii="宋体" w:hAnsi="宋体"/>
          <w:color w:val="000000" w:themeColor="text1"/>
          <w:szCs w:val="21"/>
          <w:highlight w:val="none"/>
          <w:u w:val="single"/>
          <w14:textFill>
            <w14:solidFill>
              <w14:schemeClr w14:val="tx1"/>
            </w14:solidFill>
          </w14:textFill>
        </w:rPr>
        <w:t xml:space="preserve">                          </w:t>
      </w:r>
    </w:p>
    <w:p w14:paraId="06B816B4">
      <w:pPr>
        <w:shd w:val="clear" w:color="auto"/>
        <w:adjustRightInd w:val="0"/>
        <w:snapToGrid w:val="0"/>
        <w:spacing w:line="360" w:lineRule="auto"/>
        <w:rPr>
          <w:rFonts w:hint="eastAsia" w:ascii="宋体" w:hAnsi="宋体"/>
          <w:color w:val="000000" w:themeColor="text1"/>
          <w:szCs w:val="21"/>
          <w:highlight w:val="none"/>
          <w14:textFill>
            <w14:solidFill>
              <w14:schemeClr w14:val="tx1"/>
            </w14:solidFill>
          </w14:textFill>
        </w:rPr>
      </w:pPr>
    </w:p>
    <w:p w14:paraId="3FA1BB29">
      <w:pPr>
        <w:shd w:val="clear" w:color="auto"/>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日  </w:t>
      </w:r>
    </w:p>
    <w:p w14:paraId="28F3F842">
      <w:pPr>
        <w:widowControl/>
        <w:shd w:val="clear" w:color="auto"/>
        <w:adjustRightInd w:val="0"/>
        <w:snapToGrid w:val="0"/>
        <w:spacing w:line="360" w:lineRule="auto"/>
        <w:ind w:firstLine="422"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w:t>
      </w:r>
      <w:r>
        <w:rPr>
          <w:rFonts w:hint="eastAsia" w:ascii="宋体" w:hAnsi="宋体"/>
          <w:color w:val="000000" w:themeColor="text1"/>
          <w:szCs w:val="21"/>
          <w:highlight w:val="none"/>
          <w14:textFill>
            <w14:solidFill>
              <w14:schemeClr w14:val="tx1"/>
            </w14:solidFill>
          </w14:textFill>
        </w:rPr>
        <w:t>：1、本协议书由委托代理人签字的，应附法定代表人（单位负责人）授权委托书。</w:t>
      </w:r>
    </w:p>
    <w:p w14:paraId="255C7308">
      <w:pPr>
        <w:pStyle w:val="42"/>
        <w:shd w:val="clear" w:color="auto"/>
        <w:ind w:firstLine="840" w:firstLineChars="400"/>
        <w:rPr>
          <w:rFonts w:hint="eastAsia" w:ascii="宋体" w:hAnsi="宋体"/>
          <w:color w:val="000000" w:themeColor="text1"/>
          <w:kern w:val="2"/>
          <w:sz w:val="21"/>
          <w:szCs w:val="21"/>
          <w:highlight w:val="none"/>
          <w14:textFill>
            <w14:solidFill>
              <w14:schemeClr w14:val="tx1"/>
            </w14:solidFill>
          </w14:textFill>
        </w:rPr>
      </w:pPr>
      <w:r>
        <w:rPr>
          <w:rFonts w:hint="eastAsia" w:ascii="宋体" w:hAnsi="宋体"/>
          <w:color w:val="000000" w:themeColor="text1"/>
          <w:kern w:val="2"/>
          <w:sz w:val="21"/>
          <w:szCs w:val="21"/>
          <w:highlight w:val="none"/>
          <w14:textFill>
            <w14:solidFill>
              <w14:schemeClr w14:val="tx1"/>
            </w14:solidFill>
          </w14:textFill>
        </w:rPr>
        <w:t>2、投标人在提交投标文件的截止时间前修改“开标一览表”中的投标报价，影响本协议书第五条的，应同时修改本协议书第五条。否则，评审时价格评审优惠不予以考虑。</w:t>
      </w:r>
    </w:p>
    <w:p w14:paraId="3FCF4E96">
      <w:pPr>
        <w:shd w:val="clear" w:color="auto"/>
        <w:jc w:val="center"/>
        <w:rPr>
          <w:rFonts w:ascii="黑体" w:eastAsia="黑体"/>
          <w:color w:val="000000" w:themeColor="text1"/>
          <w:sz w:val="32"/>
          <w:szCs w:val="32"/>
          <w:highlight w:val="none"/>
          <w14:textFill>
            <w14:solidFill>
              <w14:schemeClr w14:val="tx1"/>
            </w14:solidFill>
          </w14:textFill>
        </w:rPr>
      </w:pPr>
    </w:p>
    <w:p w14:paraId="2D65D5E9">
      <w:pPr>
        <w:shd w:val="clear"/>
        <w:adjustRightInd w:val="0"/>
        <w:snapToGrid w:val="0"/>
        <w:spacing w:line="360" w:lineRule="auto"/>
        <w:jc w:val="center"/>
        <w:rPr>
          <w:rFonts w:ascii="黑体" w:eastAsia="黑体"/>
          <w:color w:val="000000" w:themeColor="text1"/>
          <w:sz w:val="32"/>
          <w:szCs w:val="32"/>
          <w:highlight w:val="none"/>
          <w14:textFill>
            <w14:solidFill>
              <w14:schemeClr w14:val="tx1"/>
            </w14:solidFill>
          </w14:textFill>
        </w:rPr>
      </w:pPr>
    </w:p>
    <w:p w14:paraId="7AB7D654">
      <w:pPr>
        <w:shd w:val="clear"/>
        <w:adjustRightInd w:val="0"/>
        <w:snapToGrid w:val="0"/>
        <w:spacing w:line="360" w:lineRule="auto"/>
        <w:jc w:val="center"/>
        <w:rPr>
          <w:rFonts w:ascii="黑体" w:eastAsia="黑体"/>
          <w:color w:val="000000" w:themeColor="text1"/>
          <w:sz w:val="32"/>
          <w:szCs w:val="32"/>
          <w:highlight w:val="none"/>
          <w14:textFill>
            <w14:solidFill>
              <w14:schemeClr w14:val="tx1"/>
            </w14:solidFill>
          </w14:textFill>
        </w:rPr>
      </w:pPr>
    </w:p>
    <w:p w14:paraId="10856FAB">
      <w:pPr>
        <w:pStyle w:val="22"/>
        <w:shd w:val="clear"/>
        <w:adjustRightInd w:val="0"/>
        <w:snapToGrid w:val="0"/>
        <w:spacing w:line="360" w:lineRule="auto"/>
        <w:jc w:val="center"/>
        <w:rPr>
          <w:rFonts w:ascii="华文中宋" w:hAnsi="华文中宋" w:eastAsia="华文中宋"/>
          <w:bCs/>
          <w:color w:val="000000" w:themeColor="text1"/>
          <w:sz w:val="72"/>
          <w:szCs w:val="72"/>
          <w:highlight w:val="none"/>
          <w14:textFill>
            <w14:solidFill>
              <w14:schemeClr w14:val="tx1"/>
            </w14:solidFill>
          </w14:textFill>
        </w:rPr>
      </w:pPr>
      <w:r>
        <w:rPr>
          <w:rFonts w:hint="eastAsia" w:ascii="华文中宋" w:hAnsi="华文中宋" w:eastAsia="华文中宋"/>
          <w:bCs/>
          <w:color w:val="000000" w:themeColor="text1"/>
          <w:sz w:val="72"/>
          <w:szCs w:val="72"/>
          <w:highlight w:val="none"/>
          <w14:textFill>
            <w14:solidFill>
              <w14:schemeClr w14:val="tx1"/>
            </w14:solidFill>
          </w14:textFill>
        </w:rPr>
        <w:t>政府采购</w:t>
      </w:r>
    </w:p>
    <w:p w14:paraId="732AA1CD">
      <w:pPr>
        <w:shd w:val="clear"/>
        <w:adjustRightInd w:val="0"/>
        <w:snapToGrid w:val="0"/>
        <w:spacing w:line="360" w:lineRule="auto"/>
        <w:jc w:val="center"/>
        <w:rPr>
          <w:rFonts w:asciiTheme="minorEastAsia" w:hAnsiTheme="minorEastAsia" w:eastAsiaTheme="minorEastAsia"/>
          <w:b/>
          <w:bCs/>
          <w:color w:val="000000" w:themeColor="text1"/>
          <w:sz w:val="84"/>
          <w:szCs w:val="84"/>
          <w:highlight w:val="none"/>
          <w14:textFill>
            <w14:solidFill>
              <w14:schemeClr w14:val="tx1"/>
            </w14:solidFill>
          </w14:textFill>
        </w:rPr>
      </w:pPr>
      <w:r>
        <w:rPr>
          <w:rFonts w:hint="eastAsia" w:asciiTheme="minorEastAsia" w:hAnsiTheme="minorEastAsia" w:eastAsiaTheme="minorEastAsia"/>
          <w:b/>
          <w:bCs/>
          <w:color w:val="000000" w:themeColor="text1"/>
          <w:sz w:val="84"/>
          <w:szCs w:val="84"/>
          <w:highlight w:val="none"/>
          <w14:textFill>
            <w14:solidFill>
              <w14:schemeClr w14:val="tx1"/>
            </w14:solidFill>
          </w14:textFill>
        </w:rPr>
        <w:t>投 标 文 件</w:t>
      </w:r>
    </w:p>
    <w:p w14:paraId="5073BB2F">
      <w:pPr>
        <w:pStyle w:val="2"/>
        <w:shd w:val="clear"/>
        <w:adjustRightInd w:val="0"/>
        <w:snapToGrid w:val="0"/>
        <w:jc w:val="center"/>
        <w:rPr>
          <w:rFonts w:ascii="黑体" w:hAnsi="黑体" w:eastAsia="黑体"/>
          <w:color w:val="000000" w:themeColor="text1"/>
          <w:sz w:val="44"/>
          <w:szCs w:val="44"/>
          <w:highlight w:val="none"/>
          <w14:textFill>
            <w14:solidFill>
              <w14:schemeClr w14:val="tx1"/>
            </w14:solidFill>
          </w14:textFill>
        </w:rPr>
      </w:pPr>
      <w:bookmarkStart w:id="94" w:name="_Toc20028"/>
      <w:bookmarkStart w:id="95" w:name="_Toc14626"/>
      <w:bookmarkStart w:id="96" w:name="_Toc27237"/>
      <w:bookmarkStart w:id="97" w:name="_Toc10532"/>
      <w:r>
        <w:rPr>
          <w:rFonts w:hint="eastAsia" w:ascii="黑体" w:hAnsi="黑体" w:eastAsia="黑体"/>
          <w:color w:val="000000" w:themeColor="text1"/>
          <w:sz w:val="44"/>
          <w:szCs w:val="44"/>
          <w:highlight w:val="none"/>
          <w14:textFill>
            <w14:solidFill>
              <w14:schemeClr w14:val="tx1"/>
            </w14:solidFill>
          </w14:textFill>
        </w:rPr>
        <w:t>第二部分 商务技术文件</w:t>
      </w:r>
      <w:bookmarkEnd w:id="94"/>
      <w:bookmarkEnd w:id="95"/>
      <w:bookmarkEnd w:id="96"/>
      <w:bookmarkEnd w:id="97"/>
    </w:p>
    <w:p w14:paraId="7CD13168">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14:textFill>
            <w14:solidFill>
              <w14:schemeClr w14:val="tx1"/>
            </w14:solidFill>
          </w14:textFill>
        </w:rPr>
      </w:pPr>
    </w:p>
    <w:p w14:paraId="2A8D39A3">
      <w:pPr>
        <w:pStyle w:val="53"/>
        <w:shd w:val="clear"/>
        <w:rPr>
          <w:rFonts w:asciiTheme="minorEastAsia" w:hAnsiTheme="minorEastAsia" w:eastAsiaTheme="minorEastAsia"/>
          <w:b/>
          <w:bCs/>
          <w:color w:val="000000" w:themeColor="text1"/>
          <w:sz w:val="30"/>
          <w:szCs w:val="30"/>
          <w:highlight w:val="none"/>
          <w14:textFill>
            <w14:solidFill>
              <w14:schemeClr w14:val="tx1"/>
            </w14:solidFill>
          </w14:textFill>
        </w:rPr>
      </w:pPr>
    </w:p>
    <w:p w14:paraId="29160760">
      <w:pPr>
        <w:pStyle w:val="53"/>
        <w:shd w:val="clear"/>
        <w:rPr>
          <w:rFonts w:asciiTheme="minorEastAsia" w:hAnsiTheme="minorEastAsia" w:eastAsiaTheme="minorEastAsia"/>
          <w:b/>
          <w:bCs/>
          <w:color w:val="000000" w:themeColor="text1"/>
          <w:sz w:val="30"/>
          <w:szCs w:val="30"/>
          <w:highlight w:val="none"/>
          <w14:textFill>
            <w14:solidFill>
              <w14:schemeClr w14:val="tx1"/>
            </w14:solidFill>
          </w14:textFill>
        </w:rPr>
      </w:pPr>
    </w:p>
    <w:p w14:paraId="343C9D32">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采购项目名称:</w:t>
      </w:r>
    </w:p>
    <w:p w14:paraId="4DFEA37F">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   购   人：</w:t>
      </w:r>
    </w:p>
    <w:p w14:paraId="0DABEF3E">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政府采购编号:</w:t>
      </w:r>
    </w:p>
    <w:p w14:paraId="2AA95A55">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采购代理编号:</w:t>
      </w:r>
    </w:p>
    <w:p w14:paraId="0FEC19DF">
      <w:pPr>
        <w:pStyle w:val="22"/>
        <w:shd w:val="clear"/>
        <w:adjustRightInd w:val="0"/>
        <w:snapToGrid w:val="0"/>
        <w:spacing w:line="360" w:lineRule="auto"/>
        <w:ind w:firstLine="1988" w:firstLineChars="660"/>
        <w:rPr>
          <w:rFonts w:asciiTheme="minorEastAsia" w:hAnsiTheme="minorEastAsia" w:eastAsiaTheme="minorEastAsia"/>
          <w:b/>
          <w:bCs/>
          <w:color w:val="000000" w:themeColor="text1"/>
          <w:sz w:val="30"/>
          <w:szCs w:val="30"/>
          <w:highlight w:val="none"/>
          <w:u w:val="single"/>
          <w14:textFill>
            <w14:solidFill>
              <w14:schemeClr w14:val="tx1"/>
            </w14:solidFill>
          </w14:textFill>
        </w:rPr>
      </w:pPr>
      <w:r>
        <w:rPr>
          <w:rFonts w:hint="eastAsia" w:asciiTheme="minorEastAsia" w:hAnsiTheme="minorEastAsia" w:eastAsiaTheme="minorEastAsia"/>
          <w:b/>
          <w:bCs/>
          <w:color w:val="000000" w:themeColor="text1"/>
          <w:sz w:val="30"/>
          <w:szCs w:val="30"/>
          <w:highlight w:val="none"/>
          <w14:textFill>
            <w14:solidFill>
              <w14:schemeClr w14:val="tx1"/>
            </w14:solidFill>
          </w14:textFill>
        </w:rPr>
        <w:t>采购代理机构：</w:t>
      </w:r>
    </w:p>
    <w:p w14:paraId="2C5F1931">
      <w:pPr>
        <w:shd w:val="clear"/>
        <w:adjustRightInd w:val="0"/>
        <w:snapToGrid w:val="0"/>
        <w:spacing w:line="360" w:lineRule="auto"/>
        <w:rPr>
          <w:rFonts w:asciiTheme="minorEastAsia" w:hAnsiTheme="minorEastAsia" w:eastAsiaTheme="minorEastAsia"/>
          <w:color w:val="000000" w:themeColor="text1"/>
          <w:sz w:val="30"/>
          <w:szCs w:val="30"/>
          <w:highlight w:val="none"/>
          <w14:textFill>
            <w14:solidFill>
              <w14:schemeClr w14:val="tx1"/>
            </w14:solidFill>
          </w14:textFill>
        </w:rPr>
      </w:pPr>
    </w:p>
    <w:p w14:paraId="28D050D4">
      <w:pPr>
        <w:shd w:val="clear"/>
        <w:adjustRightInd w:val="0"/>
        <w:snapToGrid w:val="0"/>
        <w:spacing w:line="360" w:lineRule="auto"/>
        <w:rPr>
          <w:rFonts w:asciiTheme="minorEastAsia" w:hAnsiTheme="minorEastAsia" w:eastAsiaTheme="minorEastAsia"/>
          <w:color w:val="000000" w:themeColor="text1"/>
          <w:sz w:val="30"/>
          <w:szCs w:val="30"/>
          <w:highlight w:val="none"/>
          <w14:textFill>
            <w14:solidFill>
              <w14:schemeClr w14:val="tx1"/>
            </w14:solidFill>
          </w14:textFill>
        </w:rPr>
      </w:pPr>
    </w:p>
    <w:p w14:paraId="0679B5F1">
      <w:pPr>
        <w:shd w:val="clear"/>
        <w:adjustRightInd w:val="0"/>
        <w:snapToGrid w:val="0"/>
        <w:spacing w:line="360" w:lineRule="auto"/>
        <w:rPr>
          <w:rFonts w:asciiTheme="minorEastAsia" w:hAnsiTheme="minorEastAsia" w:eastAsiaTheme="minorEastAsia"/>
          <w:color w:val="000000" w:themeColor="text1"/>
          <w:sz w:val="30"/>
          <w:szCs w:val="30"/>
          <w:highlight w:val="none"/>
          <w14:textFill>
            <w14:solidFill>
              <w14:schemeClr w14:val="tx1"/>
            </w14:solidFill>
          </w14:textFill>
        </w:rPr>
      </w:pPr>
    </w:p>
    <w:p w14:paraId="5B984336">
      <w:pPr>
        <w:shd w:val="clear"/>
        <w:adjustRightInd w:val="0"/>
        <w:snapToGrid w:val="0"/>
        <w:spacing w:line="360" w:lineRule="auto"/>
        <w:rPr>
          <w:rFonts w:asciiTheme="minorEastAsia" w:hAnsiTheme="minorEastAsia" w:eastAsiaTheme="minorEastAsia"/>
          <w:color w:val="000000" w:themeColor="text1"/>
          <w:sz w:val="30"/>
          <w:szCs w:val="30"/>
          <w:highlight w:val="none"/>
          <w14:textFill>
            <w14:solidFill>
              <w14:schemeClr w14:val="tx1"/>
            </w14:solidFill>
          </w14:textFill>
        </w:rPr>
      </w:pPr>
    </w:p>
    <w:p w14:paraId="7FD7295E">
      <w:pPr>
        <w:shd w:val="clear"/>
        <w:adjustRightInd w:val="0"/>
        <w:snapToGrid w:val="0"/>
        <w:spacing w:line="360" w:lineRule="auto"/>
        <w:ind w:left="1273" w:leftChars="606" w:firstLine="2"/>
        <w:rPr>
          <w:rFonts w:asciiTheme="minorEastAsia" w:hAnsiTheme="minorEastAsia" w:eastAsiaTheme="minorEastAsia"/>
          <w:color w:val="000000" w:themeColor="text1"/>
          <w:sz w:val="32"/>
          <w:szCs w:val="32"/>
          <w:highlight w:val="none"/>
          <w:u w:val="single"/>
          <w14:textFill>
            <w14:solidFill>
              <w14:schemeClr w14:val="tx1"/>
            </w14:solidFill>
          </w14:textFill>
        </w:rPr>
      </w:pPr>
      <w:r>
        <w:rPr>
          <w:rFonts w:hint="eastAsia" w:asciiTheme="minorEastAsia" w:hAnsiTheme="minorEastAsia" w:eastAsiaTheme="minorEastAsia"/>
          <w:color w:val="000000" w:themeColor="text1"/>
          <w:sz w:val="32"/>
          <w:szCs w:val="32"/>
          <w:highlight w:val="none"/>
          <w14:textFill>
            <w14:solidFill>
              <w14:schemeClr w14:val="tx1"/>
            </w14:solidFill>
          </w14:textFill>
        </w:rPr>
        <w:t>投标人：</w:t>
      </w:r>
    </w:p>
    <w:p w14:paraId="201E6A65">
      <w:pPr>
        <w:shd w:val="clear"/>
        <w:adjustRightInd w:val="0"/>
        <w:snapToGrid w:val="0"/>
        <w:spacing w:line="360" w:lineRule="auto"/>
        <w:jc w:val="center"/>
        <w:rPr>
          <w:rFonts w:asciiTheme="minorEastAsia" w:hAnsiTheme="minorEastAsia" w:eastAsiaTheme="minorEastAsia"/>
          <w:color w:val="000000" w:themeColor="text1"/>
          <w:sz w:val="32"/>
          <w:szCs w:val="32"/>
          <w:highlight w:val="none"/>
          <w14:textFill>
            <w14:solidFill>
              <w14:schemeClr w14:val="tx1"/>
            </w14:solidFill>
          </w14:textFill>
        </w:rPr>
      </w:pPr>
      <w:r>
        <w:rPr>
          <w:rFonts w:hint="eastAsia" w:asciiTheme="minorEastAsia" w:hAnsiTheme="minorEastAsia" w:eastAsiaTheme="minorEastAsia"/>
          <w:color w:val="000000" w:themeColor="text1"/>
          <w:sz w:val="32"/>
          <w:szCs w:val="32"/>
          <w:highlight w:val="none"/>
          <w14:textFill>
            <w14:solidFill>
              <w14:schemeClr w14:val="tx1"/>
            </w14:solidFill>
          </w14:textFill>
        </w:rPr>
        <w:t>年  月  日</w:t>
      </w:r>
    </w:p>
    <w:p w14:paraId="4623F035">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bookmarkStart w:id="98" w:name="_Toc18209"/>
      <w:bookmarkStart w:id="99" w:name="_Toc20658"/>
      <w:bookmarkStart w:id="100" w:name="_Toc25095"/>
      <w:bookmarkStart w:id="101" w:name="_Toc20041"/>
      <w:r>
        <w:rPr>
          <w:rFonts w:hint="eastAsia" w:ascii="黑体" w:hAnsi="宋体" w:eastAsia="黑体"/>
          <w:color w:val="000000" w:themeColor="text1"/>
          <w:sz w:val="28"/>
          <w:szCs w:val="28"/>
          <w:highlight w:val="none"/>
          <w14:textFill>
            <w14:solidFill>
              <w14:schemeClr w14:val="tx1"/>
            </w14:solidFill>
          </w14:textFill>
        </w:rPr>
        <w:t>五</w:t>
      </w:r>
      <w:r>
        <w:rPr>
          <w:rFonts w:ascii="黑体" w:hAnsi="宋体" w:eastAsia="黑体"/>
          <w:color w:val="000000" w:themeColor="text1"/>
          <w:sz w:val="28"/>
          <w:szCs w:val="28"/>
          <w:highlight w:val="none"/>
          <w14:textFill>
            <w14:solidFill>
              <w14:schemeClr w14:val="tx1"/>
            </w14:solidFill>
          </w14:textFill>
        </w:rPr>
        <w:t>、</w:t>
      </w:r>
      <w:r>
        <w:rPr>
          <w:rFonts w:hint="eastAsia" w:ascii="黑体" w:hAnsi="宋体" w:eastAsia="黑体"/>
          <w:color w:val="000000" w:themeColor="text1"/>
          <w:sz w:val="28"/>
          <w:szCs w:val="28"/>
          <w:highlight w:val="none"/>
          <w14:textFill>
            <w14:solidFill>
              <w14:schemeClr w14:val="tx1"/>
            </w14:solidFill>
          </w14:textFill>
        </w:rPr>
        <w:t>投标函</w:t>
      </w:r>
      <w:bookmarkEnd w:id="98"/>
      <w:bookmarkEnd w:id="99"/>
      <w:bookmarkEnd w:id="100"/>
      <w:bookmarkEnd w:id="101"/>
    </w:p>
    <w:p w14:paraId="1F14E71B">
      <w:pPr>
        <w:shd w:val="clear"/>
        <w:adjustRightInd w:val="0"/>
        <w:snapToGrid w:val="0"/>
        <w:spacing w:before="156" w:beforeLines="50"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致：（采购人、采购代理机构）：</w:t>
      </w:r>
    </w:p>
    <w:p w14:paraId="10318A61">
      <w:pPr>
        <w:shd w:val="clear"/>
        <w:adjustRightInd w:val="0"/>
        <w:snapToGrid w:val="0"/>
        <w:spacing w:before="156" w:beforeLines="50" w:line="360" w:lineRule="auto"/>
        <w:ind w:firstLine="435"/>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根据贵方为（项目名称）的投标邀请（</w:t>
      </w:r>
      <w:r>
        <w:rPr>
          <w:rFonts w:hint="eastAsia" w:asciiTheme="minorEastAsia" w:hAnsiTheme="minorEastAsia" w:eastAsiaTheme="minorEastAsia"/>
          <w:color w:val="000000" w:themeColor="text1"/>
          <w:highlight w:val="none"/>
          <w14:textFill>
            <w14:solidFill>
              <w14:schemeClr w14:val="tx1"/>
            </w14:solidFill>
          </w14:textFill>
        </w:rPr>
        <w:t>政府</w:t>
      </w:r>
      <w:r>
        <w:rPr>
          <w:rFonts w:hint="eastAsia" w:asciiTheme="minorEastAsia" w:hAnsiTheme="minorEastAsia" w:eastAsiaTheme="minorEastAsia"/>
          <w:iCs/>
          <w:color w:val="000000" w:themeColor="text1"/>
          <w:highlight w:val="none"/>
          <w14:textFill>
            <w14:solidFill>
              <w14:schemeClr w14:val="tx1"/>
            </w14:solidFill>
          </w14:textFill>
        </w:rPr>
        <w:t>采购编号：，</w:t>
      </w:r>
      <w:r>
        <w:rPr>
          <w:rFonts w:hint="eastAsia" w:asciiTheme="minorEastAsia" w:hAnsiTheme="minorEastAsia" w:eastAsiaTheme="minorEastAsia"/>
          <w:color w:val="000000" w:themeColor="text1"/>
          <w:szCs w:val="21"/>
          <w:highlight w:val="none"/>
          <w14:textFill>
            <w14:solidFill>
              <w14:schemeClr w14:val="tx1"/>
            </w14:solidFill>
          </w14:textFill>
        </w:rPr>
        <w:t>采购代理编号：），签字代表（姓名、职务）经正式授权并代表投标人（投标人名称）提交包含下述内容的电子投标文件一份至交易平台，参加采购项目包投标，并在此声明，所递交的投标文件内容合法、完整、真实。</w:t>
      </w:r>
    </w:p>
    <w:p w14:paraId="4C126A1F">
      <w:pPr>
        <w:shd w:val="clear"/>
        <w:adjustRightInd w:val="0"/>
        <w:snapToGrid w:val="0"/>
        <w:spacing w:before="156" w:beforeLines="50" w:line="360" w:lineRule="auto"/>
        <w:ind w:firstLine="422" w:firstLineChars="200"/>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第一部分 资格证明文件</w:t>
      </w:r>
    </w:p>
    <w:p w14:paraId="770E5EC2">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一、开标一览表</w:t>
      </w:r>
    </w:p>
    <w:p w14:paraId="3ECF5B5C">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二、投标保证金</w:t>
      </w:r>
    </w:p>
    <w:p w14:paraId="466D3B02">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三、法定代表人（单位负责人）身份证明或授权委托书</w:t>
      </w:r>
    </w:p>
    <w:p w14:paraId="30E9E77D">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四、投标人提供的资格证明文件</w:t>
      </w:r>
    </w:p>
    <w:p w14:paraId="01898CC8">
      <w:pPr>
        <w:shd w:val="clear"/>
        <w:adjustRightInd w:val="0"/>
        <w:snapToGrid w:val="0"/>
        <w:spacing w:before="156" w:beforeLines="50" w:line="360" w:lineRule="auto"/>
        <w:ind w:firstLine="422" w:firstLineChars="200"/>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第二部分 商务技术文件</w:t>
      </w:r>
    </w:p>
    <w:p w14:paraId="1C6BED38">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五、投标函</w:t>
      </w:r>
    </w:p>
    <w:p w14:paraId="0453ABDB">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六、分项报价</w:t>
      </w:r>
    </w:p>
    <w:p w14:paraId="0317EBEF">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七、采购需求响应</w:t>
      </w:r>
    </w:p>
    <w:p w14:paraId="742C99C4">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八、合同条款偏离表</w:t>
      </w:r>
    </w:p>
    <w:p w14:paraId="53F0A844">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九、采购需求偏离表</w:t>
      </w:r>
    </w:p>
    <w:p w14:paraId="5F1ED14A">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十、享受政府采购政策优惠的证明资料</w:t>
      </w:r>
    </w:p>
    <w:p w14:paraId="3923978F">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十一、投标货物符合招标文件规定的证明文件</w:t>
      </w:r>
    </w:p>
    <w:p w14:paraId="08587ACB">
      <w:pPr>
        <w:shd w:val="clear"/>
        <w:adjustRightInd w:val="0"/>
        <w:snapToGrid w:val="0"/>
        <w:spacing w:before="156" w:beforeLines="50"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十二、投标人认为需提供的其他资料</w:t>
      </w:r>
    </w:p>
    <w:p w14:paraId="48E2DCC4">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在此，签字代表宣布同意如下：</w:t>
      </w:r>
    </w:p>
    <w:p w14:paraId="6F7C10B0">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1、投标人严格按照招标文件的规定报价，见《开标一览表》。</w:t>
      </w:r>
    </w:p>
    <w:p w14:paraId="1132520D">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2、投标人将按招标文件的规定履行合同责任和义务。</w:t>
      </w:r>
    </w:p>
    <w:p w14:paraId="693C1D9C">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3、投标人已详细审查招标文件。我们完全理解并同意放弃对这方面有不明及误解的权力。</w:t>
      </w:r>
    </w:p>
    <w:p w14:paraId="19EDF76B">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4、本投标有效期为自招标文件规定的提交投标文件截止之日起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个日历日。在投标有效期内，</w:t>
      </w:r>
      <w:r>
        <w:rPr>
          <w:rFonts w:hint="eastAsia" w:asciiTheme="minorEastAsia" w:hAnsiTheme="minorEastAsia" w:eastAsiaTheme="minorEastAsia"/>
          <w:color w:val="000000" w:themeColor="text1"/>
          <w:highlight w:val="none"/>
          <w14:textFill>
            <w14:solidFill>
              <w14:schemeClr w14:val="tx1"/>
            </w14:solidFill>
          </w14:textFill>
        </w:rPr>
        <w:t>投标人同意遵守本</w:t>
      </w:r>
      <w:r>
        <w:rPr>
          <w:rFonts w:hint="eastAsia" w:asciiTheme="minorEastAsia" w:hAnsiTheme="minorEastAsia" w:eastAsiaTheme="minorEastAsia"/>
          <w:color w:val="000000" w:themeColor="text1"/>
          <w:szCs w:val="21"/>
          <w:highlight w:val="none"/>
          <w14:textFill>
            <w14:solidFill>
              <w14:schemeClr w14:val="tx1"/>
            </w14:solidFill>
          </w14:textFill>
        </w:rPr>
        <w:t>投标</w:t>
      </w:r>
      <w:r>
        <w:rPr>
          <w:rFonts w:hint="eastAsia" w:asciiTheme="minorEastAsia" w:hAnsiTheme="minorEastAsia" w:eastAsiaTheme="minorEastAsia"/>
          <w:color w:val="000000" w:themeColor="text1"/>
          <w:highlight w:val="none"/>
          <w14:textFill>
            <w14:solidFill>
              <w14:schemeClr w14:val="tx1"/>
            </w14:solidFill>
          </w14:textFill>
        </w:rPr>
        <w:t>文件中的承诺且在此期限期满之前</w:t>
      </w:r>
      <w:r>
        <w:rPr>
          <w:rFonts w:hint="eastAsia" w:asciiTheme="minorEastAsia" w:hAnsiTheme="minorEastAsia" w:eastAsiaTheme="minorEastAsia"/>
          <w:color w:val="000000" w:themeColor="text1"/>
          <w:szCs w:val="21"/>
          <w:highlight w:val="none"/>
          <w14:textFill>
            <w14:solidFill>
              <w14:schemeClr w14:val="tx1"/>
            </w14:solidFill>
          </w14:textFill>
        </w:rPr>
        <w:t>投标</w:t>
      </w:r>
      <w:r>
        <w:rPr>
          <w:rFonts w:hint="eastAsia" w:asciiTheme="minorEastAsia" w:hAnsiTheme="minorEastAsia" w:eastAsiaTheme="minorEastAsia"/>
          <w:color w:val="000000" w:themeColor="text1"/>
          <w:highlight w:val="none"/>
          <w14:textFill>
            <w14:solidFill>
              <w14:schemeClr w14:val="tx1"/>
            </w14:solidFill>
          </w14:textFill>
        </w:rPr>
        <w:t>文件</w:t>
      </w:r>
      <w:r>
        <w:rPr>
          <w:rFonts w:hint="eastAsia" w:asciiTheme="minorEastAsia" w:hAnsiTheme="minorEastAsia" w:eastAsiaTheme="minorEastAsia"/>
          <w:color w:val="000000" w:themeColor="text1"/>
          <w:szCs w:val="21"/>
          <w:highlight w:val="none"/>
          <w14:textFill>
            <w14:solidFill>
              <w14:schemeClr w14:val="tx1"/>
            </w14:solidFill>
          </w14:textFill>
        </w:rPr>
        <w:t>对我方具有法律约束力</w:t>
      </w:r>
      <w:r>
        <w:rPr>
          <w:rFonts w:hint="eastAsia" w:asciiTheme="minorEastAsia" w:hAnsiTheme="minorEastAsia" w:eastAsiaTheme="minorEastAsia"/>
          <w:color w:val="000000" w:themeColor="text1"/>
          <w:highlight w:val="none"/>
          <w14:textFill>
            <w14:solidFill>
              <w14:schemeClr w14:val="tx1"/>
            </w14:solidFill>
          </w14:textFill>
        </w:rPr>
        <w:t>。</w:t>
      </w:r>
    </w:p>
    <w:p w14:paraId="4660E502">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5、</w:t>
      </w:r>
      <w:r>
        <w:rPr>
          <w:rFonts w:hint="eastAsia" w:asciiTheme="minorEastAsia" w:hAnsiTheme="minorEastAsia" w:eastAsiaTheme="minorEastAsia"/>
          <w:color w:val="000000" w:themeColor="text1"/>
          <w:szCs w:val="21"/>
          <w:highlight w:val="none"/>
          <w14:textFill>
            <w14:solidFill>
              <w14:schemeClr w14:val="tx1"/>
            </w14:solidFill>
          </w14:textFill>
        </w:rPr>
        <w:t>同意提供贵方可能要求的与其投标有关的一切数据或资料。</w:t>
      </w:r>
    </w:p>
    <w:p w14:paraId="0861CE72">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6、与本投标有关的一切正式往来信函请寄：</w:t>
      </w:r>
    </w:p>
    <w:p w14:paraId="7C33B22B">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地址：；邮编：；电话：；电子邮箱：。</w:t>
      </w:r>
    </w:p>
    <w:p w14:paraId="091B4052">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p>
    <w:p w14:paraId="3A6812FD">
      <w:pPr>
        <w:pStyle w:val="22"/>
        <w:shd w:val="clear"/>
        <w:adjustRightInd w:val="0"/>
        <w:snapToGrid w:val="0"/>
        <w:spacing w:before="156" w:beforeLines="50" w:line="360" w:lineRule="auto"/>
        <w:rPr>
          <w:rFonts w:asciiTheme="minorEastAsia" w:hAnsiTheme="minorEastAsia" w:eastAsiaTheme="minorEastAsia"/>
          <w:color w:val="000000" w:themeColor="text1"/>
          <w:highlight w:val="none"/>
          <w14:textFill>
            <w14:solidFill>
              <w14:schemeClr w14:val="tx1"/>
            </w14:solidFill>
          </w14:textFill>
        </w:rPr>
      </w:pPr>
    </w:p>
    <w:p w14:paraId="5238EA36">
      <w:pPr>
        <w:pStyle w:val="22"/>
        <w:shd w:val="clear"/>
        <w:adjustRightInd w:val="0"/>
        <w:snapToGrid w:val="0"/>
        <w:spacing w:before="156" w:beforeLines="50" w:line="360" w:lineRule="auto"/>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 xml:space="preserve">投标人名称（盖单位电子章）：                       </w:t>
      </w:r>
    </w:p>
    <w:p w14:paraId="3FA81C8E">
      <w:pPr>
        <w:shd w:val="clear"/>
        <w:adjustRightInd w:val="0"/>
        <w:snapToGrid w:val="0"/>
        <w:spacing w:before="156" w:beforeLines="50" w:line="360" w:lineRule="auto"/>
        <w:rPr>
          <w:rFonts w:asciiTheme="minorEastAsia" w:hAnsiTheme="minorEastAsia" w:eastAsiaTheme="minorEastAsia"/>
          <w:color w:val="000000" w:themeColor="text1"/>
          <w:szCs w:val="21"/>
          <w:highlight w:val="none"/>
          <w:u w:val="singl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或其授权的代理人（电子签字或电子印章）：</w:t>
      </w:r>
    </w:p>
    <w:p w14:paraId="11844F6B">
      <w:pPr>
        <w:shd w:val="clear"/>
        <w:adjustRightInd w:val="0"/>
        <w:snapToGrid w:val="0"/>
        <w:spacing w:before="156" w:beforeLines="50" w:line="360" w:lineRule="auto"/>
        <w:rPr>
          <w:rFonts w:ascii="黑体" w:hAnsi="宋体" w:eastAsia="黑体"/>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日期：年月日</w:t>
      </w:r>
      <w:r>
        <w:rPr>
          <w:rFonts w:ascii="黑体" w:hAnsi="宋体" w:eastAsia="黑体"/>
          <w:b/>
          <w:bCs/>
          <w:color w:val="000000" w:themeColor="text1"/>
          <w:sz w:val="28"/>
          <w:szCs w:val="28"/>
          <w:highlight w:val="none"/>
          <w14:textFill>
            <w14:solidFill>
              <w14:schemeClr w14:val="tx1"/>
            </w14:solidFill>
          </w14:textFill>
        </w:rPr>
        <w:br w:type="page"/>
      </w:r>
    </w:p>
    <w:p w14:paraId="36F62758">
      <w:pPr>
        <w:pStyle w:val="5"/>
        <w:shd w:val="clear"/>
        <w:adjustRightInd w:val="0"/>
        <w:snapToGrid w:val="0"/>
        <w:spacing w:before="0" w:after="0" w:line="240" w:lineRule="auto"/>
        <w:jc w:val="center"/>
        <w:rPr>
          <w:rFonts w:ascii="黑体" w:hAnsi="宋体" w:eastAsia="黑体"/>
          <w:color w:val="000000" w:themeColor="text1"/>
          <w:sz w:val="28"/>
          <w:szCs w:val="28"/>
          <w:highlight w:val="none"/>
          <w14:textFill>
            <w14:solidFill>
              <w14:schemeClr w14:val="tx1"/>
            </w14:solidFill>
          </w14:textFill>
        </w:rPr>
      </w:pPr>
      <w:bookmarkStart w:id="102" w:name="_Toc12999"/>
      <w:bookmarkStart w:id="103" w:name="_Toc14130"/>
      <w:bookmarkStart w:id="104" w:name="_Toc14332"/>
      <w:bookmarkStart w:id="105" w:name="_Toc4874"/>
      <w:r>
        <w:rPr>
          <w:rFonts w:hint="eastAsia" w:ascii="黑体" w:hAnsi="宋体" w:eastAsia="黑体"/>
          <w:color w:val="000000" w:themeColor="text1"/>
          <w:sz w:val="28"/>
          <w:szCs w:val="28"/>
          <w:highlight w:val="none"/>
          <w14:textFill>
            <w14:solidFill>
              <w14:schemeClr w14:val="tx1"/>
            </w14:solidFill>
          </w14:textFill>
        </w:rPr>
        <w:t>六、分项报价</w:t>
      </w:r>
      <w:bookmarkEnd w:id="102"/>
      <w:bookmarkEnd w:id="103"/>
      <w:bookmarkEnd w:id="104"/>
      <w:bookmarkEnd w:id="105"/>
    </w:p>
    <w:p w14:paraId="3903F096">
      <w:pPr>
        <w:pStyle w:val="6"/>
        <w:shd w:val="clear"/>
        <w:spacing w:line="240" w:lineRule="auto"/>
        <w:jc w:val="left"/>
        <w:rPr>
          <w:rFonts w:ascii="黑体" w:cs="微软雅黑" w:hAnsiTheme="minorEastAsia"/>
          <w:b w:val="0"/>
          <w:color w:val="000000" w:themeColor="text1"/>
          <w:sz w:val="21"/>
          <w:szCs w:val="21"/>
          <w:highlight w:val="none"/>
          <w14:textFill>
            <w14:solidFill>
              <w14:schemeClr w14:val="tx1"/>
            </w14:solidFill>
          </w14:textFill>
        </w:rPr>
      </w:pPr>
      <w:bookmarkStart w:id="106" w:name="_Toc12218"/>
      <w:bookmarkStart w:id="107" w:name="_Toc15147"/>
      <w:bookmarkStart w:id="108" w:name="_Toc12695"/>
      <w:bookmarkStart w:id="109" w:name="_Toc28093"/>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附件6-1 </w:t>
      </w:r>
      <w:r>
        <w:rPr>
          <w:rFonts w:hint="eastAsia" w:ascii="黑体" w:cs="微软雅黑" w:hAnsiTheme="minorEastAsia"/>
          <w:b w:val="0"/>
          <w:color w:val="000000" w:themeColor="text1"/>
          <w:spacing w:val="-2"/>
          <w:sz w:val="21"/>
          <w:szCs w:val="21"/>
          <w:highlight w:val="none"/>
          <w14:textFill>
            <w14:solidFill>
              <w14:schemeClr w14:val="tx1"/>
            </w14:solidFill>
          </w14:textFill>
        </w:rPr>
        <w:t>分</w:t>
      </w:r>
      <w:r>
        <w:rPr>
          <w:rFonts w:hint="eastAsia" w:ascii="黑体" w:cs="微软雅黑" w:hAnsiTheme="minorEastAsia"/>
          <w:b w:val="0"/>
          <w:color w:val="000000" w:themeColor="text1"/>
          <w:sz w:val="21"/>
          <w:szCs w:val="21"/>
          <w:highlight w:val="none"/>
          <w14:textFill>
            <w14:solidFill>
              <w14:schemeClr w14:val="tx1"/>
            </w14:solidFill>
          </w14:textFill>
        </w:rPr>
        <w:t>项</w:t>
      </w:r>
      <w:r>
        <w:rPr>
          <w:rFonts w:hint="eastAsia" w:ascii="黑体" w:cs="微软雅黑" w:hAnsiTheme="minorEastAsia"/>
          <w:b w:val="0"/>
          <w:color w:val="000000" w:themeColor="text1"/>
          <w:spacing w:val="-2"/>
          <w:sz w:val="21"/>
          <w:szCs w:val="21"/>
          <w:highlight w:val="none"/>
          <w14:textFill>
            <w14:solidFill>
              <w14:schemeClr w14:val="tx1"/>
            </w14:solidFill>
          </w14:textFill>
        </w:rPr>
        <w:t>报</w:t>
      </w:r>
      <w:r>
        <w:rPr>
          <w:rFonts w:hint="eastAsia" w:ascii="黑体" w:cs="微软雅黑" w:hAnsiTheme="minorEastAsia"/>
          <w:b w:val="0"/>
          <w:color w:val="000000" w:themeColor="text1"/>
          <w:sz w:val="21"/>
          <w:szCs w:val="21"/>
          <w:highlight w:val="none"/>
          <w14:textFill>
            <w14:solidFill>
              <w14:schemeClr w14:val="tx1"/>
            </w14:solidFill>
          </w14:textFill>
        </w:rPr>
        <w:t>价说明</w:t>
      </w:r>
      <w:bookmarkEnd w:id="106"/>
      <w:bookmarkEnd w:id="107"/>
      <w:bookmarkEnd w:id="108"/>
      <w:bookmarkEnd w:id="109"/>
    </w:p>
    <w:p w14:paraId="5855ADD6">
      <w:pPr>
        <w:shd w:val="clear"/>
        <w:autoSpaceDE w:val="0"/>
        <w:autoSpaceDN w:val="0"/>
        <w:adjustRightInd w:val="0"/>
        <w:snapToGrid w:val="0"/>
        <w:jc w:val="center"/>
        <w:rPr>
          <w:rFonts w:ascii="黑体" w:eastAsia="黑体" w:cs="微软雅黑" w:hAnsiTheme="minorEastAsia"/>
          <w:b/>
          <w:color w:val="000000" w:themeColor="text1"/>
          <w:kern w:val="0"/>
          <w:sz w:val="28"/>
          <w:szCs w:val="28"/>
          <w:highlight w:val="none"/>
          <w14:textFill>
            <w14:solidFill>
              <w14:schemeClr w14:val="tx1"/>
            </w14:solidFill>
          </w14:textFill>
        </w:rPr>
      </w:pPr>
      <w:r>
        <w:rPr>
          <w:rFonts w:hint="eastAsia" w:ascii="黑体" w:eastAsia="黑体" w:cs="微软雅黑" w:hAnsiTheme="minorEastAsia"/>
          <w:b/>
          <w:color w:val="000000" w:themeColor="text1"/>
          <w:spacing w:val="-2"/>
          <w:kern w:val="0"/>
          <w:sz w:val="28"/>
          <w:szCs w:val="28"/>
          <w:highlight w:val="none"/>
          <w14:textFill>
            <w14:solidFill>
              <w14:schemeClr w14:val="tx1"/>
            </w14:solidFill>
          </w14:textFill>
        </w:rPr>
        <w:t>分</w:t>
      </w:r>
      <w:r>
        <w:rPr>
          <w:rFonts w:hint="eastAsia" w:ascii="黑体" w:eastAsia="黑体" w:cs="微软雅黑" w:hAnsiTheme="minorEastAsia"/>
          <w:b/>
          <w:color w:val="000000" w:themeColor="text1"/>
          <w:kern w:val="0"/>
          <w:sz w:val="28"/>
          <w:szCs w:val="28"/>
          <w:highlight w:val="none"/>
          <w14:textFill>
            <w14:solidFill>
              <w14:schemeClr w14:val="tx1"/>
            </w14:solidFill>
          </w14:textFill>
        </w:rPr>
        <w:t>项</w:t>
      </w:r>
      <w:r>
        <w:rPr>
          <w:rFonts w:hint="eastAsia" w:ascii="黑体" w:eastAsia="黑体" w:cs="微软雅黑" w:hAnsiTheme="minorEastAsia"/>
          <w:b/>
          <w:color w:val="000000" w:themeColor="text1"/>
          <w:spacing w:val="-2"/>
          <w:kern w:val="0"/>
          <w:sz w:val="28"/>
          <w:szCs w:val="28"/>
          <w:highlight w:val="none"/>
          <w14:textFill>
            <w14:solidFill>
              <w14:schemeClr w14:val="tx1"/>
            </w14:solidFill>
          </w14:textFill>
        </w:rPr>
        <w:t>报</w:t>
      </w:r>
      <w:r>
        <w:rPr>
          <w:rFonts w:hint="eastAsia" w:ascii="黑体" w:eastAsia="黑体" w:cs="微软雅黑" w:hAnsiTheme="minorEastAsia"/>
          <w:b/>
          <w:color w:val="000000" w:themeColor="text1"/>
          <w:kern w:val="0"/>
          <w:sz w:val="28"/>
          <w:szCs w:val="28"/>
          <w:highlight w:val="none"/>
          <w14:textFill>
            <w14:solidFill>
              <w14:schemeClr w14:val="tx1"/>
            </w14:solidFill>
          </w14:textFill>
        </w:rPr>
        <w:t>价说明</w:t>
      </w:r>
    </w:p>
    <w:p w14:paraId="11F595F7">
      <w:pPr>
        <w:shd w:val="clear"/>
        <w:autoSpaceDE w:val="0"/>
        <w:autoSpaceDN w:val="0"/>
        <w:adjustRightInd w:val="0"/>
        <w:snapToGrid w:val="0"/>
        <w:jc w:val="left"/>
        <w:rPr>
          <w:rFonts w:cs="微软雅黑" w:asciiTheme="minorEastAsia" w:hAnsiTheme="minorEastAsia" w:eastAsiaTheme="minorEastAsia"/>
          <w:color w:val="000000" w:themeColor="text1"/>
          <w:kern w:val="0"/>
          <w:szCs w:val="21"/>
          <w:highlight w:val="none"/>
          <w14:textFill>
            <w14:solidFill>
              <w14:schemeClr w14:val="tx1"/>
            </w14:solidFill>
          </w14:textFill>
        </w:rPr>
      </w:pP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备注：投标人应按招标文件第二章相关要求，对本节</w:t>
      </w:r>
      <w:r>
        <w:rPr>
          <w:rFonts w:hint="eastAsia" w:asciiTheme="minorEastAsia" w:hAnsiTheme="minorEastAsia" w:eastAsiaTheme="minorEastAsia"/>
          <w:bCs/>
          <w:color w:val="000000" w:themeColor="text1"/>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分项报价明细表</w:t>
      </w:r>
      <w:r>
        <w:rPr>
          <w:rFonts w:hint="eastAsia" w:asciiTheme="minorEastAsia" w:hAnsiTheme="minorEastAsia" w:eastAsiaTheme="minorEastAsia"/>
          <w:bCs/>
          <w:color w:val="000000" w:themeColor="text1"/>
          <w:szCs w:val="21"/>
          <w:highlight w:val="none"/>
          <w14:textFill>
            <w14:solidFill>
              <w14:schemeClr w14:val="tx1"/>
            </w14:solidFill>
          </w14:textFill>
        </w:rPr>
        <w:t>”进行</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编制，并说明。</w:t>
      </w:r>
    </w:p>
    <w:p w14:paraId="68B177CB">
      <w:pPr>
        <w:shd w:val="clear"/>
        <w:rPr>
          <w:color w:val="000000" w:themeColor="text1"/>
          <w:highlight w:val="none"/>
          <w14:textFill>
            <w14:solidFill>
              <w14:schemeClr w14:val="tx1"/>
            </w14:solidFill>
          </w14:textFill>
        </w:rPr>
      </w:pPr>
    </w:p>
    <w:p w14:paraId="2498820E">
      <w:pPr>
        <w:pStyle w:val="6"/>
        <w:shd w:val="clear"/>
        <w:spacing w:line="240" w:lineRule="auto"/>
        <w:jc w:val="left"/>
        <w:rPr>
          <w:rFonts w:ascii="黑体" w:cs="微软雅黑" w:hAnsiTheme="minorEastAsia"/>
          <w:b w:val="0"/>
          <w:color w:val="000000" w:themeColor="text1"/>
          <w:sz w:val="21"/>
          <w:szCs w:val="21"/>
          <w:highlight w:val="none"/>
          <w14:textFill>
            <w14:solidFill>
              <w14:schemeClr w14:val="tx1"/>
            </w14:solidFill>
          </w14:textFill>
        </w:rPr>
      </w:pPr>
      <w:bookmarkStart w:id="110" w:name="_Toc8883"/>
      <w:bookmarkStart w:id="111" w:name="_Toc25373"/>
      <w:bookmarkStart w:id="112" w:name="_Toc1783"/>
      <w:bookmarkStart w:id="113" w:name="_Toc15829"/>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附件6-2 </w:t>
      </w:r>
      <w:r>
        <w:rPr>
          <w:rFonts w:hint="eastAsia" w:ascii="黑体" w:cs="微软雅黑" w:hAnsiTheme="minorEastAsia"/>
          <w:b w:val="0"/>
          <w:color w:val="000000" w:themeColor="text1"/>
          <w:spacing w:val="-2"/>
          <w:position w:val="-3"/>
          <w:sz w:val="21"/>
          <w:szCs w:val="21"/>
          <w:highlight w:val="none"/>
          <w14:textFill>
            <w14:solidFill>
              <w14:schemeClr w14:val="tx1"/>
            </w14:solidFill>
          </w14:textFill>
        </w:rPr>
        <w:t>分</w:t>
      </w:r>
      <w:r>
        <w:rPr>
          <w:rFonts w:hint="eastAsia" w:ascii="黑体" w:cs="微软雅黑" w:hAnsiTheme="minorEastAsia"/>
          <w:b w:val="0"/>
          <w:color w:val="000000" w:themeColor="text1"/>
          <w:position w:val="-3"/>
          <w:sz w:val="21"/>
          <w:szCs w:val="21"/>
          <w:highlight w:val="none"/>
          <w14:textFill>
            <w14:solidFill>
              <w14:schemeClr w14:val="tx1"/>
            </w14:solidFill>
          </w14:textFill>
        </w:rPr>
        <w:t>项</w:t>
      </w:r>
      <w:r>
        <w:rPr>
          <w:rFonts w:hint="eastAsia" w:ascii="黑体" w:cs="微软雅黑" w:hAnsiTheme="minorEastAsia"/>
          <w:b w:val="0"/>
          <w:color w:val="000000" w:themeColor="text1"/>
          <w:spacing w:val="-2"/>
          <w:position w:val="-3"/>
          <w:sz w:val="21"/>
          <w:szCs w:val="21"/>
          <w:highlight w:val="none"/>
          <w14:textFill>
            <w14:solidFill>
              <w14:schemeClr w14:val="tx1"/>
            </w14:solidFill>
          </w14:textFill>
        </w:rPr>
        <w:t>报</w:t>
      </w:r>
      <w:r>
        <w:rPr>
          <w:rFonts w:hint="eastAsia" w:ascii="黑体" w:cs="微软雅黑" w:hAnsiTheme="minorEastAsia"/>
          <w:b w:val="0"/>
          <w:color w:val="000000" w:themeColor="text1"/>
          <w:position w:val="-3"/>
          <w:sz w:val="21"/>
          <w:szCs w:val="21"/>
          <w:highlight w:val="none"/>
          <w14:textFill>
            <w14:solidFill>
              <w14:schemeClr w14:val="tx1"/>
            </w14:solidFill>
          </w14:textFill>
        </w:rPr>
        <w:t>价明细表</w:t>
      </w:r>
      <w:bookmarkEnd w:id="110"/>
      <w:bookmarkEnd w:id="111"/>
      <w:bookmarkEnd w:id="112"/>
      <w:bookmarkEnd w:id="113"/>
    </w:p>
    <w:p w14:paraId="127FDABA">
      <w:pPr>
        <w:shd w:val="clear"/>
        <w:adjustRightInd w:val="0"/>
        <w:snapToGrid w:val="0"/>
        <w:jc w:val="center"/>
        <w:rPr>
          <w:rFonts w:ascii="黑体" w:eastAsia="黑体" w:cs="微软雅黑" w:hAnsiTheme="minorEastAsia"/>
          <w:b/>
          <w:color w:val="000000" w:themeColor="text1"/>
          <w:kern w:val="0"/>
          <w:position w:val="-3"/>
          <w:sz w:val="28"/>
          <w:szCs w:val="28"/>
          <w:highlight w:val="none"/>
          <w14:textFill>
            <w14:solidFill>
              <w14:schemeClr w14:val="tx1"/>
            </w14:solidFill>
          </w14:textFill>
        </w:rPr>
      </w:pPr>
      <w:r>
        <w:rPr>
          <w:rFonts w:hint="eastAsia" w:ascii="黑体" w:eastAsia="黑体" w:cs="微软雅黑" w:hAnsiTheme="minorEastAsia"/>
          <w:b/>
          <w:color w:val="000000" w:themeColor="text1"/>
          <w:spacing w:val="-2"/>
          <w:kern w:val="0"/>
          <w:position w:val="-3"/>
          <w:sz w:val="28"/>
          <w:szCs w:val="28"/>
          <w:highlight w:val="none"/>
          <w14:textFill>
            <w14:solidFill>
              <w14:schemeClr w14:val="tx1"/>
            </w14:solidFill>
          </w14:textFill>
        </w:rPr>
        <w:t>设备清单分</w:t>
      </w:r>
      <w:r>
        <w:rPr>
          <w:rFonts w:hint="eastAsia" w:ascii="黑体" w:eastAsia="黑体" w:cs="微软雅黑" w:hAnsiTheme="minorEastAsia"/>
          <w:b/>
          <w:color w:val="000000" w:themeColor="text1"/>
          <w:kern w:val="0"/>
          <w:position w:val="-3"/>
          <w:sz w:val="28"/>
          <w:szCs w:val="28"/>
          <w:highlight w:val="none"/>
          <w14:textFill>
            <w14:solidFill>
              <w14:schemeClr w14:val="tx1"/>
            </w14:solidFill>
          </w14:textFill>
        </w:rPr>
        <w:t>项</w:t>
      </w:r>
      <w:r>
        <w:rPr>
          <w:rFonts w:hint="eastAsia" w:ascii="黑体" w:eastAsia="黑体" w:cs="微软雅黑" w:hAnsiTheme="minorEastAsia"/>
          <w:b/>
          <w:color w:val="000000" w:themeColor="text1"/>
          <w:spacing w:val="-2"/>
          <w:kern w:val="0"/>
          <w:position w:val="-3"/>
          <w:sz w:val="28"/>
          <w:szCs w:val="28"/>
          <w:highlight w:val="none"/>
          <w14:textFill>
            <w14:solidFill>
              <w14:schemeClr w14:val="tx1"/>
            </w14:solidFill>
          </w14:textFill>
        </w:rPr>
        <w:t>报</w:t>
      </w:r>
      <w:r>
        <w:rPr>
          <w:rFonts w:hint="eastAsia" w:ascii="黑体" w:eastAsia="黑体" w:cs="微软雅黑" w:hAnsiTheme="minorEastAsia"/>
          <w:b/>
          <w:color w:val="000000" w:themeColor="text1"/>
          <w:kern w:val="0"/>
          <w:position w:val="-3"/>
          <w:sz w:val="28"/>
          <w:szCs w:val="28"/>
          <w:highlight w:val="none"/>
          <w14:textFill>
            <w14:solidFill>
              <w14:schemeClr w14:val="tx1"/>
            </w14:solidFill>
          </w14:textFill>
        </w:rPr>
        <w:t>价明细表</w:t>
      </w:r>
    </w:p>
    <w:p w14:paraId="6EFF7845">
      <w:pPr>
        <w:pStyle w:val="6"/>
        <w:shd w:val="clear"/>
        <w:spacing w:before="0" w:after="0" w:line="240" w:lineRule="exact"/>
        <w:jc w:val="left"/>
        <w:rPr>
          <w:rFonts w:cs="微软雅黑" w:asciiTheme="minorEastAsia" w:hAnsiTheme="minorEastAsia" w:eastAsiaTheme="minorEastAsia"/>
          <w:b w:val="0"/>
          <w:bCs w:val="0"/>
          <w:color w:val="000000" w:themeColor="text1"/>
          <w:sz w:val="21"/>
          <w:szCs w:val="21"/>
          <w:highlight w:val="none"/>
          <w14:textFill>
            <w14:solidFill>
              <w14:schemeClr w14:val="tx1"/>
            </w14:solidFill>
          </w14:textFill>
        </w:rPr>
      </w:pPr>
    </w:p>
    <w:p w14:paraId="5E096194">
      <w:pPr>
        <w:pStyle w:val="6"/>
        <w:shd w:val="clear"/>
        <w:spacing w:before="0" w:after="0" w:line="240" w:lineRule="exact"/>
        <w:jc w:val="left"/>
        <w:rPr>
          <w:rFonts w:cs="微软雅黑" w:asciiTheme="minorEastAsia" w:hAnsiTheme="minorEastAsia" w:eastAsiaTheme="minorEastAsia"/>
          <w:b w:val="0"/>
          <w:bCs w:val="0"/>
          <w:color w:val="000000" w:themeColor="text1"/>
          <w:sz w:val="21"/>
          <w:szCs w:val="21"/>
          <w:highlight w:val="none"/>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采购代理编号：                    项目名称：</w:t>
      </w:r>
    </w:p>
    <w:p w14:paraId="669D4040">
      <w:pPr>
        <w:pStyle w:val="6"/>
        <w:shd w:val="clear"/>
        <w:spacing w:before="0" w:after="0" w:line="240" w:lineRule="exact"/>
        <w:jc w:val="left"/>
        <w:rPr>
          <w:rFonts w:cs="微软雅黑" w:asciiTheme="minorEastAsia" w:hAnsiTheme="minorEastAsia" w:eastAsiaTheme="minorEastAsia"/>
          <w:b w:val="0"/>
          <w:bCs w:val="0"/>
          <w:color w:val="000000" w:themeColor="text1"/>
          <w:sz w:val="21"/>
          <w:szCs w:val="21"/>
          <w:highlight w:val="none"/>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包号：                            包名称：</w:t>
      </w:r>
    </w:p>
    <w:tbl>
      <w:tblPr>
        <w:tblStyle w:val="43"/>
        <w:tblW w:w="8884" w:type="dxa"/>
        <w:jc w:val="center"/>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29"/>
        <w:gridCol w:w="1383"/>
        <w:gridCol w:w="2130"/>
        <w:gridCol w:w="1199"/>
        <w:gridCol w:w="1096"/>
        <w:gridCol w:w="909"/>
        <w:gridCol w:w="918"/>
        <w:gridCol w:w="920"/>
      </w:tblGrid>
      <w:tr w14:paraId="505410D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87" w:hRule="atLeast"/>
          <w:jc w:val="center"/>
        </w:trPr>
        <w:tc>
          <w:tcPr>
            <w:tcW w:w="1712" w:type="dxa"/>
            <w:gridSpan w:val="2"/>
            <w:vMerge w:val="restart"/>
            <w:tcBorders>
              <w:bottom w:val="single" w:color="000000" w:sz="6" w:space="0"/>
              <w:right w:val="single" w:color="000000" w:sz="6" w:space="0"/>
            </w:tcBorders>
          </w:tcPr>
          <w:p w14:paraId="6E032A4A">
            <w:pPr>
              <w:pStyle w:val="142"/>
              <w:shd w:val="clear"/>
              <w:spacing w:before="10"/>
              <w:rPr>
                <w:color w:val="000000" w:themeColor="text1"/>
                <w:sz w:val="15"/>
                <w:highlight w:val="none"/>
                <w14:textFill>
                  <w14:solidFill>
                    <w14:schemeClr w14:val="tx1"/>
                  </w14:solidFill>
                </w14:textFill>
              </w:rPr>
            </w:pPr>
          </w:p>
          <w:p w14:paraId="3A5EB596">
            <w:pPr>
              <w:pStyle w:val="142"/>
              <w:shd w:val="clear"/>
              <w:ind w:left="229"/>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分项项目名称 </w:t>
            </w:r>
          </w:p>
        </w:tc>
        <w:tc>
          <w:tcPr>
            <w:tcW w:w="2130" w:type="dxa"/>
            <w:vMerge w:val="restart"/>
            <w:tcBorders>
              <w:left w:val="single" w:color="000000" w:sz="6" w:space="0"/>
              <w:bottom w:val="single" w:color="000000" w:sz="6" w:space="0"/>
              <w:right w:val="single" w:color="000000" w:sz="4" w:space="0"/>
            </w:tcBorders>
          </w:tcPr>
          <w:p w14:paraId="41C44891">
            <w:pPr>
              <w:pStyle w:val="142"/>
              <w:shd w:val="clear"/>
              <w:spacing w:before="5"/>
              <w:ind w:left="174" w:right="31"/>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规格型号 </w:t>
            </w:r>
          </w:p>
          <w:p w14:paraId="1F86F661">
            <w:pPr>
              <w:pStyle w:val="142"/>
              <w:shd w:val="clear"/>
              <w:spacing w:before="139"/>
              <w:ind w:left="175" w:right="31"/>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w:t>
            </w:r>
            <w:r>
              <w:rPr>
                <w:color w:val="000000" w:themeColor="text1"/>
                <w:spacing w:val="-2"/>
                <w:sz w:val="21"/>
                <w:highlight w:val="none"/>
                <w14:textFill>
                  <w14:solidFill>
                    <w14:schemeClr w14:val="tx1"/>
                  </w14:solidFill>
                </w14:textFill>
              </w:rPr>
              <w:t>或项目特征描述</w:t>
            </w:r>
            <w:r>
              <w:rPr>
                <w:color w:val="000000" w:themeColor="text1"/>
                <w:spacing w:val="-5"/>
                <w:sz w:val="21"/>
                <w:highlight w:val="none"/>
                <w14:textFill>
                  <w14:solidFill>
                    <w14:schemeClr w14:val="tx1"/>
                  </w14:solidFill>
                </w14:textFill>
              </w:rPr>
              <w:t>）</w:t>
            </w:r>
          </w:p>
        </w:tc>
        <w:tc>
          <w:tcPr>
            <w:tcW w:w="1199" w:type="dxa"/>
            <w:vMerge w:val="restart"/>
            <w:tcBorders>
              <w:left w:val="single" w:color="000000" w:sz="4" w:space="0"/>
              <w:bottom w:val="single" w:color="000000" w:sz="6" w:space="0"/>
              <w:right w:val="single" w:color="000000" w:sz="6" w:space="0"/>
            </w:tcBorders>
          </w:tcPr>
          <w:p w14:paraId="6CB20E1B">
            <w:pPr>
              <w:pStyle w:val="142"/>
              <w:shd w:val="clear"/>
              <w:spacing w:before="10"/>
              <w:rPr>
                <w:color w:val="000000" w:themeColor="text1"/>
                <w:sz w:val="15"/>
                <w:highlight w:val="none"/>
                <w14:textFill>
                  <w14:solidFill>
                    <w14:schemeClr w14:val="tx1"/>
                  </w14:solidFill>
                </w14:textFill>
              </w:rPr>
            </w:pPr>
          </w:p>
          <w:p w14:paraId="16554012">
            <w:pPr>
              <w:pStyle w:val="142"/>
              <w:shd w:val="clear"/>
              <w:ind w:left="13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品牌/产地 </w:t>
            </w:r>
          </w:p>
        </w:tc>
        <w:tc>
          <w:tcPr>
            <w:tcW w:w="1096" w:type="dxa"/>
            <w:vMerge w:val="restart"/>
            <w:tcBorders>
              <w:left w:val="single" w:color="000000" w:sz="6" w:space="0"/>
              <w:bottom w:val="single" w:color="000000" w:sz="6" w:space="0"/>
              <w:right w:val="single" w:color="000000" w:sz="4" w:space="0"/>
            </w:tcBorders>
          </w:tcPr>
          <w:p w14:paraId="33E81452">
            <w:pPr>
              <w:pStyle w:val="142"/>
              <w:shd w:val="clear"/>
              <w:spacing w:before="9"/>
              <w:rPr>
                <w:color w:val="000000" w:themeColor="text1"/>
                <w:sz w:val="15"/>
                <w:highlight w:val="none"/>
                <w14:textFill>
                  <w14:solidFill>
                    <w14:schemeClr w14:val="tx1"/>
                  </w14:solidFill>
                </w14:textFill>
              </w:rPr>
            </w:pPr>
          </w:p>
          <w:p w14:paraId="29034F12">
            <w:pPr>
              <w:pStyle w:val="142"/>
              <w:shd w:val="clear"/>
              <w:ind w:left="84" w:right="-58"/>
              <w:rPr>
                <w:color w:val="000000" w:themeColor="text1"/>
                <w:sz w:val="21"/>
                <w:highlight w:val="none"/>
                <w14:textFill>
                  <w14:solidFill>
                    <w14:schemeClr w14:val="tx1"/>
                  </w14:solidFill>
                </w14:textFill>
              </w:rPr>
            </w:pPr>
            <w:r>
              <w:rPr>
                <w:color w:val="000000" w:themeColor="text1"/>
                <w:position w:val="1"/>
                <w:sz w:val="21"/>
                <w:highlight w:val="none"/>
                <w14:textFill>
                  <w14:solidFill>
                    <w14:schemeClr w14:val="tx1"/>
                  </w14:solidFill>
                </w14:textFill>
              </w:rPr>
              <w:t>数量/</w:t>
            </w:r>
            <w:r>
              <w:rPr>
                <w:color w:val="000000" w:themeColor="text1"/>
                <w:spacing w:val="-3"/>
                <w:position w:val="1"/>
                <w:sz w:val="21"/>
                <w:highlight w:val="none"/>
                <w14:textFill>
                  <w14:solidFill>
                    <w14:schemeClr w14:val="tx1"/>
                  </w14:solidFill>
                </w14:textFill>
              </w:rPr>
              <w:t>单位</w:t>
            </w:r>
          </w:p>
        </w:tc>
        <w:tc>
          <w:tcPr>
            <w:tcW w:w="1827" w:type="dxa"/>
            <w:gridSpan w:val="2"/>
            <w:tcBorders>
              <w:left w:val="single" w:color="000000" w:sz="4" w:space="0"/>
              <w:bottom w:val="single" w:color="000000" w:sz="6" w:space="0"/>
              <w:right w:val="single" w:color="000000" w:sz="6" w:space="0"/>
            </w:tcBorders>
          </w:tcPr>
          <w:p w14:paraId="4D274247">
            <w:pPr>
              <w:pStyle w:val="142"/>
              <w:shd w:val="clear"/>
              <w:spacing w:before="5"/>
              <w:ind w:left="39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金额（元） </w:t>
            </w:r>
          </w:p>
        </w:tc>
        <w:tc>
          <w:tcPr>
            <w:tcW w:w="920" w:type="dxa"/>
            <w:vMerge w:val="restart"/>
            <w:tcBorders>
              <w:left w:val="single" w:color="000000" w:sz="6" w:space="0"/>
              <w:bottom w:val="single" w:color="000000" w:sz="6" w:space="0"/>
            </w:tcBorders>
          </w:tcPr>
          <w:p w14:paraId="7D771A01">
            <w:pPr>
              <w:pStyle w:val="142"/>
              <w:shd w:val="clear"/>
              <w:spacing w:before="10"/>
              <w:rPr>
                <w:color w:val="000000" w:themeColor="text1"/>
                <w:sz w:val="15"/>
                <w:highlight w:val="none"/>
                <w14:textFill>
                  <w14:solidFill>
                    <w14:schemeClr w14:val="tx1"/>
                  </w14:solidFill>
                </w14:textFill>
              </w:rPr>
            </w:pPr>
          </w:p>
          <w:p w14:paraId="7BCE5B9C">
            <w:pPr>
              <w:pStyle w:val="142"/>
              <w:shd w:val="clear"/>
              <w:ind w:left="249"/>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备注 </w:t>
            </w:r>
          </w:p>
        </w:tc>
      </w:tr>
      <w:tr w14:paraId="18DF8FF2">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1712" w:type="dxa"/>
            <w:gridSpan w:val="2"/>
            <w:vMerge w:val="continue"/>
            <w:tcBorders>
              <w:top w:val="nil"/>
              <w:bottom w:val="single" w:color="000000" w:sz="6" w:space="0"/>
              <w:right w:val="single" w:color="000000" w:sz="6" w:space="0"/>
            </w:tcBorders>
          </w:tcPr>
          <w:p w14:paraId="23F9166A">
            <w:pPr>
              <w:shd w:val="clear"/>
              <w:rPr>
                <w:color w:val="000000" w:themeColor="text1"/>
                <w:sz w:val="2"/>
                <w:szCs w:val="2"/>
                <w:highlight w:val="none"/>
                <w14:textFill>
                  <w14:solidFill>
                    <w14:schemeClr w14:val="tx1"/>
                  </w14:solidFill>
                </w14:textFill>
              </w:rPr>
            </w:pPr>
          </w:p>
        </w:tc>
        <w:tc>
          <w:tcPr>
            <w:tcW w:w="2130" w:type="dxa"/>
            <w:vMerge w:val="continue"/>
            <w:tcBorders>
              <w:top w:val="nil"/>
              <w:left w:val="single" w:color="000000" w:sz="6" w:space="0"/>
              <w:bottom w:val="single" w:color="000000" w:sz="6" w:space="0"/>
              <w:right w:val="single" w:color="000000" w:sz="4" w:space="0"/>
            </w:tcBorders>
          </w:tcPr>
          <w:p w14:paraId="1398D655">
            <w:pPr>
              <w:shd w:val="clear"/>
              <w:rPr>
                <w:color w:val="000000" w:themeColor="text1"/>
                <w:sz w:val="2"/>
                <w:szCs w:val="2"/>
                <w:highlight w:val="none"/>
                <w14:textFill>
                  <w14:solidFill>
                    <w14:schemeClr w14:val="tx1"/>
                  </w14:solidFill>
                </w14:textFill>
              </w:rPr>
            </w:pPr>
          </w:p>
        </w:tc>
        <w:tc>
          <w:tcPr>
            <w:tcW w:w="1199" w:type="dxa"/>
            <w:vMerge w:val="continue"/>
            <w:tcBorders>
              <w:top w:val="nil"/>
              <w:left w:val="single" w:color="000000" w:sz="4" w:space="0"/>
              <w:bottom w:val="single" w:color="000000" w:sz="6" w:space="0"/>
              <w:right w:val="single" w:color="000000" w:sz="6" w:space="0"/>
            </w:tcBorders>
          </w:tcPr>
          <w:p w14:paraId="6A9F3895">
            <w:pPr>
              <w:shd w:val="clear"/>
              <w:rPr>
                <w:color w:val="000000" w:themeColor="text1"/>
                <w:sz w:val="2"/>
                <w:szCs w:val="2"/>
                <w:highlight w:val="none"/>
                <w14:textFill>
                  <w14:solidFill>
                    <w14:schemeClr w14:val="tx1"/>
                  </w14:solidFill>
                </w14:textFill>
              </w:rPr>
            </w:pPr>
          </w:p>
        </w:tc>
        <w:tc>
          <w:tcPr>
            <w:tcW w:w="1096" w:type="dxa"/>
            <w:vMerge w:val="continue"/>
            <w:tcBorders>
              <w:top w:val="nil"/>
              <w:left w:val="single" w:color="000000" w:sz="6" w:space="0"/>
              <w:bottom w:val="single" w:color="000000" w:sz="6" w:space="0"/>
              <w:right w:val="single" w:color="000000" w:sz="4" w:space="0"/>
            </w:tcBorders>
          </w:tcPr>
          <w:p w14:paraId="4ED5D09D">
            <w:pPr>
              <w:shd w:val="clear"/>
              <w:rPr>
                <w:color w:val="000000" w:themeColor="text1"/>
                <w:sz w:val="2"/>
                <w:szCs w:val="2"/>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4" w:space="0"/>
            </w:tcBorders>
          </w:tcPr>
          <w:p w14:paraId="3795896E">
            <w:pPr>
              <w:pStyle w:val="142"/>
              <w:shd w:val="clear"/>
              <w:spacing w:before="1"/>
              <w:ind w:left="25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单价</w:t>
            </w:r>
          </w:p>
        </w:tc>
        <w:tc>
          <w:tcPr>
            <w:tcW w:w="918" w:type="dxa"/>
            <w:tcBorders>
              <w:top w:val="single" w:color="000000" w:sz="6" w:space="0"/>
              <w:left w:val="single" w:color="000000" w:sz="4" w:space="0"/>
              <w:bottom w:val="single" w:color="000000" w:sz="6" w:space="0"/>
              <w:right w:val="single" w:color="000000" w:sz="6" w:space="0"/>
            </w:tcBorders>
          </w:tcPr>
          <w:p w14:paraId="53BD7E77">
            <w:pPr>
              <w:pStyle w:val="142"/>
              <w:shd w:val="clear"/>
              <w:spacing w:before="1"/>
              <w:ind w:left="291"/>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小计 </w:t>
            </w:r>
          </w:p>
        </w:tc>
        <w:tc>
          <w:tcPr>
            <w:tcW w:w="920" w:type="dxa"/>
            <w:vMerge w:val="continue"/>
            <w:tcBorders>
              <w:top w:val="nil"/>
              <w:left w:val="single" w:color="000000" w:sz="6" w:space="0"/>
              <w:bottom w:val="single" w:color="000000" w:sz="6" w:space="0"/>
            </w:tcBorders>
          </w:tcPr>
          <w:p w14:paraId="0875E4F7">
            <w:pPr>
              <w:shd w:val="clear"/>
              <w:rPr>
                <w:color w:val="000000" w:themeColor="text1"/>
                <w:sz w:val="2"/>
                <w:szCs w:val="2"/>
                <w:highlight w:val="none"/>
                <w14:textFill>
                  <w14:solidFill>
                    <w14:schemeClr w14:val="tx1"/>
                  </w14:solidFill>
                </w14:textFill>
              </w:rPr>
            </w:pPr>
          </w:p>
        </w:tc>
      </w:tr>
      <w:tr w14:paraId="23125915">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64" w:hRule="atLeast"/>
          <w:jc w:val="center"/>
        </w:trPr>
        <w:tc>
          <w:tcPr>
            <w:tcW w:w="329" w:type="dxa"/>
            <w:tcBorders>
              <w:top w:val="single" w:color="000000" w:sz="6" w:space="0"/>
              <w:bottom w:val="single" w:color="000000" w:sz="6" w:space="0"/>
              <w:right w:val="single" w:color="000000" w:sz="6" w:space="0"/>
            </w:tcBorders>
          </w:tcPr>
          <w:p w14:paraId="52EBFC9E">
            <w:pPr>
              <w:pStyle w:val="142"/>
              <w:shd w:val="clear"/>
              <w:spacing w:before="49"/>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1 </w:t>
            </w:r>
          </w:p>
        </w:tc>
        <w:tc>
          <w:tcPr>
            <w:tcW w:w="1383" w:type="dxa"/>
            <w:tcBorders>
              <w:top w:val="single" w:color="000000" w:sz="6" w:space="0"/>
              <w:left w:val="single" w:color="000000" w:sz="6" w:space="0"/>
              <w:bottom w:val="single" w:color="000000" w:sz="6" w:space="0"/>
              <w:right w:val="single" w:color="000000" w:sz="6" w:space="0"/>
            </w:tcBorders>
          </w:tcPr>
          <w:p w14:paraId="39D57FF1">
            <w:pPr>
              <w:pStyle w:val="142"/>
              <w:shd w:val="clear"/>
              <w:spacing w:before="6"/>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600D519C">
            <w:pPr>
              <w:pStyle w:val="142"/>
              <w:shd w:val="clear"/>
              <w:spacing w:before="6"/>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272B5673">
            <w:pPr>
              <w:pStyle w:val="142"/>
              <w:shd w:val="clear"/>
              <w:spacing w:before="6"/>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1B6ED61A">
            <w:pPr>
              <w:pStyle w:val="142"/>
              <w:shd w:val="clear"/>
              <w:spacing w:before="6"/>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1FA5F4DE">
            <w:pPr>
              <w:pStyle w:val="142"/>
              <w:shd w:val="clear"/>
              <w:spacing w:before="6"/>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30DEB413">
            <w:pPr>
              <w:pStyle w:val="142"/>
              <w:shd w:val="clear"/>
              <w:spacing w:before="6"/>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3E77577E">
            <w:pPr>
              <w:pStyle w:val="142"/>
              <w:shd w:val="clear"/>
              <w:spacing w:before="6"/>
              <w:ind w:left="4"/>
              <w:rPr>
                <w:color w:val="000000" w:themeColor="text1"/>
                <w:sz w:val="21"/>
                <w:highlight w:val="none"/>
                <w14:textFill>
                  <w14:solidFill>
                    <w14:schemeClr w14:val="tx1"/>
                  </w14:solidFill>
                </w14:textFill>
              </w:rPr>
            </w:pPr>
          </w:p>
        </w:tc>
      </w:tr>
      <w:tr w14:paraId="614D508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329" w:type="dxa"/>
            <w:tcBorders>
              <w:top w:val="single" w:color="000000" w:sz="6" w:space="0"/>
              <w:bottom w:val="single" w:color="000000" w:sz="6" w:space="0"/>
              <w:right w:val="single" w:color="000000" w:sz="6" w:space="0"/>
            </w:tcBorders>
          </w:tcPr>
          <w:p w14:paraId="734DD968">
            <w:pPr>
              <w:pStyle w:val="142"/>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2 </w:t>
            </w:r>
          </w:p>
        </w:tc>
        <w:tc>
          <w:tcPr>
            <w:tcW w:w="1383" w:type="dxa"/>
            <w:tcBorders>
              <w:top w:val="single" w:color="000000" w:sz="6" w:space="0"/>
              <w:left w:val="single" w:color="000000" w:sz="6" w:space="0"/>
              <w:bottom w:val="single" w:color="000000" w:sz="6" w:space="0"/>
              <w:right w:val="single" w:color="000000" w:sz="6" w:space="0"/>
            </w:tcBorders>
          </w:tcPr>
          <w:p w14:paraId="6C03233A">
            <w:pPr>
              <w:pStyle w:val="142"/>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3844970B">
            <w:pPr>
              <w:pStyle w:val="142"/>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0B4CE1B4">
            <w:pPr>
              <w:pStyle w:val="142"/>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3824B1CB">
            <w:pPr>
              <w:pStyle w:val="142"/>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4E3B34C7">
            <w:pPr>
              <w:pStyle w:val="142"/>
              <w:shd w:val="clear"/>
              <w:spacing w:before="1"/>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25C0F4B7">
            <w:pPr>
              <w:pStyle w:val="142"/>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6E28FE9A">
            <w:pPr>
              <w:pStyle w:val="142"/>
              <w:shd w:val="clear"/>
              <w:spacing w:before="1"/>
              <w:ind w:left="4"/>
              <w:rPr>
                <w:color w:val="000000" w:themeColor="text1"/>
                <w:sz w:val="21"/>
                <w:highlight w:val="none"/>
                <w14:textFill>
                  <w14:solidFill>
                    <w14:schemeClr w14:val="tx1"/>
                  </w14:solidFill>
                </w14:textFill>
              </w:rPr>
            </w:pPr>
          </w:p>
        </w:tc>
      </w:tr>
      <w:tr w14:paraId="3FBB1E7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329" w:type="dxa"/>
            <w:tcBorders>
              <w:top w:val="single" w:color="000000" w:sz="6" w:space="0"/>
              <w:bottom w:val="single" w:color="000000" w:sz="6" w:space="0"/>
              <w:right w:val="single" w:color="000000" w:sz="6" w:space="0"/>
            </w:tcBorders>
          </w:tcPr>
          <w:p w14:paraId="3C28F83E">
            <w:pPr>
              <w:pStyle w:val="142"/>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3 </w:t>
            </w:r>
          </w:p>
        </w:tc>
        <w:tc>
          <w:tcPr>
            <w:tcW w:w="1383" w:type="dxa"/>
            <w:tcBorders>
              <w:top w:val="single" w:color="000000" w:sz="6" w:space="0"/>
              <w:left w:val="single" w:color="000000" w:sz="6" w:space="0"/>
              <w:bottom w:val="single" w:color="000000" w:sz="6" w:space="0"/>
              <w:right w:val="single" w:color="000000" w:sz="6" w:space="0"/>
            </w:tcBorders>
          </w:tcPr>
          <w:p w14:paraId="7DD0306B">
            <w:pPr>
              <w:pStyle w:val="142"/>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4B285DD0">
            <w:pPr>
              <w:pStyle w:val="142"/>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2E3C78E9">
            <w:pPr>
              <w:pStyle w:val="142"/>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6C207CE9">
            <w:pPr>
              <w:pStyle w:val="142"/>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0DCF1639">
            <w:pPr>
              <w:pStyle w:val="142"/>
              <w:shd w:val="clear"/>
              <w:spacing w:before="1"/>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5DCA12EE">
            <w:pPr>
              <w:pStyle w:val="142"/>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6A0A9A4B">
            <w:pPr>
              <w:pStyle w:val="142"/>
              <w:shd w:val="clear"/>
              <w:spacing w:before="1"/>
              <w:ind w:left="4"/>
              <w:rPr>
                <w:color w:val="000000" w:themeColor="text1"/>
                <w:sz w:val="21"/>
                <w:highlight w:val="none"/>
                <w14:textFill>
                  <w14:solidFill>
                    <w14:schemeClr w14:val="tx1"/>
                  </w14:solidFill>
                </w14:textFill>
              </w:rPr>
            </w:pPr>
          </w:p>
        </w:tc>
      </w:tr>
      <w:tr w14:paraId="75A98CD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329" w:type="dxa"/>
            <w:tcBorders>
              <w:top w:val="single" w:color="000000" w:sz="6" w:space="0"/>
              <w:bottom w:val="single" w:color="000000" w:sz="6" w:space="0"/>
              <w:right w:val="single" w:color="000000" w:sz="6" w:space="0"/>
            </w:tcBorders>
          </w:tcPr>
          <w:p w14:paraId="1355DD0D">
            <w:pPr>
              <w:pStyle w:val="142"/>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4 </w:t>
            </w:r>
          </w:p>
        </w:tc>
        <w:tc>
          <w:tcPr>
            <w:tcW w:w="1383" w:type="dxa"/>
            <w:tcBorders>
              <w:top w:val="single" w:color="000000" w:sz="6" w:space="0"/>
              <w:left w:val="single" w:color="000000" w:sz="6" w:space="0"/>
              <w:bottom w:val="single" w:color="000000" w:sz="6" w:space="0"/>
              <w:right w:val="single" w:color="000000" w:sz="6" w:space="0"/>
            </w:tcBorders>
          </w:tcPr>
          <w:p w14:paraId="67AF5472">
            <w:pPr>
              <w:pStyle w:val="142"/>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446E44A6">
            <w:pPr>
              <w:pStyle w:val="142"/>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7902EF34">
            <w:pPr>
              <w:pStyle w:val="142"/>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45734276">
            <w:pPr>
              <w:pStyle w:val="142"/>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639FB6C1">
            <w:pPr>
              <w:pStyle w:val="142"/>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6E28C162">
            <w:pPr>
              <w:pStyle w:val="142"/>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45184605">
            <w:pPr>
              <w:pStyle w:val="142"/>
              <w:shd w:val="clear"/>
              <w:spacing w:before="1"/>
              <w:ind w:left="4"/>
              <w:rPr>
                <w:color w:val="000000" w:themeColor="text1"/>
                <w:sz w:val="21"/>
                <w:highlight w:val="none"/>
                <w14:textFill>
                  <w14:solidFill>
                    <w14:schemeClr w14:val="tx1"/>
                  </w14:solidFill>
                </w14:textFill>
              </w:rPr>
            </w:pPr>
          </w:p>
        </w:tc>
      </w:tr>
      <w:tr w14:paraId="4ED78CC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8" w:hRule="atLeast"/>
          <w:jc w:val="center"/>
        </w:trPr>
        <w:tc>
          <w:tcPr>
            <w:tcW w:w="329" w:type="dxa"/>
            <w:tcBorders>
              <w:top w:val="single" w:color="000000" w:sz="6" w:space="0"/>
              <w:bottom w:val="single" w:color="000000" w:sz="6" w:space="0"/>
              <w:right w:val="single" w:color="000000" w:sz="6" w:space="0"/>
            </w:tcBorders>
          </w:tcPr>
          <w:p w14:paraId="604ECF8C">
            <w:pPr>
              <w:pStyle w:val="142"/>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5 </w:t>
            </w:r>
          </w:p>
        </w:tc>
        <w:tc>
          <w:tcPr>
            <w:tcW w:w="1383" w:type="dxa"/>
            <w:tcBorders>
              <w:top w:val="single" w:color="000000" w:sz="6" w:space="0"/>
              <w:left w:val="single" w:color="000000" w:sz="6" w:space="0"/>
              <w:bottom w:val="single" w:color="000000" w:sz="6" w:space="0"/>
              <w:right w:val="single" w:color="000000" w:sz="6" w:space="0"/>
            </w:tcBorders>
          </w:tcPr>
          <w:p w14:paraId="31656A1B">
            <w:pPr>
              <w:pStyle w:val="142"/>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74B79160">
            <w:pPr>
              <w:pStyle w:val="142"/>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6BB91FAA">
            <w:pPr>
              <w:pStyle w:val="142"/>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2B57F1B4">
            <w:pPr>
              <w:pStyle w:val="142"/>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135FAC3D">
            <w:pPr>
              <w:pStyle w:val="142"/>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1B25EDDF">
            <w:pPr>
              <w:pStyle w:val="142"/>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56C84902">
            <w:pPr>
              <w:pStyle w:val="142"/>
              <w:shd w:val="clear"/>
              <w:spacing w:before="1"/>
              <w:ind w:left="4"/>
              <w:rPr>
                <w:color w:val="000000" w:themeColor="text1"/>
                <w:sz w:val="21"/>
                <w:highlight w:val="none"/>
                <w14:textFill>
                  <w14:solidFill>
                    <w14:schemeClr w14:val="tx1"/>
                  </w14:solidFill>
                </w14:textFill>
              </w:rPr>
            </w:pPr>
          </w:p>
        </w:tc>
      </w:tr>
      <w:tr w14:paraId="63B8D2A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329" w:type="dxa"/>
            <w:tcBorders>
              <w:top w:val="single" w:color="000000" w:sz="6" w:space="0"/>
              <w:bottom w:val="single" w:color="000000" w:sz="6" w:space="0"/>
              <w:right w:val="single" w:color="000000" w:sz="6" w:space="0"/>
            </w:tcBorders>
          </w:tcPr>
          <w:p w14:paraId="7E9C028F">
            <w:pPr>
              <w:pStyle w:val="142"/>
              <w:shd w:val="clear"/>
              <w:spacing w:before="77"/>
              <w:ind w:left="52"/>
              <w:rPr>
                <w:rFonts w:ascii="Times New Roman" w:hAnsi="Times New Roman"/>
                <w:color w:val="000000" w:themeColor="text1"/>
                <w:sz w:val="21"/>
                <w:highlight w:val="none"/>
                <w14:textFill>
                  <w14:solidFill>
                    <w14:schemeClr w14:val="tx1"/>
                  </w14:solidFill>
                </w14:textFill>
              </w:rPr>
            </w:pPr>
            <w:r>
              <w:rPr>
                <w:rFonts w:ascii="Times New Roman" w:hAnsi="Times New Roman"/>
                <w:color w:val="000000" w:themeColor="text1"/>
                <w:sz w:val="21"/>
                <w:highlight w:val="none"/>
                <w14:textFill>
                  <w14:solidFill>
                    <w14:schemeClr w14:val="tx1"/>
                  </w14:solidFill>
                </w14:textFill>
              </w:rPr>
              <w:t>…</w:t>
            </w:r>
          </w:p>
        </w:tc>
        <w:tc>
          <w:tcPr>
            <w:tcW w:w="1383" w:type="dxa"/>
            <w:tcBorders>
              <w:top w:val="single" w:color="000000" w:sz="6" w:space="0"/>
              <w:left w:val="single" w:color="000000" w:sz="6" w:space="0"/>
              <w:bottom w:val="single" w:color="000000" w:sz="6" w:space="0"/>
              <w:right w:val="single" w:color="000000" w:sz="6" w:space="0"/>
            </w:tcBorders>
          </w:tcPr>
          <w:p w14:paraId="66AF3FF8">
            <w:pPr>
              <w:pStyle w:val="142"/>
              <w:shd w:val="clear"/>
              <w:spacing w:before="1"/>
              <w:ind w:right="55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1833377D">
            <w:pPr>
              <w:pStyle w:val="142"/>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33500DBF">
            <w:pPr>
              <w:pStyle w:val="142"/>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1053DF74">
            <w:pPr>
              <w:pStyle w:val="142"/>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62E30CA1">
            <w:pPr>
              <w:pStyle w:val="142"/>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6D48058F">
            <w:pPr>
              <w:pStyle w:val="142"/>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48068294">
            <w:pPr>
              <w:pStyle w:val="142"/>
              <w:shd w:val="clear"/>
              <w:spacing w:before="1"/>
              <w:ind w:left="4"/>
              <w:rPr>
                <w:color w:val="000000" w:themeColor="text1"/>
                <w:sz w:val="21"/>
                <w:highlight w:val="none"/>
                <w14:textFill>
                  <w14:solidFill>
                    <w14:schemeClr w14:val="tx1"/>
                  </w14:solidFill>
                </w14:textFill>
              </w:rPr>
            </w:pPr>
          </w:p>
        </w:tc>
      </w:tr>
      <w:tr w14:paraId="42866A2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7046" w:type="dxa"/>
            <w:gridSpan w:val="6"/>
            <w:tcBorders>
              <w:top w:val="single" w:color="000000" w:sz="6" w:space="0"/>
              <w:right w:val="single" w:color="000000" w:sz="6" w:space="0"/>
            </w:tcBorders>
          </w:tcPr>
          <w:p w14:paraId="6AE63527">
            <w:pPr>
              <w:pStyle w:val="142"/>
              <w:shd w:val="clear"/>
              <w:spacing w:before="5"/>
              <w:ind w:left="2706" w:right="2596"/>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投标报价（元）：</w:t>
            </w:r>
          </w:p>
        </w:tc>
        <w:tc>
          <w:tcPr>
            <w:tcW w:w="918" w:type="dxa"/>
            <w:tcBorders>
              <w:top w:val="single" w:color="000000" w:sz="6" w:space="0"/>
              <w:left w:val="single" w:color="000000" w:sz="6" w:space="0"/>
              <w:right w:val="single" w:color="000000" w:sz="6" w:space="0"/>
            </w:tcBorders>
          </w:tcPr>
          <w:p w14:paraId="10A9BA76">
            <w:pPr>
              <w:pStyle w:val="142"/>
              <w:shd w:val="clear"/>
              <w:spacing w:before="5"/>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tcBorders>
          </w:tcPr>
          <w:p w14:paraId="03828B9C">
            <w:pPr>
              <w:pStyle w:val="142"/>
              <w:shd w:val="clear"/>
              <w:spacing w:before="5"/>
              <w:ind w:left="4"/>
              <w:rPr>
                <w:color w:val="000000" w:themeColor="text1"/>
                <w:sz w:val="21"/>
                <w:highlight w:val="none"/>
                <w14:textFill>
                  <w14:solidFill>
                    <w14:schemeClr w14:val="tx1"/>
                  </w14:solidFill>
                </w14:textFill>
              </w:rPr>
            </w:pPr>
          </w:p>
        </w:tc>
      </w:tr>
    </w:tbl>
    <w:p w14:paraId="78106D64">
      <w:pPr>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备注：（1）按招标文件提供的工程量清单（见附件）报价，否则其投标无效。 </w:t>
      </w:r>
    </w:p>
    <w:p w14:paraId="75CE19C1">
      <w:pPr>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（2）设备清单要求按本表填写明细内容，否则其投标无效。</w:t>
      </w:r>
    </w:p>
    <w:p w14:paraId="175EE3FD">
      <w:pPr>
        <w:shd w:val="clear"/>
        <w:rPr>
          <w:color w:val="000000" w:themeColor="text1"/>
          <w:highlight w:val="none"/>
          <w14:textFill>
            <w14:solidFill>
              <w14:schemeClr w14:val="tx1"/>
            </w14:solidFill>
          </w14:textFill>
        </w:rPr>
      </w:pPr>
    </w:p>
    <w:p w14:paraId="5B2D0C1A">
      <w:pPr>
        <w:shd w:val="clear"/>
        <w:rPr>
          <w:color w:val="000000" w:themeColor="text1"/>
          <w:highlight w:val="none"/>
          <w14:textFill>
            <w14:solidFill>
              <w14:schemeClr w14:val="tx1"/>
            </w14:solidFill>
          </w14:textFill>
        </w:rPr>
      </w:pPr>
    </w:p>
    <w:p w14:paraId="45C30121">
      <w:pPr>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投标人名称（盖单位电子章）： </w:t>
      </w:r>
    </w:p>
    <w:p w14:paraId="6BBC3293">
      <w:pPr>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法定代表人（单位负责人）或其授权的代理人（电子签字或电子印章）：       </w:t>
      </w:r>
    </w:p>
    <w:p w14:paraId="73EC8AF6">
      <w:pPr>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 期 ： 年 月 日</w:t>
      </w:r>
    </w:p>
    <w:p w14:paraId="7A9DB94C">
      <w:pPr>
        <w:shd w:val="clear"/>
        <w:adjustRightInd w:val="0"/>
        <w:snapToGrid w:val="0"/>
        <w:jc w:val="center"/>
        <w:rPr>
          <w:rFonts w:ascii="黑体" w:eastAsia="黑体" w:cs="微软雅黑" w:hAnsiTheme="minorEastAsia"/>
          <w:b/>
          <w:color w:val="000000" w:themeColor="text1"/>
          <w:spacing w:val="-2"/>
          <w:kern w:val="0"/>
          <w:position w:val="-3"/>
          <w:sz w:val="28"/>
          <w:szCs w:val="28"/>
          <w:highlight w:val="none"/>
          <w14:textFill>
            <w14:solidFill>
              <w14:schemeClr w14:val="tx1"/>
            </w14:solidFill>
          </w14:textFill>
        </w:rPr>
      </w:pPr>
    </w:p>
    <w:p w14:paraId="5B1D9EE8">
      <w:pPr>
        <w:shd w:val="clear"/>
        <w:adjustRightInd w:val="0"/>
        <w:snapToGrid w:val="0"/>
        <w:jc w:val="center"/>
        <w:rPr>
          <w:rFonts w:ascii="黑体" w:eastAsia="黑体" w:cs="微软雅黑" w:hAnsiTheme="minorEastAsia"/>
          <w:b/>
          <w:color w:val="000000" w:themeColor="text1"/>
          <w:spacing w:val="-2"/>
          <w:kern w:val="0"/>
          <w:position w:val="-3"/>
          <w:sz w:val="28"/>
          <w:szCs w:val="28"/>
          <w:highlight w:val="none"/>
          <w14:textFill>
            <w14:solidFill>
              <w14:schemeClr w14:val="tx1"/>
            </w14:solidFill>
          </w14:textFill>
        </w:rPr>
      </w:pPr>
    </w:p>
    <w:p w14:paraId="2CCF86D5">
      <w:pPr>
        <w:shd w:val="clear"/>
        <w:adjustRightInd w:val="0"/>
        <w:snapToGrid w:val="0"/>
        <w:jc w:val="center"/>
        <w:rPr>
          <w:rFonts w:ascii="黑体" w:eastAsia="黑体" w:cs="微软雅黑" w:hAnsiTheme="minorEastAsia"/>
          <w:b/>
          <w:color w:val="000000" w:themeColor="text1"/>
          <w:spacing w:val="-2"/>
          <w:kern w:val="0"/>
          <w:position w:val="-3"/>
          <w:sz w:val="28"/>
          <w:szCs w:val="28"/>
          <w:highlight w:val="none"/>
          <w14:textFill>
            <w14:solidFill>
              <w14:schemeClr w14:val="tx1"/>
            </w14:solidFill>
          </w14:textFill>
        </w:rPr>
      </w:pPr>
    </w:p>
    <w:p w14:paraId="0183C2DF">
      <w:pPr>
        <w:shd w:val="clear"/>
        <w:adjustRightInd w:val="0"/>
        <w:snapToGrid w:val="0"/>
        <w:jc w:val="center"/>
        <w:rPr>
          <w:rFonts w:ascii="黑体" w:eastAsia="黑体" w:cs="微软雅黑" w:hAnsiTheme="minorEastAsia"/>
          <w:b/>
          <w:color w:val="000000" w:themeColor="text1"/>
          <w:spacing w:val="-2"/>
          <w:kern w:val="0"/>
          <w:position w:val="-3"/>
          <w:sz w:val="28"/>
          <w:szCs w:val="28"/>
          <w:highlight w:val="none"/>
          <w14:textFill>
            <w14:solidFill>
              <w14:schemeClr w14:val="tx1"/>
            </w14:solidFill>
          </w14:textFill>
        </w:rPr>
      </w:pPr>
    </w:p>
    <w:p w14:paraId="73F9A448">
      <w:pPr>
        <w:shd w:val="clear"/>
        <w:adjustRightInd w:val="0"/>
        <w:snapToGrid w:val="0"/>
        <w:jc w:val="center"/>
        <w:rPr>
          <w:rFonts w:ascii="黑体" w:eastAsia="黑体" w:cs="微软雅黑" w:hAnsiTheme="minorEastAsia"/>
          <w:b/>
          <w:color w:val="000000" w:themeColor="text1"/>
          <w:spacing w:val="-2"/>
          <w:kern w:val="0"/>
          <w:position w:val="-3"/>
          <w:sz w:val="28"/>
          <w:szCs w:val="28"/>
          <w:highlight w:val="none"/>
          <w14:textFill>
            <w14:solidFill>
              <w14:schemeClr w14:val="tx1"/>
            </w14:solidFill>
          </w14:textFill>
        </w:rPr>
      </w:pPr>
    </w:p>
    <w:p w14:paraId="52068F0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sectPr>
          <w:headerReference r:id="rId5" w:type="default"/>
          <w:footerReference r:id="rId6" w:type="default"/>
          <w:footerReference r:id="rId7" w:type="even"/>
          <w:pgSz w:w="11906" w:h="16838"/>
          <w:pgMar w:top="1474" w:right="1474" w:bottom="1474" w:left="1588"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ascii="宋体" w:hAnsi="宋体"/>
          <w:b/>
          <w:color w:val="000000" w:themeColor="text1"/>
          <w:sz w:val="28"/>
          <w:szCs w:val="28"/>
          <w:highlight w:val="none"/>
          <w14:textFill>
            <w14:solidFill>
              <w14:schemeClr w14:val="tx1"/>
            </w14:solidFill>
          </w14:textFill>
        </w:rPr>
        <w:br w:type="page"/>
      </w:r>
    </w:p>
    <w:p w14:paraId="5A0956D5">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bookmarkStart w:id="114" w:name="_Toc1005"/>
      <w:bookmarkStart w:id="115" w:name="_Toc16399"/>
      <w:bookmarkStart w:id="116" w:name="_Toc29586"/>
      <w:bookmarkStart w:id="117" w:name="_Toc11578"/>
      <w:r>
        <w:rPr>
          <w:rFonts w:hint="eastAsia" w:ascii="黑体" w:hAnsi="宋体" w:eastAsia="黑体"/>
          <w:color w:val="000000" w:themeColor="text1"/>
          <w:sz w:val="28"/>
          <w:szCs w:val="28"/>
          <w:highlight w:val="none"/>
          <w14:textFill>
            <w14:solidFill>
              <w14:schemeClr w14:val="tx1"/>
            </w14:solidFill>
          </w14:textFill>
        </w:rPr>
        <w:t>七、采购需求响应</w:t>
      </w:r>
      <w:bookmarkEnd w:id="114"/>
      <w:bookmarkEnd w:id="115"/>
      <w:bookmarkEnd w:id="116"/>
      <w:bookmarkEnd w:id="117"/>
    </w:p>
    <w:p w14:paraId="6BC0CCDE">
      <w:pPr>
        <w:shd w:val="clear"/>
        <w:adjustRightInd w:val="0"/>
        <w:snapToGrid w:val="0"/>
        <w:spacing w:line="360" w:lineRule="auto"/>
        <w:rPr>
          <w:rFonts w:asciiTheme="minorEastAsia" w:hAnsiTheme="minorEastAsia" w:eastAsiaTheme="minorEastAsia"/>
          <w:b/>
          <w:color w:val="000000" w:themeColor="text1"/>
          <w:szCs w:val="21"/>
          <w:highlight w:val="none"/>
          <w14:textFill>
            <w14:solidFill>
              <w14:schemeClr w14:val="tx1"/>
            </w14:solidFill>
          </w14:textFill>
        </w:rPr>
      </w:pPr>
    </w:p>
    <w:p w14:paraId="0DE7CDE3">
      <w:pPr>
        <w:shd w:val="clear"/>
        <w:adjustRightInd w:val="0"/>
        <w:snapToGrid w:val="0"/>
        <w:spacing w:line="360" w:lineRule="auto"/>
        <w:rPr>
          <w:b/>
          <w:color w:val="000000" w:themeColor="text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编制说明</w:t>
      </w:r>
      <w:r>
        <w:rPr>
          <w:rFonts w:hint="eastAsia" w:asciiTheme="minorEastAsia" w:hAnsiTheme="minorEastAsia" w:eastAsiaTheme="minorEastAsia"/>
          <w:bCs/>
          <w:color w:val="000000" w:themeColor="text1"/>
          <w:szCs w:val="21"/>
          <w:highlight w:val="none"/>
          <w14:textFill>
            <w14:solidFill>
              <w14:schemeClr w14:val="tx1"/>
            </w14:solidFill>
          </w14:textFill>
        </w:rPr>
        <w:t>：</w:t>
      </w:r>
      <w:r>
        <w:rPr>
          <w:rFonts w:hint="eastAsia"/>
          <w:b/>
          <w:color w:val="000000" w:themeColor="text1"/>
          <w:highlight w:val="none"/>
          <w14:textFill>
            <w14:solidFill>
              <w14:schemeClr w14:val="tx1"/>
            </w14:solidFill>
          </w14:textFill>
        </w:rPr>
        <w:t>投标人应按招标文件第五章采购需求自行编写采购需求响应文件（其内容可包括，且不限于详细的技术指标和性能、售后服务和技术服务的组织及保证措施等，格式自拟）。</w:t>
      </w:r>
    </w:p>
    <w:p w14:paraId="7D08E5AB">
      <w:pPr>
        <w:pStyle w:val="24"/>
        <w:shd w:val="clear"/>
        <w:adjustRightInd w:val="0"/>
        <w:snapToGrid w:val="0"/>
        <w:spacing w:line="360" w:lineRule="auto"/>
        <w:ind w:left="-88" w:leftChars="-42"/>
        <w:rPr>
          <w:rFonts w:ascii="宋体" w:hAnsi="宋体"/>
          <w:bCs/>
          <w:color w:val="000000" w:themeColor="text1"/>
          <w:sz w:val="21"/>
          <w:szCs w:val="21"/>
          <w:highlight w:val="none"/>
          <w14:textFill>
            <w14:solidFill>
              <w14:schemeClr w14:val="tx1"/>
            </w14:solidFill>
          </w14:textFill>
        </w:rPr>
      </w:pPr>
    </w:p>
    <w:p w14:paraId="10BC0F2C">
      <w:pPr>
        <w:shd w:val="clear"/>
        <w:rPr>
          <w:color w:val="000000" w:themeColor="text1"/>
          <w:highlight w:val="none"/>
          <w14:textFill>
            <w14:solidFill>
              <w14:schemeClr w14:val="tx1"/>
            </w14:solidFill>
          </w14:textFill>
        </w:rPr>
      </w:pPr>
    </w:p>
    <w:p w14:paraId="015CF4C9">
      <w:pPr>
        <w:shd w:val="clear"/>
        <w:rPr>
          <w:color w:val="000000" w:themeColor="text1"/>
          <w:highlight w:val="none"/>
          <w14:textFill>
            <w14:solidFill>
              <w14:schemeClr w14:val="tx1"/>
            </w14:solidFill>
          </w14:textFill>
        </w:rPr>
      </w:pPr>
    </w:p>
    <w:p w14:paraId="7E0DEFC6">
      <w:pPr>
        <w:pStyle w:val="24"/>
        <w:shd w:val="clear"/>
        <w:tabs>
          <w:tab w:val="left" w:pos="6208"/>
        </w:tabs>
        <w:adjustRightInd w:val="0"/>
        <w:snapToGrid w:val="0"/>
        <w:spacing w:line="360" w:lineRule="auto"/>
        <w:ind w:left="-88" w:leftChars="-42"/>
        <w:rPr>
          <w:rFonts w:ascii="宋体" w:hAnsi="宋体"/>
          <w:bCs/>
          <w:color w:val="000000" w:themeColor="text1"/>
          <w:sz w:val="21"/>
          <w:szCs w:val="21"/>
          <w:highlight w:val="none"/>
          <w14:textFill>
            <w14:solidFill>
              <w14:schemeClr w14:val="tx1"/>
            </w14:solidFill>
          </w14:textFill>
        </w:rPr>
      </w:pPr>
    </w:p>
    <w:p w14:paraId="1D6BE8FF">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p>
    <w:p w14:paraId="706FC1C1">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投标人名称（盖单位电子章）：</w:t>
      </w:r>
    </w:p>
    <w:p w14:paraId="3E1119CA">
      <w:pPr>
        <w:shd w:val="clea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或其授权的代理人（电子签字或电子印章）：</w:t>
      </w:r>
    </w:p>
    <w:p w14:paraId="4393D098">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日期：年月日</w:t>
      </w:r>
    </w:p>
    <w:p w14:paraId="4A305523">
      <w:pPr>
        <w:shd w:val="clear"/>
        <w:rPr>
          <w:color w:val="000000" w:themeColor="text1"/>
          <w:highlight w:val="none"/>
          <w14:textFill>
            <w14:solidFill>
              <w14:schemeClr w14:val="tx1"/>
            </w14:solidFill>
          </w14:textFill>
        </w:rPr>
      </w:pPr>
    </w:p>
    <w:p w14:paraId="63270BCB">
      <w:pPr>
        <w:shd w:val="clear"/>
        <w:rPr>
          <w:color w:val="000000" w:themeColor="text1"/>
          <w:highlight w:val="none"/>
          <w14:textFill>
            <w14:solidFill>
              <w14:schemeClr w14:val="tx1"/>
            </w14:solidFill>
          </w14:textFill>
        </w:rPr>
      </w:pPr>
    </w:p>
    <w:p w14:paraId="62CC6FAA">
      <w:pPr>
        <w:pStyle w:val="6"/>
        <w:shd w:val="clear"/>
        <w:adjustRightInd w:val="0"/>
        <w:snapToGrid w:val="0"/>
        <w:spacing w:before="156" w:beforeLines="50" w:after="0" w:line="360" w:lineRule="auto"/>
        <w:rPr>
          <w:rFonts w:ascii="黑体" w:hAnsi="黑体"/>
          <w:b w:val="0"/>
          <w:color w:val="000000" w:themeColor="text1"/>
          <w:sz w:val="21"/>
          <w:szCs w:val="21"/>
          <w:highlight w:val="none"/>
          <w14:textFill>
            <w14:solidFill>
              <w14:schemeClr w14:val="tx1"/>
            </w14:solidFill>
          </w14:textFill>
        </w:rPr>
      </w:pPr>
      <w:bookmarkStart w:id="118" w:name="_Toc6749"/>
      <w:bookmarkStart w:id="119" w:name="_Toc24652"/>
      <w:bookmarkStart w:id="120" w:name="_Toc32309"/>
      <w:bookmarkStart w:id="121" w:name="_Toc24573"/>
      <w:r>
        <w:rPr>
          <w:rFonts w:hint="eastAsia" w:ascii="黑体" w:hAnsi="黑体" w:cs="宋体"/>
          <w:b w:val="0"/>
          <w:color w:val="000000" w:themeColor="text1"/>
          <w:spacing w:val="6"/>
          <w:sz w:val="21"/>
          <w:szCs w:val="21"/>
          <w:highlight w:val="none"/>
          <w14:textFill>
            <w14:solidFill>
              <w14:schemeClr w14:val="tx1"/>
            </w14:solidFill>
          </w14:textFill>
        </w:rPr>
        <w:t>附件7-1 响应</w:t>
      </w:r>
      <w:r>
        <w:rPr>
          <w:rFonts w:hint="eastAsia" w:ascii="黑体" w:hAnsi="黑体"/>
          <w:b w:val="0"/>
          <w:color w:val="000000" w:themeColor="text1"/>
          <w:sz w:val="21"/>
          <w:szCs w:val="21"/>
          <w:highlight w:val="none"/>
          <w14:textFill>
            <w14:solidFill>
              <w14:schemeClr w14:val="tx1"/>
            </w14:solidFill>
          </w14:textFill>
        </w:rPr>
        <w:t>-览表</w:t>
      </w:r>
      <w:bookmarkEnd w:id="118"/>
      <w:bookmarkEnd w:id="119"/>
      <w:bookmarkEnd w:id="120"/>
      <w:bookmarkEnd w:id="121"/>
    </w:p>
    <w:p w14:paraId="057CCED4">
      <w:pPr>
        <w:shd w:val="clear"/>
        <w:adjustRightInd w:val="0"/>
        <w:snapToGrid w:val="0"/>
        <w:spacing w:before="156" w:beforeLines="50" w:line="360" w:lineRule="auto"/>
        <w:jc w:val="center"/>
        <w:rPr>
          <w:rFonts w:ascii="黑体" w:hAnsi="黑体" w:eastAsia="黑体"/>
          <w:b/>
          <w:bCs/>
          <w:color w:val="000000" w:themeColor="text1"/>
          <w:sz w:val="28"/>
          <w:szCs w:val="28"/>
          <w:highlight w:val="none"/>
          <w14:textFill>
            <w14:solidFill>
              <w14:schemeClr w14:val="tx1"/>
            </w14:solidFill>
          </w14:textFill>
        </w:rPr>
      </w:pPr>
      <w:r>
        <w:rPr>
          <w:rFonts w:hint="eastAsia" w:ascii="黑体" w:hAnsi="黑体" w:eastAsia="黑体"/>
          <w:b/>
          <w:bCs/>
          <w:color w:val="000000" w:themeColor="text1"/>
          <w:sz w:val="28"/>
          <w:szCs w:val="28"/>
          <w:highlight w:val="none"/>
          <w14:textFill>
            <w14:solidFill>
              <w14:schemeClr w14:val="tx1"/>
            </w14:solidFill>
          </w14:textFill>
        </w:rPr>
        <w:t>响应</w:t>
      </w:r>
      <w:r>
        <w:rPr>
          <w:rFonts w:hint="eastAsia" w:ascii="黑体" w:hAnsi="黑体" w:eastAsia="黑体"/>
          <w:b/>
          <w:bCs/>
          <w:color w:val="000000" w:themeColor="text1"/>
          <w:sz w:val="28"/>
          <w:szCs w:val="28"/>
          <w:highlight w:val="none"/>
          <w:lang w:val="en-US" w:eastAsia="zh-CN"/>
          <w14:textFill>
            <w14:solidFill>
              <w14:schemeClr w14:val="tx1"/>
            </w14:solidFill>
          </w14:textFill>
        </w:rPr>
        <w:t>一</w:t>
      </w:r>
      <w:r>
        <w:rPr>
          <w:rFonts w:hint="eastAsia" w:ascii="黑体" w:hAnsi="黑体" w:eastAsia="黑体"/>
          <w:b/>
          <w:bCs/>
          <w:color w:val="000000" w:themeColor="text1"/>
          <w:sz w:val="28"/>
          <w:szCs w:val="28"/>
          <w:highlight w:val="none"/>
          <w14:textFill>
            <w14:solidFill>
              <w14:schemeClr w14:val="tx1"/>
            </w14:solidFill>
          </w14:textFill>
        </w:rPr>
        <w:t>览表</w:t>
      </w:r>
    </w:p>
    <w:p w14:paraId="0D742FF1">
      <w:pPr>
        <w:shd w:val="clear"/>
        <w:jc w:val="center"/>
        <w:rPr>
          <w:rFonts w:asciiTheme="minorEastAsia" w:hAnsiTheme="minorEastAsia" w:eastAsiaTheme="minorEastAsia"/>
          <w:color w:val="000000" w:themeColor="text1"/>
          <w:szCs w:val="21"/>
          <w:highlight w:val="none"/>
          <w14:textFill>
            <w14:solidFill>
              <w14:schemeClr w14:val="tx1"/>
            </w14:solidFill>
          </w14:textFill>
        </w:rPr>
      </w:pPr>
    </w:p>
    <w:tbl>
      <w:tblPr>
        <w:tblStyle w:val="43"/>
        <w:tblW w:w="9424" w:type="dxa"/>
        <w:tblInd w:w="-364"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864"/>
        <w:gridCol w:w="2100"/>
        <w:gridCol w:w="2382"/>
        <w:gridCol w:w="992"/>
        <w:gridCol w:w="709"/>
        <w:gridCol w:w="751"/>
        <w:gridCol w:w="971"/>
      </w:tblGrid>
      <w:tr w14:paraId="47113C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trPr>
        <w:tc>
          <w:tcPr>
            <w:tcW w:w="655" w:type="dxa"/>
            <w:vMerge w:val="restart"/>
            <w:vAlign w:val="center"/>
          </w:tcPr>
          <w:p w14:paraId="75C26C14">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包号 </w:t>
            </w:r>
          </w:p>
        </w:tc>
        <w:tc>
          <w:tcPr>
            <w:tcW w:w="864" w:type="dxa"/>
            <w:vMerge w:val="restart"/>
            <w:tcBorders>
              <w:right w:val="single" w:color="auto" w:sz="4" w:space="0"/>
            </w:tcBorders>
            <w:vAlign w:val="center"/>
          </w:tcPr>
          <w:p w14:paraId="061F2FA7">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包名称</w:t>
            </w:r>
          </w:p>
        </w:tc>
        <w:tc>
          <w:tcPr>
            <w:tcW w:w="2100" w:type="dxa"/>
            <w:vMerge w:val="restart"/>
            <w:tcBorders>
              <w:left w:val="single" w:color="auto" w:sz="4" w:space="0"/>
            </w:tcBorders>
            <w:vAlign w:val="center"/>
          </w:tcPr>
          <w:p w14:paraId="114A79F6">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分项项目名称</w:t>
            </w:r>
          </w:p>
          <w:p w14:paraId="4ECE0C31">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（条目号/品目名称）</w:t>
            </w:r>
          </w:p>
        </w:tc>
        <w:tc>
          <w:tcPr>
            <w:tcW w:w="2382" w:type="dxa"/>
            <w:vMerge w:val="restart"/>
            <w:vAlign w:val="center"/>
          </w:tcPr>
          <w:p w14:paraId="3EAA1E9B">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主要技术参数或规格</w:t>
            </w:r>
          </w:p>
        </w:tc>
        <w:tc>
          <w:tcPr>
            <w:tcW w:w="992" w:type="dxa"/>
            <w:vMerge w:val="restart"/>
            <w:vAlign w:val="center"/>
          </w:tcPr>
          <w:p w14:paraId="50ADB5D1">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数量</w:t>
            </w:r>
          </w:p>
        </w:tc>
        <w:tc>
          <w:tcPr>
            <w:tcW w:w="1460" w:type="dxa"/>
            <w:gridSpan w:val="2"/>
            <w:vAlign w:val="center"/>
          </w:tcPr>
          <w:p w14:paraId="5E0CE657">
            <w:pPr>
              <w:shd w:val="clear"/>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交货</w:t>
            </w:r>
          </w:p>
        </w:tc>
        <w:tc>
          <w:tcPr>
            <w:tcW w:w="971" w:type="dxa"/>
            <w:vMerge w:val="restart"/>
            <w:vAlign w:val="center"/>
          </w:tcPr>
          <w:p w14:paraId="444BE453">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r>
      <w:tr w14:paraId="11E2C4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655" w:type="dxa"/>
            <w:vMerge w:val="continue"/>
            <w:vAlign w:val="center"/>
          </w:tcPr>
          <w:p w14:paraId="4A46E68A">
            <w:pPr>
              <w:shd w:val="clear"/>
              <w:jc w:val="center"/>
              <w:rPr>
                <w:color w:val="000000" w:themeColor="text1"/>
                <w:szCs w:val="21"/>
                <w:highlight w:val="none"/>
                <w14:textFill>
                  <w14:solidFill>
                    <w14:schemeClr w14:val="tx1"/>
                  </w14:solidFill>
                </w14:textFill>
              </w:rPr>
            </w:pPr>
          </w:p>
        </w:tc>
        <w:tc>
          <w:tcPr>
            <w:tcW w:w="864" w:type="dxa"/>
            <w:vMerge w:val="continue"/>
            <w:tcBorders>
              <w:right w:val="single" w:color="auto" w:sz="4" w:space="0"/>
            </w:tcBorders>
            <w:vAlign w:val="center"/>
          </w:tcPr>
          <w:p w14:paraId="0D5E0F4F">
            <w:pPr>
              <w:shd w:val="clear"/>
              <w:jc w:val="center"/>
              <w:rPr>
                <w:color w:val="000000" w:themeColor="text1"/>
                <w:szCs w:val="21"/>
                <w:highlight w:val="none"/>
                <w14:textFill>
                  <w14:solidFill>
                    <w14:schemeClr w14:val="tx1"/>
                  </w14:solidFill>
                </w14:textFill>
              </w:rPr>
            </w:pPr>
          </w:p>
        </w:tc>
        <w:tc>
          <w:tcPr>
            <w:tcW w:w="2100" w:type="dxa"/>
            <w:vMerge w:val="continue"/>
            <w:tcBorders>
              <w:left w:val="single" w:color="auto" w:sz="4" w:space="0"/>
            </w:tcBorders>
            <w:vAlign w:val="center"/>
          </w:tcPr>
          <w:p w14:paraId="4C42EF6B">
            <w:pPr>
              <w:shd w:val="clear"/>
              <w:jc w:val="center"/>
              <w:rPr>
                <w:color w:val="000000" w:themeColor="text1"/>
                <w:szCs w:val="21"/>
                <w:highlight w:val="none"/>
                <w14:textFill>
                  <w14:solidFill>
                    <w14:schemeClr w14:val="tx1"/>
                  </w14:solidFill>
                </w14:textFill>
              </w:rPr>
            </w:pPr>
          </w:p>
        </w:tc>
        <w:tc>
          <w:tcPr>
            <w:tcW w:w="2382" w:type="dxa"/>
            <w:vMerge w:val="continue"/>
            <w:vAlign w:val="center"/>
          </w:tcPr>
          <w:p w14:paraId="1F63EE6D">
            <w:pPr>
              <w:shd w:val="clear"/>
              <w:jc w:val="center"/>
              <w:rPr>
                <w:color w:val="000000" w:themeColor="text1"/>
                <w:szCs w:val="21"/>
                <w:highlight w:val="none"/>
                <w14:textFill>
                  <w14:solidFill>
                    <w14:schemeClr w14:val="tx1"/>
                  </w14:solidFill>
                </w14:textFill>
              </w:rPr>
            </w:pPr>
          </w:p>
        </w:tc>
        <w:tc>
          <w:tcPr>
            <w:tcW w:w="992" w:type="dxa"/>
            <w:vMerge w:val="continue"/>
            <w:vAlign w:val="center"/>
          </w:tcPr>
          <w:p w14:paraId="47792E6A">
            <w:pPr>
              <w:shd w:val="clear"/>
              <w:jc w:val="center"/>
              <w:rPr>
                <w:color w:val="000000" w:themeColor="text1"/>
                <w:szCs w:val="21"/>
                <w:highlight w:val="none"/>
                <w14:textFill>
                  <w14:solidFill>
                    <w14:schemeClr w14:val="tx1"/>
                  </w14:solidFill>
                </w14:textFill>
              </w:rPr>
            </w:pPr>
          </w:p>
        </w:tc>
        <w:tc>
          <w:tcPr>
            <w:tcW w:w="709" w:type="dxa"/>
            <w:vAlign w:val="center"/>
          </w:tcPr>
          <w:p w14:paraId="5D67F92E">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时间</w:t>
            </w:r>
          </w:p>
        </w:tc>
        <w:tc>
          <w:tcPr>
            <w:tcW w:w="751" w:type="dxa"/>
            <w:vAlign w:val="center"/>
          </w:tcPr>
          <w:p w14:paraId="183742A8">
            <w:pPr>
              <w:shd w:val="clea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地点</w:t>
            </w:r>
          </w:p>
        </w:tc>
        <w:tc>
          <w:tcPr>
            <w:tcW w:w="971" w:type="dxa"/>
            <w:vMerge w:val="continue"/>
          </w:tcPr>
          <w:p w14:paraId="21B6F386">
            <w:pPr>
              <w:shd w:val="clear"/>
              <w:rPr>
                <w:color w:val="000000" w:themeColor="text1"/>
                <w:szCs w:val="21"/>
                <w:highlight w:val="none"/>
                <w14:textFill>
                  <w14:solidFill>
                    <w14:schemeClr w14:val="tx1"/>
                  </w14:solidFill>
                </w14:textFill>
              </w:rPr>
            </w:pPr>
          </w:p>
        </w:tc>
      </w:tr>
      <w:tr w14:paraId="5DD1F8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55" w:type="dxa"/>
          </w:tcPr>
          <w:p w14:paraId="5C952E16">
            <w:pPr>
              <w:shd w:val="clear"/>
              <w:rPr>
                <w:color w:val="000000" w:themeColor="text1"/>
                <w:szCs w:val="21"/>
                <w:highlight w:val="none"/>
                <w14:textFill>
                  <w14:solidFill>
                    <w14:schemeClr w14:val="tx1"/>
                  </w14:solidFill>
                </w14:textFill>
              </w:rPr>
            </w:pPr>
          </w:p>
        </w:tc>
        <w:tc>
          <w:tcPr>
            <w:tcW w:w="864" w:type="dxa"/>
            <w:tcBorders>
              <w:right w:val="single" w:color="auto" w:sz="4" w:space="0"/>
            </w:tcBorders>
          </w:tcPr>
          <w:p w14:paraId="4527F234">
            <w:pPr>
              <w:shd w:val="clear"/>
              <w:rPr>
                <w:color w:val="000000" w:themeColor="text1"/>
                <w:szCs w:val="21"/>
                <w:highlight w:val="none"/>
                <w14:textFill>
                  <w14:solidFill>
                    <w14:schemeClr w14:val="tx1"/>
                  </w14:solidFill>
                </w14:textFill>
              </w:rPr>
            </w:pPr>
          </w:p>
        </w:tc>
        <w:tc>
          <w:tcPr>
            <w:tcW w:w="2100" w:type="dxa"/>
            <w:tcBorders>
              <w:left w:val="single" w:color="auto" w:sz="4" w:space="0"/>
            </w:tcBorders>
          </w:tcPr>
          <w:p w14:paraId="78035D3B">
            <w:pPr>
              <w:shd w:val="clear"/>
              <w:rPr>
                <w:color w:val="000000" w:themeColor="text1"/>
                <w:szCs w:val="21"/>
                <w:highlight w:val="none"/>
                <w14:textFill>
                  <w14:solidFill>
                    <w14:schemeClr w14:val="tx1"/>
                  </w14:solidFill>
                </w14:textFill>
              </w:rPr>
            </w:pPr>
          </w:p>
        </w:tc>
        <w:tc>
          <w:tcPr>
            <w:tcW w:w="2382" w:type="dxa"/>
          </w:tcPr>
          <w:p w14:paraId="5FBC41EF">
            <w:pPr>
              <w:shd w:val="clear"/>
              <w:rPr>
                <w:color w:val="000000" w:themeColor="text1"/>
                <w:szCs w:val="21"/>
                <w:highlight w:val="none"/>
                <w14:textFill>
                  <w14:solidFill>
                    <w14:schemeClr w14:val="tx1"/>
                  </w14:solidFill>
                </w14:textFill>
              </w:rPr>
            </w:pPr>
          </w:p>
        </w:tc>
        <w:tc>
          <w:tcPr>
            <w:tcW w:w="992" w:type="dxa"/>
          </w:tcPr>
          <w:p w14:paraId="1FF1918B">
            <w:pPr>
              <w:shd w:val="clear"/>
              <w:rPr>
                <w:color w:val="000000" w:themeColor="text1"/>
                <w:szCs w:val="21"/>
                <w:highlight w:val="none"/>
                <w14:textFill>
                  <w14:solidFill>
                    <w14:schemeClr w14:val="tx1"/>
                  </w14:solidFill>
                </w14:textFill>
              </w:rPr>
            </w:pPr>
          </w:p>
        </w:tc>
        <w:tc>
          <w:tcPr>
            <w:tcW w:w="709" w:type="dxa"/>
            <w:tcBorders>
              <w:bottom w:val="single" w:color="auto" w:sz="4" w:space="0"/>
            </w:tcBorders>
          </w:tcPr>
          <w:p w14:paraId="34C53913">
            <w:pPr>
              <w:shd w:val="clear"/>
              <w:rPr>
                <w:color w:val="000000" w:themeColor="text1"/>
                <w:szCs w:val="21"/>
                <w:highlight w:val="none"/>
                <w14:textFill>
                  <w14:solidFill>
                    <w14:schemeClr w14:val="tx1"/>
                  </w14:solidFill>
                </w14:textFill>
              </w:rPr>
            </w:pPr>
          </w:p>
        </w:tc>
        <w:tc>
          <w:tcPr>
            <w:tcW w:w="751" w:type="dxa"/>
            <w:tcBorders>
              <w:bottom w:val="single" w:color="auto" w:sz="4" w:space="0"/>
            </w:tcBorders>
          </w:tcPr>
          <w:p w14:paraId="5769C95B">
            <w:pPr>
              <w:shd w:val="clear"/>
              <w:rPr>
                <w:color w:val="000000" w:themeColor="text1"/>
                <w:szCs w:val="21"/>
                <w:highlight w:val="none"/>
                <w14:textFill>
                  <w14:solidFill>
                    <w14:schemeClr w14:val="tx1"/>
                  </w14:solidFill>
                </w14:textFill>
              </w:rPr>
            </w:pPr>
          </w:p>
        </w:tc>
        <w:tc>
          <w:tcPr>
            <w:tcW w:w="971" w:type="dxa"/>
          </w:tcPr>
          <w:p w14:paraId="4638A5FF">
            <w:pPr>
              <w:shd w:val="clear"/>
              <w:rPr>
                <w:color w:val="000000" w:themeColor="text1"/>
                <w:szCs w:val="21"/>
                <w:highlight w:val="none"/>
                <w14:textFill>
                  <w14:solidFill>
                    <w14:schemeClr w14:val="tx1"/>
                  </w14:solidFill>
                </w14:textFill>
              </w:rPr>
            </w:pPr>
          </w:p>
        </w:tc>
      </w:tr>
      <w:tr w14:paraId="77C900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55" w:type="dxa"/>
          </w:tcPr>
          <w:p w14:paraId="57EFAADC">
            <w:pPr>
              <w:shd w:val="clear"/>
              <w:rPr>
                <w:color w:val="000000" w:themeColor="text1"/>
                <w:szCs w:val="21"/>
                <w:highlight w:val="none"/>
                <w14:textFill>
                  <w14:solidFill>
                    <w14:schemeClr w14:val="tx1"/>
                  </w14:solidFill>
                </w14:textFill>
              </w:rPr>
            </w:pPr>
          </w:p>
        </w:tc>
        <w:tc>
          <w:tcPr>
            <w:tcW w:w="864" w:type="dxa"/>
            <w:tcBorders>
              <w:right w:val="single" w:color="auto" w:sz="4" w:space="0"/>
            </w:tcBorders>
          </w:tcPr>
          <w:p w14:paraId="083EF2FE">
            <w:pPr>
              <w:shd w:val="clear"/>
              <w:rPr>
                <w:color w:val="000000" w:themeColor="text1"/>
                <w:szCs w:val="21"/>
                <w:highlight w:val="none"/>
                <w14:textFill>
                  <w14:solidFill>
                    <w14:schemeClr w14:val="tx1"/>
                  </w14:solidFill>
                </w14:textFill>
              </w:rPr>
            </w:pPr>
          </w:p>
        </w:tc>
        <w:tc>
          <w:tcPr>
            <w:tcW w:w="2100" w:type="dxa"/>
            <w:tcBorders>
              <w:left w:val="single" w:color="auto" w:sz="4" w:space="0"/>
            </w:tcBorders>
          </w:tcPr>
          <w:p w14:paraId="650842C1">
            <w:pPr>
              <w:shd w:val="clear"/>
              <w:rPr>
                <w:color w:val="000000" w:themeColor="text1"/>
                <w:szCs w:val="21"/>
                <w:highlight w:val="none"/>
                <w14:textFill>
                  <w14:solidFill>
                    <w14:schemeClr w14:val="tx1"/>
                  </w14:solidFill>
                </w14:textFill>
              </w:rPr>
            </w:pPr>
          </w:p>
        </w:tc>
        <w:tc>
          <w:tcPr>
            <w:tcW w:w="2382" w:type="dxa"/>
          </w:tcPr>
          <w:p w14:paraId="5F7C1D0F">
            <w:pPr>
              <w:shd w:val="clear"/>
              <w:rPr>
                <w:color w:val="000000" w:themeColor="text1"/>
                <w:szCs w:val="21"/>
                <w:highlight w:val="none"/>
                <w14:textFill>
                  <w14:solidFill>
                    <w14:schemeClr w14:val="tx1"/>
                  </w14:solidFill>
                </w14:textFill>
              </w:rPr>
            </w:pPr>
          </w:p>
        </w:tc>
        <w:tc>
          <w:tcPr>
            <w:tcW w:w="992" w:type="dxa"/>
          </w:tcPr>
          <w:p w14:paraId="5E9E1AC9">
            <w:pPr>
              <w:shd w:val="clear"/>
              <w:rPr>
                <w:color w:val="000000" w:themeColor="text1"/>
                <w:szCs w:val="21"/>
                <w:highlight w:val="none"/>
                <w14:textFill>
                  <w14:solidFill>
                    <w14:schemeClr w14:val="tx1"/>
                  </w14:solidFill>
                </w14:textFill>
              </w:rPr>
            </w:pPr>
          </w:p>
        </w:tc>
        <w:tc>
          <w:tcPr>
            <w:tcW w:w="709" w:type="dxa"/>
            <w:tcBorders>
              <w:top w:val="single" w:color="auto" w:sz="4" w:space="0"/>
              <w:bottom w:val="single" w:color="auto" w:sz="4" w:space="0"/>
            </w:tcBorders>
          </w:tcPr>
          <w:p w14:paraId="63FAF2CD">
            <w:pPr>
              <w:shd w:val="clear"/>
              <w:rPr>
                <w:color w:val="000000" w:themeColor="text1"/>
                <w:szCs w:val="21"/>
                <w:highlight w:val="none"/>
                <w14:textFill>
                  <w14:solidFill>
                    <w14:schemeClr w14:val="tx1"/>
                  </w14:solidFill>
                </w14:textFill>
              </w:rPr>
            </w:pPr>
          </w:p>
        </w:tc>
        <w:tc>
          <w:tcPr>
            <w:tcW w:w="751" w:type="dxa"/>
            <w:tcBorders>
              <w:top w:val="single" w:color="auto" w:sz="4" w:space="0"/>
              <w:bottom w:val="single" w:color="auto" w:sz="4" w:space="0"/>
            </w:tcBorders>
          </w:tcPr>
          <w:p w14:paraId="7836CA25">
            <w:pPr>
              <w:shd w:val="clear"/>
              <w:rPr>
                <w:color w:val="000000" w:themeColor="text1"/>
                <w:szCs w:val="21"/>
                <w:highlight w:val="none"/>
                <w14:textFill>
                  <w14:solidFill>
                    <w14:schemeClr w14:val="tx1"/>
                  </w14:solidFill>
                </w14:textFill>
              </w:rPr>
            </w:pPr>
          </w:p>
        </w:tc>
        <w:tc>
          <w:tcPr>
            <w:tcW w:w="971" w:type="dxa"/>
          </w:tcPr>
          <w:p w14:paraId="3F0C06D1">
            <w:pPr>
              <w:shd w:val="clear"/>
              <w:rPr>
                <w:color w:val="000000" w:themeColor="text1"/>
                <w:szCs w:val="21"/>
                <w:highlight w:val="none"/>
                <w14:textFill>
                  <w14:solidFill>
                    <w14:schemeClr w14:val="tx1"/>
                  </w14:solidFill>
                </w14:textFill>
              </w:rPr>
            </w:pPr>
          </w:p>
        </w:tc>
      </w:tr>
      <w:tr w14:paraId="232F7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55" w:type="dxa"/>
          </w:tcPr>
          <w:p w14:paraId="732FB1D3">
            <w:pPr>
              <w:shd w:val="clear"/>
              <w:rPr>
                <w:color w:val="000000" w:themeColor="text1"/>
                <w:szCs w:val="21"/>
                <w:highlight w:val="none"/>
                <w14:textFill>
                  <w14:solidFill>
                    <w14:schemeClr w14:val="tx1"/>
                  </w14:solidFill>
                </w14:textFill>
              </w:rPr>
            </w:pPr>
          </w:p>
        </w:tc>
        <w:tc>
          <w:tcPr>
            <w:tcW w:w="864" w:type="dxa"/>
            <w:tcBorders>
              <w:right w:val="single" w:color="auto" w:sz="4" w:space="0"/>
            </w:tcBorders>
          </w:tcPr>
          <w:p w14:paraId="17D005E1">
            <w:pPr>
              <w:shd w:val="clear"/>
              <w:rPr>
                <w:color w:val="000000" w:themeColor="text1"/>
                <w:szCs w:val="21"/>
                <w:highlight w:val="none"/>
                <w14:textFill>
                  <w14:solidFill>
                    <w14:schemeClr w14:val="tx1"/>
                  </w14:solidFill>
                </w14:textFill>
              </w:rPr>
            </w:pPr>
          </w:p>
        </w:tc>
        <w:tc>
          <w:tcPr>
            <w:tcW w:w="2100" w:type="dxa"/>
            <w:tcBorders>
              <w:left w:val="single" w:color="auto" w:sz="4" w:space="0"/>
            </w:tcBorders>
          </w:tcPr>
          <w:p w14:paraId="00218CAE">
            <w:pPr>
              <w:shd w:val="clear"/>
              <w:rPr>
                <w:color w:val="000000" w:themeColor="text1"/>
                <w:szCs w:val="21"/>
                <w:highlight w:val="none"/>
                <w14:textFill>
                  <w14:solidFill>
                    <w14:schemeClr w14:val="tx1"/>
                  </w14:solidFill>
                </w14:textFill>
              </w:rPr>
            </w:pPr>
          </w:p>
        </w:tc>
        <w:tc>
          <w:tcPr>
            <w:tcW w:w="2382" w:type="dxa"/>
          </w:tcPr>
          <w:p w14:paraId="3FC2A8BA">
            <w:pPr>
              <w:shd w:val="clear"/>
              <w:rPr>
                <w:color w:val="000000" w:themeColor="text1"/>
                <w:szCs w:val="21"/>
                <w:highlight w:val="none"/>
                <w14:textFill>
                  <w14:solidFill>
                    <w14:schemeClr w14:val="tx1"/>
                  </w14:solidFill>
                </w14:textFill>
              </w:rPr>
            </w:pPr>
          </w:p>
        </w:tc>
        <w:tc>
          <w:tcPr>
            <w:tcW w:w="992" w:type="dxa"/>
          </w:tcPr>
          <w:p w14:paraId="67E8AA8F">
            <w:pPr>
              <w:shd w:val="clear"/>
              <w:rPr>
                <w:color w:val="000000" w:themeColor="text1"/>
                <w:szCs w:val="21"/>
                <w:highlight w:val="none"/>
                <w14:textFill>
                  <w14:solidFill>
                    <w14:schemeClr w14:val="tx1"/>
                  </w14:solidFill>
                </w14:textFill>
              </w:rPr>
            </w:pPr>
          </w:p>
        </w:tc>
        <w:tc>
          <w:tcPr>
            <w:tcW w:w="709" w:type="dxa"/>
            <w:tcBorders>
              <w:top w:val="single" w:color="auto" w:sz="4" w:space="0"/>
              <w:bottom w:val="single" w:color="auto" w:sz="4" w:space="0"/>
            </w:tcBorders>
          </w:tcPr>
          <w:p w14:paraId="34E278FA">
            <w:pPr>
              <w:shd w:val="clear"/>
              <w:rPr>
                <w:color w:val="000000" w:themeColor="text1"/>
                <w:szCs w:val="21"/>
                <w:highlight w:val="none"/>
                <w14:textFill>
                  <w14:solidFill>
                    <w14:schemeClr w14:val="tx1"/>
                  </w14:solidFill>
                </w14:textFill>
              </w:rPr>
            </w:pPr>
          </w:p>
        </w:tc>
        <w:tc>
          <w:tcPr>
            <w:tcW w:w="751" w:type="dxa"/>
            <w:tcBorders>
              <w:top w:val="single" w:color="auto" w:sz="4" w:space="0"/>
              <w:bottom w:val="single" w:color="auto" w:sz="4" w:space="0"/>
            </w:tcBorders>
          </w:tcPr>
          <w:p w14:paraId="7B52BEB0">
            <w:pPr>
              <w:shd w:val="clear"/>
              <w:rPr>
                <w:color w:val="000000" w:themeColor="text1"/>
                <w:szCs w:val="21"/>
                <w:highlight w:val="none"/>
                <w14:textFill>
                  <w14:solidFill>
                    <w14:schemeClr w14:val="tx1"/>
                  </w14:solidFill>
                </w14:textFill>
              </w:rPr>
            </w:pPr>
          </w:p>
        </w:tc>
        <w:tc>
          <w:tcPr>
            <w:tcW w:w="971" w:type="dxa"/>
          </w:tcPr>
          <w:p w14:paraId="7764E296">
            <w:pPr>
              <w:shd w:val="clear"/>
              <w:rPr>
                <w:color w:val="000000" w:themeColor="text1"/>
                <w:szCs w:val="21"/>
                <w:highlight w:val="none"/>
                <w14:textFill>
                  <w14:solidFill>
                    <w14:schemeClr w14:val="tx1"/>
                  </w14:solidFill>
                </w14:textFill>
              </w:rPr>
            </w:pPr>
          </w:p>
        </w:tc>
      </w:tr>
      <w:tr w14:paraId="3B8180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55" w:type="dxa"/>
          </w:tcPr>
          <w:p w14:paraId="0872E27D">
            <w:pPr>
              <w:shd w:val="clear"/>
              <w:rPr>
                <w:color w:val="000000" w:themeColor="text1"/>
                <w:szCs w:val="21"/>
                <w:highlight w:val="none"/>
                <w14:textFill>
                  <w14:solidFill>
                    <w14:schemeClr w14:val="tx1"/>
                  </w14:solidFill>
                </w14:textFill>
              </w:rPr>
            </w:pPr>
          </w:p>
        </w:tc>
        <w:tc>
          <w:tcPr>
            <w:tcW w:w="864" w:type="dxa"/>
            <w:tcBorders>
              <w:right w:val="single" w:color="auto" w:sz="4" w:space="0"/>
            </w:tcBorders>
          </w:tcPr>
          <w:p w14:paraId="770D3FBB">
            <w:pPr>
              <w:shd w:val="clear"/>
              <w:rPr>
                <w:color w:val="000000" w:themeColor="text1"/>
                <w:szCs w:val="21"/>
                <w:highlight w:val="none"/>
                <w14:textFill>
                  <w14:solidFill>
                    <w14:schemeClr w14:val="tx1"/>
                  </w14:solidFill>
                </w14:textFill>
              </w:rPr>
            </w:pPr>
          </w:p>
        </w:tc>
        <w:tc>
          <w:tcPr>
            <w:tcW w:w="2100" w:type="dxa"/>
            <w:tcBorders>
              <w:left w:val="single" w:color="auto" w:sz="4" w:space="0"/>
            </w:tcBorders>
          </w:tcPr>
          <w:p w14:paraId="6A4EB339">
            <w:pPr>
              <w:shd w:val="clear"/>
              <w:rPr>
                <w:color w:val="000000" w:themeColor="text1"/>
                <w:szCs w:val="21"/>
                <w:highlight w:val="none"/>
                <w14:textFill>
                  <w14:solidFill>
                    <w14:schemeClr w14:val="tx1"/>
                  </w14:solidFill>
                </w14:textFill>
              </w:rPr>
            </w:pPr>
          </w:p>
        </w:tc>
        <w:tc>
          <w:tcPr>
            <w:tcW w:w="2382" w:type="dxa"/>
          </w:tcPr>
          <w:p w14:paraId="07BA833F">
            <w:pPr>
              <w:shd w:val="clear"/>
              <w:rPr>
                <w:color w:val="000000" w:themeColor="text1"/>
                <w:szCs w:val="21"/>
                <w:highlight w:val="none"/>
                <w14:textFill>
                  <w14:solidFill>
                    <w14:schemeClr w14:val="tx1"/>
                  </w14:solidFill>
                </w14:textFill>
              </w:rPr>
            </w:pPr>
          </w:p>
        </w:tc>
        <w:tc>
          <w:tcPr>
            <w:tcW w:w="992" w:type="dxa"/>
          </w:tcPr>
          <w:p w14:paraId="443E5201">
            <w:pPr>
              <w:shd w:val="clear"/>
              <w:rPr>
                <w:color w:val="000000" w:themeColor="text1"/>
                <w:szCs w:val="21"/>
                <w:highlight w:val="none"/>
                <w14:textFill>
                  <w14:solidFill>
                    <w14:schemeClr w14:val="tx1"/>
                  </w14:solidFill>
                </w14:textFill>
              </w:rPr>
            </w:pPr>
          </w:p>
        </w:tc>
        <w:tc>
          <w:tcPr>
            <w:tcW w:w="709" w:type="dxa"/>
            <w:tcBorders>
              <w:top w:val="single" w:color="auto" w:sz="4" w:space="0"/>
              <w:bottom w:val="single" w:color="auto" w:sz="4" w:space="0"/>
            </w:tcBorders>
          </w:tcPr>
          <w:p w14:paraId="157B5FC0">
            <w:pPr>
              <w:shd w:val="clear"/>
              <w:rPr>
                <w:color w:val="000000" w:themeColor="text1"/>
                <w:szCs w:val="21"/>
                <w:highlight w:val="none"/>
                <w14:textFill>
                  <w14:solidFill>
                    <w14:schemeClr w14:val="tx1"/>
                  </w14:solidFill>
                </w14:textFill>
              </w:rPr>
            </w:pPr>
          </w:p>
        </w:tc>
        <w:tc>
          <w:tcPr>
            <w:tcW w:w="751" w:type="dxa"/>
            <w:tcBorders>
              <w:top w:val="single" w:color="auto" w:sz="4" w:space="0"/>
              <w:bottom w:val="single" w:color="auto" w:sz="4" w:space="0"/>
            </w:tcBorders>
          </w:tcPr>
          <w:p w14:paraId="7D8C5151">
            <w:pPr>
              <w:shd w:val="clear"/>
              <w:rPr>
                <w:color w:val="000000" w:themeColor="text1"/>
                <w:szCs w:val="21"/>
                <w:highlight w:val="none"/>
                <w14:textFill>
                  <w14:solidFill>
                    <w14:schemeClr w14:val="tx1"/>
                  </w14:solidFill>
                </w14:textFill>
              </w:rPr>
            </w:pPr>
          </w:p>
        </w:tc>
        <w:tc>
          <w:tcPr>
            <w:tcW w:w="971" w:type="dxa"/>
          </w:tcPr>
          <w:p w14:paraId="60CF706F">
            <w:pPr>
              <w:shd w:val="clear"/>
              <w:rPr>
                <w:color w:val="000000" w:themeColor="text1"/>
                <w:szCs w:val="21"/>
                <w:highlight w:val="none"/>
                <w14:textFill>
                  <w14:solidFill>
                    <w14:schemeClr w14:val="tx1"/>
                  </w14:solidFill>
                </w14:textFill>
              </w:rPr>
            </w:pPr>
          </w:p>
        </w:tc>
      </w:tr>
      <w:tr w14:paraId="14BC1D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55" w:type="dxa"/>
          </w:tcPr>
          <w:p w14:paraId="76E1DE83">
            <w:pPr>
              <w:shd w:val="clear"/>
              <w:rPr>
                <w:color w:val="000000" w:themeColor="text1"/>
                <w:szCs w:val="21"/>
                <w:highlight w:val="none"/>
                <w14:textFill>
                  <w14:solidFill>
                    <w14:schemeClr w14:val="tx1"/>
                  </w14:solidFill>
                </w14:textFill>
              </w:rPr>
            </w:pPr>
          </w:p>
        </w:tc>
        <w:tc>
          <w:tcPr>
            <w:tcW w:w="864" w:type="dxa"/>
            <w:tcBorders>
              <w:right w:val="single" w:color="auto" w:sz="4" w:space="0"/>
            </w:tcBorders>
          </w:tcPr>
          <w:p w14:paraId="28DFCD0E">
            <w:pPr>
              <w:shd w:val="clear"/>
              <w:rPr>
                <w:color w:val="000000" w:themeColor="text1"/>
                <w:szCs w:val="21"/>
                <w:highlight w:val="none"/>
                <w14:textFill>
                  <w14:solidFill>
                    <w14:schemeClr w14:val="tx1"/>
                  </w14:solidFill>
                </w14:textFill>
              </w:rPr>
            </w:pPr>
          </w:p>
        </w:tc>
        <w:tc>
          <w:tcPr>
            <w:tcW w:w="2100" w:type="dxa"/>
            <w:tcBorders>
              <w:left w:val="single" w:color="auto" w:sz="4" w:space="0"/>
            </w:tcBorders>
          </w:tcPr>
          <w:p w14:paraId="06D3772D">
            <w:pPr>
              <w:shd w:val="clear"/>
              <w:rPr>
                <w:color w:val="000000" w:themeColor="text1"/>
                <w:szCs w:val="21"/>
                <w:highlight w:val="none"/>
                <w14:textFill>
                  <w14:solidFill>
                    <w14:schemeClr w14:val="tx1"/>
                  </w14:solidFill>
                </w14:textFill>
              </w:rPr>
            </w:pPr>
          </w:p>
        </w:tc>
        <w:tc>
          <w:tcPr>
            <w:tcW w:w="2382" w:type="dxa"/>
          </w:tcPr>
          <w:p w14:paraId="6288B219">
            <w:pPr>
              <w:shd w:val="clear"/>
              <w:rPr>
                <w:color w:val="000000" w:themeColor="text1"/>
                <w:szCs w:val="21"/>
                <w:highlight w:val="none"/>
                <w14:textFill>
                  <w14:solidFill>
                    <w14:schemeClr w14:val="tx1"/>
                  </w14:solidFill>
                </w14:textFill>
              </w:rPr>
            </w:pPr>
          </w:p>
        </w:tc>
        <w:tc>
          <w:tcPr>
            <w:tcW w:w="992" w:type="dxa"/>
          </w:tcPr>
          <w:p w14:paraId="725E8832">
            <w:pPr>
              <w:shd w:val="clear"/>
              <w:rPr>
                <w:color w:val="000000" w:themeColor="text1"/>
                <w:szCs w:val="21"/>
                <w:highlight w:val="none"/>
                <w14:textFill>
                  <w14:solidFill>
                    <w14:schemeClr w14:val="tx1"/>
                  </w14:solidFill>
                </w14:textFill>
              </w:rPr>
            </w:pPr>
          </w:p>
        </w:tc>
        <w:tc>
          <w:tcPr>
            <w:tcW w:w="709" w:type="dxa"/>
            <w:tcBorders>
              <w:top w:val="single" w:color="auto" w:sz="4" w:space="0"/>
            </w:tcBorders>
          </w:tcPr>
          <w:p w14:paraId="670646D0">
            <w:pPr>
              <w:shd w:val="clear"/>
              <w:rPr>
                <w:color w:val="000000" w:themeColor="text1"/>
                <w:szCs w:val="21"/>
                <w:highlight w:val="none"/>
                <w14:textFill>
                  <w14:solidFill>
                    <w14:schemeClr w14:val="tx1"/>
                  </w14:solidFill>
                </w14:textFill>
              </w:rPr>
            </w:pPr>
          </w:p>
        </w:tc>
        <w:tc>
          <w:tcPr>
            <w:tcW w:w="751" w:type="dxa"/>
            <w:tcBorders>
              <w:top w:val="single" w:color="auto" w:sz="4" w:space="0"/>
            </w:tcBorders>
          </w:tcPr>
          <w:p w14:paraId="19F7E4B8">
            <w:pPr>
              <w:shd w:val="clear"/>
              <w:rPr>
                <w:color w:val="000000" w:themeColor="text1"/>
                <w:szCs w:val="21"/>
                <w:highlight w:val="none"/>
                <w14:textFill>
                  <w14:solidFill>
                    <w14:schemeClr w14:val="tx1"/>
                  </w14:solidFill>
                </w14:textFill>
              </w:rPr>
            </w:pPr>
          </w:p>
        </w:tc>
        <w:tc>
          <w:tcPr>
            <w:tcW w:w="971" w:type="dxa"/>
          </w:tcPr>
          <w:p w14:paraId="244806BA">
            <w:pPr>
              <w:shd w:val="clear"/>
              <w:rPr>
                <w:color w:val="000000" w:themeColor="text1"/>
                <w:szCs w:val="21"/>
                <w:highlight w:val="none"/>
                <w14:textFill>
                  <w14:solidFill>
                    <w14:schemeClr w14:val="tx1"/>
                  </w14:solidFill>
                </w14:textFill>
              </w:rPr>
            </w:pPr>
          </w:p>
        </w:tc>
      </w:tr>
    </w:tbl>
    <w:p w14:paraId="47798AAA">
      <w:pPr>
        <w:shd w:val="clear"/>
        <w:adjustRightInd w:val="0"/>
        <w:snapToGrid w:val="0"/>
        <w:spacing w:line="360" w:lineRule="auto"/>
        <w:rPr>
          <w:color w:val="000000" w:themeColor="text1"/>
          <w:highlight w:val="none"/>
          <w14:textFill>
            <w14:solidFill>
              <w14:schemeClr w14:val="tx1"/>
            </w14:solidFill>
          </w14:textFill>
        </w:rPr>
      </w:pPr>
    </w:p>
    <w:p w14:paraId="0BCADBB3">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p>
    <w:p w14:paraId="2CF7E0D9">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p>
    <w:p w14:paraId="554B804C">
      <w:pPr>
        <w:shd w:val="clear"/>
        <w:adjustRightInd w:val="0"/>
        <w:snapToGrid w:val="0"/>
        <w:spacing w:line="360" w:lineRule="auto"/>
        <w:rPr>
          <w:rFonts w:ascii="黑体" w:hAnsi="宋体" w:eastAsia="黑体"/>
          <w:color w:val="000000" w:themeColor="text1"/>
          <w:sz w:val="28"/>
          <w:szCs w:val="28"/>
          <w:highlight w:val="none"/>
          <w14:textFill>
            <w14:solidFill>
              <w14:schemeClr w14:val="tx1"/>
            </w14:solidFill>
          </w14:textFill>
        </w:rPr>
        <w:sectPr>
          <w:headerReference r:id="rId9" w:type="first"/>
          <w:headerReference r:id="rId8" w:type="even"/>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pPr>
    </w:p>
    <w:p w14:paraId="0E29EE76">
      <w:pPr>
        <w:pStyle w:val="5"/>
        <w:shd w:val="clear"/>
        <w:adjustRightInd w:val="0"/>
        <w:snapToGrid w:val="0"/>
        <w:spacing w:before="156" w:beforeLines="50" w:after="0" w:line="360" w:lineRule="auto"/>
        <w:jc w:val="center"/>
        <w:rPr>
          <w:rFonts w:ascii="黑体" w:hAnsi="黑体" w:eastAsia="黑体"/>
          <w:color w:val="000000" w:themeColor="text1"/>
          <w:sz w:val="28"/>
          <w:szCs w:val="28"/>
          <w:highlight w:val="none"/>
          <w14:textFill>
            <w14:solidFill>
              <w14:schemeClr w14:val="tx1"/>
            </w14:solidFill>
          </w14:textFill>
        </w:rPr>
      </w:pPr>
      <w:bookmarkStart w:id="122" w:name="_Toc27989"/>
      <w:bookmarkStart w:id="123" w:name="_Toc19077"/>
      <w:bookmarkStart w:id="124" w:name="_Toc4175"/>
      <w:bookmarkStart w:id="125" w:name="_Toc24499"/>
      <w:r>
        <w:rPr>
          <w:rFonts w:hint="eastAsia" w:ascii="黑体" w:hAnsi="黑体" w:eastAsia="黑体"/>
          <w:color w:val="000000" w:themeColor="text1"/>
          <w:sz w:val="28"/>
          <w:szCs w:val="28"/>
          <w:highlight w:val="none"/>
          <w14:textFill>
            <w14:solidFill>
              <w14:schemeClr w14:val="tx1"/>
            </w14:solidFill>
          </w14:textFill>
        </w:rPr>
        <w:t>八、合同条款偏离表</w:t>
      </w:r>
      <w:bookmarkEnd w:id="122"/>
      <w:bookmarkEnd w:id="123"/>
      <w:bookmarkEnd w:id="124"/>
      <w:bookmarkEnd w:id="125"/>
    </w:p>
    <w:p w14:paraId="07D991DA">
      <w:pPr>
        <w:shd w:val="clear"/>
        <w:adjustRightInd w:val="0"/>
        <w:snapToGrid w:val="0"/>
        <w:spacing w:before="156" w:beforeLines="50" w:line="360" w:lineRule="auto"/>
        <w:rPr>
          <w:rFonts w:hint="default" w:asciiTheme="minorEastAsia" w:hAnsiTheme="minorEastAsia" w:eastAsiaTheme="minorEastAsia"/>
          <w:color w:val="000000" w:themeColor="text1"/>
          <w:szCs w:val="21"/>
          <w:highlight w:val="none"/>
          <w:u w:val="single"/>
          <w:lang w:val="en-US" w:eastAsia="zh-CN"/>
          <w14:textFill>
            <w14:solidFill>
              <w14:schemeClr w14:val="tx1"/>
            </w14:solidFill>
          </w14:textFill>
        </w:rPr>
      </w:pPr>
      <w:r>
        <w:rPr>
          <w:rFonts w:hint="eastAsia" w:ascii="宋体" w:hAnsi="宋体"/>
          <w:color w:val="000000" w:themeColor="text1"/>
          <w:spacing w:val="28"/>
          <w:szCs w:val="21"/>
          <w:highlight w:val="none"/>
          <w14:textFill>
            <w14:solidFill>
              <w14:schemeClr w14:val="tx1"/>
            </w14:solidFill>
          </w14:textFill>
        </w:rPr>
        <w:t>采购代理编号</w:t>
      </w:r>
      <w:r>
        <w:rPr>
          <w:rFonts w:hint="eastAsia" w:ascii="宋体" w:hAnsi="宋体"/>
          <w:color w:val="000000" w:themeColor="text1"/>
          <w:szCs w:val="21"/>
          <w:highlight w:val="none"/>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项目名称：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p w14:paraId="42A1F2BC">
      <w:pPr>
        <w:shd w:val="clear"/>
        <w:adjustRightInd w:val="0"/>
        <w:snapToGrid w:val="0"/>
        <w:spacing w:before="50" w:line="360" w:lineRule="auto"/>
        <w:rPr>
          <w:rFonts w:hint="default" w:ascii="宋体" w:hAnsi="宋体" w:eastAsiaTheme="minorEastAsia"/>
          <w:color w:val="000000" w:themeColor="text1"/>
          <w:szCs w:val="21"/>
          <w:highlight w:val="none"/>
          <w:u w:val="singl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包           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包名称：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tbl>
      <w:tblPr>
        <w:tblStyle w:val="4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1A9B25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490B1573">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序</w:t>
            </w:r>
            <w:r>
              <w:rPr>
                <w:rFonts w:hint="eastAsia" w:asciiTheme="minorEastAsia" w:hAnsiTheme="minorEastAsia" w:eastAsiaTheme="minorEastAsia"/>
                <w:color w:val="000000" w:themeColor="text1"/>
                <w:szCs w:val="21"/>
                <w:highlight w:val="none"/>
                <w14:textFill>
                  <w14:solidFill>
                    <w14:schemeClr w14:val="tx1"/>
                  </w14:solidFill>
                </w14:textFill>
              </w:rPr>
              <w:t>号</w:t>
            </w:r>
          </w:p>
        </w:tc>
        <w:tc>
          <w:tcPr>
            <w:tcW w:w="2410" w:type="dxa"/>
            <w:vAlign w:val="center"/>
          </w:tcPr>
          <w:p w14:paraId="3DF0865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招标文件章节</w:t>
            </w:r>
            <w:r>
              <w:rPr>
                <w:rFonts w:hint="eastAsia" w:asciiTheme="minorEastAsia" w:hAnsiTheme="minorEastAsia" w:eastAsiaTheme="minorEastAsia"/>
                <w:bCs/>
                <w:color w:val="000000" w:themeColor="text1"/>
                <w:szCs w:val="21"/>
                <w:highlight w:val="none"/>
                <w14:textFill>
                  <w14:solidFill>
                    <w14:schemeClr w14:val="tx1"/>
                  </w14:solidFill>
                </w14:textFill>
              </w:rPr>
              <w:t>条</w:t>
            </w:r>
            <w:r>
              <w:rPr>
                <w:rFonts w:hint="eastAsia" w:asciiTheme="minorEastAsia" w:hAnsiTheme="minorEastAsia" w:eastAsiaTheme="minorEastAsia"/>
                <w:color w:val="000000" w:themeColor="text1"/>
                <w:szCs w:val="21"/>
                <w:highlight w:val="none"/>
                <w14:textFill>
                  <w14:solidFill>
                    <w14:schemeClr w14:val="tx1"/>
                  </w14:solidFill>
                </w14:textFill>
              </w:rPr>
              <w:t>款号</w:t>
            </w:r>
          </w:p>
        </w:tc>
        <w:tc>
          <w:tcPr>
            <w:tcW w:w="1985" w:type="dxa"/>
            <w:vAlign w:val="center"/>
          </w:tcPr>
          <w:p w14:paraId="024022B9">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招标文件要求</w:t>
            </w:r>
          </w:p>
        </w:tc>
        <w:tc>
          <w:tcPr>
            <w:tcW w:w="2082" w:type="dxa"/>
            <w:tcBorders>
              <w:right w:val="single" w:color="auto" w:sz="4" w:space="0"/>
            </w:tcBorders>
            <w:vAlign w:val="center"/>
          </w:tcPr>
          <w:p w14:paraId="0A66C0A4">
            <w:pPr>
              <w:shd w:val="clear"/>
              <w:adjustRightInd w:val="0"/>
              <w:snapToGrid w:val="0"/>
              <w:spacing w:before="50" w:line="360" w:lineRule="auto"/>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投标文件的应答</w:t>
            </w:r>
          </w:p>
        </w:tc>
        <w:tc>
          <w:tcPr>
            <w:tcW w:w="1942" w:type="dxa"/>
            <w:tcBorders>
              <w:left w:val="single" w:color="auto" w:sz="4" w:space="0"/>
            </w:tcBorders>
            <w:vAlign w:val="center"/>
          </w:tcPr>
          <w:p w14:paraId="1A755219">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偏离说明</w:t>
            </w:r>
          </w:p>
        </w:tc>
      </w:tr>
      <w:tr w14:paraId="650012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134CED1">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72F4EE6C">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tcPr>
          <w:p w14:paraId="1916A6B7">
            <w:pPr>
              <w:shd w:val="clear"/>
              <w:adjustRightInd w:val="0"/>
              <w:snapToGrid w:val="0"/>
              <w:spacing w:before="50" w:line="360" w:lineRule="auto"/>
              <w:rPr>
                <w:color w:val="000000" w:themeColor="text1"/>
                <w:highlight w:val="none"/>
                <w14:textFill>
                  <w14:solidFill>
                    <w14:schemeClr w14:val="tx1"/>
                  </w14:solidFill>
                </w14:textFill>
              </w:rPr>
            </w:pPr>
          </w:p>
        </w:tc>
        <w:tc>
          <w:tcPr>
            <w:tcW w:w="2082" w:type="dxa"/>
            <w:tcBorders>
              <w:right w:val="single" w:color="auto" w:sz="4" w:space="0"/>
            </w:tcBorders>
          </w:tcPr>
          <w:p w14:paraId="4A927E2C">
            <w:pPr>
              <w:shd w:val="clear"/>
              <w:adjustRightInd w:val="0"/>
              <w:snapToGrid w:val="0"/>
              <w:spacing w:before="50" w:line="360" w:lineRule="auto"/>
              <w:rPr>
                <w:color w:val="000000" w:themeColor="text1"/>
                <w:highlight w:val="none"/>
                <w14:textFill>
                  <w14:solidFill>
                    <w14:schemeClr w14:val="tx1"/>
                  </w14:solidFill>
                </w14:textFill>
              </w:rPr>
            </w:pPr>
          </w:p>
        </w:tc>
        <w:tc>
          <w:tcPr>
            <w:tcW w:w="1942" w:type="dxa"/>
            <w:tcBorders>
              <w:left w:val="single" w:color="auto" w:sz="4" w:space="0"/>
            </w:tcBorders>
          </w:tcPr>
          <w:p w14:paraId="18201453">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00F449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3F8215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3E2262C7">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vAlign w:val="center"/>
          </w:tcPr>
          <w:p w14:paraId="558B3E6E">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766C2B9C">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629D252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384A37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09CF42F">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56B6E87A">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vAlign w:val="center"/>
          </w:tcPr>
          <w:p w14:paraId="59FEBC1A">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1D8DC89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51390A83">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4720EE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DCFE03A">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4B11CF44">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vAlign w:val="center"/>
          </w:tcPr>
          <w:p w14:paraId="1BB843D9">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504ECF02">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77902AFD">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404D90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5E3CC6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0658970D">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vAlign w:val="center"/>
          </w:tcPr>
          <w:p w14:paraId="2D84DDAE">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27A4BD1D">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299AA7DC">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24AE50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D10A9E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444FC49C">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vAlign w:val="center"/>
          </w:tcPr>
          <w:p w14:paraId="65AEF8F9">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82" w:type="dxa"/>
            <w:tcBorders>
              <w:right w:val="single" w:color="auto" w:sz="4" w:space="0"/>
            </w:tcBorders>
            <w:vAlign w:val="center"/>
          </w:tcPr>
          <w:p w14:paraId="03B4A1AD">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42" w:type="dxa"/>
            <w:tcBorders>
              <w:left w:val="single" w:color="auto" w:sz="4" w:space="0"/>
            </w:tcBorders>
            <w:vAlign w:val="center"/>
          </w:tcPr>
          <w:p w14:paraId="66FCB89E">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6A1DD9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1FEE35C">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41F5E070">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vAlign w:val="center"/>
          </w:tcPr>
          <w:p w14:paraId="0C2DDE5F">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4024" w:type="dxa"/>
            <w:gridSpan w:val="2"/>
            <w:vAlign w:val="center"/>
          </w:tcPr>
          <w:p w14:paraId="7D4BB25E">
            <w:pPr>
              <w:shd w:val="clear"/>
              <w:adjustRightInd w:val="0"/>
              <w:snapToGrid w:val="0"/>
              <w:spacing w:before="50" w:line="360" w:lineRule="auto"/>
              <w:ind w:firstLine="422" w:firstLineChars="200"/>
              <w:jc w:val="left"/>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投标人保证：除本合同条款偏离表列出的偏离外，我单位对招标文件的其他商务、合同条款完全响应，无偏离。</w:t>
            </w:r>
          </w:p>
        </w:tc>
      </w:tr>
    </w:tbl>
    <w:p w14:paraId="6E9B6C19">
      <w:pPr>
        <w:shd w:val="clear"/>
        <w:adjustRightInd w:val="0"/>
        <w:snapToGrid w:val="0"/>
        <w:spacing w:before="50" w:line="360" w:lineRule="auto"/>
        <w:ind w:left="-88" w:leftChars="-42"/>
        <w:rPr>
          <w:rFonts w:ascii="宋体" w:hAnsi="宋体"/>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备注</w:t>
      </w:r>
      <w:r>
        <w:rPr>
          <w:rFonts w:hint="eastAsia" w:asciiTheme="minorEastAsia" w:hAnsiTheme="minorEastAsia" w:eastAsiaTheme="minorEastAsia"/>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投标人应根据招标文件第六章</w:t>
      </w:r>
      <w:r>
        <w:rPr>
          <w:rFonts w:hint="eastAsia" w:ascii="华文宋体" w:hAnsi="华文宋体" w:eastAsia="华文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政府采购合同</w:t>
      </w:r>
      <w:r>
        <w:rPr>
          <w:rFonts w:hint="eastAsia" w:ascii="华文宋体" w:hAnsi="华文宋体" w:eastAsia="华文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填写本表；</w:t>
      </w:r>
    </w:p>
    <w:p w14:paraId="2C8BB920">
      <w:pPr>
        <w:shd w:val="clear"/>
        <w:adjustRightInd w:val="0"/>
        <w:snapToGrid w:val="0"/>
        <w:spacing w:before="50" w:line="360" w:lineRule="auto"/>
        <w:ind w:left="-88" w:leftChars="-42" w:firstLine="420" w:firstLineChars="200"/>
        <w:rPr>
          <w:rFonts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w:t>
      </w:r>
      <w:r>
        <w:rPr>
          <w:rFonts w:hint="eastAsia" w:ascii="宋体" w:hAnsi="宋体"/>
          <w:b/>
          <w:color w:val="000000" w:themeColor="text1"/>
          <w:szCs w:val="21"/>
          <w:highlight w:val="none"/>
          <w14:textFill>
            <w14:solidFill>
              <w14:schemeClr w14:val="tx1"/>
            </w14:solidFill>
          </w14:textFill>
        </w:rPr>
        <w:t>投标人如果对招标文件第六章“政府采购合同”的响应有偏离，应将偏离条款逐条如实应答，并作出说明；</w:t>
      </w:r>
    </w:p>
    <w:p w14:paraId="6E4B7BC7">
      <w:pPr>
        <w:shd w:val="clear"/>
        <w:adjustRightInd w:val="0"/>
        <w:snapToGrid w:val="0"/>
        <w:spacing w:before="50" w:line="360" w:lineRule="auto"/>
        <w:ind w:left="-88" w:leftChars="-42" w:firstLine="420" w:firstLineChars="200"/>
        <w:rPr>
          <w:rFonts w:ascii="宋体" w:hAnsi="宋体"/>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如不提供此表，则视为投标人不满足招标文件第六章的所有条款要求，</w:t>
      </w:r>
      <w:r>
        <w:rPr>
          <w:rFonts w:hint="eastAsia" w:asciiTheme="minorEastAsia" w:hAnsiTheme="minorEastAsia" w:eastAsiaTheme="minorEastAsia"/>
          <w:color w:val="000000" w:themeColor="text1"/>
          <w:szCs w:val="21"/>
          <w:highlight w:val="none"/>
          <w14:textFill>
            <w14:solidFill>
              <w14:schemeClr w14:val="tx1"/>
            </w14:solidFill>
          </w14:textFill>
        </w:rPr>
        <w:t>其</w:t>
      </w:r>
      <w:r>
        <w:rPr>
          <w:rFonts w:hint="eastAsia" w:asciiTheme="minorEastAsia" w:hAnsiTheme="minorEastAsia" w:eastAsiaTheme="minorEastAsia"/>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29544D01">
      <w:pPr>
        <w:shd w:val="clear"/>
        <w:adjustRightInd w:val="0"/>
        <w:snapToGrid w:val="0"/>
        <w:spacing w:before="50" w:line="360" w:lineRule="auto"/>
        <w:ind w:left="-88" w:leftChars="-42" w:firstLine="420" w:firstLineChars="200"/>
        <w:rPr>
          <w:rFonts w:ascii="宋体" w:hAnsi="宋体"/>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1BF5C032">
      <w:pPr>
        <w:shd w:val="clear"/>
        <w:adjustRightInd w:val="0"/>
        <w:snapToGrid w:val="0"/>
        <w:spacing w:before="50"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67DF9951">
      <w:pPr>
        <w:shd w:val="clear"/>
        <w:adjustRightInd w:val="0"/>
        <w:snapToGrid w:val="0"/>
        <w:spacing w:before="50" w:line="360" w:lineRule="auto"/>
        <w:rPr>
          <w:rFonts w:ascii="宋体" w:hAnsi="宋体"/>
          <w:color w:val="000000" w:themeColor="text1"/>
          <w:szCs w:val="21"/>
          <w:highlight w:val="none"/>
          <w14:textFill>
            <w14:solidFill>
              <w14:schemeClr w14:val="tx1"/>
            </w14:solidFill>
          </w14:textFill>
        </w:rPr>
      </w:pPr>
    </w:p>
    <w:p w14:paraId="5ACC4CFA">
      <w:pPr>
        <w:shd w:val="clear"/>
        <w:adjustRightInd w:val="0"/>
        <w:snapToGrid w:val="0"/>
        <w:spacing w:before="50"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投标人名称（盖单位电子章）：</w:t>
      </w:r>
    </w:p>
    <w:p w14:paraId="58E1E732">
      <w:pPr>
        <w:shd w:val="clear"/>
        <w:adjustRightInd w:val="0"/>
        <w:snapToGrid w:val="0"/>
        <w:spacing w:before="50" w:line="360" w:lineRule="auto"/>
        <w:rPr>
          <w:rFonts w:ascii="宋体" w:hAnsi="宋体"/>
          <w:color w:val="000000" w:themeColor="text1"/>
          <w:szCs w:val="21"/>
          <w:highlight w:val="non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或其授权的代理人（电子签字或电子印章）：</w:t>
      </w:r>
    </w:p>
    <w:p w14:paraId="508F1AE9">
      <w:pPr>
        <w:shd w:val="clear"/>
        <w:adjustRightInd w:val="0"/>
        <w:snapToGrid w:val="0"/>
        <w:spacing w:before="50" w:line="360" w:lineRule="auto"/>
        <w:rPr>
          <w:rFonts w:ascii="黑体" w:hAnsi="宋体" w:eastAsia="黑体"/>
          <w:b/>
          <w:bCs/>
          <w:color w:val="000000" w:themeColor="text1"/>
          <w:sz w:val="28"/>
          <w:szCs w:val="2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       期：年月日</w:t>
      </w:r>
      <w:r>
        <w:rPr>
          <w:rFonts w:ascii="黑体" w:hAnsi="宋体" w:eastAsia="黑体"/>
          <w:color w:val="000000" w:themeColor="text1"/>
          <w:sz w:val="28"/>
          <w:szCs w:val="28"/>
          <w:highlight w:val="none"/>
          <w14:textFill>
            <w14:solidFill>
              <w14:schemeClr w14:val="tx1"/>
            </w14:solidFill>
          </w14:textFill>
        </w:rPr>
        <w:br w:type="page"/>
      </w:r>
    </w:p>
    <w:p w14:paraId="15F90DB3">
      <w:pPr>
        <w:pStyle w:val="5"/>
        <w:shd w:val="clear"/>
        <w:adjustRightInd w:val="0"/>
        <w:snapToGrid w:val="0"/>
        <w:spacing w:before="156" w:beforeLines="50" w:after="0" w:line="360" w:lineRule="auto"/>
        <w:jc w:val="center"/>
        <w:rPr>
          <w:rFonts w:ascii="黑体" w:hAnsi="宋体" w:eastAsia="黑体"/>
          <w:color w:val="000000" w:themeColor="text1"/>
          <w:sz w:val="28"/>
          <w:szCs w:val="28"/>
          <w:highlight w:val="none"/>
          <w14:textFill>
            <w14:solidFill>
              <w14:schemeClr w14:val="tx1"/>
            </w14:solidFill>
          </w14:textFill>
        </w:rPr>
      </w:pPr>
      <w:bookmarkStart w:id="126" w:name="_Toc4287"/>
      <w:bookmarkStart w:id="127" w:name="_Toc11542"/>
      <w:bookmarkStart w:id="128" w:name="_Toc6774"/>
      <w:bookmarkStart w:id="129" w:name="_Toc6624"/>
      <w:r>
        <w:rPr>
          <w:rFonts w:hint="eastAsia" w:ascii="黑体" w:hAnsi="宋体" w:eastAsia="黑体"/>
          <w:color w:val="000000" w:themeColor="text1"/>
          <w:sz w:val="28"/>
          <w:szCs w:val="28"/>
          <w:highlight w:val="none"/>
          <w14:textFill>
            <w14:solidFill>
              <w14:schemeClr w14:val="tx1"/>
            </w14:solidFill>
          </w14:textFill>
        </w:rPr>
        <w:t>九、采购需求偏离表</w:t>
      </w:r>
      <w:bookmarkEnd w:id="126"/>
      <w:bookmarkEnd w:id="127"/>
      <w:bookmarkEnd w:id="128"/>
      <w:bookmarkEnd w:id="129"/>
    </w:p>
    <w:p w14:paraId="07E8AFDC">
      <w:pPr>
        <w:shd w:val="clear"/>
        <w:adjustRightInd w:val="0"/>
        <w:snapToGrid w:val="0"/>
        <w:spacing w:before="156" w:beforeLines="50" w:line="360" w:lineRule="auto"/>
        <w:rPr>
          <w:rFonts w:asciiTheme="minorEastAsia" w:hAnsiTheme="minorEastAsia" w:eastAsiaTheme="minorEastAsia"/>
          <w:color w:val="000000" w:themeColor="text1"/>
          <w:szCs w:val="21"/>
          <w:highlight w:val="none"/>
          <w:u w:val="single"/>
          <w14:textFill>
            <w14:solidFill>
              <w14:schemeClr w14:val="tx1"/>
            </w14:solidFill>
          </w14:textFill>
        </w:rPr>
      </w:pPr>
      <w:r>
        <w:rPr>
          <w:rFonts w:hint="eastAsia" w:ascii="宋体" w:hAnsi="宋体"/>
          <w:color w:val="000000" w:themeColor="text1"/>
          <w:spacing w:val="28"/>
          <w:szCs w:val="21"/>
          <w:highlight w:val="none"/>
          <w14:textFill>
            <w14:solidFill>
              <w14:schemeClr w14:val="tx1"/>
            </w14:solidFill>
          </w14:textFill>
        </w:rPr>
        <w:t>采购代理编号</w:t>
      </w:r>
      <w:r>
        <w:rPr>
          <w:rFonts w:hint="eastAsia" w:ascii="宋体" w:hAnsi="宋体"/>
          <w:color w:val="000000" w:themeColor="text1"/>
          <w:szCs w:val="21"/>
          <w:highlight w:val="none"/>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项目名称：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p w14:paraId="19EA4CE9">
      <w:pPr>
        <w:shd w:val="clear"/>
        <w:adjustRightInd w:val="0"/>
        <w:snapToGrid w:val="0"/>
        <w:spacing w:before="156" w:beforeLines="50" w:line="360" w:lineRule="auto"/>
        <w:rPr>
          <w:rFonts w:hint="default" w:ascii="宋体" w:hAnsi="宋体" w:eastAsiaTheme="minorEastAsia"/>
          <w:color w:val="000000" w:themeColor="text1"/>
          <w:szCs w:val="21"/>
          <w:highlight w:val="none"/>
          <w:u w:val="singl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包           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包名称：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tbl>
      <w:tblPr>
        <w:tblStyle w:val="4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66E6D8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3896D4D6">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序</w:t>
            </w:r>
            <w:r>
              <w:rPr>
                <w:rFonts w:hint="eastAsia" w:asciiTheme="minorEastAsia" w:hAnsiTheme="minorEastAsia" w:eastAsiaTheme="minorEastAsia"/>
                <w:color w:val="000000" w:themeColor="text1"/>
                <w:szCs w:val="21"/>
                <w:highlight w:val="none"/>
                <w14:textFill>
                  <w14:solidFill>
                    <w14:schemeClr w14:val="tx1"/>
                  </w14:solidFill>
                </w14:textFill>
              </w:rPr>
              <w:t>号</w:t>
            </w:r>
          </w:p>
        </w:tc>
        <w:tc>
          <w:tcPr>
            <w:tcW w:w="2410" w:type="dxa"/>
            <w:vAlign w:val="center"/>
          </w:tcPr>
          <w:p w14:paraId="21028F6F">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招标文件章节</w:t>
            </w:r>
            <w:r>
              <w:rPr>
                <w:rFonts w:hint="eastAsia" w:asciiTheme="minorEastAsia" w:hAnsiTheme="minorEastAsia" w:eastAsiaTheme="minorEastAsia"/>
                <w:bCs/>
                <w:color w:val="000000" w:themeColor="text1"/>
                <w:szCs w:val="21"/>
                <w:highlight w:val="none"/>
                <w14:textFill>
                  <w14:solidFill>
                    <w14:schemeClr w14:val="tx1"/>
                  </w14:solidFill>
                </w14:textFill>
              </w:rPr>
              <w:t>条</w:t>
            </w:r>
            <w:r>
              <w:rPr>
                <w:rFonts w:hint="eastAsia" w:asciiTheme="minorEastAsia" w:hAnsiTheme="minorEastAsia" w:eastAsiaTheme="minorEastAsia"/>
                <w:color w:val="000000" w:themeColor="text1"/>
                <w:szCs w:val="21"/>
                <w:highlight w:val="none"/>
                <w14:textFill>
                  <w14:solidFill>
                    <w14:schemeClr w14:val="tx1"/>
                  </w14:solidFill>
                </w14:textFill>
              </w:rPr>
              <w:t>款号</w:t>
            </w:r>
          </w:p>
        </w:tc>
        <w:tc>
          <w:tcPr>
            <w:tcW w:w="1985" w:type="dxa"/>
            <w:tcBorders>
              <w:right w:val="single" w:color="auto" w:sz="4" w:space="0"/>
            </w:tcBorders>
          </w:tcPr>
          <w:p w14:paraId="6D9CB9C2">
            <w:pPr>
              <w:shd w:val="clear"/>
              <w:adjustRightInd w:val="0"/>
              <w:snapToGrid w:val="0"/>
              <w:spacing w:before="50"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招标文件要求</w:t>
            </w:r>
          </w:p>
        </w:tc>
        <w:tc>
          <w:tcPr>
            <w:tcW w:w="2126" w:type="dxa"/>
            <w:tcBorders>
              <w:left w:val="single" w:color="auto" w:sz="4" w:space="0"/>
            </w:tcBorders>
          </w:tcPr>
          <w:p w14:paraId="2F17DDE6">
            <w:pPr>
              <w:shd w:val="clear"/>
              <w:adjustRightInd w:val="0"/>
              <w:snapToGrid w:val="0"/>
              <w:spacing w:before="50"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投标文件应答</w:t>
            </w:r>
          </w:p>
        </w:tc>
        <w:tc>
          <w:tcPr>
            <w:tcW w:w="1756" w:type="dxa"/>
            <w:vAlign w:val="center"/>
          </w:tcPr>
          <w:p w14:paraId="2232967E">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偏离说明</w:t>
            </w:r>
          </w:p>
        </w:tc>
      </w:tr>
      <w:tr w14:paraId="5C31EB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54A97B9">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30AF5A3F">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70018732">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5CBA493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756" w:type="dxa"/>
            <w:vAlign w:val="center"/>
          </w:tcPr>
          <w:p w14:paraId="641F224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26E9D2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37EA2ED">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72CA4177">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6E5D4E3B">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4B2B067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756" w:type="dxa"/>
            <w:vAlign w:val="center"/>
          </w:tcPr>
          <w:p w14:paraId="6A99D92E">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19677B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5DE7E8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0CFD358D">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2847A03B">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636B31FF">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756" w:type="dxa"/>
            <w:vAlign w:val="center"/>
          </w:tcPr>
          <w:p w14:paraId="10BCBDC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19FCE3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C930E6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04C632A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399EC3D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6BCE8E4A">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756" w:type="dxa"/>
            <w:vAlign w:val="center"/>
          </w:tcPr>
          <w:p w14:paraId="0D10C655">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00D63C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8BB2DFF">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29773B3A">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0BA40479">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126" w:type="dxa"/>
            <w:tcBorders>
              <w:left w:val="single" w:color="auto" w:sz="4" w:space="0"/>
            </w:tcBorders>
            <w:vAlign w:val="center"/>
          </w:tcPr>
          <w:p w14:paraId="2FBDF758">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756" w:type="dxa"/>
            <w:vAlign w:val="center"/>
          </w:tcPr>
          <w:p w14:paraId="31616C3D">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036FF5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0DE1E1E">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410" w:type="dxa"/>
            <w:vAlign w:val="center"/>
          </w:tcPr>
          <w:p w14:paraId="4325BA29">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85" w:type="dxa"/>
            <w:tcBorders>
              <w:right w:val="single" w:color="auto" w:sz="4" w:space="0"/>
            </w:tcBorders>
            <w:vAlign w:val="center"/>
          </w:tcPr>
          <w:p w14:paraId="3F94E11A">
            <w:pPr>
              <w:shd w:val="clear"/>
              <w:adjustRightInd w:val="0"/>
              <w:snapToGrid w:val="0"/>
              <w:spacing w:before="50" w:line="360" w:lineRule="auto"/>
              <w:ind w:left="-88" w:leftChars="-42"/>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3882" w:type="dxa"/>
            <w:gridSpan w:val="2"/>
            <w:tcBorders>
              <w:left w:val="single" w:color="auto" w:sz="4" w:space="0"/>
            </w:tcBorders>
            <w:vAlign w:val="center"/>
          </w:tcPr>
          <w:p w14:paraId="7BFA518A">
            <w:pPr>
              <w:shd w:val="clear"/>
              <w:adjustRightInd w:val="0"/>
              <w:snapToGrid w:val="0"/>
              <w:spacing w:before="50" w:line="360" w:lineRule="auto"/>
              <w:ind w:firstLine="422"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投标人保证：除本采购需求偏离表列出的偏离外，我单位对招标文件的其他采购需求条款完全响应，无偏离。</w:t>
            </w:r>
          </w:p>
        </w:tc>
      </w:tr>
    </w:tbl>
    <w:p w14:paraId="51AE231A">
      <w:pPr>
        <w:shd w:val="clear"/>
        <w:adjustRightInd w:val="0"/>
        <w:snapToGrid w:val="0"/>
        <w:spacing w:before="50" w:line="360" w:lineRule="auto"/>
        <w:ind w:left="-88" w:leftChars="-42"/>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备注</w:t>
      </w:r>
      <w:r>
        <w:rPr>
          <w:rFonts w:hint="eastAsia" w:asciiTheme="minorEastAsia" w:hAnsiTheme="minorEastAsia" w:eastAsiaTheme="minorEastAsia"/>
          <w:color w:val="000000" w:themeColor="text1"/>
          <w:szCs w:val="21"/>
          <w:highlight w:val="none"/>
          <w14:textFill>
            <w14:solidFill>
              <w14:schemeClr w14:val="tx1"/>
            </w14:solidFill>
          </w14:textFill>
        </w:rPr>
        <w:t>：（1）投标人应根据招标文件第五章“采购需求”填写本表；</w:t>
      </w:r>
    </w:p>
    <w:p w14:paraId="0D789F9F">
      <w:pPr>
        <w:shd w:val="clear"/>
        <w:adjustRightInd w:val="0"/>
        <w:snapToGrid w:val="0"/>
        <w:spacing w:before="50" w:line="360" w:lineRule="auto"/>
        <w:ind w:left="-88" w:leftChars="-42" w:firstLine="420" w:firstLineChars="200"/>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w:t>
      </w:r>
      <w:r>
        <w:rPr>
          <w:rFonts w:hint="eastAsia" w:asciiTheme="minorEastAsia" w:hAnsiTheme="minorEastAsia" w:eastAsiaTheme="minorEastAsia"/>
          <w:b/>
          <w:color w:val="000000" w:themeColor="text1"/>
          <w:szCs w:val="21"/>
          <w:highlight w:val="none"/>
          <w14:textFill>
            <w14:solidFill>
              <w14:schemeClr w14:val="tx1"/>
            </w14:solidFill>
          </w14:textFill>
        </w:rPr>
        <w:t>投标人如果对招标文件第五章“采购需求”的响应有偏离，应将偏离条款逐条如实应答，并作出说明；</w:t>
      </w:r>
    </w:p>
    <w:p w14:paraId="7469FC7E">
      <w:pPr>
        <w:shd w:val="clear"/>
        <w:adjustRightInd w:val="0"/>
        <w:snapToGrid w:val="0"/>
        <w:spacing w:before="50" w:line="360" w:lineRule="auto"/>
        <w:ind w:left="-88" w:leftChars="-42"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（3）如不提供此表，则视为投标人不满足招标文件第五章的所有条款要求，其</w:t>
      </w:r>
      <w:r>
        <w:rPr>
          <w:rFonts w:hint="eastAsia" w:asciiTheme="minorEastAsia" w:hAnsiTheme="minorEastAsia" w:eastAsiaTheme="minorEastAsia"/>
          <w:b/>
          <w:color w:val="000000" w:themeColor="text1"/>
          <w:szCs w:val="21"/>
          <w:highlight w:val="none"/>
          <w14:textFill>
            <w14:solidFill>
              <w14:schemeClr w14:val="tx1"/>
            </w14:solidFill>
          </w14:textFill>
        </w:rPr>
        <w:t>投标无效</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61ECCDDB">
      <w:pPr>
        <w:shd w:val="clear"/>
        <w:adjustRightInd w:val="0"/>
        <w:snapToGrid w:val="0"/>
        <w:spacing w:before="50" w:line="360" w:lineRule="auto"/>
        <w:ind w:left="-88" w:leftChars="-42"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2C46B862">
      <w:pPr>
        <w:shd w:val="clear"/>
        <w:adjustRightInd w:val="0"/>
        <w:snapToGrid w:val="0"/>
        <w:spacing w:before="50" w:line="360" w:lineRule="auto"/>
        <w:ind w:left="-88" w:leftChars="-42"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（5）本表偏离表与本章第七节“采购需求响应”不一致时，以“采购需求响应”为准。</w:t>
      </w:r>
    </w:p>
    <w:p w14:paraId="64CDEC0E">
      <w:pPr>
        <w:shd w:val="clear"/>
        <w:adjustRightInd w:val="0"/>
        <w:snapToGrid w:val="0"/>
        <w:spacing w:before="50"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0F889382">
      <w:pPr>
        <w:shd w:val="clear"/>
        <w:adjustRightInd w:val="0"/>
        <w:snapToGrid w:val="0"/>
        <w:spacing w:before="50" w:line="360" w:lineRule="auto"/>
        <w:rPr>
          <w:rFonts w:ascii="宋体" w:hAnsi="宋体"/>
          <w:color w:val="000000" w:themeColor="text1"/>
          <w:szCs w:val="21"/>
          <w:highlight w:val="none"/>
          <w14:textFill>
            <w14:solidFill>
              <w14:schemeClr w14:val="tx1"/>
            </w14:solidFill>
          </w14:textFill>
        </w:rPr>
      </w:pPr>
    </w:p>
    <w:p w14:paraId="0563EDC8">
      <w:pPr>
        <w:shd w:val="clear"/>
        <w:adjustRightInd w:val="0"/>
        <w:snapToGrid w:val="0"/>
        <w:spacing w:before="50"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投标人名称（盖单位电子章）：</w:t>
      </w:r>
    </w:p>
    <w:p w14:paraId="23B62A0B">
      <w:pPr>
        <w:shd w:val="clear"/>
        <w:adjustRightInd w:val="0"/>
        <w:snapToGrid w:val="0"/>
        <w:spacing w:before="50" w:line="360" w:lineRule="auto"/>
        <w:rPr>
          <w:rFonts w:ascii="宋体" w:hAnsi="宋体"/>
          <w:color w:val="000000" w:themeColor="text1"/>
          <w:szCs w:val="21"/>
          <w:highlight w:val="non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或其授权的代理人（电子签字或电子印章）：</w:t>
      </w:r>
    </w:p>
    <w:p w14:paraId="01618667">
      <w:pPr>
        <w:shd w:val="clear"/>
        <w:adjustRightInd w:val="0"/>
        <w:snapToGrid w:val="0"/>
        <w:spacing w:before="50"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      期：年月日</w:t>
      </w:r>
    </w:p>
    <w:p w14:paraId="4E6BFE86">
      <w:pPr>
        <w:pStyle w:val="5"/>
        <w:shd w:val="clear"/>
        <w:adjustRightInd w:val="0"/>
        <w:snapToGrid w:val="0"/>
        <w:spacing w:before="0" w:after="0" w:line="360" w:lineRule="auto"/>
        <w:jc w:val="center"/>
        <w:rPr>
          <w:rFonts w:ascii="宋体" w:hAnsi="宋体"/>
          <w:color w:val="000000" w:themeColor="text1"/>
          <w:szCs w:val="21"/>
          <w:highlight w:val="none"/>
          <w14:textFill>
            <w14:solidFill>
              <w14:schemeClr w14:val="tx1"/>
            </w14:solidFill>
          </w14:textFill>
        </w:rPr>
        <w:sectPr>
          <w:pgSz w:w="11906" w:h="16838"/>
          <w:pgMar w:top="1474" w:right="1474" w:bottom="1474" w:left="1474" w:header="851" w:footer="992" w:gutter="0"/>
          <w:pgBorders>
            <w:top w:val="none" w:sz="0" w:space="0"/>
            <w:left w:val="none" w:sz="0" w:space="0"/>
            <w:bottom w:val="none" w:sz="0" w:space="0"/>
            <w:right w:val="none" w:sz="0" w:space="0"/>
          </w:pgBorders>
          <w:cols w:space="720" w:num="1"/>
          <w:docGrid w:type="lines" w:linePitch="312" w:charSpace="0"/>
        </w:sectPr>
      </w:pPr>
      <w:r>
        <w:rPr>
          <w:rFonts w:ascii="宋体" w:hAnsi="宋体"/>
          <w:color w:val="000000" w:themeColor="text1"/>
          <w:szCs w:val="21"/>
          <w:highlight w:val="none"/>
          <w14:textFill>
            <w14:solidFill>
              <w14:schemeClr w14:val="tx1"/>
            </w14:solidFill>
          </w14:textFill>
        </w:rPr>
        <w:br w:type="page"/>
      </w:r>
    </w:p>
    <w:p w14:paraId="12E27CD9">
      <w:pPr>
        <w:pStyle w:val="5"/>
        <w:shd w:val="clear"/>
        <w:adjustRightInd w:val="0"/>
        <w:snapToGrid w:val="0"/>
        <w:spacing w:before="0" w:after="0" w:line="360" w:lineRule="auto"/>
        <w:jc w:val="center"/>
        <w:rPr>
          <w:rFonts w:hint="eastAsia" w:ascii="宋体" w:hAnsi="宋体"/>
          <w:color w:val="000000" w:themeColor="text1"/>
          <w:szCs w:val="21"/>
          <w:highlight w:val="none"/>
          <w14:textFill>
            <w14:solidFill>
              <w14:schemeClr w14:val="tx1"/>
            </w14:solidFill>
          </w14:textFill>
        </w:rPr>
      </w:pPr>
      <w:bookmarkStart w:id="130" w:name="_Toc12256"/>
      <w:bookmarkStart w:id="131" w:name="_Toc29698"/>
      <w:bookmarkStart w:id="132" w:name="_Toc13702"/>
      <w:bookmarkStart w:id="133" w:name="_Toc26854"/>
    </w:p>
    <w:p w14:paraId="100C8E6C">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十</w:t>
      </w:r>
      <w:r>
        <w:rPr>
          <w:rFonts w:hint="eastAsia" w:ascii="黑体" w:hAnsi="宋体" w:eastAsia="黑体"/>
          <w:color w:val="000000" w:themeColor="text1"/>
          <w:sz w:val="28"/>
          <w:szCs w:val="28"/>
          <w:highlight w:val="none"/>
          <w14:textFill>
            <w14:solidFill>
              <w14:schemeClr w14:val="tx1"/>
            </w14:solidFill>
          </w14:textFill>
        </w:rPr>
        <w:t>、享受政府采购政策优惠的证明资料</w:t>
      </w:r>
      <w:bookmarkEnd w:id="130"/>
      <w:bookmarkEnd w:id="131"/>
      <w:bookmarkEnd w:id="132"/>
      <w:bookmarkEnd w:id="133"/>
    </w:p>
    <w:p w14:paraId="0BF200F5">
      <w:pPr>
        <w:shd w:val="clear"/>
        <w:adjustRightInd w:val="0"/>
        <w:snapToGrid w:val="0"/>
        <w:spacing w:line="360" w:lineRule="auto"/>
        <w:rPr>
          <w:rFonts w:ascii="黑体" w:hAnsi="华文中宋" w:eastAsia="黑体" w:cs="宋体"/>
          <w:bCs/>
          <w:color w:val="000000" w:themeColor="text1"/>
          <w:spacing w:val="6"/>
          <w:kern w:val="0"/>
          <w:szCs w:val="21"/>
          <w:highlight w:val="none"/>
          <w14:textFill>
            <w14:solidFill>
              <w14:schemeClr w14:val="tx1"/>
            </w14:solidFill>
          </w14:textFill>
        </w:rPr>
      </w:pPr>
    </w:p>
    <w:p w14:paraId="6136BA70">
      <w:pPr>
        <w:shd w:val="clear"/>
        <w:adjustRightInd w:val="0"/>
        <w:snapToGrid w:val="0"/>
        <w:spacing w:line="360" w:lineRule="auto"/>
        <w:ind w:firstLine="444" w:firstLineChars="200"/>
        <w:rPr>
          <w:rFonts w:cs="宋体" w:asciiTheme="minorEastAsia" w:hAnsiTheme="minorEastAsia" w:eastAsiaTheme="minorEastAsia"/>
          <w:bCs/>
          <w:color w:val="000000" w:themeColor="text1"/>
          <w:spacing w:val="6"/>
          <w:kern w:val="0"/>
          <w:szCs w:val="21"/>
          <w:highlight w:val="none"/>
          <w14:textFill>
            <w14:solidFill>
              <w14:schemeClr w14:val="tx1"/>
            </w14:solidFill>
          </w14:textFill>
        </w:rPr>
      </w:pPr>
      <w:r>
        <w:rPr>
          <w:rFonts w:hint="eastAsia" w:cs="宋体" w:asciiTheme="minorEastAsia" w:hAnsiTheme="minorEastAsia" w:eastAsiaTheme="minorEastAsia"/>
          <w:bCs/>
          <w:color w:val="000000" w:themeColor="text1"/>
          <w:spacing w:val="6"/>
          <w:kern w:val="0"/>
          <w:szCs w:val="21"/>
          <w:highlight w:val="none"/>
          <w14:textFill>
            <w14:solidFill>
              <w14:schemeClr w14:val="tx1"/>
            </w14:solidFill>
          </w14:textFill>
        </w:rPr>
        <w:t>投标人符合第二章第33.6款要求的，应提供下列证明资料，并填写相关数据。否则，评审时不予以考虑。</w:t>
      </w:r>
    </w:p>
    <w:p w14:paraId="5CDABFF4">
      <w:pPr>
        <w:shd w:val="clear"/>
        <w:adjustRightInd w:val="0"/>
        <w:snapToGrid w:val="0"/>
        <w:spacing w:line="360" w:lineRule="auto"/>
        <w:rPr>
          <w:rFonts w:ascii="黑体" w:hAnsi="华文中宋" w:eastAsia="黑体" w:cs="宋体"/>
          <w:bCs/>
          <w:color w:val="000000" w:themeColor="text1"/>
          <w:spacing w:val="6"/>
          <w:kern w:val="0"/>
          <w:szCs w:val="21"/>
          <w:highlight w:val="none"/>
          <w14:textFill>
            <w14:solidFill>
              <w14:schemeClr w14:val="tx1"/>
            </w14:solidFill>
          </w14:textFill>
        </w:rPr>
      </w:pPr>
    </w:p>
    <w:p w14:paraId="079ADAFE">
      <w:pPr>
        <w:shd w:val="clear"/>
        <w:spacing w:before="68" w:line="219" w:lineRule="auto"/>
        <w:ind w:left="48"/>
        <w:outlineLvl w:val="2"/>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spacing w:val="-4"/>
          <w:sz w:val="21"/>
          <w:szCs w:val="21"/>
          <w:highlight w:val="none"/>
          <w14:textFill>
            <w14:solidFill>
              <w14:schemeClr w14:val="tx1"/>
            </w14:solidFill>
          </w14:textFill>
        </w:rPr>
        <w:t>附件 10-1</w:t>
      </w:r>
      <w:r>
        <w:rPr>
          <w:rFonts w:ascii="黑体" w:hAnsi="黑体" w:eastAsia="黑体" w:cs="黑体"/>
          <w:color w:val="000000" w:themeColor="text1"/>
          <w:spacing w:val="52"/>
          <w:sz w:val="21"/>
          <w:szCs w:val="21"/>
          <w:highlight w:val="none"/>
          <w14:textFill>
            <w14:solidFill>
              <w14:schemeClr w14:val="tx1"/>
            </w14:solidFill>
          </w14:textFill>
        </w:rPr>
        <w:t xml:space="preserve"> </w:t>
      </w:r>
      <w:r>
        <w:rPr>
          <w:rFonts w:ascii="黑体" w:hAnsi="黑体" w:eastAsia="黑体" w:cs="黑体"/>
          <w:color w:val="000000" w:themeColor="text1"/>
          <w:spacing w:val="-4"/>
          <w:sz w:val="21"/>
          <w:szCs w:val="21"/>
          <w:highlight w:val="none"/>
          <w14:textFill>
            <w14:solidFill>
              <w14:schemeClr w14:val="tx1"/>
            </w14:solidFill>
          </w14:textFill>
        </w:rPr>
        <w:t>中小企业声明函</w:t>
      </w:r>
    </w:p>
    <w:p w14:paraId="59326BBE">
      <w:pPr>
        <w:pStyle w:val="16"/>
        <w:shd w:val="clear"/>
        <w:spacing w:line="337" w:lineRule="auto"/>
        <w:rPr>
          <w:color w:val="000000" w:themeColor="text1"/>
          <w:highlight w:val="none"/>
          <w14:textFill>
            <w14:solidFill>
              <w14:schemeClr w14:val="tx1"/>
            </w14:solidFill>
          </w14:textFill>
        </w:rPr>
      </w:pPr>
    </w:p>
    <w:p w14:paraId="233933F3">
      <w:pPr>
        <w:shd w:val="clear"/>
        <w:spacing w:before="88" w:line="352" w:lineRule="auto"/>
        <w:ind w:left="3084" w:right="2785" w:hanging="320"/>
        <w:rPr>
          <w:rFonts w:ascii="宋体" w:hAnsi="宋体" w:eastAsia="宋体" w:cs="宋体"/>
          <w:color w:val="000000" w:themeColor="text1"/>
          <w:sz w:val="21"/>
          <w:szCs w:val="21"/>
          <w:highlight w:val="none"/>
          <w14:textFill>
            <w14:solidFill>
              <w14:schemeClr w14:val="tx1"/>
            </w14:solidFill>
          </w14:textFill>
        </w:rPr>
      </w:pPr>
      <w:bookmarkStart w:id="134" w:name="bookmark153"/>
      <w:bookmarkEnd w:id="134"/>
      <w:r>
        <w:rPr>
          <w:rFonts w:ascii="黑体" w:hAnsi="黑体" w:eastAsia="黑体" w:cs="黑体"/>
          <w:b/>
          <w:bCs/>
          <w:color w:val="000000" w:themeColor="text1"/>
          <w:spacing w:val="13"/>
          <w:sz w:val="27"/>
          <w:szCs w:val="27"/>
          <w:highlight w:val="none"/>
          <w14:textFill>
            <w14:solidFill>
              <w14:schemeClr w14:val="tx1"/>
            </w14:solidFill>
          </w14:textFill>
        </w:rPr>
        <w:t>中小企业声明函（货物类）</w:t>
      </w:r>
      <w:r>
        <w:rPr>
          <w:rFonts w:ascii="黑体" w:hAnsi="黑体" w:eastAsia="黑体" w:cs="黑体"/>
          <w:color w:val="000000" w:themeColor="text1"/>
          <w:spacing w:val="3"/>
          <w:sz w:val="27"/>
          <w:szCs w:val="27"/>
          <w:highlight w:val="none"/>
          <w14:textFill>
            <w14:solidFill>
              <w14:schemeClr w14:val="tx1"/>
            </w14:solidFill>
          </w14:textFill>
        </w:rPr>
        <w:t xml:space="preserve"> </w:t>
      </w:r>
      <w:r>
        <w:rPr>
          <w:rFonts w:ascii="宋体" w:hAnsi="宋体" w:eastAsia="宋体" w:cs="宋体"/>
          <w:b/>
          <w:bCs/>
          <w:color w:val="000000" w:themeColor="text1"/>
          <w:spacing w:val="6"/>
          <w:sz w:val="21"/>
          <w:szCs w:val="21"/>
          <w:highlight w:val="none"/>
          <w14:textFill>
            <w14:solidFill>
              <w14:schemeClr w14:val="tx1"/>
            </w14:solidFill>
          </w14:textFill>
        </w:rPr>
        <w:t>(不满足以下条件的无需填写)</w:t>
      </w:r>
    </w:p>
    <w:p w14:paraId="377B77BB">
      <w:pPr>
        <w:shd w:val="clear"/>
        <w:spacing w:before="126" w:line="406" w:lineRule="auto"/>
        <w:ind w:left="36" w:right="24" w:firstLine="4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本公司（联合体）郑重声明，根据《政府采购促进中小企业发展管理办法》（财库﹝20</w:t>
      </w:r>
      <w:r>
        <w:rPr>
          <w:rFonts w:ascii="宋体" w:hAnsi="宋体" w:eastAsia="宋体" w:cs="宋体"/>
          <w:color w:val="000000" w:themeColor="text1"/>
          <w:spacing w:val="-1"/>
          <w:sz w:val="21"/>
          <w:szCs w:val="21"/>
          <w:highlight w:val="none"/>
          <w14:textFill>
            <w14:solidFill>
              <w14:schemeClr w14:val="tx1"/>
            </w14:solidFill>
          </w14:textFill>
        </w:rPr>
        <w:t>20﹞</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46 号）的规定，本公司（联合体）参加</w:t>
      </w:r>
      <w:r>
        <w:rPr>
          <w:rFonts w:ascii="宋体" w:hAnsi="宋体" w:eastAsia="宋体" w:cs="宋体"/>
          <w:color w:val="000000" w:themeColor="text1"/>
          <w:spacing w:val="-1"/>
          <w:sz w:val="21"/>
          <w:szCs w:val="21"/>
          <w:highlight w:val="none"/>
          <w:u w:val="single" w:color="auto"/>
          <w14:textFill>
            <w14:solidFill>
              <w14:schemeClr w14:val="tx1"/>
            </w14:solidFill>
          </w14:textFill>
        </w:rPr>
        <w:t>（单位名称）</w:t>
      </w:r>
      <w:r>
        <w:rPr>
          <w:rFonts w:ascii="宋体" w:hAnsi="宋体" w:eastAsia="宋体" w:cs="宋体"/>
          <w:color w:val="000000" w:themeColor="text1"/>
          <w:spacing w:val="-1"/>
          <w:sz w:val="21"/>
          <w:szCs w:val="21"/>
          <w:highlight w:val="none"/>
          <w14:textFill>
            <w14:solidFill>
              <w14:schemeClr w14:val="tx1"/>
            </w14:solidFill>
          </w14:textFill>
        </w:rPr>
        <w:t>的</w:t>
      </w:r>
      <w:r>
        <w:rPr>
          <w:rFonts w:ascii="宋体" w:hAnsi="宋体" w:eastAsia="宋体" w:cs="宋体"/>
          <w:color w:val="000000" w:themeColor="text1"/>
          <w:spacing w:val="-1"/>
          <w:sz w:val="21"/>
          <w:szCs w:val="21"/>
          <w:highlight w:val="none"/>
          <w:u w:val="single" w:color="auto"/>
          <w14:textFill>
            <w14:solidFill>
              <w14:schemeClr w14:val="tx1"/>
            </w14:solidFill>
          </w14:textFill>
        </w:rPr>
        <w:t>（项目名称）</w:t>
      </w:r>
      <w:r>
        <w:rPr>
          <w:rFonts w:ascii="宋体" w:hAnsi="宋体" w:eastAsia="宋体" w:cs="宋体"/>
          <w:color w:val="000000" w:themeColor="text1"/>
          <w:spacing w:val="-5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采购活动，提</w:t>
      </w:r>
      <w:r>
        <w:rPr>
          <w:rFonts w:ascii="宋体" w:hAnsi="宋体" w:eastAsia="宋体" w:cs="宋体"/>
          <w:color w:val="000000" w:themeColor="text1"/>
          <w:spacing w:val="-2"/>
          <w:sz w:val="21"/>
          <w:szCs w:val="21"/>
          <w:highlight w:val="none"/>
          <w14:textFill>
            <w14:solidFill>
              <w14:schemeClr w14:val="tx1"/>
            </w14:solidFill>
          </w14:textFill>
        </w:rPr>
        <w:t>供的货物全部</w:t>
      </w:r>
      <w:r>
        <w:rPr>
          <w:rFonts w:ascii="宋体" w:hAnsi="宋体" w:eastAsia="宋体" w:cs="宋体"/>
          <w:color w:val="000000" w:themeColor="text1"/>
          <w:sz w:val="21"/>
          <w:szCs w:val="21"/>
          <w:highlight w:val="none"/>
          <w14:textFill>
            <w14:solidFill>
              <w14:schemeClr w14:val="tx1"/>
            </w14:solidFill>
          </w14:textFill>
        </w:rPr>
        <w:t>由符合政策要求的中小企业制造。相关企业（含联合体中的中小企业、签订分包</w:t>
      </w:r>
      <w:r>
        <w:rPr>
          <w:rFonts w:ascii="宋体" w:hAnsi="宋体" w:eastAsia="宋体" w:cs="宋体"/>
          <w:color w:val="000000" w:themeColor="text1"/>
          <w:spacing w:val="-1"/>
          <w:sz w:val="21"/>
          <w:szCs w:val="21"/>
          <w:highlight w:val="none"/>
          <w14:textFill>
            <w14:solidFill>
              <w14:schemeClr w14:val="tx1"/>
            </w14:solidFill>
          </w14:textFill>
        </w:rPr>
        <w:t>意向协议的中小</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企业）的具体情况如下：</w:t>
      </w:r>
    </w:p>
    <w:p w14:paraId="09A47721">
      <w:pPr>
        <w:shd w:val="clear"/>
        <w:spacing w:before="26" w:line="348" w:lineRule="auto"/>
        <w:ind w:left="36" w:right="133" w:firstLine="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 xml:space="preserve">1. </w:t>
      </w:r>
      <w:r>
        <w:rPr>
          <w:rFonts w:ascii="宋体" w:hAnsi="宋体" w:eastAsia="宋体" w:cs="宋体"/>
          <w:color w:val="000000" w:themeColor="text1"/>
          <w:spacing w:val="-3"/>
          <w:sz w:val="21"/>
          <w:szCs w:val="21"/>
          <w:highlight w:val="none"/>
          <w:u w:val="single" w:color="auto"/>
          <w14:textFill>
            <w14:solidFill>
              <w14:schemeClr w14:val="tx1"/>
            </w14:solidFill>
          </w14:textFill>
        </w:rPr>
        <w:t>（标的名称</w:t>
      </w:r>
      <w:r>
        <w:rPr>
          <w:rFonts w:ascii="宋体" w:hAnsi="宋体" w:eastAsia="宋体" w:cs="宋体"/>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2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0"/>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属于</w:t>
      </w:r>
      <w:r>
        <w:rPr>
          <w:rFonts w:ascii="宋体" w:hAnsi="宋体" w:eastAsia="宋体" w:cs="宋体"/>
          <w:color w:val="000000" w:themeColor="text1"/>
          <w:spacing w:val="-3"/>
          <w:sz w:val="21"/>
          <w:szCs w:val="21"/>
          <w:highlight w:val="none"/>
          <w:u w:val="single" w:color="auto"/>
          <w14:textFill>
            <w14:solidFill>
              <w14:schemeClr w14:val="tx1"/>
            </w14:solidFill>
          </w14:textFill>
        </w:rPr>
        <w:t>（</w:t>
      </w:r>
      <w:r>
        <w:rPr>
          <w:rFonts w:hint="eastAsia" w:ascii="宋体" w:hAnsi="宋体" w:cs="宋体"/>
          <w:color w:val="000000" w:themeColor="text1"/>
          <w:spacing w:val="-3"/>
          <w:sz w:val="21"/>
          <w:szCs w:val="21"/>
          <w:highlight w:val="none"/>
          <w:u w:val="single" w:color="auto"/>
          <w:lang w:eastAsia="zh-CN"/>
          <w14:textFill>
            <w14:solidFill>
              <w14:schemeClr w14:val="tx1"/>
            </w14:solidFill>
          </w14:textFill>
        </w:rPr>
        <w:t>招标文件</w:t>
      </w:r>
      <w:r>
        <w:rPr>
          <w:rFonts w:ascii="宋体" w:hAnsi="宋体" w:eastAsia="宋体" w:cs="宋体"/>
          <w:color w:val="000000" w:themeColor="text1"/>
          <w:spacing w:val="-3"/>
          <w:sz w:val="21"/>
          <w:szCs w:val="21"/>
          <w:highlight w:val="none"/>
          <w:u w:val="single" w:color="auto"/>
          <w14:textFill>
            <w14:solidFill>
              <w14:schemeClr w14:val="tx1"/>
            </w14:solidFill>
          </w14:textFill>
        </w:rPr>
        <w:t>中明确的所属行业）</w:t>
      </w:r>
      <w:r>
        <w:rPr>
          <w:rFonts w:ascii="宋体" w:hAnsi="宋体" w:eastAsia="宋体" w:cs="宋体"/>
          <w:color w:val="000000" w:themeColor="text1"/>
          <w:spacing w:val="-3"/>
          <w:sz w:val="21"/>
          <w:szCs w:val="21"/>
          <w:highlight w:val="none"/>
          <w14:textFill>
            <w14:solidFill>
              <w14:schemeClr w14:val="tx1"/>
            </w14:solidFill>
          </w14:textFill>
        </w:rPr>
        <w:t>行业；制造商为</w:t>
      </w:r>
      <w:r>
        <w:rPr>
          <w:rFonts w:ascii="宋体" w:hAnsi="宋体" w:eastAsia="宋体" w:cs="宋体"/>
          <w:color w:val="000000" w:themeColor="text1"/>
          <w:spacing w:val="-3"/>
          <w:sz w:val="21"/>
          <w:szCs w:val="21"/>
          <w:highlight w:val="none"/>
          <w:u w:val="single" w:color="auto"/>
          <w14:textFill>
            <w14:solidFill>
              <w14:schemeClr w14:val="tx1"/>
            </w14:solidFill>
          </w14:textFill>
        </w:rPr>
        <w:t>（企业名称</w:t>
      </w:r>
      <w:r>
        <w:rPr>
          <w:rFonts w:ascii="宋体" w:hAnsi="宋体" w:eastAsia="宋体" w:cs="宋体"/>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5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从</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业人员</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2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人，营业收入为</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万元，资产总额为</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万元，</w:t>
      </w:r>
      <w:r>
        <w:rPr>
          <w:rFonts w:ascii="宋体" w:hAnsi="宋体" w:eastAsia="宋体" w:cs="宋体"/>
          <w:color w:val="000000" w:themeColor="text1"/>
          <w:spacing w:val="-2"/>
          <w:sz w:val="21"/>
          <w:szCs w:val="21"/>
          <w:highlight w:val="none"/>
          <w14:textFill>
            <w14:solidFill>
              <w14:schemeClr w14:val="tx1"/>
            </w14:solidFill>
          </w14:textFill>
        </w:rPr>
        <w:t>属于</w:t>
      </w:r>
      <w:r>
        <w:rPr>
          <w:rFonts w:ascii="宋体" w:hAnsi="宋体" w:eastAsia="宋体" w:cs="宋体"/>
          <w:color w:val="000000" w:themeColor="text1"/>
          <w:spacing w:val="-2"/>
          <w:sz w:val="21"/>
          <w:szCs w:val="21"/>
          <w:highlight w:val="none"/>
          <w:u w:val="single" w:color="auto"/>
          <w14:textFill>
            <w14:solidFill>
              <w14:schemeClr w14:val="tx1"/>
            </w14:solidFill>
          </w14:textFill>
        </w:rPr>
        <w:t>（中型企业、小型企</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业、微型企业</w:t>
      </w:r>
      <w:r>
        <w:rPr>
          <w:rFonts w:ascii="宋体" w:hAnsi="宋体" w:eastAsia="宋体" w:cs="宋体"/>
          <w:color w:val="000000" w:themeColor="text1"/>
          <w:sz w:val="21"/>
          <w:szCs w:val="21"/>
          <w:highlight w:val="none"/>
          <w:u w:val="single" w:color="auto"/>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w:t>
      </w:r>
    </w:p>
    <w:p w14:paraId="6ED985A9">
      <w:pPr>
        <w:shd w:val="clear"/>
        <w:spacing w:before="219" w:line="348" w:lineRule="auto"/>
        <w:ind w:left="36" w:right="133" w:firstLine="42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 xml:space="preserve">2. </w:t>
      </w:r>
      <w:r>
        <w:rPr>
          <w:rFonts w:ascii="宋体" w:hAnsi="宋体" w:eastAsia="宋体" w:cs="宋体"/>
          <w:color w:val="000000" w:themeColor="text1"/>
          <w:spacing w:val="-2"/>
          <w:sz w:val="21"/>
          <w:szCs w:val="21"/>
          <w:highlight w:val="none"/>
          <w:u w:val="single" w:color="auto"/>
          <w14:textFill>
            <w14:solidFill>
              <w14:schemeClr w14:val="tx1"/>
            </w14:solidFill>
          </w14:textFill>
        </w:rPr>
        <w:t>（标的名称</w:t>
      </w:r>
      <w:r>
        <w:rPr>
          <w:rFonts w:ascii="宋体" w:hAnsi="宋体" w:eastAsia="宋体" w:cs="宋体"/>
          <w:color w:val="000000" w:themeColor="text1"/>
          <w:spacing w:val="-9"/>
          <w:sz w:val="21"/>
          <w:szCs w:val="21"/>
          <w:highlight w:val="none"/>
          <w:u w:val="single" w:color="auto"/>
          <w14:textFill>
            <w14:solidFill>
              <w14:schemeClr w14:val="tx1"/>
            </w14:solidFill>
          </w14:textFill>
        </w:rPr>
        <w:t>）</w:t>
      </w:r>
      <w:r>
        <w:rPr>
          <w:rFonts w:ascii="宋体" w:hAnsi="宋体" w:eastAsia="宋体" w:cs="宋体"/>
          <w:color w:val="000000" w:themeColor="text1"/>
          <w:spacing w:val="2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0"/>
          <w:sz w:val="21"/>
          <w:szCs w:val="21"/>
          <w:highlight w:val="none"/>
          <w14:textFill>
            <w14:solidFill>
              <w14:schemeClr w14:val="tx1"/>
            </w14:solidFill>
          </w14:textFill>
        </w:rPr>
        <w:t xml:space="preserve"> </w:t>
      </w:r>
      <w:r>
        <w:rPr>
          <w:rFonts w:ascii="宋体" w:hAnsi="宋体" w:eastAsia="宋体" w:cs="宋体"/>
          <w:color w:val="000000" w:themeColor="text1"/>
          <w:spacing w:val="-9"/>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属于</w:t>
      </w:r>
      <w:r>
        <w:rPr>
          <w:rFonts w:ascii="宋体" w:hAnsi="宋体" w:eastAsia="宋体" w:cs="宋体"/>
          <w:color w:val="000000" w:themeColor="text1"/>
          <w:spacing w:val="-2"/>
          <w:sz w:val="21"/>
          <w:szCs w:val="21"/>
          <w:highlight w:val="none"/>
          <w:u w:val="single" w:color="auto"/>
          <w14:textFill>
            <w14:solidFill>
              <w14:schemeClr w14:val="tx1"/>
            </w14:solidFill>
          </w14:textFill>
        </w:rPr>
        <w:t>（</w:t>
      </w:r>
      <w:r>
        <w:rPr>
          <w:rFonts w:hint="eastAsia" w:ascii="宋体" w:hAnsi="宋体" w:cs="宋体"/>
          <w:color w:val="000000" w:themeColor="text1"/>
          <w:spacing w:val="-2"/>
          <w:sz w:val="21"/>
          <w:szCs w:val="21"/>
          <w:highlight w:val="none"/>
          <w:u w:val="single" w:color="auto"/>
          <w:lang w:eastAsia="zh-CN"/>
          <w14:textFill>
            <w14:solidFill>
              <w14:schemeClr w14:val="tx1"/>
            </w14:solidFill>
          </w14:textFill>
        </w:rPr>
        <w:t>招标文件</w:t>
      </w:r>
      <w:r>
        <w:rPr>
          <w:rFonts w:ascii="宋体" w:hAnsi="宋体" w:eastAsia="宋体" w:cs="宋体"/>
          <w:color w:val="000000" w:themeColor="text1"/>
          <w:spacing w:val="-2"/>
          <w:sz w:val="21"/>
          <w:szCs w:val="21"/>
          <w:highlight w:val="none"/>
          <w:u w:val="single" w:color="auto"/>
          <w14:textFill>
            <w14:solidFill>
              <w14:schemeClr w14:val="tx1"/>
            </w14:solidFill>
          </w14:textFill>
        </w:rPr>
        <w:t>中明确的所属行业）</w:t>
      </w:r>
      <w:r>
        <w:rPr>
          <w:rFonts w:ascii="宋体" w:hAnsi="宋体" w:eastAsia="宋体" w:cs="宋体"/>
          <w:color w:val="000000" w:themeColor="text1"/>
          <w:spacing w:val="-2"/>
          <w:sz w:val="21"/>
          <w:szCs w:val="21"/>
          <w:highlight w:val="none"/>
          <w14:textFill>
            <w14:solidFill>
              <w14:schemeClr w14:val="tx1"/>
            </w14:solidFill>
          </w14:textFill>
        </w:rPr>
        <w:t>行业；制造商为</w:t>
      </w:r>
      <w:r>
        <w:rPr>
          <w:rFonts w:ascii="宋体" w:hAnsi="宋体" w:eastAsia="宋体" w:cs="宋体"/>
          <w:color w:val="000000" w:themeColor="text1"/>
          <w:spacing w:val="-3"/>
          <w:sz w:val="21"/>
          <w:szCs w:val="21"/>
          <w:highlight w:val="none"/>
          <w:u w:val="single" w:color="auto"/>
          <w14:textFill>
            <w14:solidFill>
              <w14:schemeClr w14:val="tx1"/>
            </w14:solidFill>
          </w14:textFill>
        </w:rPr>
        <w:t>（企业名称</w:t>
      </w:r>
      <w:r>
        <w:rPr>
          <w:rFonts w:ascii="宋体" w:hAnsi="宋体" w:eastAsia="宋体" w:cs="宋体"/>
          <w:color w:val="000000" w:themeColor="text1"/>
          <w:spacing w:val="-9"/>
          <w:sz w:val="21"/>
          <w:szCs w:val="21"/>
          <w:highlight w:val="none"/>
          <w:u w:val="single" w:color="auto"/>
          <w14:textFill>
            <w14:solidFill>
              <w14:schemeClr w14:val="tx1"/>
            </w14:solidFill>
          </w14:textFill>
        </w:rPr>
        <w:t>）</w:t>
      </w:r>
      <w:r>
        <w:rPr>
          <w:rFonts w:ascii="宋体" w:hAnsi="宋体" w:eastAsia="宋体" w:cs="宋体"/>
          <w:color w:val="000000" w:themeColor="text1"/>
          <w:spacing w:val="-5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从</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业人员</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2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人，营业收入为</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万元，资产总额为</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万元，</w:t>
      </w:r>
      <w:r>
        <w:rPr>
          <w:rFonts w:ascii="宋体" w:hAnsi="宋体" w:eastAsia="宋体" w:cs="宋体"/>
          <w:color w:val="000000" w:themeColor="text1"/>
          <w:spacing w:val="-2"/>
          <w:sz w:val="21"/>
          <w:szCs w:val="21"/>
          <w:highlight w:val="none"/>
          <w14:textFill>
            <w14:solidFill>
              <w14:schemeClr w14:val="tx1"/>
            </w14:solidFill>
          </w14:textFill>
        </w:rPr>
        <w:t>属于</w:t>
      </w:r>
      <w:r>
        <w:rPr>
          <w:rFonts w:ascii="宋体" w:hAnsi="宋体" w:eastAsia="宋体" w:cs="宋体"/>
          <w:color w:val="000000" w:themeColor="text1"/>
          <w:spacing w:val="-2"/>
          <w:sz w:val="21"/>
          <w:szCs w:val="21"/>
          <w:highlight w:val="none"/>
          <w:u w:val="single" w:color="auto"/>
          <w14:textFill>
            <w14:solidFill>
              <w14:schemeClr w14:val="tx1"/>
            </w14:solidFill>
          </w14:textFill>
        </w:rPr>
        <w:t>（中型企业、小型企</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业、微型企业</w:t>
      </w:r>
      <w:r>
        <w:rPr>
          <w:rFonts w:ascii="宋体" w:hAnsi="宋体" w:eastAsia="宋体" w:cs="宋体"/>
          <w:color w:val="000000" w:themeColor="text1"/>
          <w:sz w:val="21"/>
          <w:szCs w:val="21"/>
          <w:highlight w:val="none"/>
          <w:u w:val="single" w:color="auto"/>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w:t>
      </w:r>
    </w:p>
    <w:p w14:paraId="7809195B">
      <w:pPr>
        <w:shd w:val="clear"/>
        <w:spacing w:before="215" w:line="225" w:lineRule="auto"/>
        <w:ind w:left="47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9"/>
          <w:w w:val="153"/>
          <w:sz w:val="21"/>
          <w:szCs w:val="21"/>
          <w:highlight w:val="none"/>
          <w14:textFill>
            <w14:solidFill>
              <w14:schemeClr w14:val="tx1"/>
            </w14:solidFill>
          </w14:textFill>
        </w:rPr>
        <w:t>„„</w:t>
      </w:r>
    </w:p>
    <w:p w14:paraId="4AF5A88C">
      <w:pPr>
        <w:shd w:val="clear"/>
        <w:spacing w:before="213" w:line="403" w:lineRule="auto"/>
        <w:ind w:left="36" w:right="128" w:firstLine="447"/>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以上企业，不属于大企业的分支机构，不存在控股股东为大企业的情形，也不存在与大企业</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的负责人为同一人的情形。本企业对上述声明内容的真实性负责。如有虚假，将</w:t>
      </w:r>
      <w:r>
        <w:rPr>
          <w:rFonts w:ascii="宋体" w:hAnsi="宋体" w:eastAsia="宋体" w:cs="宋体"/>
          <w:color w:val="000000" w:themeColor="text1"/>
          <w:spacing w:val="-1"/>
          <w:sz w:val="21"/>
          <w:szCs w:val="21"/>
          <w:highlight w:val="none"/>
          <w14:textFill>
            <w14:solidFill>
              <w14:schemeClr w14:val="tx1"/>
            </w14:solidFill>
          </w14:textFill>
        </w:rPr>
        <w:t>依法承担相应责</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10"/>
          <w:sz w:val="21"/>
          <w:szCs w:val="21"/>
          <w:highlight w:val="none"/>
          <w14:textFill>
            <w14:solidFill>
              <w14:schemeClr w14:val="tx1"/>
            </w14:solidFill>
          </w14:textFill>
        </w:rPr>
        <w:t>任。</w:t>
      </w:r>
    </w:p>
    <w:p w14:paraId="142735B1">
      <w:pPr>
        <w:shd w:val="clear"/>
        <w:spacing w:before="29" w:line="400" w:lineRule="auto"/>
        <w:ind w:left="495" w:right="6685" w:hanging="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企业名称（盖章</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25"/>
          <w:sz w:val="21"/>
          <w:szCs w:val="21"/>
          <w:highlight w:val="none"/>
          <w14:textFill>
            <w14:solidFill>
              <w14:schemeClr w14:val="tx1"/>
            </w14:solidFill>
          </w14:textFill>
        </w:rPr>
        <w:t>日</w:t>
      </w:r>
      <w:r>
        <w:rPr>
          <w:rFonts w:ascii="宋体" w:hAnsi="宋体" w:eastAsia="宋体" w:cs="宋体"/>
          <w:color w:val="000000" w:themeColor="text1"/>
          <w:spacing w:val="13"/>
          <w:sz w:val="21"/>
          <w:szCs w:val="21"/>
          <w:highlight w:val="none"/>
          <w14:textFill>
            <w14:solidFill>
              <w14:schemeClr w14:val="tx1"/>
            </w14:solidFill>
          </w14:textFill>
        </w:rPr>
        <w:t xml:space="preserve"> </w:t>
      </w:r>
      <w:r>
        <w:rPr>
          <w:rFonts w:ascii="宋体" w:hAnsi="宋体" w:eastAsia="宋体" w:cs="宋体"/>
          <w:color w:val="000000" w:themeColor="text1"/>
          <w:spacing w:val="-25"/>
          <w:sz w:val="21"/>
          <w:szCs w:val="21"/>
          <w:highlight w:val="none"/>
          <w14:textFill>
            <w14:solidFill>
              <w14:schemeClr w14:val="tx1"/>
            </w14:solidFill>
          </w14:textFill>
        </w:rPr>
        <w:t>期：</w:t>
      </w:r>
    </w:p>
    <w:p w14:paraId="0998B12A">
      <w:pPr>
        <w:shd w:val="clear"/>
        <w:spacing w:before="257" w:line="265" w:lineRule="auto"/>
        <w:ind w:left="39" w:right="128" w:firstLine="42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注：1.属于专门面向中小企业采购的政府采购货物类项目，投标人应按本声明函</w:t>
      </w:r>
      <w:r>
        <w:rPr>
          <w:rFonts w:ascii="宋体" w:hAnsi="宋体" w:eastAsia="宋体" w:cs="宋体"/>
          <w:color w:val="000000" w:themeColor="text1"/>
          <w:spacing w:val="-1"/>
          <w:sz w:val="21"/>
          <w:szCs w:val="21"/>
          <w:highlight w:val="none"/>
          <w14:textFill>
            <w14:solidFill>
              <w14:schemeClr w14:val="tx1"/>
            </w14:solidFill>
          </w14:textFill>
        </w:rPr>
        <w:t>内容和格式</w:t>
      </w:r>
      <w:r>
        <w:rPr>
          <w:rFonts w:ascii="宋体" w:hAnsi="宋体" w:eastAsia="宋体" w:cs="宋体"/>
          <w:color w:val="000000" w:themeColor="text1"/>
          <w:sz w:val="21"/>
          <w:szCs w:val="21"/>
          <w:highlight w:val="none"/>
          <w14:textFill>
            <w14:solidFill>
              <w14:schemeClr w14:val="tx1"/>
            </w14:solidFill>
          </w14:textFill>
        </w:rPr>
        <w:t xml:space="preserve"> 如实声明采购标的制造商的企业规模，未提供本声明函或不符合《政府采购</w:t>
      </w:r>
      <w:r>
        <w:rPr>
          <w:rFonts w:ascii="宋体" w:hAnsi="宋体" w:eastAsia="宋体" w:cs="宋体"/>
          <w:color w:val="000000" w:themeColor="text1"/>
          <w:spacing w:val="-1"/>
          <w:sz w:val="21"/>
          <w:szCs w:val="21"/>
          <w:highlight w:val="none"/>
          <w14:textFill>
            <w14:solidFill>
              <w14:schemeClr w14:val="tx1"/>
            </w14:solidFill>
          </w14:textFill>
        </w:rPr>
        <w:t>促进中小企业发展管</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理办法》（财库﹝</w:t>
      </w:r>
      <w:r>
        <w:rPr>
          <w:rFonts w:ascii="宋体" w:hAnsi="宋体" w:eastAsia="宋体" w:cs="宋体"/>
          <w:color w:val="000000" w:themeColor="text1"/>
          <w:spacing w:val="-64"/>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2020﹞46 号）规定的，其</w:t>
      </w:r>
      <w:r>
        <w:rPr>
          <w:rFonts w:ascii="宋体" w:hAnsi="宋体" w:eastAsia="宋体" w:cs="宋体"/>
          <w:b/>
          <w:bCs/>
          <w:color w:val="000000" w:themeColor="text1"/>
          <w:spacing w:val="-3"/>
          <w:sz w:val="21"/>
          <w:szCs w:val="21"/>
          <w:highlight w:val="none"/>
          <w14:textFill>
            <w14:solidFill>
              <w14:schemeClr w14:val="tx1"/>
            </w14:solidFill>
          </w14:textFill>
        </w:rPr>
        <w:t>投标无效。</w:t>
      </w:r>
    </w:p>
    <w:p w14:paraId="3561D883">
      <w:pPr>
        <w:shd w:val="clear"/>
        <w:spacing w:before="30" w:line="261" w:lineRule="auto"/>
        <w:ind w:left="35" w:right="126"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2.从业人员、营业收入、资产总额填报上一年度数据，无上一年度数据的新成</w:t>
      </w:r>
      <w:r>
        <w:rPr>
          <w:rFonts w:ascii="宋体" w:hAnsi="宋体" w:eastAsia="宋体" w:cs="宋体"/>
          <w:color w:val="000000" w:themeColor="text1"/>
          <w:spacing w:val="-1"/>
          <w:sz w:val="21"/>
          <w:szCs w:val="21"/>
          <w:highlight w:val="none"/>
          <w14:textFill>
            <w14:solidFill>
              <w14:schemeClr w14:val="tx1"/>
            </w14:solidFill>
          </w14:textFill>
        </w:rPr>
        <w:t>立企业可不填</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9"/>
          <w:sz w:val="21"/>
          <w:szCs w:val="21"/>
          <w:highlight w:val="none"/>
          <w14:textFill>
            <w14:solidFill>
              <w14:schemeClr w14:val="tx1"/>
            </w14:solidFill>
          </w14:textFill>
        </w:rPr>
        <w:t>报。</w:t>
      </w:r>
    </w:p>
    <w:p w14:paraId="5C40CA3E">
      <w:pPr>
        <w:shd w:val="clear"/>
        <w:spacing w:line="261" w:lineRule="auto"/>
        <w:rPr>
          <w:rFonts w:ascii="宋体" w:hAnsi="宋体" w:eastAsia="宋体" w:cs="宋体"/>
          <w:color w:val="000000" w:themeColor="text1"/>
          <w:sz w:val="21"/>
          <w:szCs w:val="21"/>
          <w:highlight w:val="none"/>
          <w14:textFill>
            <w14:solidFill>
              <w14:schemeClr w14:val="tx1"/>
            </w14:solidFill>
          </w14:textFill>
        </w:rPr>
        <w:sectPr>
          <w:headerReference r:id="rId10" w:type="default"/>
          <w:footerReference r:id="rId11"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539ED62A">
      <w:pPr>
        <w:pStyle w:val="6"/>
        <w:shd w:val="clear"/>
        <w:adjustRightInd w:val="0"/>
        <w:snapToGrid w:val="0"/>
        <w:spacing w:before="156" w:beforeLines="50" w:after="0" w:line="360" w:lineRule="auto"/>
        <w:jc w:val="left"/>
        <w:rPr>
          <w:rFonts w:ascii="黑体" w:hAnsi="宋体"/>
          <w:b w:val="0"/>
          <w:color w:val="000000" w:themeColor="text1"/>
          <w:sz w:val="21"/>
          <w:szCs w:val="21"/>
          <w:highlight w:val="none"/>
          <w14:textFill>
            <w14:solidFill>
              <w14:schemeClr w14:val="tx1"/>
            </w14:solidFill>
          </w14:textFill>
        </w:rPr>
      </w:pPr>
      <w:bookmarkStart w:id="135" w:name="_Toc10006"/>
      <w:bookmarkStart w:id="136" w:name="_Toc5695"/>
      <w:bookmarkStart w:id="137" w:name="_Toc88"/>
      <w:bookmarkStart w:id="138" w:name="_Toc7976"/>
      <w:r>
        <w:rPr>
          <w:rFonts w:hint="eastAsia" w:ascii="黑体" w:hAnsi="华文中宋" w:cs="宋体"/>
          <w:b w:val="0"/>
          <w:bCs w:val="0"/>
          <w:color w:val="000000" w:themeColor="text1"/>
          <w:spacing w:val="6"/>
          <w:sz w:val="21"/>
          <w:szCs w:val="21"/>
          <w:highlight w:val="none"/>
          <w14:textFill>
            <w14:solidFill>
              <w14:schemeClr w14:val="tx1"/>
            </w14:solidFill>
          </w14:textFill>
        </w:rPr>
        <w:t>附页 1</w:t>
      </w:r>
      <w:r>
        <w:rPr>
          <w:rFonts w:hint="eastAsia" w:ascii="黑体" w:hAnsi="宋体"/>
          <w:b w:val="0"/>
          <w:color w:val="000000" w:themeColor="text1"/>
          <w:sz w:val="21"/>
          <w:szCs w:val="21"/>
          <w:highlight w:val="none"/>
          <w14:textFill>
            <w14:solidFill>
              <w14:schemeClr w14:val="tx1"/>
            </w14:solidFill>
          </w14:textFill>
        </w:rPr>
        <w:t>价格评审优惠清单</w:t>
      </w:r>
      <w:bookmarkEnd w:id="135"/>
      <w:bookmarkEnd w:id="136"/>
      <w:bookmarkEnd w:id="137"/>
      <w:bookmarkEnd w:id="138"/>
    </w:p>
    <w:p w14:paraId="6F43F879">
      <w:pPr>
        <w:shd w:val="clear"/>
        <w:adjustRightInd w:val="0"/>
        <w:snapToGrid w:val="0"/>
        <w:spacing w:before="50" w:line="360" w:lineRule="auto"/>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黑体" w:hAnsi="宋体" w:eastAsia="黑体"/>
          <w:b/>
          <w:color w:val="000000" w:themeColor="text1"/>
          <w:sz w:val="28"/>
          <w:szCs w:val="28"/>
          <w:highlight w:val="none"/>
          <w14:textFill>
            <w14:solidFill>
              <w14:schemeClr w14:val="tx1"/>
            </w14:solidFill>
          </w14:textFill>
        </w:rPr>
        <w:t>价格评审优惠（配套货物）清单</w:t>
      </w:r>
    </w:p>
    <w:p w14:paraId="5359C582">
      <w:pPr>
        <w:shd w:val="clear"/>
        <w:adjustRightInd w:val="0"/>
        <w:snapToGrid w:val="0"/>
        <w:spacing w:before="50"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采购代理编号：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项目名称：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p w14:paraId="359EEFAA">
      <w:pPr>
        <w:shd w:val="clear"/>
        <w:adjustRightInd w:val="0"/>
        <w:snapToGrid w:val="0"/>
        <w:spacing w:before="50" w:line="360" w:lineRule="auto"/>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包       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包名称：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tbl>
      <w:tblPr>
        <w:tblStyle w:val="4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74ACD0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0174091D">
            <w:pPr>
              <w:widowControl/>
              <w:shd w:val="clear"/>
              <w:adjustRightInd w:val="0"/>
              <w:snapToGrid w:val="0"/>
              <w:spacing w:line="360" w:lineRule="auto"/>
              <w:ind w:firstLine="480" w:firstLineChars="200"/>
              <w:jc w:val="left"/>
              <w:rPr>
                <w:rFonts w:ascii="黑体" w:hAnsi="宋体" w:eastAsia="黑体"/>
                <w:color w:val="000000" w:themeColor="text1"/>
                <w:kern w:val="0"/>
                <w:sz w:val="24"/>
                <w:highlight w:val="none"/>
                <w14:textFill>
                  <w14:solidFill>
                    <w14:schemeClr w14:val="tx1"/>
                  </w14:solidFill>
                </w14:textFill>
              </w:rPr>
            </w:pPr>
            <w:r>
              <w:rPr>
                <w:rFonts w:hint="eastAsia" w:ascii="黑体" w:hAnsi="宋体" w:eastAsia="黑体"/>
                <w:color w:val="000000" w:themeColor="text1"/>
                <w:kern w:val="0"/>
                <w:sz w:val="24"/>
                <w:highlight w:val="none"/>
                <w14:textFill>
                  <w14:solidFill>
                    <w14:schemeClr w14:val="tx1"/>
                  </w14:solidFill>
                </w14:textFill>
              </w:rPr>
              <w:t>以下为投标人提供的享受价格评审优惠的货物，投标人对本表的真实性负责。如有虚假，将依法承担相应责任。</w:t>
            </w:r>
          </w:p>
        </w:tc>
      </w:tr>
      <w:tr w14:paraId="5F6F58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5D40CB67">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p>
        </w:tc>
        <w:tc>
          <w:tcPr>
            <w:tcW w:w="1134" w:type="dxa"/>
            <w:vAlign w:val="center"/>
          </w:tcPr>
          <w:p w14:paraId="5284385D">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p>
        </w:tc>
        <w:tc>
          <w:tcPr>
            <w:tcW w:w="1134" w:type="dxa"/>
            <w:tcBorders>
              <w:right w:val="single" w:color="auto" w:sz="4" w:space="0"/>
            </w:tcBorders>
            <w:vAlign w:val="center"/>
          </w:tcPr>
          <w:p w14:paraId="5826774C">
            <w:pPr>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p>
        </w:tc>
        <w:tc>
          <w:tcPr>
            <w:tcW w:w="1134" w:type="dxa"/>
            <w:tcBorders>
              <w:left w:val="single" w:color="auto" w:sz="4" w:space="0"/>
            </w:tcBorders>
            <w:vAlign w:val="center"/>
          </w:tcPr>
          <w:p w14:paraId="38D60EC8">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w:t>
            </w:r>
          </w:p>
        </w:tc>
        <w:tc>
          <w:tcPr>
            <w:tcW w:w="1701" w:type="dxa"/>
            <w:vAlign w:val="center"/>
          </w:tcPr>
          <w:p w14:paraId="3513CF1E">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p>
        </w:tc>
        <w:tc>
          <w:tcPr>
            <w:tcW w:w="1843" w:type="dxa"/>
            <w:vAlign w:val="center"/>
          </w:tcPr>
          <w:p w14:paraId="6C27595E">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w:t>
            </w:r>
          </w:p>
        </w:tc>
        <w:tc>
          <w:tcPr>
            <w:tcW w:w="1134" w:type="dxa"/>
            <w:vAlign w:val="center"/>
          </w:tcPr>
          <w:p w14:paraId="1995153D">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w:t>
            </w:r>
          </w:p>
        </w:tc>
      </w:tr>
      <w:tr w14:paraId="2A147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5E551311">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序号</w:t>
            </w:r>
          </w:p>
        </w:tc>
        <w:tc>
          <w:tcPr>
            <w:tcW w:w="1134" w:type="dxa"/>
            <w:vAlign w:val="center"/>
          </w:tcPr>
          <w:p w14:paraId="1E87217E">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货物名称</w:t>
            </w:r>
          </w:p>
        </w:tc>
        <w:tc>
          <w:tcPr>
            <w:tcW w:w="1134" w:type="dxa"/>
            <w:tcBorders>
              <w:right w:val="single" w:color="auto" w:sz="4" w:space="0"/>
            </w:tcBorders>
            <w:vAlign w:val="center"/>
          </w:tcPr>
          <w:p w14:paraId="3503585F">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规格型号</w:t>
            </w:r>
          </w:p>
        </w:tc>
        <w:tc>
          <w:tcPr>
            <w:tcW w:w="1134" w:type="dxa"/>
            <w:tcBorders>
              <w:left w:val="single" w:color="auto" w:sz="4" w:space="0"/>
            </w:tcBorders>
            <w:vAlign w:val="center"/>
          </w:tcPr>
          <w:p w14:paraId="4B0DAF72">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价格（元）</w:t>
            </w:r>
          </w:p>
        </w:tc>
        <w:tc>
          <w:tcPr>
            <w:tcW w:w="1701" w:type="dxa"/>
            <w:vAlign w:val="center"/>
          </w:tcPr>
          <w:p w14:paraId="1692F09E">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货物制造商名称</w:t>
            </w:r>
          </w:p>
        </w:tc>
        <w:tc>
          <w:tcPr>
            <w:tcW w:w="1843" w:type="dxa"/>
            <w:vAlign w:val="center"/>
          </w:tcPr>
          <w:p w14:paraId="7F723759">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货物制造商类型</w:t>
            </w:r>
          </w:p>
        </w:tc>
        <w:tc>
          <w:tcPr>
            <w:tcW w:w="1134" w:type="dxa"/>
            <w:vAlign w:val="center"/>
          </w:tcPr>
          <w:p w14:paraId="21E615CC">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商标名称</w:t>
            </w:r>
          </w:p>
        </w:tc>
      </w:tr>
      <w:tr w14:paraId="1EC420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CF9846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0050C41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right w:val="single" w:color="auto" w:sz="4" w:space="0"/>
            </w:tcBorders>
            <w:vAlign w:val="center"/>
          </w:tcPr>
          <w:p w14:paraId="4C2E245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left w:val="single" w:color="auto" w:sz="4" w:space="0"/>
            </w:tcBorders>
            <w:vAlign w:val="center"/>
          </w:tcPr>
          <w:p w14:paraId="53440E3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701" w:type="dxa"/>
            <w:vAlign w:val="center"/>
          </w:tcPr>
          <w:p w14:paraId="37479072">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843" w:type="dxa"/>
          </w:tcPr>
          <w:p w14:paraId="348158A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5A5B717A">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r>
      <w:tr w14:paraId="13DF6F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9B5DD1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2833D328">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right w:val="single" w:color="auto" w:sz="4" w:space="0"/>
            </w:tcBorders>
            <w:vAlign w:val="center"/>
          </w:tcPr>
          <w:p w14:paraId="13B0F77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left w:val="single" w:color="auto" w:sz="4" w:space="0"/>
            </w:tcBorders>
            <w:vAlign w:val="center"/>
          </w:tcPr>
          <w:p w14:paraId="5AF0B4C8">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701" w:type="dxa"/>
            <w:vAlign w:val="center"/>
          </w:tcPr>
          <w:p w14:paraId="71F4241C">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843" w:type="dxa"/>
          </w:tcPr>
          <w:p w14:paraId="1706A6F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0C607160">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r>
      <w:tr w14:paraId="16896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B2ECD1A">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0C13EEB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right w:val="single" w:color="auto" w:sz="4" w:space="0"/>
            </w:tcBorders>
            <w:vAlign w:val="center"/>
          </w:tcPr>
          <w:p w14:paraId="789CEAE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left w:val="single" w:color="auto" w:sz="4" w:space="0"/>
            </w:tcBorders>
            <w:vAlign w:val="center"/>
          </w:tcPr>
          <w:p w14:paraId="4A96D201">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701" w:type="dxa"/>
            <w:vAlign w:val="center"/>
          </w:tcPr>
          <w:p w14:paraId="5CBB757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843" w:type="dxa"/>
          </w:tcPr>
          <w:p w14:paraId="02879F2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7C54A86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r>
      <w:tr w14:paraId="7AAC18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3AF625C">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0A1100B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right w:val="single" w:color="auto" w:sz="4" w:space="0"/>
            </w:tcBorders>
            <w:vAlign w:val="center"/>
          </w:tcPr>
          <w:p w14:paraId="40D64BC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left w:val="single" w:color="auto" w:sz="4" w:space="0"/>
            </w:tcBorders>
            <w:vAlign w:val="center"/>
          </w:tcPr>
          <w:p w14:paraId="5595672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701" w:type="dxa"/>
            <w:vAlign w:val="center"/>
          </w:tcPr>
          <w:p w14:paraId="02F1C2C8">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843" w:type="dxa"/>
          </w:tcPr>
          <w:p w14:paraId="425EDF73">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61B4C7B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r>
      <w:tr w14:paraId="26B33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A88C8C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0B2924F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right w:val="single" w:color="auto" w:sz="4" w:space="0"/>
            </w:tcBorders>
            <w:vAlign w:val="center"/>
          </w:tcPr>
          <w:p w14:paraId="749936D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left w:val="single" w:color="auto" w:sz="4" w:space="0"/>
            </w:tcBorders>
            <w:vAlign w:val="center"/>
          </w:tcPr>
          <w:p w14:paraId="432EA395">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701" w:type="dxa"/>
            <w:vAlign w:val="center"/>
          </w:tcPr>
          <w:p w14:paraId="1FD7E72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843" w:type="dxa"/>
          </w:tcPr>
          <w:p w14:paraId="5A4BC8A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vAlign w:val="center"/>
          </w:tcPr>
          <w:p w14:paraId="7F881E3E">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r>
      <w:tr w14:paraId="17462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0AFB84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小计</w:t>
            </w:r>
          </w:p>
        </w:tc>
        <w:tc>
          <w:tcPr>
            <w:tcW w:w="1134" w:type="dxa"/>
            <w:vAlign w:val="center"/>
          </w:tcPr>
          <w:p w14:paraId="49D7232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w:t>
            </w:r>
          </w:p>
        </w:tc>
        <w:tc>
          <w:tcPr>
            <w:tcW w:w="1134" w:type="dxa"/>
            <w:tcBorders>
              <w:right w:val="single" w:color="auto" w:sz="4" w:space="0"/>
            </w:tcBorders>
            <w:vAlign w:val="center"/>
          </w:tcPr>
          <w:p w14:paraId="3C454C87">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134" w:type="dxa"/>
            <w:tcBorders>
              <w:left w:val="single" w:color="auto" w:sz="4" w:space="0"/>
            </w:tcBorders>
            <w:vAlign w:val="center"/>
          </w:tcPr>
          <w:p w14:paraId="3FAA04C6">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p>
        </w:tc>
        <w:tc>
          <w:tcPr>
            <w:tcW w:w="1701" w:type="dxa"/>
            <w:vAlign w:val="center"/>
          </w:tcPr>
          <w:p w14:paraId="604F038D">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w:t>
            </w:r>
          </w:p>
        </w:tc>
        <w:tc>
          <w:tcPr>
            <w:tcW w:w="1843" w:type="dxa"/>
            <w:vAlign w:val="center"/>
          </w:tcPr>
          <w:p w14:paraId="0139E959">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w:t>
            </w:r>
          </w:p>
        </w:tc>
        <w:tc>
          <w:tcPr>
            <w:tcW w:w="1134" w:type="dxa"/>
            <w:vAlign w:val="center"/>
          </w:tcPr>
          <w:p w14:paraId="3A53FC8B">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w:t>
            </w:r>
          </w:p>
        </w:tc>
      </w:tr>
    </w:tbl>
    <w:p w14:paraId="6E166C5C">
      <w:pPr>
        <w:shd w:val="clea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说明：1、本清单用于计算政府采购价格评审优惠应享受的政府采购政策价格扣除。提供附件10-1、附件10-2的，且提供的货物为小型、微型企业制造的，包括视同小型、微型企业，享受评审中价格扣除的监狱企业、残疾人福利性单位制造的货物。货物制造商类型填写小型、微型企业或监狱企业或残疾人福利性单位。</w:t>
      </w:r>
    </w:p>
    <w:p w14:paraId="3B5C8C27">
      <w:pPr>
        <w:shd w:val="clear"/>
        <w:adjustRightInd w:val="0"/>
        <w:snapToGrid w:val="0"/>
        <w:spacing w:line="360" w:lineRule="auto"/>
        <w:ind w:firstLine="630" w:firstLineChars="3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2、栏目4“价格”为综合单价，包含该货物所有隐含的内容，如运输费、保险费、安装调试费、管理费和利润等。</w:t>
      </w:r>
    </w:p>
    <w:p w14:paraId="0CE8A406">
      <w:pPr>
        <w:shd w:val="clear"/>
        <w:adjustRightInd w:val="0"/>
        <w:snapToGrid w:val="0"/>
        <w:spacing w:line="360" w:lineRule="auto"/>
        <w:ind w:firstLine="630" w:firstLineChars="300"/>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w:t>
      </w:r>
      <w:r>
        <w:rPr>
          <w:rFonts w:hint="eastAsia" w:asciiTheme="minorEastAsia" w:hAnsiTheme="minorEastAsia" w:eastAsiaTheme="minorEastAsia"/>
          <w:bCs/>
          <w:color w:val="000000" w:themeColor="text1"/>
          <w:szCs w:val="21"/>
          <w:highlight w:val="none"/>
          <w14:textFill>
            <w14:solidFill>
              <w14:schemeClr w14:val="tx1"/>
            </w14:solidFill>
          </w14:textFill>
        </w:rPr>
        <w:t>投标人在投标截止时间前修改“开标一览表”中的投标报价的，应按第二章第13.7款规定修改本表相应内容。否则，评审时涉及本表所有优惠不予以考虑。</w:t>
      </w:r>
    </w:p>
    <w:p w14:paraId="5F4C0CF5">
      <w:pPr>
        <w:shd w:val="clear"/>
        <w:adjustRightInd w:val="0"/>
        <w:snapToGrid w:val="0"/>
        <w:spacing w:line="360" w:lineRule="auto"/>
        <w:ind w:firstLine="630" w:firstLineChars="300"/>
        <w:rPr>
          <w:rFonts w:ascii="宋体" w:hAnsi="宋体"/>
          <w:color w:val="000000" w:themeColor="text1"/>
          <w:szCs w:val="21"/>
          <w:highlight w:val="none"/>
          <w14:textFill>
            <w14:solidFill>
              <w14:schemeClr w14:val="tx1"/>
            </w14:solidFill>
          </w14:textFill>
        </w:rPr>
      </w:pPr>
    </w:p>
    <w:p w14:paraId="730D4855">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投标人名称（盖单位电子章）：</w:t>
      </w:r>
    </w:p>
    <w:p w14:paraId="1ABE0238">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或其委托代理人（电子签字或电子印章）：</w:t>
      </w:r>
    </w:p>
    <w:p w14:paraId="7EDA3120">
      <w:pPr>
        <w:shd w:val="clear"/>
        <w:adjustRightInd w:val="0"/>
        <w:snapToGrid w:val="0"/>
        <w:spacing w:line="360" w:lineRule="auto"/>
        <w:rPr>
          <w:rFonts w:ascii="黑体" w:hAnsi="华文中宋" w:eastAsia="黑体" w:cs="宋体"/>
          <w:color w:val="000000" w:themeColor="text1"/>
          <w:spacing w:val="6"/>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日期：年月日</w:t>
      </w:r>
      <w:r>
        <w:rPr>
          <w:rFonts w:ascii="黑体" w:hAnsi="华文中宋" w:cs="宋体"/>
          <w:b/>
          <w:bCs/>
          <w:color w:val="000000" w:themeColor="text1"/>
          <w:spacing w:val="6"/>
          <w:kern w:val="0"/>
          <w:szCs w:val="21"/>
          <w:highlight w:val="none"/>
          <w14:textFill>
            <w14:solidFill>
              <w14:schemeClr w14:val="tx1"/>
            </w14:solidFill>
          </w14:textFill>
        </w:rPr>
        <w:br w:type="page"/>
      </w:r>
    </w:p>
    <w:p w14:paraId="7DEDC94E">
      <w:pPr>
        <w:pStyle w:val="6"/>
        <w:shd w:val="clear"/>
        <w:rPr>
          <w:rFonts w:hint="eastAsia" w:ascii="黑体" w:hAnsi="华文中宋" w:cs="宋体"/>
          <w:b w:val="0"/>
          <w:bCs w:val="0"/>
          <w:color w:val="000000" w:themeColor="text1"/>
          <w:spacing w:val="6"/>
          <w:sz w:val="21"/>
          <w:szCs w:val="21"/>
          <w:highlight w:val="none"/>
          <w14:textFill>
            <w14:solidFill>
              <w14:schemeClr w14:val="tx1"/>
            </w14:solidFill>
          </w14:textFill>
        </w:rPr>
      </w:pPr>
      <w:bookmarkStart w:id="139" w:name="_Toc707"/>
      <w:bookmarkStart w:id="140" w:name="_Toc21948"/>
      <w:bookmarkStart w:id="141" w:name="_Toc7725"/>
      <w:bookmarkStart w:id="142" w:name="_Toc17823"/>
    </w:p>
    <w:p w14:paraId="000D1C26">
      <w:pPr>
        <w:pStyle w:val="6"/>
        <w:shd w:val="clear"/>
        <w:rPr>
          <w:rFonts w:ascii="黑体" w:hAnsi="宋体"/>
          <w:b w:val="0"/>
          <w:color w:val="000000" w:themeColor="text1"/>
          <w:spacing w:val="6"/>
          <w:sz w:val="21"/>
          <w:szCs w:val="21"/>
          <w:highlight w:val="none"/>
          <w14:textFill>
            <w14:solidFill>
              <w14:schemeClr w14:val="tx1"/>
            </w14:solidFill>
          </w14:textFill>
        </w:rPr>
      </w:pPr>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附件10-2 </w:t>
      </w:r>
      <w:r>
        <w:rPr>
          <w:rFonts w:hint="eastAsia" w:ascii="黑体" w:hAnsi="宋体"/>
          <w:b w:val="0"/>
          <w:color w:val="000000" w:themeColor="text1"/>
          <w:spacing w:val="6"/>
          <w:sz w:val="21"/>
          <w:szCs w:val="21"/>
          <w:highlight w:val="none"/>
          <w14:textFill>
            <w14:solidFill>
              <w14:schemeClr w14:val="tx1"/>
            </w14:solidFill>
          </w14:textFill>
        </w:rPr>
        <w:t>残疾人福利性单位声明函</w:t>
      </w:r>
      <w:bookmarkEnd w:id="139"/>
      <w:bookmarkEnd w:id="140"/>
      <w:bookmarkEnd w:id="141"/>
      <w:bookmarkEnd w:id="142"/>
    </w:p>
    <w:p w14:paraId="7ABDA0FD">
      <w:pPr>
        <w:shd w:val="clear"/>
        <w:adjustRightInd w:val="0"/>
        <w:snapToGrid w:val="0"/>
        <w:spacing w:line="360" w:lineRule="auto"/>
        <w:jc w:val="center"/>
        <w:rPr>
          <w:rFonts w:ascii="黑体" w:hAnsi="黑体" w:eastAsia="黑体"/>
          <w:b/>
          <w:color w:val="000000" w:themeColor="text1"/>
          <w:spacing w:val="6"/>
          <w:sz w:val="28"/>
          <w:szCs w:val="28"/>
          <w:highlight w:val="none"/>
          <w14:textFill>
            <w14:solidFill>
              <w14:schemeClr w14:val="tx1"/>
            </w14:solidFill>
          </w14:textFill>
        </w:rPr>
      </w:pPr>
      <w:r>
        <w:rPr>
          <w:rFonts w:hint="eastAsia" w:ascii="黑体" w:hAnsi="黑体" w:eastAsia="黑体"/>
          <w:b/>
          <w:color w:val="000000" w:themeColor="text1"/>
          <w:spacing w:val="6"/>
          <w:sz w:val="28"/>
          <w:szCs w:val="28"/>
          <w:highlight w:val="none"/>
          <w14:textFill>
            <w14:solidFill>
              <w14:schemeClr w14:val="tx1"/>
            </w14:solidFill>
          </w14:textFill>
        </w:rPr>
        <w:t>残疾人福利性单位声明函</w:t>
      </w:r>
    </w:p>
    <w:p w14:paraId="5D8F0BA7">
      <w:pPr>
        <w:shd w:val="clear"/>
        <w:adjustRightInd w:val="0"/>
        <w:snapToGrid w:val="0"/>
        <w:spacing w:line="360" w:lineRule="auto"/>
        <w:jc w:val="center"/>
        <w:rPr>
          <w:rFonts w:ascii="宋体" w:hAnsi="宋体"/>
          <w:b/>
          <w:color w:val="000000" w:themeColor="text1"/>
          <w:spacing w:val="6"/>
          <w:szCs w:val="21"/>
          <w:highlight w:val="none"/>
          <w14:textFill>
            <w14:solidFill>
              <w14:schemeClr w14:val="tx1"/>
            </w14:solidFill>
          </w14:textFill>
        </w:rPr>
      </w:pPr>
      <w:r>
        <w:rPr>
          <w:rFonts w:hint="eastAsia" w:ascii="宋体" w:hAnsi="宋体"/>
          <w:b/>
          <w:color w:val="000000" w:themeColor="text1"/>
          <w:spacing w:val="6"/>
          <w:szCs w:val="21"/>
          <w:highlight w:val="none"/>
          <w14:textFill>
            <w14:solidFill>
              <w14:schemeClr w14:val="tx1"/>
            </w14:solidFill>
          </w14:textFill>
        </w:rPr>
        <w:t>(不属于残疾人福利性单位的无需填写)</w:t>
      </w:r>
    </w:p>
    <w:p w14:paraId="6CF350D2">
      <w:pPr>
        <w:shd w:val="clear"/>
        <w:adjustRightInd w:val="0"/>
        <w:snapToGrid w:val="0"/>
        <w:spacing w:line="360" w:lineRule="auto"/>
        <w:ind w:firstLine="444" w:firstLineChars="200"/>
        <w:rPr>
          <w:rFonts w:ascii="宋体" w:hAnsi="宋体"/>
          <w:color w:val="000000" w:themeColor="text1"/>
          <w:spacing w:val="6"/>
          <w:szCs w:val="21"/>
          <w:highlight w:val="none"/>
          <w14:textFill>
            <w14:solidFill>
              <w14:schemeClr w14:val="tx1"/>
            </w14:solidFill>
          </w14:textFill>
        </w:rPr>
      </w:pPr>
    </w:p>
    <w:p w14:paraId="35000AC0">
      <w:pPr>
        <w:shd w:val="clear"/>
        <w:adjustRightInd w:val="0"/>
        <w:snapToGrid w:val="0"/>
        <w:spacing w:line="360" w:lineRule="auto"/>
        <w:ind w:firstLine="444" w:firstLineChars="200"/>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本单位郑重声明，根据《财政部 民政部 中国残疾人联合会关于促进残疾人就业政府采购政策的通知》（财库</w:t>
      </w:r>
      <w:r>
        <w:rPr>
          <w:rFonts w:hint="eastAsia" w:ascii="宋体" w:hAnsi="宋体"/>
          <w:color w:val="000000" w:themeColor="text1"/>
          <w:szCs w:val="21"/>
          <w:highlight w:val="none"/>
          <w14:textFill>
            <w14:solidFill>
              <w14:schemeClr w14:val="tx1"/>
            </w14:solidFill>
          </w14:textFill>
        </w:rPr>
        <w:t>〔2017〕141</w:t>
      </w:r>
      <w:r>
        <w:rPr>
          <w:rFonts w:hint="eastAsia" w:ascii="宋体" w:hAnsi="宋体"/>
          <w:color w:val="000000" w:themeColor="text1"/>
          <w:spacing w:val="6"/>
          <w:szCs w:val="21"/>
          <w:highlight w:val="none"/>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EFEE8D">
      <w:pPr>
        <w:shd w:val="clear"/>
        <w:adjustRightInd w:val="0"/>
        <w:snapToGrid w:val="0"/>
        <w:spacing w:line="360" w:lineRule="auto"/>
        <w:ind w:firstLine="444" w:firstLineChars="200"/>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本单位对上述声明的真实性负责。如有虚假，将依法承担相应责任。</w:t>
      </w:r>
    </w:p>
    <w:p w14:paraId="6BC2E5C9">
      <w:pPr>
        <w:shd w:val="clear"/>
        <w:adjustRightInd w:val="0"/>
        <w:snapToGrid w:val="0"/>
        <w:spacing w:line="360" w:lineRule="auto"/>
        <w:ind w:firstLine="444" w:firstLineChars="200"/>
        <w:rPr>
          <w:rFonts w:ascii="宋体" w:hAnsi="宋体"/>
          <w:color w:val="000000" w:themeColor="text1"/>
          <w:spacing w:val="6"/>
          <w:szCs w:val="21"/>
          <w:highlight w:val="none"/>
          <w14:textFill>
            <w14:solidFill>
              <w14:schemeClr w14:val="tx1"/>
            </w14:solidFill>
          </w14:textFill>
        </w:rPr>
      </w:pPr>
    </w:p>
    <w:p w14:paraId="5CE1F749">
      <w:pPr>
        <w:shd w:val="clear"/>
        <w:adjustRightInd w:val="0"/>
        <w:snapToGrid w:val="0"/>
        <w:spacing w:line="360" w:lineRule="auto"/>
        <w:ind w:firstLine="444" w:firstLineChars="200"/>
        <w:rPr>
          <w:rFonts w:ascii="宋体" w:hAnsi="宋体"/>
          <w:color w:val="000000" w:themeColor="text1"/>
          <w:spacing w:val="6"/>
          <w:szCs w:val="21"/>
          <w:highlight w:val="none"/>
          <w14:textFill>
            <w14:solidFill>
              <w14:schemeClr w14:val="tx1"/>
            </w14:solidFill>
          </w14:textFill>
        </w:rPr>
      </w:pPr>
    </w:p>
    <w:p w14:paraId="28C4A621">
      <w:pPr>
        <w:shd w:val="clear"/>
        <w:tabs>
          <w:tab w:val="left" w:pos="4860"/>
        </w:tabs>
        <w:adjustRightInd w:val="0"/>
        <w:snapToGrid w:val="0"/>
        <w:spacing w:line="360" w:lineRule="auto"/>
        <w:ind w:right="1560" w:firstLine="444" w:firstLineChars="200"/>
        <w:jc w:val="center"/>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 xml:space="preserve">               单位名称（盖单位电子章）：</w:t>
      </w:r>
    </w:p>
    <w:p w14:paraId="47045142">
      <w:pPr>
        <w:shd w:val="clear"/>
        <w:tabs>
          <w:tab w:val="left" w:pos="4860"/>
        </w:tabs>
        <w:adjustRightInd w:val="0"/>
        <w:snapToGrid w:val="0"/>
        <w:spacing w:line="360" w:lineRule="auto"/>
        <w:ind w:right="1560" w:firstLine="444" w:firstLineChars="200"/>
        <w:jc w:val="center"/>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 xml:space="preserve">       日  期：</w:t>
      </w:r>
    </w:p>
    <w:p w14:paraId="2FA922A5">
      <w:pPr>
        <w:widowControl/>
        <w:shd w:val="clear"/>
        <w:adjustRightInd w:val="0"/>
        <w:snapToGrid w:val="0"/>
        <w:spacing w:line="360" w:lineRule="auto"/>
        <w:jc w:val="left"/>
        <w:rPr>
          <w:rFonts w:ascii="宋体" w:hAnsi="宋体" w:cs="宋体"/>
          <w:color w:val="000000" w:themeColor="text1"/>
          <w:kern w:val="0"/>
          <w:szCs w:val="21"/>
          <w:highlight w:val="none"/>
          <w14:textFill>
            <w14:solidFill>
              <w14:schemeClr w14:val="tx1"/>
            </w14:solidFill>
          </w14:textFill>
        </w:rPr>
      </w:pPr>
    </w:p>
    <w:p w14:paraId="0BC3CEA7">
      <w:pPr>
        <w:widowControl/>
        <w:shd w:val="clear"/>
        <w:jc w:val="left"/>
        <w:rPr>
          <w:rFonts w:ascii="黑体" w:hAnsi="华文中宋" w:eastAsia="黑体" w:cs="宋体"/>
          <w:color w:val="000000" w:themeColor="text1"/>
          <w:spacing w:val="6"/>
          <w:kern w:val="0"/>
          <w:szCs w:val="21"/>
          <w:highlight w:val="none"/>
          <w14:textFill>
            <w14:solidFill>
              <w14:schemeClr w14:val="tx1"/>
            </w14:solidFill>
          </w14:textFill>
        </w:rPr>
      </w:pPr>
      <w:r>
        <w:rPr>
          <w:rFonts w:ascii="黑体" w:hAnsi="华文中宋" w:cs="宋体"/>
          <w:b/>
          <w:bCs/>
          <w:color w:val="000000" w:themeColor="text1"/>
          <w:spacing w:val="6"/>
          <w:kern w:val="0"/>
          <w:szCs w:val="21"/>
          <w:highlight w:val="none"/>
          <w14:textFill>
            <w14:solidFill>
              <w14:schemeClr w14:val="tx1"/>
            </w14:solidFill>
          </w14:textFill>
        </w:rPr>
        <w:br w:type="page"/>
      </w:r>
    </w:p>
    <w:p w14:paraId="3892F710">
      <w:pPr>
        <w:pStyle w:val="6"/>
        <w:shd w:val="clear"/>
        <w:rPr>
          <w:rFonts w:hint="eastAsia" w:ascii="黑体" w:hAnsi="宋体" w:cs="宋体"/>
          <w:b w:val="0"/>
          <w:color w:val="000000" w:themeColor="text1"/>
          <w:sz w:val="21"/>
          <w:szCs w:val="21"/>
          <w:highlight w:val="none"/>
          <w14:textFill>
            <w14:solidFill>
              <w14:schemeClr w14:val="tx1"/>
            </w14:solidFill>
          </w14:textFill>
        </w:rPr>
      </w:pPr>
      <w:bookmarkStart w:id="143" w:name="_Toc7204"/>
      <w:bookmarkStart w:id="144" w:name="_Toc16074"/>
      <w:bookmarkStart w:id="145" w:name="_Toc10865"/>
      <w:bookmarkStart w:id="146" w:name="_Toc3948"/>
    </w:p>
    <w:p w14:paraId="63C33132">
      <w:pPr>
        <w:pStyle w:val="6"/>
        <w:shd w:val="clear"/>
        <w:rPr>
          <w:rFonts w:ascii="黑体" w:hAnsi="宋体"/>
          <w:b w:val="0"/>
          <w:color w:val="000000" w:themeColor="text1"/>
          <w:sz w:val="21"/>
          <w:szCs w:val="21"/>
          <w:highlight w:val="none"/>
          <w14:textFill>
            <w14:solidFill>
              <w14:schemeClr w14:val="tx1"/>
            </w14:solidFill>
          </w14:textFill>
        </w:rPr>
      </w:pPr>
      <w:r>
        <w:rPr>
          <w:rFonts w:hint="eastAsia" w:ascii="黑体" w:hAnsi="宋体" w:cs="宋体"/>
          <w:b w:val="0"/>
          <w:color w:val="000000" w:themeColor="text1"/>
          <w:sz w:val="21"/>
          <w:szCs w:val="21"/>
          <w:highlight w:val="none"/>
          <w14:textFill>
            <w14:solidFill>
              <w14:schemeClr w14:val="tx1"/>
            </w14:solidFill>
          </w14:textFill>
        </w:rPr>
        <w:t xml:space="preserve">附件10-3 </w:t>
      </w:r>
      <w:r>
        <w:rPr>
          <w:rFonts w:hint="eastAsia" w:ascii="黑体" w:hAnsi="宋体"/>
          <w:b w:val="0"/>
          <w:color w:val="000000" w:themeColor="text1"/>
          <w:sz w:val="21"/>
          <w:szCs w:val="21"/>
          <w:highlight w:val="none"/>
          <w14:textFill>
            <w14:solidFill>
              <w14:schemeClr w14:val="tx1"/>
            </w14:solidFill>
          </w14:textFill>
        </w:rPr>
        <w:t>监狱企业证明资料</w:t>
      </w:r>
      <w:bookmarkEnd w:id="143"/>
      <w:bookmarkEnd w:id="144"/>
      <w:bookmarkEnd w:id="145"/>
      <w:bookmarkEnd w:id="146"/>
    </w:p>
    <w:p w14:paraId="6F2838B0">
      <w:pPr>
        <w:shd w:val="clear"/>
        <w:adjustRightInd w:val="0"/>
        <w:snapToGrid w:val="0"/>
        <w:spacing w:line="360" w:lineRule="auto"/>
        <w:jc w:val="center"/>
        <w:rPr>
          <w:rFonts w:ascii="黑体" w:hAnsi="宋体"/>
          <w:b/>
          <w:color w:val="000000" w:themeColor="text1"/>
          <w:sz w:val="28"/>
          <w:szCs w:val="28"/>
          <w:highlight w:val="none"/>
          <w14:textFill>
            <w14:solidFill>
              <w14:schemeClr w14:val="tx1"/>
            </w14:solidFill>
          </w14:textFill>
        </w:rPr>
      </w:pPr>
      <w:r>
        <w:rPr>
          <w:rFonts w:hint="eastAsia" w:ascii="黑体" w:hAnsi="宋体"/>
          <w:b/>
          <w:color w:val="000000" w:themeColor="text1"/>
          <w:sz w:val="28"/>
          <w:szCs w:val="28"/>
          <w:highlight w:val="none"/>
          <w14:textFill>
            <w14:solidFill>
              <w14:schemeClr w14:val="tx1"/>
            </w14:solidFill>
          </w14:textFill>
        </w:rPr>
        <w:t>监狱企业证明资料</w:t>
      </w:r>
    </w:p>
    <w:p w14:paraId="65E16DA3">
      <w:pPr>
        <w:shd w:val="clear"/>
        <w:adjustRightInd w:val="0"/>
        <w:snapToGrid w:val="0"/>
        <w:spacing w:line="360" w:lineRule="auto"/>
        <w:jc w:val="center"/>
        <w:rPr>
          <w:rFonts w:ascii="宋体" w:hAnsi="宋体"/>
          <w:b/>
          <w:color w:val="000000" w:themeColor="text1"/>
          <w:spacing w:val="6"/>
          <w:szCs w:val="21"/>
          <w:highlight w:val="none"/>
          <w14:textFill>
            <w14:solidFill>
              <w14:schemeClr w14:val="tx1"/>
            </w14:solidFill>
          </w14:textFill>
        </w:rPr>
      </w:pPr>
      <w:r>
        <w:rPr>
          <w:rFonts w:hint="eastAsia" w:ascii="宋体" w:hAnsi="宋体"/>
          <w:b/>
          <w:color w:val="000000" w:themeColor="text1"/>
          <w:spacing w:val="6"/>
          <w:szCs w:val="21"/>
          <w:highlight w:val="none"/>
          <w14:textFill>
            <w14:solidFill>
              <w14:schemeClr w14:val="tx1"/>
            </w14:solidFill>
          </w14:textFill>
        </w:rPr>
        <w:t>(不属于监狱企业的无需提供)</w:t>
      </w:r>
    </w:p>
    <w:p w14:paraId="7191552E">
      <w:pPr>
        <w:shd w:val="clea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3F21C875">
      <w:pPr>
        <w:shd w:val="clear"/>
        <w:adjustRightInd w:val="0"/>
        <w:snapToGrid w:val="0"/>
        <w:spacing w:line="360" w:lineRule="auto"/>
        <w:ind w:firstLine="444"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cs="宋体" w:asciiTheme="minorEastAsia" w:hAnsiTheme="minorEastAsia" w:eastAsiaTheme="minorEastAsia"/>
          <w:bCs/>
          <w:color w:val="000000" w:themeColor="text1"/>
          <w:spacing w:val="6"/>
          <w:kern w:val="0"/>
          <w:szCs w:val="21"/>
          <w:highlight w:val="none"/>
          <w14:textFill>
            <w14:solidFill>
              <w14:schemeClr w14:val="tx1"/>
            </w14:solidFill>
          </w14:textFill>
        </w:rPr>
        <w:t>备注：</w:t>
      </w:r>
      <w:r>
        <w:rPr>
          <w:rFonts w:hint="eastAsia" w:asciiTheme="minorEastAsia" w:hAnsiTheme="minorEastAsia" w:eastAsiaTheme="minorEastAsia"/>
          <w:color w:val="000000" w:themeColor="text1"/>
          <w:szCs w:val="21"/>
          <w:highlight w:val="none"/>
          <w14:textFill>
            <w14:solidFill>
              <w14:schemeClr w14:val="tx1"/>
            </w14:solidFill>
          </w14:textFill>
        </w:rPr>
        <w:t>按</w:t>
      </w:r>
      <w:r>
        <w:rPr>
          <w:rFonts w:hint="eastAsia" w:ascii="宋体" w:hAnsi="宋体"/>
          <w:color w:val="000000" w:themeColor="text1"/>
          <w:spacing w:val="6"/>
          <w:szCs w:val="21"/>
          <w:highlight w:val="none"/>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财政部 司法部关于政府采购支持监狱企业发展有关问题的通知</w:t>
      </w:r>
      <w:r>
        <w:rPr>
          <w:rFonts w:hint="eastAsia" w:ascii="宋体" w:hAnsi="宋体"/>
          <w:color w:val="000000" w:themeColor="text1"/>
          <w:spacing w:val="6"/>
          <w:szCs w:val="21"/>
          <w:highlight w:val="none"/>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(财库〔2014〕68号)文件规定提供证明文件。</w:t>
      </w:r>
    </w:p>
    <w:p w14:paraId="55CA5C79">
      <w:pPr>
        <w:shd w:val="clear"/>
        <w:adjustRightInd w:val="0"/>
        <w:snapToGrid w:val="0"/>
        <w:spacing w:line="360" w:lineRule="auto"/>
        <w:rPr>
          <w:rFonts w:ascii="黑体" w:hAnsi="华文中宋" w:eastAsia="黑体" w:cs="宋体"/>
          <w:bCs/>
          <w:color w:val="000000" w:themeColor="text1"/>
          <w:spacing w:val="6"/>
          <w:kern w:val="0"/>
          <w:szCs w:val="21"/>
          <w:highlight w:val="none"/>
          <w14:textFill>
            <w14:solidFill>
              <w14:schemeClr w14:val="tx1"/>
            </w14:solidFill>
          </w14:textFill>
        </w:rPr>
      </w:pPr>
      <w:r>
        <w:rPr>
          <w:rFonts w:ascii="黑体" w:hAnsi="华文中宋" w:eastAsia="黑体" w:cs="宋体"/>
          <w:bCs/>
          <w:color w:val="000000" w:themeColor="text1"/>
          <w:spacing w:val="6"/>
          <w:kern w:val="0"/>
          <w:szCs w:val="21"/>
          <w:highlight w:val="none"/>
          <w14:textFill>
            <w14:solidFill>
              <w14:schemeClr w14:val="tx1"/>
            </w14:solidFill>
          </w14:textFill>
        </w:rPr>
        <w:br w:type="page"/>
      </w:r>
    </w:p>
    <w:p w14:paraId="24A411C2">
      <w:pPr>
        <w:pStyle w:val="6"/>
        <w:shd w:val="clear"/>
        <w:rPr>
          <w:rFonts w:hint="eastAsia" w:ascii="黑体" w:hAnsi="华文中宋" w:cs="宋体"/>
          <w:b w:val="0"/>
          <w:bCs w:val="0"/>
          <w:color w:val="000000" w:themeColor="text1"/>
          <w:spacing w:val="6"/>
          <w:sz w:val="21"/>
          <w:szCs w:val="21"/>
          <w:highlight w:val="none"/>
          <w14:textFill>
            <w14:solidFill>
              <w14:schemeClr w14:val="tx1"/>
            </w14:solidFill>
          </w14:textFill>
        </w:rPr>
      </w:pPr>
      <w:bookmarkStart w:id="147" w:name="_Toc21730"/>
      <w:bookmarkStart w:id="148" w:name="_Toc28766"/>
      <w:bookmarkStart w:id="149" w:name="_Toc16602"/>
      <w:bookmarkStart w:id="150" w:name="_Toc29074"/>
    </w:p>
    <w:p w14:paraId="7A092445">
      <w:pPr>
        <w:pStyle w:val="6"/>
        <w:shd w:val="clear"/>
        <w:rPr>
          <w:rFonts w:ascii="黑体" w:hAnsi="宋体"/>
          <w:b w:val="0"/>
          <w:color w:val="000000" w:themeColor="text1"/>
          <w:sz w:val="21"/>
          <w:szCs w:val="21"/>
          <w:highlight w:val="none"/>
          <w14:textFill>
            <w14:solidFill>
              <w14:schemeClr w14:val="tx1"/>
            </w14:solidFill>
          </w14:textFill>
        </w:rPr>
      </w:pPr>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附件10-4 </w:t>
      </w:r>
      <w:r>
        <w:rPr>
          <w:rFonts w:hint="eastAsia" w:ascii="黑体" w:hAnsi="宋体"/>
          <w:b w:val="0"/>
          <w:color w:val="000000" w:themeColor="text1"/>
          <w:sz w:val="21"/>
          <w:szCs w:val="21"/>
          <w:highlight w:val="none"/>
          <w14:textFill>
            <w14:solidFill>
              <w14:schemeClr w14:val="tx1"/>
            </w14:solidFill>
          </w14:textFill>
        </w:rPr>
        <w:t>强制采购或者优先采购产品</w:t>
      </w:r>
      <w:r>
        <w:rPr>
          <w:rFonts w:hint="eastAsia" w:ascii="黑体" w:hAnsi="宋体"/>
          <w:b w:val="0"/>
          <w:bCs w:val="0"/>
          <w:color w:val="000000" w:themeColor="text1"/>
          <w:sz w:val="21"/>
          <w:szCs w:val="21"/>
          <w:highlight w:val="none"/>
          <w14:textFill>
            <w14:solidFill>
              <w14:schemeClr w14:val="tx1"/>
            </w14:solidFill>
          </w14:textFill>
        </w:rPr>
        <w:t>的</w:t>
      </w:r>
      <w:r>
        <w:rPr>
          <w:rFonts w:hint="eastAsia" w:ascii="黑体" w:hAnsi="宋体"/>
          <w:b w:val="0"/>
          <w:color w:val="000000" w:themeColor="text1"/>
          <w:sz w:val="21"/>
          <w:szCs w:val="21"/>
          <w:highlight w:val="none"/>
          <w14:textFill>
            <w14:solidFill>
              <w14:schemeClr w14:val="tx1"/>
            </w14:solidFill>
          </w14:textFill>
        </w:rPr>
        <w:t>证明材料</w:t>
      </w:r>
      <w:bookmarkEnd w:id="147"/>
      <w:bookmarkEnd w:id="148"/>
      <w:bookmarkEnd w:id="149"/>
      <w:bookmarkEnd w:id="150"/>
    </w:p>
    <w:p w14:paraId="59A58BD0">
      <w:pPr>
        <w:shd w:val="clear"/>
        <w:adjustRightInd w:val="0"/>
        <w:snapToGrid w:val="0"/>
        <w:spacing w:line="360" w:lineRule="auto"/>
        <w:jc w:val="center"/>
        <w:rPr>
          <w:rFonts w:ascii="黑体" w:hAnsi="黑体" w:eastAsia="黑体"/>
          <w:b/>
          <w:color w:val="000000" w:themeColor="text1"/>
          <w:sz w:val="28"/>
          <w:szCs w:val="28"/>
          <w:highlight w:val="none"/>
          <w14:textFill>
            <w14:solidFill>
              <w14:schemeClr w14:val="tx1"/>
            </w14:solidFill>
          </w14:textFill>
        </w:rPr>
      </w:pPr>
      <w:r>
        <w:rPr>
          <w:rFonts w:hint="eastAsia" w:ascii="黑体" w:hAnsi="黑体" w:eastAsia="黑体"/>
          <w:b/>
          <w:color w:val="000000" w:themeColor="text1"/>
          <w:sz w:val="28"/>
          <w:szCs w:val="28"/>
          <w:highlight w:val="none"/>
          <w14:textFill>
            <w14:solidFill>
              <w14:schemeClr w14:val="tx1"/>
            </w14:solidFill>
          </w14:textFill>
        </w:rPr>
        <w:t>强制采购或者优先采购产品</w:t>
      </w:r>
      <w:r>
        <w:rPr>
          <w:rFonts w:hint="eastAsia" w:ascii="黑体" w:hAnsi="黑体" w:eastAsia="黑体"/>
          <w:b/>
          <w:bCs/>
          <w:color w:val="000000" w:themeColor="text1"/>
          <w:sz w:val="28"/>
          <w:szCs w:val="28"/>
          <w:highlight w:val="none"/>
          <w14:textFill>
            <w14:solidFill>
              <w14:schemeClr w14:val="tx1"/>
            </w14:solidFill>
          </w14:textFill>
        </w:rPr>
        <w:t>的</w:t>
      </w:r>
      <w:r>
        <w:rPr>
          <w:rFonts w:hint="eastAsia" w:ascii="黑体" w:hAnsi="黑体" w:eastAsia="黑体"/>
          <w:b/>
          <w:color w:val="000000" w:themeColor="text1"/>
          <w:sz w:val="28"/>
          <w:szCs w:val="28"/>
          <w:highlight w:val="none"/>
          <w14:textFill>
            <w14:solidFill>
              <w14:schemeClr w14:val="tx1"/>
            </w14:solidFill>
          </w14:textFill>
        </w:rPr>
        <w:t>证明材料</w:t>
      </w:r>
    </w:p>
    <w:p w14:paraId="0E4B75C8">
      <w:pPr>
        <w:shd w:val="clear"/>
        <w:adjustRightInd w:val="0"/>
        <w:snapToGrid w:val="0"/>
        <w:spacing w:line="360" w:lineRule="auto"/>
        <w:jc w:val="center"/>
        <w:rPr>
          <w:rFonts w:ascii="宋体" w:hAnsi="宋体"/>
          <w:b/>
          <w:color w:val="000000" w:themeColor="text1"/>
          <w:spacing w:val="6"/>
          <w:szCs w:val="21"/>
          <w:highlight w:val="none"/>
          <w14:textFill>
            <w14:solidFill>
              <w14:schemeClr w14:val="tx1"/>
            </w14:solidFill>
          </w14:textFill>
        </w:rPr>
      </w:pPr>
      <w:r>
        <w:rPr>
          <w:rFonts w:hint="eastAsia" w:ascii="宋体" w:hAnsi="宋体"/>
          <w:b/>
          <w:color w:val="000000" w:themeColor="text1"/>
          <w:spacing w:val="6"/>
          <w:szCs w:val="21"/>
          <w:highlight w:val="none"/>
          <w14:textFill>
            <w14:solidFill>
              <w14:schemeClr w14:val="tx1"/>
            </w14:solidFill>
          </w14:textFill>
        </w:rPr>
        <w:t>(不属于强制采购或者优先采购产品的无需提供)</w:t>
      </w:r>
    </w:p>
    <w:p w14:paraId="10E1D344">
      <w:pPr>
        <w:shd w:val="clear"/>
        <w:adjustRightInd w:val="0"/>
        <w:snapToGrid w:val="0"/>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p>
    <w:p w14:paraId="0A4658CF">
      <w:pPr>
        <w:shd w:val="clear"/>
        <w:adjustRightInd w:val="0"/>
        <w:snapToGrid w:val="0"/>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说明：投标人提供的产品</w:t>
      </w:r>
      <w:r>
        <w:rPr>
          <w:rFonts w:hint="eastAsia" w:asciiTheme="minorEastAsia" w:hAnsiTheme="minorEastAsia" w:eastAsiaTheme="minorEastAsia"/>
          <w:bCs/>
          <w:color w:val="000000" w:themeColor="text1"/>
          <w:szCs w:val="21"/>
          <w:highlight w:val="none"/>
          <w14:textFill>
            <w14:solidFill>
              <w14:schemeClr w14:val="tx1"/>
            </w14:solidFill>
          </w14:textFill>
        </w:rPr>
        <w:t>属于强制采购或者优先采购的</w:t>
      </w:r>
      <w:r>
        <w:rPr>
          <w:rFonts w:hint="eastAsia" w:asciiTheme="minorEastAsia" w:hAnsiTheme="minorEastAsia" w:eastAsiaTheme="minorEastAsia"/>
          <w:color w:val="000000" w:themeColor="text1"/>
          <w:szCs w:val="21"/>
          <w:highlight w:val="none"/>
          <w14:textFill>
            <w14:solidFill>
              <w14:schemeClr w14:val="tx1"/>
            </w14:solidFill>
          </w14:textFill>
        </w:rPr>
        <w:t>，应按第二章第33.6款规定提供证明材料和本章本节附页2“优先采购产品清单”，并加盖投标人单位电子章。</w:t>
      </w:r>
    </w:p>
    <w:p w14:paraId="12ACD667">
      <w:pPr>
        <w:shd w:val="clear"/>
        <w:adjustRightInd w:val="0"/>
        <w:snapToGrid w:val="0"/>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p>
    <w:p w14:paraId="0EED5A53">
      <w:pPr>
        <w:shd w:val="clear"/>
        <w:adjustRightInd w:val="0"/>
        <w:snapToGrid w:val="0"/>
        <w:spacing w:line="360" w:lineRule="auto"/>
        <w:rPr>
          <w:rFonts w:ascii="黑体" w:hAnsi="宋体" w:eastAsia="黑体"/>
          <w:color w:val="000000" w:themeColor="text1"/>
          <w:szCs w:val="21"/>
          <w:highlight w:val="none"/>
          <w14:textFill>
            <w14:solidFill>
              <w14:schemeClr w14:val="tx1"/>
            </w14:solidFill>
          </w14:textFill>
        </w:rPr>
      </w:pPr>
      <w:r>
        <w:rPr>
          <w:rFonts w:ascii="黑体" w:hAnsi="宋体" w:eastAsia="黑体"/>
          <w:b/>
          <w:color w:val="000000" w:themeColor="text1"/>
          <w:sz w:val="28"/>
          <w:szCs w:val="28"/>
          <w:highlight w:val="none"/>
          <w14:textFill>
            <w14:solidFill>
              <w14:schemeClr w14:val="tx1"/>
            </w14:solidFill>
          </w14:textFill>
        </w:rPr>
        <w:br w:type="page"/>
      </w:r>
    </w:p>
    <w:p w14:paraId="7CBE5DA8">
      <w:pPr>
        <w:pStyle w:val="6"/>
        <w:shd w:val="clear"/>
        <w:jc w:val="left"/>
        <w:rPr>
          <w:rFonts w:ascii="黑体" w:hAnsi="宋体"/>
          <w:b w:val="0"/>
          <w:color w:val="000000" w:themeColor="text1"/>
          <w:sz w:val="21"/>
          <w:szCs w:val="21"/>
          <w:highlight w:val="none"/>
          <w14:textFill>
            <w14:solidFill>
              <w14:schemeClr w14:val="tx1"/>
            </w14:solidFill>
          </w14:textFill>
        </w:rPr>
      </w:pPr>
      <w:bookmarkStart w:id="151" w:name="_Toc19271"/>
      <w:bookmarkStart w:id="152" w:name="_Toc15663"/>
      <w:bookmarkStart w:id="153" w:name="_Toc10172"/>
      <w:bookmarkStart w:id="154" w:name="_Toc2649"/>
      <w:r>
        <w:rPr>
          <w:rFonts w:hint="eastAsia" w:ascii="黑体" w:hAnsi="华文中宋" w:cs="宋体"/>
          <w:b w:val="0"/>
          <w:bCs w:val="0"/>
          <w:color w:val="000000" w:themeColor="text1"/>
          <w:spacing w:val="6"/>
          <w:sz w:val="21"/>
          <w:szCs w:val="21"/>
          <w:highlight w:val="none"/>
          <w14:textFill>
            <w14:solidFill>
              <w14:schemeClr w14:val="tx1"/>
            </w14:solidFill>
          </w14:textFill>
        </w:rPr>
        <w:t xml:space="preserve">附页 2 </w:t>
      </w:r>
      <w:r>
        <w:rPr>
          <w:rFonts w:hint="eastAsia" w:ascii="黑体" w:hAnsi="宋体"/>
          <w:b w:val="0"/>
          <w:color w:val="000000" w:themeColor="text1"/>
          <w:sz w:val="21"/>
          <w:szCs w:val="21"/>
          <w:highlight w:val="none"/>
          <w14:textFill>
            <w14:solidFill>
              <w14:schemeClr w14:val="tx1"/>
            </w14:solidFill>
          </w14:textFill>
        </w:rPr>
        <w:t>优先采购产品清单</w:t>
      </w:r>
      <w:bookmarkEnd w:id="151"/>
      <w:bookmarkEnd w:id="152"/>
      <w:bookmarkEnd w:id="153"/>
      <w:bookmarkEnd w:id="154"/>
    </w:p>
    <w:p w14:paraId="17C034C7">
      <w:pPr>
        <w:shd w:val="clear"/>
        <w:adjustRightInd w:val="0"/>
        <w:snapToGrid w:val="0"/>
        <w:spacing w:line="360" w:lineRule="auto"/>
        <w:jc w:val="center"/>
        <w:rPr>
          <w:rFonts w:ascii="宋体" w:hAnsi="宋体"/>
          <w:b/>
          <w:color w:val="000000" w:themeColor="text1"/>
          <w:spacing w:val="6"/>
          <w:szCs w:val="21"/>
          <w:highlight w:val="none"/>
          <w14:textFill>
            <w14:solidFill>
              <w14:schemeClr w14:val="tx1"/>
            </w14:solidFill>
          </w14:textFill>
        </w:rPr>
      </w:pPr>
      <w:r>
        <w:rPr>
          <w:rFonts w:hint="eastAsia" w:ascii="黑体" w:hAnsi="宋体" w:eastAsia="黑体"/>
          <w:b/>
          <w:color w:val="000000" w:themeColor="text1"/>
          <w:sz w:val="28"/>
          <w:szCs w:val="28"/>
          <w:highlight w:val="none"/>
          <w14:textFill>
            <w14:solidFill>
              <w14:schemeClr w14:val="tx1"/>
            </w14:solidFill>
          </w14:textFill>
        </w:rPr>
        <w:t>优先采购产品清单</w:t>
      </w:r>
    </w:p>
    <w:p w14:paraId="4A17E24A">
      <w:pPr>
        <w:shd w:val="clear"/>
        <w:adjustRightInd w:val="0"/>
        <w:snapToGrid w:val="0"/>
        <w:spacing w:line="360" w:lineRule="auto"/>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采购代理编号：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项目名称：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p w14:paraId="332F83B2">
      <w:pPr>
        <w:shd w:val="clear"/>
        <w:adjustRightInd w:val="0"/>
        <w:snapToGrid w:val="0"/>
        <w:spacing w:line="360" w:lineRule="auto"/>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包       号：</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包名称：</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 xml:space="preserve">                    </w:t>
      </w:r>
    </w:p>
    <w:tbl>
      <w:tblPr>
        <w:tblStyle w:val="4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3826C5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04E33F1A">
            <w:pPr>
              <w:widowControl/>
              <w:shd w:val="clear"/>
              <w:adjustRightInd w:val="0"/>
              <w:snapToGrid w:val="0"/>
              <w:spacing w:line="360" w:lineRule="auto"/>
              <w:ind w:firstLine="480" w:firstLineChars="200"/>
              <w:jc w:val="left"/>
              <w:rPr>
                <w:rFonts w:ascii="黑体" w:hAnsi="黑体" w:eastAsia="黑体"/>
                <w:color w:val="000000" w:themeColor="text1"/>
                <w:kern w:val="0"/>
                <w:sz w:val="24"/>
                <w:highlight w:val="none"/>
                <w14:textFill>
                  <w14:solidFill>
                    <w14:schemeClr w14:val="tx1"/>
                  </w14:solidFill>
                </w14:textFill>
              </w:rPr>
            </w:pPr>
            <w:r>
              <w:rPr>
                <w:rFonts w:hint="eastAsia" w:ascii="黑体" w:hAnsi="宋体" w:eastAsia="黑体"/>
                <w:color w:val="000000" w:themeColor="text1"/>
                <w:kern w:val="0"/>
                <w:sz w:val="24"/>
                <w:highlight w:val="none"/>
                <w14:textFill>
                  <w14:solidFill>
                    <w14:schemeClr w14:val="tx1"/>
                  </w14:solidFill>
                </w14:textFill>
              </w:rPr>
              <w:t>以下为投标人提供的政府采购优先采购产品，投标人对本表的真实性负责。如有虚假，将依法承担相应责任。</w:t>
            </w:r>
          </w:p>
        </w:tc>
      </w:tr>
      <w:tr w14:paraId="7207B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274628FE">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p>
        </w:tc>
        <w:tc>
          <w:tcPr>
            <w:tcW w:w="1739" w:type="dxa"/>
            <w:vAlign w:val="center"/>
          </w:tcPr>
          <w:p w14:paraId="555074B8">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2</w:t>
            </w:r>
          </w:p>
        </w:tc>
        <w:tc>
          <w:tcPr>
            <w:tcW w:w="1134" w:type="dxa"/>
            <w:tcBorders>
              <w:right w:val="single" w:color="auto" w:sz="4" w:space="0"/>
            </w:tcBorders>
            <w:vAlign w:val="center"/>
          </w:tcPr>
          <w:p w14:paraId="414C5F5E">
            <w:pPr>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3</w:t>
            </w:r>
          </w:p>
        </w:tc>
        <w:tc>
          <w:tcPr>
            <w:tcW w:w="1418" w:type="dxa"/>
            <w:tcBorders>
              <w:left w:val="single" w:color="auto" w:sz="4" w:space="0"/>
            </w:tcBorders>
            <w:vAlign w:val="center"/>
          </w:tcPr>
          <w:p w14:paraId="70F7912A">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4</w:t>
            </w:r>
          </w:p>
        </w:tc>
        <w:tc>
          <w:tcPr>
            <w:tcW w:w="1984" w:type="dxa"/>
            <w:vAlign w:val="center"/>
          </w:tcPr>
          <w:p w14:paraId="65A8382F">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5</w:t>
            </w:r>
          </w:p>
        </w:tc>
        <w:tc>
          <w:tcPr>
            <w:tcW w:w="1843" w:type="dxa"/>
            <w:vAlign w:val="center"/>
          </w:tcPr>
          <w:p w14:paraId="7A718B60">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6</w:t>
            </w:r>
          </w:p>
        </w:tc>
      </w:tr>
      <w:tr w14:paraId="14385A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363BFFB0">
            <w:pPr>
              <w:widowControl/>
              <w:shd w:val="clear"/>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序号</w:t>
            </w:r>
          </w:p>
        </w:tc>
        <w:tc>
          <w:tcPr>
            <w:tcW w:w="1739" w:type="dxa"/>
            <w:vAlign w:val="center"/>
          </w:tcPr>
          <w:p w14:paraId="01A4F8D8">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货物名称</w:t>
            </w:r>
          </w:p>
        </w:tc>
        <w:tc>
          <w:tcPr>
            <w:tcW w:w="1134" w:type="dxa"/>
            <w:tcBorders>
              <w:right w:val="single" w:color="auto" w:sz="4" w:space="0"/>
            </w:tcBorders>
            <w:vAlign w:val="center"/>
          </w:tcPr>
          <w:p w14:paraId="4D319DBA">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规格型号</w:t>
            </w:r>
          </w:p>
        </w:tc>
        <w:tc>
          <w:tcPr>
            <w:tcW w:w="1418" w:type="dxa"/>
            <w:tcBorders>
              <w:left w:val="single" w:color="auto" w:sz="4" w:space="0"/>
            </w:tcBorders>
            <w:vAlign w:val="center"/>
          </w:tcPr>
          <w:p w14:paraId="24F98FFC">
            <w:pPr>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价格（元）</w:t>
            </w:r>
          </w:p>
        </w:tc>
        <w:tc>
          <w:tcPr>
            <w:tcW w:w="1984" w:type="dxa"/>
            <w:vAlign w:val="center"/>
          </w:tcPr>
          <w:p w14:paraId="1D131EFC">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货物制造商名称</w:t>
            </w:r>
          </w:p>
        </w:tc>
        <w:tc>
          <w:tcPr>
            <w:tcW w:w="1843" w:type="dxa"/>
            <w:vAlign w:val="center"/>
          </w:tcPr>
          <w:p w14:paraId="3C4F1DFC">
            <w:pPr>
              <w:widowControl/>
              <w:shd w:val="clear"/>
              <w:adjustRightInd w:val="0"/>
              <w:snapToGrid w:val="0"/>
              <w:spacing w:line="360" w:lineRule="auto"/>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政策功能编码</w:t>
            </w:r>
          </w:p>
        </w:tc>
      </w:tr>
      <w:tr w14:paraId="17DF5D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23D88142">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节能产品</w:t>
            </w:r>
          </w:p>
        </w:tc>
      </w:tr>
      <w:tr w14:paraId="30201F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EE690CC">
            <w:pPr>
              <w:shd w:val="clear"/>
              <w:adjustRightInd w:val="0"/>
              <w:snapToGrid w:val="0"/>
              <w:spacing w:line="360" w:lineRule="auto"/>
              <w:jc w:val="center"/>
              <w:rPr>
                <w:rFonts w:ascii="宋体" w:hAnsi="宋体"/>
                <w:b/>
                <w:color w:val="000000" w:themeColor="text1"/>
                <w:szCs w:val="21"/>
                <w:highlight w:val="none"/>
                <w14:textFill>
                  <w14:solidFill>
                    <w14:schemeClr w14:val="tx1"/>
                  </w14:solidFill>
                </w14:textFill>
              </w:rPr>
            </w:pPr>
          </w:p>
        </w:tc>
        <w:tc>
          <w:tcPr>
            <w:tcW w:w="1739" w:type="dxa"/>
            <w:vAlign w:val="center"/>
          </w:tcPr>
          <w:p w14:paraId="4FCF6C48">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p>
        </w:tc>
        <w:tc>
          <w:tcPr>
            <w:tcW w:w="1134" w:type="dxa"/>
            <w:tcBorders>
              <w:right w:val="single" w:color="auto" w:sz="4" w:space="0"/>
            </w:tcBorders>
            <w:vAlign w:val="center"/>
          </w:tcPr>
          <w:p w14:paraId="3D572BA9">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418" w:type="dxa"/>
            <w:tcBorders>
              <w:left w:val="single" w:color="auto" w:sz="4" w:space="0"/>
            </w:tcBorders>
            <w:vAlign w:val="center"/>
          </w:tcPr>
          <w:p w14:paraId="4DCDABC5">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984" w:type="dxa"/>
            <w:vAlign w:val="center"/>
          </w:tcPr>
          <w:p w14:paraId="1E8AE566">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p>
        </w:tc>
        <w:tc>
          <w:tcPr>
            <w:tcW w:w="1843" w:type="dxa"/>
          </w:tcPr>
          <w:p w14:paraId="66E52469">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p>
        </w:tc>
      </w:tr>
      <w:tr w14:paraId="019A2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3A034FC">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小计</w:t>
            </w:r>
          </w:p>
        </w:tc>
        <w:tc>
          <w:tcPr>
            <w:tcW w:w="1739" w:type="dxa"/>
            <w:vAlign w:val="center"/>
          </w:tcPr>
          <w:p w14:paraId="742E83BA">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w:t>
            </w:r>
          </w:p>
        </w:tc>
        <w:tc>
          <w:tcPr>
            <w:tcW w:w="1134" w:type="dxa"/>
            <w:tcBorders>
              <w:right w:val="single" w:color="auto" w:sz="4" w:space="0"/>
            </w:tcBorders>
            <w:vAlign w:val="center"/>
          </w:tcPr>
          <w:p w14:paraId="4B5021BC">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418" w:type="dxa"/>
            <w:tcBorders>
              <w:left w:val="single" w:color="auto" w:sz="4" w:space="0"/>
            </w:tcBorders>
            <w:vAlign w:val="center"/>
          </w:tcPr>
          <w:p w14:paraId="6662BF58">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984" w:type="dxa"/>
            <w:vAlign w:val="center"/>
          </w:tcPr>
          <w:p w14:paraId="7A6F0A57">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w:t>
            </w:r>
          </w:p>
        </w:tc>
        <w:tc>
          <w:tcPr>
            <w:tcW w:w="1843" w:type="dxa"/>
          </w:tcPr>
          <w:p w14:paraId="286D62C2">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w:t>
            </w:r>
          </w:p>
        </w:tc>
      </w:tr>
      <w:tr w14:paraId="3850E9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768DD60">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环境标志产品</w:t>
            </w:r>
          </w:p>
        </w:tc>
      </w:tr>
      <w:tr w14:paraId="35657F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59DAAE7">
            <w:pPr>
              <w:shd w:val="clear"/>
              <w:adjustRightInd w:val="0"/>
              <w:snapToGrid w:val="0"/>
              <w:spacing w:line="360" w:lineRule="auto"/>
              <w:jc w:val="center"/>
              <w:rPr>
                <w:rFonts w:ascii="宋体" w:hAnsi="宋体"/>
                <w:b/>
                <w:color w:val="000000" w:themeColor="text1"/>
                <w:szCs w:val="21"/>
                <w:highlight w:val="none"/>
                <w14:textFill>
                  <w14:solidFill>
                    <w14:schemeClr w14:val="tx1"/>
                  </w14:solidFill>
                </w14:textFill>
              </w:rPr>
            </w:pPr>
          </w:p>
        </w:tc>
        <w:tc>
          <w:tcPr>
            <w:tcW w:w="1739" w:type="dxa"/>
            <w:vAlign w:val="center"/>
          </w:tcPr>
          <w:p w14:paraId="508C5EB3">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p>
        </w:tc>
        <w:tc>
          <w:tcPr>
            <w:tcW w:w="1134" w:type="dxa"/>
            <w:tcBorders>
              <w:right w:val="single" w:color="auto" w:sz="4" w:space="0"/>
            </w:tcBorders>
            <w:vAlign w:val="center"/>
          </w:tcPr>
          <w:p w14:paraId="4270EB1D">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418" w:type="dxa"/>
            <w:tcBorders>
              <w:left w:val="single" w:color="auto" w:sz="4" w:space="0"/>
            </w:tcBorders>
            <w:vAlign w:val="center"/>
          </w:tcPr>
          <w:p w14:paraId="71C29298">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984" w:type="dxa"/>
            <w:vAlign w:val="center"/>
          </w:tcPr>
          <w:p w14:paraId="3621C9A9">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p>
        </w:tc>
        <w:tc>
          <w:tcPr>
            <w:tcW w:w="1843" w:type="dxa"/>
          </w:tcPr>
          <w:p w14:paraId="5782E833">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p>
        </w:tc>
      </w:tr>
      <w:tr w14:paraId="0A0FE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9D95F7F">
            <w:pPr>
              <w:shd w:val="clear"/>
              <w:adjustRightInd w:val="0"/>
              <w:snapToGrid w:val="0"/>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小计</w:t>
            </w:r>
          </w:p>
        </w:tc>
        <w:tc>
          <w:tcPr>
            <w:tcW w:w="1739" w:type="dxa"/>
            <w:vAlign w:val="center"/>
          </w:tcPr>
          <w:p w14:paraId="44F20845">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w:t>
            </w:r>
          </w:p>
        </w:tc>
        <w:tc>
          <w:tcPr>
            <w:tcW w:w="1134" w:type="dxa"/>
            <w:tcBorders>
              <w:right w:val="single" w:color="auto" w:sz="4" w:space="0"/>
            </w:tcBorders>
            <w:vAlign w:val="center"/>
          </w:tcPr>
          <w:p w14:paraId="7F49FF60">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418" w:type="dxa"/>
            <w:tcBorders>
              <w:left w:val="single" w:color="auto" w:sz="4" w:space="0"/>
            </w:tcBorders>
            <w:vAlign w:val="center"/>
          </w:tcPr>
          <w:p w14:paraId="52313A41">
            <w:pPr>
              <w:shd w:val="clear"/>
              <w:adjustRightInd w:val="0"/>
              <w:snapToGrid w:val="0"/>
              <w:spacing w:line="360" w:lineRule="auto"/>
              <w:jc w:val="left"/>
              <w:rPr>
                <w:rFonts w:asciiTheme="minorEastAsia" w:hAnsiTheme="minorEastAsia" w:eastAsiaTheme="minorEastAsia"/>
                <w:b/>
                <w:color w:val="000000" w:themeColor="text1"/>
                <w:szCs w:val="21"/>
                <w:highlight w:val="none"/>
                <w14:textFill>
                  <w14:solidFill>
                    <w14:schemeClr w14:val="tx1"/>
                  </w14:solidFill>
                </w14:textFill>
              </w:rPr>
            </w:pPr>
          </w:p>
        </w:tc>
        <w:tc>
          <w:tcPr>
            <w:tcW w:w="1984" w:type="dxa"/>
            <w:vAlign w:val="center"/>
          </w:tcPr>
          <w:p w14:paraId="0DC44A4E">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w:t>
            </w:r>
          </w:p>
        </w:tc>
        <w:tc>
          <w:tcPr>
            <w:tcW w:w="1843" w:type="dxa"/>
          </w:tcPr>
          <w:p w14:paraId="03CFA793">
            <w:pPr>
              <w:shd w:val="clear"/>
              <w:adjustRightInd w:val="0"/>
              <w:snapToGrid w:val="0"/>
              <w:spacing w:line="360" w:lineRule="auto"/>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w:t>
            </w:r>
          </w:p>
        </w:tc>
      </w:tr>
    </w:tbl>
    <w:p w14:paraId="1D0478FE">
      <w:pPr>
        <w:shd w:val="clear"/>
        <w:adjustRightInd w:val="0"/>
        <w:snapToGrid w:val="0"/>
        <w:spacing w:line="360" w:lineRule="auto"/>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说明：</w:t>
      </w:r>
      <w:r>
        <w:rPr>
          <w:rFonts w:hint="eastAsia" w:asciiTheme="minorEastAsia" w:hAnsiTheme="minorEastAsia" w:eastAsiaTheme="minorEastAsia"/>
          <w:bCs/>
          <w:color w:val="000000" w:themeColor="text1"/>
          <w:szCs w:val="21"/>
          <w:highlight w:val="none"/>
          <w14:textFill>
            <w14:solidFill>
              <w14:schemeClr w14:val="tx1"/>
            </w14:solidFill>
          </w14:textFill>
        </w:rPr>
        <w:t>1、</w:t>
      </w:r>
      <w:r>
        <w:rPr>
          <w:rFonts w:hint="eastAsia" w:asciiTheme="minorEastAsia" w:hAnsiTheme="minorEastAsia" w:eastAsiaTheme="minorEastAsia"/>
          <w:color w:val="000000" w:themeColor="text1"/>
          <w:szCs w:val="21"/>
          <w:highlight w:val="none"/>
          <w14:textFill>
            <w14:solidFill>
              <w14:schemeClr w14:val="tx1"/>
            </w14:solidFill>
          </w14:textFill>
        </w:rPr>
        <w:t>本表用于计算政府采购优先采购产品（节能产品或环境标志产品）的政府采购政策加分或者价格扣除。</w:t>
      </w:r>
    </w:p>
    <w:p w14:paraId="13705039">
      <w:pPr>
        <w:shd w:val="clear"/>
        <w:adjustRightInd w:val="0"/>
        <w:snapToGrid w:val="0"/>
        <w:spacing w:line="360" w:lineRule="auto"/>
        <w:ind w:firstLine="630" w:firstLineChars="3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2、栏目4“价格”为综合单价，包含货物所有隐含的内容，如运输费、保险费、管理费和利润等。</w:t>
      </w:r>
    </w:p>
    <w:p w14:paraId="65A238BE">
      <w:pPr>
        <w:shd w:val="clear"/>
        <w:adjustRightInd w:val="0"/>
        <w:snapToGrid w:val="0"/>
        <w:spacing w:line="360" w:lineRule="auto"/>
        <w:ind w:firstLine="630" w:firstLineChars="3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3、栏目6“政策功能编码”是指货物的中国环境标志认证证书编号、中国节能标志认证证书号（货物同时属于节能产品、环境标志产品的，只须填写一种）。</w:t>
      </w:r>
    </w:p>
    <w:p w14:paraId="05CA8363">
      <w:pPr>
        <w:shd w:val="clear"/>
        <w:adjustRightInd w:val="0"/>
        <w:snapToGrid w:val="0"/>
        <w:spacing w:line="360" w:lineRule="auto"/>
        <w:ind w:firstLine="630" w:firstLineChars="300"/>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4、投标人在投标截止时间前修改“开标一览表”中的投标报价的，应按第二章第13.7款规定修改本表相应内容。否则，评审时涉及本表所有优惠不予以考虑。</w:t>
      </w:r>
    </w:p>
    <w:p w14:paraId="2DA205FB">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p>
    <w:p w14:paraId="309F7DC3">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投标人名称（盖单位电子章）：</w:t>
      </w:r>
    </w:p>
    <w:p w14:paraId="5233E697">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定</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代</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表</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人</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单</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位</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负</w:t>
      </w:r>
      <w:r>
        <w:rPr>
          <w:rFonts w:hint="eastAsia" w:cs="微软雅黑" w:asciiTheme="minorEastAsia" w:hAnsiTheme="minorEastAsia" w:eastAsiaTheme="minorEastAsia"/>
          <w:color w:val="000000" w:themeColor="text1"/>
          <w:kern w:val="0"/>
          <w:szCs w:val="21"/>
          <w:highlight w:val="none"/>
          <w14:textFill>
            <w14:solidFill>
              <w14:schemeClr w14:val="tx1"/>
            </w14:solidFill>
          </w14:textFill>
        </w:rPr>
        <w:t>责人</w:t>
      </w:r>
      <w:r>
        <w:rPr>
          <w:rFonts w:hint="eastAsia" w:cs="微软雅黑" w:asciiTheme="minorEastAsia" w:hAnsiTheme="minorEastAsia" w:eastAsiaTheme="minorEastAsia"/>
          <w:color w:val="000000" w:themeColor="text1"/>
          <w:spacing w:val="-2"/>
          <w:kern w:val="0"/>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或其委托代理人（电子签字或电子印章）：</w:t>
      </w:r>
    </w:p>
    <w:p w14:paraId="559E6879">
      <w:pPr>
        <w:shd w:val="clear"/>
        <w:rPr>
          <w:rFonts w:ascii="宋体" w:hAnsi="宋体"/>
          <w:b/>
          <w:bCs/>
          <w:color w:val="000000" w:themeColor="text1"/>
          <w:sz w:val="32"/>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日期：年月日</w:t>
      </w:r>
      <w:r>
        <w:rPr>
          <w:rFonts w:ascii="宋体" w:hAnsi="宋体"/>
          <w:color w:val="000000" w:themeColor="text1"/>
          <w:szCs w:val="21"/>
          <w:highlight w:val="none"/>
          <w14:textFill>
            <w14:solidFill>
              <w14:schemeClr w14:val="tx1"/>
            </w14:solidFill>
          </w14:textFill>
        </w:rPr>
        <w:br w:type="page"/>
      </w:r>
    </w:p>
    <w:p w14:paraId="18861C66">
      <w:pPr>
        <w:pStyle w:val="5"/>
        <w:shd w:val="clear"/>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155" w:name="_Toc5404"/>
      <w:bookmarkStart w:id="156" w:name="_Toc9432"/>
      <w:bookmarkStart w:id="157" w:name="_Toc15246"/>
      <w:bookmarkStart w:id="158" w:name="_Toc13650"/>
    </w:p>
    <w:p w14:paraId="5072141E">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28"/>
          <w:szCs w:val="28"/>
          <w:highlight w:val="none"/>
          <w14:textFill>
            <w14:solidFill>
              <w14:schemeClr w14:val="tx1"/>
            </w14:solidFill>
          </w14:textFill>
        </w:rPr>
        <w:t>十一、投标货物符合招标文件规定的证明文件</w:t>
      </w:r>
      <w:bookmarkEnd w:id="155"/>
      <w:bookmarkEnd w:id="156"/>
      <w:bookmarkEnd w:id="157"/>
      <w:bookmarkEnd w:id="158"/>
    </w:p>
    <w:p w14:paraId="209A4033">
      <w:pPr>
        <w:shd w:val="clea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7AAA7DF7">
      <w:pPr>
        <w:shd w:val="clear"/>
        <w:adjustRightInd w:val="0"/>
        <w:snapToGrid w:val="0"/>
        <w:spacing w:line="360" w:lineRule="auto"/>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备注：提供第五章规定的证明材料。</w:t>
      </w:r>
    </w:p>
    <w:p w14:paraId="70E84A7B">
      <w:pPr>
        <w:widowControl/>
        <w:shd w:val="clear"/>
        <w:jc w:val="left"/>
        <w:rPr>
          <w:rFonts w:ascii="黑体" w:eastAsia="黑体"/>
          <w:color w:val="000000" w:themeColor="text1"/>
          <w:sz w:val="28"/>
          <w:szCs w:val="28"/>
          <w:highlight w:val="none"/>
          <w14:textFill>
            <w14:solidFill>
              <w14:schemeClr w14:val="tx1"/>
            </w14:solidFill>
          </w14:textFill>
        </w:rPr>
      </w:pPr>
      <w:r>
        <w:rPr>
          <w:rFonts w:ascii="黑体" w:eastAsia="黑体"/>
          <w:b/>
          <w:bCs/>
          <w:color w:val="000000" w:themeColor="text1"/>
          <w:sz w:val="28"/>
          <w:szCs w:val="28"/>
          <w:highlight w:val="none"/>
          <w14:textFill>
            <w14:solidFill>
              <w14:schemeClr w14:val="tx1"/>
            </w14:solidFill>
          </w14:textFill>
        </w:rPr>
        <w:br w:type="page"/>
      </w:r>
    </w:p>
    <w:p w14:paraId="3F4B3C03">
      <w:pPr>
        <w:pStyle w:val="5"/>
        <w:shd w:val="clear"/>
        <w:adjustRightInd w:val="0"/>
        <w:snapToGrid w:val="0"/>
        <w:spacing w:before="0" w:after="0" w:line="360" w:lineRule="auto"/>
        <w:jc w:val="center"/>
        <w:rPr>
          <w:rFonts w:hint="eastAsia" w:ascii="黑体" w:hAnsi="宋体" w:eastAsia="黑体"/>
          <w:color w:val="000000" w:themeColor="text1"/>
          <w:sz w:val="28"/>
          <w:szCs w:val="28"/>
          <w:highlight w:val="none"/>
          <w14:textFill>
            <w14:solidFill>
              <w14:schemeClr w14:val="tx1"/>
            </w14:solidFill>
          </w14:textFill>
        </w:rPr>
      </w:pPr>
      <w:bookmarkStart w:id="159" w:name="_Toc28562"/>
      <w:bookmarkStart w:id="160" w:name="_Toc17311"/>
      <w:bookmarkStart w:id="161" w:name="_Toc27730"/>
      <w:bookmarkStart w:id="162" w:name="_Toc21779"/>
    </w:p>
    <w:p w14:paraId="6CBC6EE4">
      <w:pPr>
        <w:pStyle w:val="5"/>
        <w:shd w:val="clear"/>
        <w:adjustRightInd w:val="0"/>
        <w:snapToGrid w:val="0"/>
        <w:spacing w:before="0" w:after="0" w:line="360" w:lineRule="auto"/>
        <w:jc w:val="center"/>
        <w:rPr>
          <w:rFonts w:ascii="黑体" w:hAnsi="宋体" w:eastAsia="黑体"/>
          <w:color w:val="000000" w:themeColor="text1"/>
          <w:sz w:val="28"/>
          <w:szCs w:val="28"/>
          <w:highlight w:val="none"/>
          <w14:textFill>
            <w14:solidFill>
              <w14:schemeClr w14:val="tx1"/>
            </w14:solidFill>
          </w14:textFill>
        </w:rPr>
      </w:pPr>
      <w:r>
        <w:rPr>
          <w:rFonts w:hint="eastAsia" w:ascii="黑体" w:hAnsi="宋体" w:eastAsia="黑体"/>
          <w:color w:val="000000" w:themeColor="text1"/>
          <w:sz w:val="28"/>
          <w:szCs w:val="28"/>
          <w:highlight w:val="none"/>
          <w14:textFill>
            <w14:solidFill>
              <w14:schemeClr w14:val="tx1"/>
            </w14:solidFill>
          </w14:textFill>
        </w:rPr>
        <w:t>十二、投标人认为需提供的其他资料</w:t>
      </w:r>
      <w:bookmarkEnd w:id="159"/>
      <w:bookmarkEnd w:id="160"/>
      <w:bookmarkEnd w:id="161"/>
      <w:bookmarkEnd w:id="162"/>
    </w:p>
    <w:p w14:paraId="33EA775F">
      <w:pPr>
        <w:shd w:val="clear"/>
        <w:adjustRightInd w:val="0"/>
        <w:snapToGrid w:val="0"/>
        <w:spacing w:before="156" w:beforeLines="50" w:line="360" w:lineRule="auto"/>
        <w:rPr>
          <w:rFonts w:asciiTheme="minorEastAsia" w:hAnsiTheme="minorEastAsia" w:eastAsiaTheme="minorEastAsia"/>
          <w:color w:val="000000" w:themeColor="text1"/>
          <w:highlight w:val="none"/>
          <w14:textFill>
            <w14:solidFill>
              <w14:schemeClr w14:val="tx1"/>
            </w14:solidFill>
          </w14:textFill>
        </w:rPr>
      </w:pPr>
    </w:p>
    <w:p w14:paraId="26B404A5">
      <w:pPr>
        <w:shd w:val="clear"/>
        <w:adjustRightInd w:val="0"/>
        <w:snapToGrid w:val="0"/>
        <w:spacing w:before="156" w:beforeLines="50" w:line="360" w:lineRule="auto"/>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备注：投标人认为需提供的其他资料包括：</w:t>
      </w:r>
    </w:p>
    <w:p w14:paraId="002B03AF">
      <w:pPr>
        <w:shd w:val="clear"/>
        <w:adjustRightInd w:val="0"/>
        <w:snapToGrid w:val="0"/>
        <w:spacing w:before="156" w:beforeLines="50" w:line="360" w:lineRule="auto"/>
        <w:ind w:firstLine="420" w:firstLineChars="200"/>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（1）招标文件第五章采购需求要求的其他资料；</w:t>
      </w:r>
    </w:p>
    <w:p w14:paraId="4440E279">
      <w:pPr>
        <w:shd w:val="clear"/>
        <w:adjustRightInd w:val="0"/>
        <w:snapToGrid w:val="0"/>
        <w:spacing w:before="156" w:beforeLines="50" w:line="360" w:lineRule="auto"/>
        <w:ind w:firstLine="420" w:firstLineChars="200"/>
        <w:rPr>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（2）招标文件第四章评标方法及标准要求的其他相关资料。</w:t>
      </w:r>
    </w:p>
    <w:sectPr>
      <w:headerReference r:id="rId12" w:type="default"/>
      <w:pgSz w:w="11906" w:h="16838"/>
      <w:pgMar w:top="1446" w:right="1157" w:bottom="1457" w:left="1015" w:header="850" w:footer="992" w:gutter="0"/>
      <w:pgBorders>
        <w:top w:val="none" w:sz="0" w:space="0"/>
        <w:left w:val="none" w:sz="0" w:space="0"/>
        <w:bottom w:val="none" w:sz="0" w:space="0"/>
        <w:right w:val="none" w:sz="0" w:space="0"/>
      </w:pgBorders>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范蠡" w:date="2026-04-20T15:15:15Z" w:initials="">
    <w:p w14:paraId="47152846">
      <w:pP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收否接收联合体投标由投标人资格要求移动至此处</w:t>
      </w:r>
    </w:p>
  </w:comment>
  <w:comment w:id="1" w:author="范蠡" w:date="2025-09-03T15:04:43Z" w:initials="">
    <w:p w14:paraId="7BAB0346">
      <w:pP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按包填写采购需求内容</w:t>
      </w:r>
    </w:p>
  </w:comment>
  <w:comment w:id="2" w:author="范蠡" w:date="2026-04-20T15:08:35Z" w:initials="">
    <w:p w14:paraId="5B1C35E8">
      <w:pP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投标人基本资格条件，固定文案进行调整</w:t>
      </w:r>
    </w:p>
  </w:comment>
  <w:comment w:id="3" w:author="范蠡" w:date="2026-04-20T15:10:19Z" w:initials="">
    <w:p w14:paraId="0F2DF396">
      <w:pPr>
        <w:rPr>
          <w:rFonts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更新政府采购政策资格要求</w:t>
      </w:r>
    </w:p>
  </w:comment>
  <w:comment w:id="4" w:author="范蠡" w:date="2025-09-03T15:07:16Z" w:initials="">
    <w:p w14:paraId="7A10BA84">
      <w:pP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按包填写</w:t>
      </w:r>
    </w:p>
  </w:comment>
  <w:comment w:id="5" w:author="范蠡" w:date="2025-09-03T15:12:57Z" w:initials="">
    <w:p w14:paraId="59A293BE">
      <w:pPr>
        <w:rPr>
          <w:rFonts w:ascii="宋体" w:hAnsi="宋体" w:eastAsia="宋体" w:cs="宋体"/>
          <w:color w:val="auto"/>
          <w:sz w:val="24"/>
          <w:szCs w:val="24"/>
          <w:lang w:val="en-US" w:eastAsia="zh-CN" w:bidi="ar-SA"/>
        </w:rPr>
      </w:pPr>
      <w:r>
        <w:rPr>
          <w:rFonts w:hint="eastAsia" w:ascii="宋体" w:hAnsi="宋体" w:eastAsia="宋体" w:cs="宋体"/>
          <w:color w:val="auto"/>
          <w:sz w:val="28"/>
          <w:szCs w:val="28"/>
          <w:u w:val="single"/>
          <w:lang w:val="en-US" w:eastAsia="zh-CN" w:bidi="ar-SA"/>
        </w:rPr>
        <w:t>（线上获取/线下获取）</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7152846" w15:done="0"/>
  <w15:commentEx w15:paraId="7BAB0346" w15:done="0"/>
  <w15:commentEx w15:paraId="5B1C35E8" w15:done="0"/>
  <w15:commentEx w15:paraId="0F2DF396" w15:done="0"/>
  <w15:commentEx w15:paraId="7A10BA84" w15:done="0"/>
  <w15:commentEx w15:paraId="59A293B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4F4F629-52BA-4D84-9429-BE74AAB86690}"/>
  </w:font>
  <w:font w:name="黑体">
    <w:panose1 w:val="02010609060101010101"/>
    <w:charset w:val="86"/>
    <w:family w:val="auto"/>
    <w:pitch w:val="default"/>
    <w:sig w:usb0="800002BF" w:usb1="38CF7CFA" w:usb2="00000016" w:usb3="00000000" w:csb0="00040001" w:csb1="00000000"/>
    <w:embedRegular r:id="rId2" w:fontKey="{8E7860E8-7914-4A1B-A4C8-A871B4A653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B2244BB-F9DD-4E29-A21E-3593D0525756}"/>
  </w:font>
  <w:font w:name="微软雅黑">
    <w:panose1 w:val="020B0503020204020204"/>
    <w:charset w:val="86"/>
    <w:family w:val="auto"/>
    <w:pitch w:val="default"/>
    <w:sig w:usb0="80000287" w:usb1="2ACF3C50" w:usb2="00000016" w:usb3="00000000" w:csb0="0004001F" w:csb1="00000000"/>
    <w:embedRegular r:id="rId4" w:fontKey="{9AC02603-F1C4-40CB-B705-FD2E8031D66E}"/>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embedRegular r:id="rId5" w:fontKey="{CF7276FA-4A62-458D-ADFB-43D54ECA635F}"/>
  </w:font>
  <w:font w:name="仿宋">
    <w:panose1 w:val="02010609060101010101"/>
    <w:charset w:val="86"/>
    <w:family w:val="auto"/>
    <w:pitch w:val="default"/>
    <w:sig w:usb0="800002BF" w:usb1="38CF7CFA" w:usb2="00000016" w:usb3="00000000" w:csb0="00040001" w:csb1="00000000"/>
    <w:embedRegular r:id="rId6" w:fontKey="{E2976066-E592-4F01-96EB-A7641F11109B}"/>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embedRegular r:id="rId7" w:fontKey="{8BF67A59-E591-4368-9533-480E27095EE9}"/>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embedRegular r:id="rId8" w:fontKey="{6329963A-307C-4D53-8E8D-7264BF52F29C}"/>
  </w:font>
  <w:font w:name="Wingdings 2">
    <w:panose1 w:val="05020102010507070707"/>
    <w:charset w:val="02"/>
    <w:family w:val="roman"/>
    <w:pitch w:val="default"/>
    <w:sig w:usb0="00000000" w:usb1="00000000" w:usb2="00000000" w:usb3="00000000" w:csb0="80000000" w:csb1="00000000"/>
    <w:embedRegular r:id="rId9" w:fontKey="{BD3E9500-197F-4EC4-A1B0-87D431FA8D55}"/>
  </w:font>
  <w:font w:name="Microsoft YaHei UI">
    <w:panose1 w:val="020B0503020204020204"/>
    <w:charset w:val="86"/>
    <w:family w:val="auto"/>
    <w:pitch w:val="default"/>
    <w:sig w:usb0="80000287" w:usb1="2ACF3C50" w:usb2="00000016" w:usb3="00000000" w:csb0="0004001F" w:csb1="00000000"/>
    <w:embedRegular r:id="rId10" w:fontKey="{EE75811E-30F4-4EA3-9D3B-BA802E32186B}"/>
  </w:font>
  <w:font w:name="华文宋体">
    <w:panose1 w:val="02010600040101010101"/>
    <w:charset w:val="86"/>
    <w:family w:val="auto"/>
    <w:pitch w:val="default"/>
    <w:sig w:usb0="00000287" w:usb1="080F0000" w:usb2="00000000" w:usb3="00000000" w:csb0="0004009F" w:csb1="DFD70000"/>
    <w:embedRegular r:id="rId11" w:fontKey="{B4A301F7-325E-493A-9448-2F1441A9F394}"/>
  </w:font>
  <w:font w:name="WPSEMBED1">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CC295">
    <w:pPr>
      <w:pStyle w:val="2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6FCE42">
                          <w:pPr>
                            <w:pStyle w:val="27"/>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7E6FCE42">
                    <w:pPr>
                      <w:pStyle w:val="2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33319">
    <w:pPr>
      <w:pStyle w:val="27"/>
      <w:framePr w:wrap="around" w:vAnchor="text" w:hAnchor="margin" w:xAlign="right" w:y="1"/>
      <w:rPr>
        <w:rStyle w:val="47"/>
      </w:rPr>
    </w:pPr>
    <w:r>
      <w:fldChar w:fldCharType="begin"/>
    </w:r>
    <w:r>
      <w:rPr>
        <w:rStyle w:val="47"/>
      </w:rPr>
      <w:instrText xml:space="preserve">PAGE  </w:instrText>
    </w:r>
    <w:r>
      <w:fldChar w:fldCharType="end"/>
    </w:r>
  </w:p>
  <w:p w14:paraId="521B2586">
    <w:pPr>
      <w:pStyle w:val="2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D7A9">
    <w:pPr>
      <w:spacing w:line="176" w:lineRule="auto"/>
      <w:ind w:left="43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2A8C41">
                          <w:pPr>
                            <w:pStyle w:val="27"/>
                          </w:pPr>
                          <w:r>
                            <w:fldChar w:fldCharType="begin"/>
                          </w:r>
                          <w:r>
                            <w:instrText xml:space="preserve"> PAGE  \* MERGEFORMAT </w:instrText>
                          </w:r>
                          <w:r>
                            <w:fldChar w:fldCharType="separate"/>
                          </w:r>
                          <w:r>
                            <w:t>110</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4E2A8C41">
                    <w:pPr>
                      <w:pStyle w:val="27"/>
                    </w:pPr>
                    <w:r>
                      <w:fldChar w:fldCharType="begin"/>
                    </w:r>
                    <w:r>
                      <w:instrText xml:space="preserve"> PAGE  \* MERGEFORMAT </w:instrText>
                    </w:r>
                    <w:r>
                      <w:fldChar w:fldCharType="separate"/>
                    </w:r>
                    <w:r>
                      <w:t>110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7EE68">
    <w:pPr>
      <w:pStyle w:val="28"/>
      <w:pBdr>
        <w:top w:val="none" w:color="auto" w:sz="0" w:space="0"/>
        <w:left w:val="none" w:color="auto" w:sz="0" w:space="0"/>
        <w:bottom w:val="none" w:color="auto" w:sz="0" w:space="1"/>
        <w:right w:val="none" w:color="auto" w:sz="0" w:space="0"/>
        <w:between w:val="none" w:color="auto" w:sz="0" w:space="0"/>
      </w:pBdr>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C1AF7">
    <w:pPr>
      <w:pStyle w:val="2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64509">
    <w:pPr>
      <w:pStyle w:val="2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9CD8A">
    <w:pPr>
      <w:pStyle w:val="16"/>
      <w:spacing w:line="46"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B1815">
    <w:pPr>
      <w:pStyle w:val="28"/>
      <w:jc w:val="both"/>
      <w:rPr>
        <w:rFonts w:ascii="宋体" w:hAnsi="宋体"/>
        <w:szCs w:val="21"/>
      </w:rPr>
    </w:pPr>
  </w:p>
  <w:p w14:paraId="119FAE27">
    <w:pPr>
      <w:pStyle w:val="28"/>
      <w:jc w:val="both"/>
      <w:rPr>
        <w:rFonts w:hint="eastAsia" w:eastAsia="宋体"/>
        <w:lang w:eastAsia="zh-CN"/>
      </w:rPr>
    </w:pPr>
    <w:r>
      <w:rPr>
        <w:rFonts w:hint="eastAsia" w:ascii="宋体" w:hAnsi="宋体"/>
        <w:szCs w:val="21"/>
        <w:lang w:eastAsia="zh-CN"/>
      </w:rPr>
      <w:t>岳阳市君山区人民医院全自动凝血分析仪等设备采购项目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EF8B7D"/>
    <w:multiLevelType w:val="singleLevel"/>
    <w:tmpl w:val="86EF8B7D"/>
    <w:lvl w:ilvl="0" w:tentative="0">
      <w:start w:val="3"/>
      <w:numFmt w:val="decimal"/>
      <w:suff w:val="nothing"/>
      <w:lvlText w:val="%1、"/>
      <w:lvlJc w:val="left"/>
    </w:lvl>
  </w:abstractNum>
  <w:abstractNum w:abstractNumId="1">
    <w:nsid w:val="90DAE1F9"/>
    <w:multiLevelType w:val="singleLevel"/>
    <w:tmpl w:val="90DAE1F9"/>
    <w:lvl w:ilvl="0" w:tentative="0">
      <w:start w:val="1"/>
      <w:numFmt w:val="chineseCounting"/>
      <w:suff w:val="space"/>
      <w:lvlText w:val="第%1部分"/>
      <w:lvlJc w:val="left"/>
      <w:rPr>
        <w:rFonts w:hint="eastAsia"/>
      </w:rPr>
    </w:lvl>
  </w:abstractNum>
  <w:abstractNum w:abstractNumId="2">
    <w:nsid w:val="C5D8CFDB"/>
    <w:multiLevelType w:val="multilevel"/>
    <w:tmpl w:val="C5D8CFDB"/>
    <w:lvl w:ilvl="0" w:tentative="0">
      <w:start w:val="1"/>
      <w:numFmt w:val="decimal"/>
      <w:lvlText w:val="%1."/>
      <w:lvlJc w:val="left"/>
      <w:pPr>
        <w:ind w:left="425" w:hanging="425"/>
      </w:pPr>
    </w:lvl>
    <w:lvl w:ilvl="1" w:tentative="0">
      <w:start w:val="1"/>
      <w:numFmt w:val="decimal"/>
      <w:lvlText w:val="%1.%2."/>
      <w:lvlJc w:val="left"/>
      <w:pPr>
        <w:ind w:left="850" w:hanging="453"/>
      </w:pPr>
    </w:lvl>
    <w:lvl w:ilvl="2" w:tentative="0">
      <w:start w:val="1"/>
      <w:numFmt w:val="decimal"/>
      <w:lvlText w:val="%1.%2.%3."/>
      <w:lvlJc w:val="left"/>
      <w:pPr>
        <w:ind w:left="1508" w:hanging="708"/>
      </w:pPr>
    </w:lvl>
    <w:lvl w:ilvl="3" w:tentative="0">
      <w:start w:val="1"/>
      <w:numFmt w:val="decimal"/>
      <w:lvlText w:val="%1.%2.%3.%4."/>
      <w:lvlJc w:val="left"/>
      <w:pPr>
        <w:ind w:left="2053" w:hanging="853"/>
      </w:pPr>
    </w:lvl>
    <w:lvl w:ilvl="4" w:tentative="0">
      <w:start w:val="1"/>
      <w:numFmt w:val="decimal"/>
      <w:lvlText w:val="%1.%2.%3.%4.%5."/>
      <w:lvlJc w:val="left"/>
      <w:pPr>
        <w:ind w:left="2495" w:hanging="895"/>
      </w:pPr>
    </w:lvl>
    <w:lvl w:ilvl="5" w:tentative="0">
      <w:start w:val="1"/>
      <w:numFmt w:val="decimal"/>
      <w:lvlText w:val="%1.%2.%3.%4.%5.%6."/>
      <w:lvlJc w:val="left"/>
      <w:pPr>
        <w:ind w:left="3136" w:hanging="1136"/>
      </w:pPr>
    </w:lvl>
    <w:lvl w:ilvl="6" w:tentative="0">
      <w:start w:val="1"/>
      <w:numFmt w:val="decimal"/>
      <w:lvlText w:val="%1.%2.%3.%4.%5.%6.%7."/>
      <w:lvlJc w:val="left"/>
      <w:pPr>
        <w:ind w:left="3673" w:hanging="1273"/>
      </w:pPr>
    </w:lvl>
    <w:lvl w:ilvl="7" w:tentative="0">
      <w:start w:val="1"/>
      <w:numFmt w:val="decimal"/>
      <w:lvlText w:val="%1.%2.%3.%4.%5.%6.%7.%8."/>
      <w:lvlJc w:val="left"/>
      <w:pPr>
        <w:ind w:left="4218" w:hanging="1418"/>
      </w:pPr>
    </w:lvl>
    <w:lvl w:ilvl="8" w:tentative="0">
      <w:start w:val="1"/>
      <w:numFmt w:val="decimal"/>
      <w:lvlText w:val="%1.%2.%3.%4.%5.%6.%7.%8.%9."/>
      <w:lvlJc w:val="left"/>
      <w:pPr>
        <w:ind w:left="4648" w:hanging="1448"/>
      </w:pPr>
    </w:lvl>
  </w:abstractNum>
  <w:abstractNum w:abstractNumId="3">
    <w:nsid w:val="CFD622DC"/>
    <w:multiLevelType w:val="singleLevel"/>
    <w:tmpl w:val="CFD622DC"/>
    <w:lvl w:ilvl="0" w:tentative="0">
      <w:start w:val="1"/>
      <w:numFmt w:val="decimal"/>
      <w:suff w:val="nothing"/>
      <w:lvlText w:val="%1、"/>
      <w:lvlJc w:val="left"/>
    </w:lvl>
  </w:abstractNum>
  <w:abstractNum w:abstractNumId="4">
    <w:nsid w:val="3BE2A245"/>
    <w:multiLevelType w:val="singleLevel"/>
    <w:tmpl w:val="3BE2A245"/>
    <w:lvl w:ilvl="0" w:tentative="0">
      <w:start w:val="1"/>
      <w:numFmt w:val="decimal"/>
      <w:suff w:val="nothing"/>
      <w:lvlText w:val="%1、"/>
      <w:lvlJc w:val="left"/>
    </w:lvl>
  </w:abstractNum>
  <w:abstractNum w:abstractNumId="5">
    <w:nsid w:val="7B5FF327"/>
    <w:multiLevelType w:val="singleLevel"/>
    <w:tmpl w:val="7B5FF327"/>
    <w:lvl w:ilvl="0" w:tentative="0">
      <w:start w:val="2"/>
      <w:numFmt w:val="chineseCounting"/>
      <w:suff w:val="nothing"/>
      <w:lvlText w:val="%1、"/>
      <w:lvlJc w:val="left"/>
      <w:rPr>
        <w:rFonts w:hint="eastAsia"/>
      </w:rPr>
    </w:lvl>
  </w:abstractNum>
  <w:num w:numId="1">
    <w:abstractNumId w:val="5"/>
  </w:num>
  <w:num w:numId="2">
    <w:abstractNumId w:val="0"/>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范蠡">
    <w15:presenceInfo w15:providerId="WPS Office" w15:userId="6062974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4ZjcyYTBkZTZiMDBlMzg1YTg2ZWUzZWQyOWU2MzkifQ=="/>
  </w:docVars>
  <w:rsids>
    <w:rsidRoot w:val="007434B4"/>
    <w:rsid w:val="000013FE"/>
    <w:rsid w:val="0000186F"/>
    <w:rsid w:val="00001A03"/>
    <w:rsid w:val="000037DE"/>
    <w:rsid w:val="0001024D"/>
    <w:rsid w:val="00010382"/>
    <w:rsid w:val="0001087B"/>
    <w:rsid w:val="00011857"/>
    <w:rsid w:val="0001310B"/>
    <w:rsid w:val="00013466"/>
    <w:rsid w:val="00013574"/>
    <w:rsid w:val="00013923"/>
    <w:rsid w:val="0001686F"/>
    <w:rsid w:val="00017581"/>
    <w:rsid w:val="00017649"/>
    <w:rsid w:val="00017F9C"/>
    <w:rsid w:val="00022FDC"/>
    <w:rsid w:val="0002404C"/>
    <w:rsid w:val="000252F0"/>
    <w:rsid w:val="00025EED"/>
    <w:rsid w:val="000260CC"/>
    <w:rsid w:val="00031705"/>
    <w:rsid w:val="000333AE"/>
    <w:rsid w:val="000356C7"/>
    <w:rsid w:val="000358FA"/>
    <w:rsid w:val="00037B3D"/>
    <w:rsid w:val="00040247"/>
    <w:rsid w:val="00040313"/>
    <w:rsid w:val="00040E14"/>
    <w:rsid w:val="00043E01"/>
    <w:rsid w:val="0004524C"/>
    <w:rsid w:val="00045920"/>
    <w:rsid w:val="00045B4B"/>
    <w:rsid w:val="00045C73"/>
    <w:rsid w:val="00046881"/>
    <w:rsid w:val="000508AD"/>
    <w:rsid w:val="0005168D"/>
    <w:rsid w:val="00053BE1"/>
    <w:rsid w:val="00053C94"/>
    <w:rsid w:val="00057421"/>
    <w:rsid w:val="00061310"/>
    <w:rsid w:val="00061914"/>
    <w:rsid w:val="00063D23"/>
    <w:rsid w:val="00064B39"/>
    <w:rsid w:val="00065B0D"/>
    <w:rsid w:val="000662FC"/>
    <w:rsid w:val="000677C7"/>
    <w:rsid w:val="00067D62"/>
    <w:rsid w:val="00072573"/>
    <w:rsid w:val="0007343D"/>
    <w:rsid w:val="000745C1"/>
    <w:rsid w:val="0007473A"/>
    <w:rsid w:val="00074CB8"/>
    <w:rsid w:val="00076502"/>
    <w:rsid w:val="000775DD"/>
    <w:rsid w:val="00080119"/>
    <w:rsid w:val="00082346"/>
    <w:rsid w:val="000841E5"/>
    <w:rsid w:val="00085D83"/>
    <w:rsid w:val="00087CA6"/>
    <w:rsid w:val="00091751"/>
    <w:rsid w:val="000917F5"/>
    <w:rsid w:val="0009282A"/>
    <w:rsid w:val="00092E61"/>
    <w:rsid w:val="00093D94"/>
    <w:rsid w:val="0009483A"/>
    <w:rsid w:val="00094FEB"/>
    <w:rsid w:val="000A0601"/>
    <w:rsid w:val="000A0657"/>
    <w:rsid w:val="000A0CD6"/>
    <w:rsid w:val="000A2631"/>
    <w:rsid w:val="000A2B0D"/>
    <w:rsid w:val="000A4283"/>
    <w:rsid w:val="000A6AFA"/>
    <w:rsid w:val="000B07FC"/>
    <w:rsid w:val="000B150D"/>
    <w:rsid w:val="000B1637"/>
    <w:rsid w:val="000B1715"/>
    <w:rsid w:val="000B2722"/>
    <w:rsid w:val="000B320F"/>
    <w:rsid w:val="000B3A4F"/>
    <w:rsid w:val="000B538A"/>
    <w:rsid w:val="000B5D7D"/>
    <w:rsid w:val="000B67D9"/>
    <w:rsid w:val="000B6EA7"/>
    <w:rsid w:val="000B7DF1"/>
    <w:rsid w:val="000B7EF8"/>
    <w:rsid w:val="000C245B"/>
    <w:rsid w:val="000C2AE6"/>
    <w:rsid w:val="000C354A"/>
    <w:rsid w:val="000C3BCA"/>
    <w:rsid w:val="000C40DE"/>
    <w:rsid w:val="000C4FD9"/>
    <w:rsid w:val="000C52A0"/>
    <w:rsid w:val="000C6B2C"/>
    <w:rsid w:val="000C6F5A"/>
    <w:rsid w:val="000D04C8"/>
    <w:rsid w:val="000D0E5E"/>
    <w:rsid w:val="000D1018"/>
    <w:rsid w:val="000D2A3F"/>
    <w:rsid w:val="000D3510"/>
    <w:rsid w:val="000D5249"/>
    <w:rsid w:val="000D58F0"/>
    <w:rsid w:val="000D6421"/>
    <w:rsid w:val="000D6514"/>
    <w:rsid w:val="000E1791"/>
    <w:rsid w:val="000E3571"/>
    <w:rsid w:val="000E46D9"/>
    <w:rsid w:val="000E4E95"/>
    <w:rsid w:val="000E50DD"/>
    <w:rsid w:val="000E7417"/>
    <w:rsid w:val="000E741F"/>
    <w:rsid w:val="000F1A45"/>
    <w:rsid w:val="000F1AF9"/>
    <w:rsid w:val="000F21C8"/>
    <w:rsid w:val="000F2B29"/>
    <w:rsid w:val="000F2BB1"/>
    <w:rsid w:val="000F3139"/>
    <w:rsid w:val="000F4155"/>
    <w:rsid w:val="000F44CB"/>
    <w:rsid w:val="000F5099"/>
    <w:rsid w:val="000F5866"/>
    <w:rsid w:val="000F74AB"/>
    <w:rsid w:val="000F7F2A"/>
    <w:rsid w:val="001047E3"/>
    <w:rsid w:val="00105A9C"/>
    <w:rsid w:val="00106446"/>
    <w:rsid w:val="00110B4B"/>
    <w:rsid w:val="00111596"/>
    <w:rsid w:val="00111CC9"/>
    <w:rsid w:val="00112032"/>
    <w:rsid w:val="00113388"/>
    <w:rsid w:val="00113C61"/>
    <w:rsid w:val="00114318"/>
    <w:rsid w:val="0011569B"/>
    <w:rsid w:val="001228FD"/>
    <w:rsid w:val="001238BC"/>
    <w:rsid w:val="001239FE"/>
    <w:rsid w:val="00124410"/>
    <w:rsid w:val="0012510B"/>
    <w:rsid w:val="00125769"/>
    <w:rsid w:val="00125F48"/>
    <w:rsid w:val="00131028"/>
    <w:rsid w:val="0013172D"/>
    <w:rsid w:val="00132924"/>
    <w:rsid w:val="00134894"/>
    <w:rsid w:val="001413DF"/>
    <w:rsid w:val="00141BEE"/>
    <w:rsid w:val="0014220A"/>
    <w:rsid w:val="00144141"/>
    <w:rsid w:val="001443BC"/>
    <w:rsid w:val="0014699B"/>
    <w:rsid w:val="00146D14"/>
    <w:rsid w:val="00146EB7"/>
    <w:rsid w:val="00147238"/>
    <w:rsid w:val="00153C89"/>
    <w:rsid w:val="00160BD3"/>
    <w:rsid w:val="001617E9"/>
    <w:rsid w:val="00162366"/>
    <w:rsid w:val="00162F23"/>
    <w:rsid w:val="00163AAA"/>
    <w:rsid w:val="00164661"/>
    <w:rsid w:val="00167763"/>
    <w:rsid w:val="001708E8"/>
    <w:rsid w:val="001728CA"/>
    <w:rsid w:val="00173D83"/>
    <w:rsid w:val="00173FFE"/>
    <w:rsid w:val="00175FE2"/>
    <w:rsid w:val="0017741D"/>
    <w:rsid w:val="00181A2A"/>
    <w:rsid w:val="00181D2E"/>
    <w:rsid w:val="00182D9F"/>
    <w:rsid w:val="001846F2"/>
    <w:rsid w:val="001850A4"/>
    <w:rsid w:val="001851A9"/>
    <w:rsid w:val="00185B43"/>
    <w:rsid w:val="00187DB6"/>
    <w:rsid w:val="00190C8F"/>
    <w:rsid w:val="00192075"/>
    <w:rsid w:val="001924BD"/>
    <w:rsid w:val="00197153"/>
    <w:rsid w:val="00197441"/>
    <w:rsid w:val="001A053D"/>
    <w:rsid w:val="001A101A"/>
    <w:rsid w:val="001A2566"/>
    <w:rsid w:val="001A3AA5"/>
    <w:rsid w:val="001A3AFC"/>
    <w:rsid w:val="001A561A"/>
    <w:rsid w:val="001A58C6"/>
    <w:rsid w:val="001B2294"/>
    <w:rsid w:val="001B313B"/>
    <w:rsid w:val="001B4F01"/>
    <w:rsid w:val="001B5907"/>
    <w:rsid w:val="001B6F4A"/>
    <w:rsid w:val="001C274B"/>
    <w:rsid w:val="001C28D3"/>
    <w:rsid w:val="001C319E"/>
    <w:rsid w:val="001C3EC1"/>
    <w:rsid w:val="001C483D"/>
    <w:rsid w:val="001C5444"/>
    <w:rsid w:val="001D0919"/>
    <w:rsid w:val="001D0F5F"/>
    <w:rsid w:val="001D26DC"/>
    <w:rsid w:val="001D300D"/>
    <w:rsid w:val="001D302B"/>
    <w:rsid w:val="001D5B75"/>
    <w:rsid w:val="001E3D6A"/>
    <w:rsid w:val="001E4458"/>
    <w:rsid w:val="001E59F7"/>
    <w:rsid w:val="001E6451"/>
    <w:rsid w:val="001F1819"/>
    <w:rsid w:val="001F4878"/>
    <w:rsid w:val="001F513F"/>
    <w:rsid w:val="001F526E"/>
    <w:rsid w:val="001F5B18"/>
    <w:rsid w:val="001F7A1C"/>
    <w:rsid w:val="001F7AFA"/>
    <w:rsid w:val="002008A9"/>
    <w:rsid w:val="00200C39"/>
    <w:rsid w:val="002018AB"/>
    <w:rsid w:val="002023F0"/>
    <w:rsid w:val="0020308E"/>
    <w:rsid w:val="00203EA6"/>
    <w:rsid w:val="002049F8"/>
    <w:rsid w:val="00205025"/>
    <w:rsid w:val="00210F21"/>
    <w:rsid w:val="0021139E"/>
    <w:rsid w:val="002120B7"/>
    <w:rsid w:val="0021498F"/>
    <w:rsid w:val="0021548B"/>
    <w:rsid w:val="00215D98"/>
    <w:rsid w:val="00221240"/>
    <w:rsid w:val="00221BE4"/>
    <w:rsid w:val="00223541"/>
    <w:rsid w:val="002240A4"/>
    <w:rsid w:val="00226BA8"/>
    <w:rsid w:val="0023235C"/>
    <w:rsid w:val="00232836"/>
    <w:rsid w:val="00235123"/>
    <w:rsid w:val="0023554B"/>
    <w:rsid w:val="00236C48"/>
    <w:rsid w:val="0024057D"/>
    <w:rsid w:val="002414D4"/>
    <w:rsid w:val="002419D0"/>
    <w:rsid w:val="00242270"/>
    <w:rsid w:val="00242A62"/>
    <w:rsid w:val="002444EA"/>
    <w:rsid w:val="00245EF6"/>
    <w:rsid w:val="0025131F"/>
    <w:rsid w:val="00253669"/>
    <w:rsid w:val="00254043"/>
    <w:rsid w:val="00255AC7"/>
    <w:rsid w:val="00256069"/>
    <w:rsid w:val="00256A84"/>
    <w:rsid w:val="002579E4"/>
    <w:rsid w:val="00261AC6"/>
    <w:rsid w:val="00262EA5"/>
    <w:rsid w:val="00262FCB"/>
    <w:rsid w:val="00263878"/>
    <w:rsid w:val="002643E5"/>
    <w:rsid w:val="00264EB2"/>
    <w:rsid w:val="00265009"/>
    <w:rsid w:val="00265BE6"/>
    <w:rsid w:val="00265E1A"/>
    <w:rsid w:val="002663DF"/>
    <w:rsid w:val="0026705D"/>
    <w:rsid w:val="00267881"/>
    <w:rsid w:val="00267C83"/>
    <w:rsid w:val="002716ED"/>
    <w:rsid w:val="00271749"/>
    <w:rsid w:val="002721FF"/>
    <w:rsid w:val="00272498"/>
    <w:rsid w:val="00276AC4"/>
    <w:rsid w:val="0027767A"/>
    <w:rsid w:val="002815E4"/>
    <w:rsid w:val="0028240A"/>
    <w:rsid w:val="00283A43"/>
    <w:rsid w:val="0028486F"/>
    <w:rsid w:val="002855D4"/>
    <w:rsid w:val="00285A81"/>
    <w:rsid w:val="00285F61"/>
    <w:rsid w:val="002868A8"/>
    <w:rsid w:val="00287359"/>
    <w:rsid w:val="00290DAB"/>
    <w:rsid w:val="00291C24"/>
    <w:rsid w:val="00292441"/>
    <w:rsid w:val="00292F73"/>
    <w:rsid w:val="00293A07"/>
    <w:rsid w:val="00297284"/>
    <w:rsid w:val="00297B75"/>
    <w:rsid w:val="002A0C4E"/>
    <w:rsid w:val="002A1672"/>
    <w:rsid w:val="002A22D6"/>
    <w:rsid w:val="002A253A"/>
    <w:rsid w:val="002A3505"/>
    <w:rsid w:val="002A4598"/>
    <w:rsid w:val="002A65E2"/>
    <w:rsid w:val="002A7BBC"/>
    <w:rsid w:val="002B15AC"/>
    <w:rsid w:val="002B1662"/>
    <w:rsid w:val="002B33E8"/>
    <w:rsid w:val="002B3839"/>
    <w:rsid w:val="002B469A"/>
    <w:rsid w:val="002B51EA"/>
    <w:rsid w:val="002B61B1"/>
    <w:rsid w:val="002C0D89"/>
    <w:rsid w:val="002C1AB9"/>
    <w:rsid w:val="002C2061"/>
    <w:rsid w:val="002C2D6E"/>
    <w:rsid w:val="002C363B"/>
    <w:rsid w:val="002C465A"/>
    <w:rsid w:val="002C6E3F"/>
    <w:rsid w:val="002D0233"/>
    <w:rsid w:val="002D13DD"/>
    <w:rsid w:val="002D2F30"/>
    <w:rsid w:val="002D61AB"/>
    <w:rsid w:val="002D6A0A"/>
    <w:rsid w:val="002E236F"/>
    <w:rsid w:val="002E273F"/>
    <w:rsid w:val="002E28E9"/>
    <w:rsid w:val="002E36ED"/>
    <w:rsid w:val="002E61AD"/>
    <w:rsid w:val="002E7BC9"/>
    <w:rsid w:val="002F08D1"/>
    <w:rsid w:val="002F16E6"/>
    <w:rsid w:val="002F1C4E"/>
    <w:rsid w:val="002F4865"/>
    <w:rsid w:val="002F654F"/>
    <w:rsid w:val="002F7B60"/>
    <w:rsid w:val="003009CE"/>
    <w:rsid w:val="00300C8F"/>
    <w:rsid w:val="00304B00"/>
    <w:rsid w:val="00306A74"/>
    <w:rsid w:val="003107CD"/>
    <w:rsid w:val="00313325"/>
    <w:rsid w:val="00313A4D"/>
    <w:rsid w:val="00313F34"/>
    <w:rsid w:val="00314D70"/>
    <w:rsid w:val="00314DB9"/>
    <w:rsid w:val="00321E2F"/>
    <w:rsid w:val="0032557C"/>
    <w:rsid w:val="00331031"/>
    <w:rsid w:val="003350FF"/>
    <w:rsid w:val="00335CCE"/>
    <w:rsid w:val="00335FD1"/>
    <w:rsid w:val="003401C3"/>
    <w:rsid w:val="00340374"/>
    <w:rsid w:val="003405EA"/>
    <w:rsid w:val="00340A1C"/>
    <w:rsid w:val="00340B45"/>
    <w:rsid w:val="00342E44"/>
    <w:rsid w:val="00342EA3"/>
    <w:rsid w:val="00347DC8"/>
    <w:rsid w:val="00350118"/>
    <w:rsid w:val="00350642"/>
    <w:rsid w:val="0035087B"/>
    <w:rsid w:val="00352E5D"/>
    <w:rsid w:val="00353D3F"/>
    <w:rsid w:val="00354E41"/>
    <w:rsid w:val="003563EA"/>
    <w:rsid w:val="0035647A"/>
    <w:rsid w:val="00356C0C"/>
    <w:rsid w:val="0036003D"/>
    <w:rsid w:val="00361E5C"/>
    <w:rsid w:val="00363E91"/>
    <w:rsid w:val="00365849"/>
    <w:rsid w:val="0036754C"/>
    <w:rsid w:val="00367761"/>
    <w:rsid w:val="003716F6"/>
    <w:rsid w:val="00371F00"/>
    <w:rsid w:val="00372394"/>
    <w:rsid w:val="003723EC"/>
    <w:rsid w:val="00372E6F"/>
    <w:rsid w:val="00373228"/>
    <w:rsid w:val="00375879"/>
    <w:rsid w:val="003759A5"/>
    <w:rsid w:val="0037765F"/>
    <w:rsid w:val="0037789B"/>
    <w:rsid w:val="003779F0"/>
    <w:rsid w:val="00381353"/>
    <w:rsid w:val="003822E5"/>
    <w:rsid w:val="00382317"/>
    <w:rsid w:val="00383E27"/>
    <w:rsid w:val="00384F53"/>
    <w:rsid w:val="00385B02"/>
    <w:rsid w:val="00387315"/>
    <w:rsid w:val="00390203"/>
    <w:rsid w:val="00391805"/>
    <w:rsid w:val="003966A4"/>
    <w:rsid w:val="003A246B"/>
    <w:rsid w:val="003A2C11"/>
    <w:rsid w:val="003A4099"/>
    <w:rsid w:val="003A48A3"/>
    <w:rsid w:val="003A4D32"/>
    <w:rsid w:val="003A56B4"/>
    <w:rsid w:val="003A7D94"/>
    <w:rsid w:val="003B074C"/>
    <w:rsid w:val="003B099D"/>
    <w:rsid w:val="003B1302"/>
    <w:rsid w:val="003B652C"/>
    <w:rsid w:val="003B65C0"/>
    <w:rsid w:val="003B7843"/>
    <w:rsid w:val="003C0A14"/>
    <w:rsid w:val="003C1256"/>
    <w:rsid w:val="003C1404"/>
    <w:rsid w:val="003C193D"/>
    <w:rsid w:val="003C2F63"/>
    <w:rsid w:val="003C604E"/>
    <w:rsid w:val="003C7688"/>
    <w:rsid w:val="003C7A73"/>
    <w:rsid w:val="003D16A0"/>
    <w:rsid w:val="003D2368"/>
    <w:rsid w:val="003D2A6B"/>
    <w:rsid w:val="003D4669"/>
    <w:rsid w:val="003D475A"/>
    <w:rsid w:val="003D5168"/>
    <w:rsid w:val="003D5E2A"/>
    <w:rsid w:val="003D7E33"/>
    <w:rsid w:val="003E01DA"/>
    <w:rsid w:val="003E0880"/>
    <w:rsid w:val="003E3CBC"/>
    <w:rsid w:val="003E44E8"/>
    <w:rsid w:val="003E5316"/>
    <w:rsid w:val="003E587C"/>
    <w:rsid w:val="003E63DA"/>
    <w:rsid w:val="003E6E9A"/>
    <w:rsid w:val="003E77E5"/>
    <w:rsid w:val="003F0052"/>
    <w:rsid w:val="003F080A"/>
    <w:rsid w:val="003F1CA7"/>
    <w:rsid w:val="003F7A5C"/>
    <w:rsid w:val="00400ACB"/>
    <w:rsid w:val="00401681"/>
    <w:rsid w:val="00401EA9"/>
    <w:rsid w:val="00403331"/>
    <w:rsid w:val="004047E0"/>
    <w:rsid w:val="00405498"/>
    <w:rsid w:val="0040556F"/>
    <w:rsid w:val="00405C57"/>
    <w:rsid w:val="0040634B"/>
    <w:rsid w:val="0040642E"/>
    <w:rsid w:val="00406717"/>
    <w:rsid w:val="00406F15"/>
    <w:rsid w:val="0040769F"/>
    <w:rsid w:val="004112B7"/>
    <w:rsid w:val="004117C4"/>
    <w:rsid w:val="0041189C"/>
    <w:rsid w:val="004124B1"/>
    <w:rsid w:val="00412EDA"/>
    <w:rsid w:val="00413ED6"/>
    <w:rsid w:val="0041533B"/>
    <w:rsid w:val="00415978"/>
    <w:rsid w:val="004160F0"/>
    <w:rsid w:val="00416A2C"/>
    <w:rsid w:val="00417107"/>
    <w:rsid w:val="004237B8"/>
    <w:rsid w:val="00423AB0"/>
    <w:rsid w:val="004241CA"/>
    <w:rsid w:val="00426D1D"/>
    <w:rsid w:val="0043056E"/>
    <w:rsid w:val="00431DCD"/>
    <w:rsid w:val="00432EDE"/>
    <w:rsid w:val="004346A4"/>
    <w:rsid w:val="00434E74"/>
    <w:rsid w:val="00436879"/>
    <w:rsid w:val="00437DC8"/>
    <w:rsid w:val="0044006B"/>
    <w:rsid w:val="00440E17"/>
    <w:rsid w:val="00441DE0"/>
    <w:rsid w:val="004438EC"/>
    <w:rsid w:val="00444317"/>
    <w:rsid w:val="00446471"/>
    <w:rsid w:val="004470BD"/>
    <w:rsid w:val="00447F68"/>
    <w:rsid w:val="004545B3"/>
    <w:rsid w:val="004604E5"/>
    <w:rsid w:val="00460668"/>
    <w:rsid w:val="004611C1"/>
    <w:rsid w:val="0046306C"/>
    <w:rsid w:val="0046496F"/>
    <w:rsid w:val="00465AF5"/>
    <w:rsid w:val="004661B0"/>
    <w:rsid w:val="004674C3"/>
    <w:rsid w:val="00470775"/>
    <w:rsid w:val="00473A7F"/>
    <w:rsid w:val="00474576"/>
    <w:rsid w:val="00477E58"/>
    <w:rsid w:val="00481E00"/>
    <w:rsid w:val="00484599"/>
    <w:rsid w:val="00484DBE"/>
    <w:rsid w:val="004851C5"/>
    <w:rsid w:val="00485F0D"/>
    <w:rsid w:val="004929AF"/>
    <w:rsid w:val="00493879"/>
    <w:rsid w:val="00494A80"/>
    <w:rsid w:val="004950E9"/>
    <w:rsid w:val="004A774F"/>
    <w:rsid w:val="004A7AFF"/>
    <w:rsid w:val="004B501F"/>
    <w:rsid w:val="004B6A9B"/>
    <w:rsid w:val="004C0A57"/>
    <w:rsid w:val="004C3F0B"/>
    <w:rsid w:val="004C4320"/>
    <w:rsid w:val="004C4797"/>
    <w:rsid w:val="004C48CB"/>
    <w:rsid w:val="004C6C6E"/>
    <w:rsid w:val="004C780E"/>
    <w:rsid w:val="004D368B"/>
    <w:rsid w:val="004D4549"/>
    <w:rsid w:val="004D5ACE"/>
    <w:rsid w:val="004E0B8E"/>
    <w:rsid w:val="004E15FF"/>
    <w:rsid w:val="004E1894"/>
    <w:rsid w:val="004E1B32"/>
    <w:rsid w:val="004E2882"/>
    <w:rsid w:val="004E2CF6"/>
    <w:rsid w:val="004E651D"/>
    <w:rsid w:val="004E6F94"/>
    <w:rsid w:val="004E7578"/>
    <w:rsid w:val="004F3090"/>
    <w:rsid w:val="004F3836"/>
    <w:rsid w:val="004F4346"/>
    <w:rsid w:val="004F4D75"/>
    <w:rsid w:val="00502086"/>
    <w:rsid w:val="00504154"/>
    <w:rsid w:val="005057CC"/>
    <w:rsid w:val="00505858"/>
    <w:rsid w:val="00505F80"/>
    <w:rsid w:val="005064EC"/>
    <w:rsid w:val="005079EF"/>
    <w:rsid w:val="00507E86"/>
    <w:rsid w:val="005115F3"/>
    <w:rsid w:val="00512BF2"/>
    <w:rsid w:val="00515B9E"/>
    <w:rsid w:val="00515EB7"/>
    <w:rsid w:val="00520518"/>
    <w:rsid w:val="00520CD4"/>
    <w:rsid w:val="0052205A"/>
    <w:rsid w:val="00523D1E"/>
    <w:rsid w:val="0052537E"/>
    <w:rsid w:val="00525F48"/>
    <w:rsid w:val="0052611C"/>
    <w:rsid w:val="0053124A"/>
    <w:rsid w:val="00532CE9"/>
    <w:rsid w:val="00533FFC"/>
    <w:rsid w:val="0053539D"/>
    <w:rsid w:val="0053588E"/>
    <w:rsid w:val="005361E0"/>
    <w:rsid w:val="00540302"/>
    <w:rsid w:val="00540570"/>
    <w:rsid w:val="00545154"/>
    <w:rsid w:val="00547B5A"/>
    <w:rsid w:val="00550151"/>
    <w:rsid w:val="00550282"/>
    <w:rsid w:val="005550DD"/>
    <w:rsid w:val="00560F77"/>
    <w:rsid w:val="00563557"/>
    <w:rsid w:val="005635C8"/>
    <w:rsid w:val="00564B12"/>
    <w:rsid w:val="005665E1"/>
    <w:rsid w:val="005701BB"/>
    <w:rsid w:val="005709B5"/>
    <w:rsid w:val="00570BB9"/>
    <w:rsid w:val="00572418"/>
    <w:rsid w:val="00572EF3"/>
    <w:rsid w:val="00573BE5"/>
    <w:rsid w:val="00574301"/>
    <w:rsid w:val="00574806"/>
    <w:rsid w:val="00574963"/>
    <w:rsid w:val="005752A3"/>
    <w:rsid w:val="00575CB7"/>
    <w:rsid w:val="005771C5"/>
    <w:rsid w:val="005779C0"/>
    <w:rsid w:val="005805D9"/>
    <w:rsid w:val="005824F4"/>
    <w:rsid w:val="00583F70"/>
    <w:rsid w:val="00584D05"/>
    <w:rsid w:val="0058523D"/>
    <w:rsid w:val="00587C00"/>
    <w:rsid w:val="00587E4F"/>
    <w:rsid w:val="0059449D"/>
    <w:rsid w:val="005953E4"/>
    <w:rsid w:val="005A50A0"/>
    <w:rsid w:val="005A6D02"/>
    <w:rsid w:val="005A7B07"/>
    <w:rsid w:val="005B03C3"/>
    <w:rsid w:val="005B0840"/>
    <w:rsid w:val="005B0C96"/>
    <w:rsid w:val="005B1244"/>
    <w:rsid w:val="005B208A"/>
    <w:rsid w:val="005B252C"/>
    <w:rsid w:val="005B3314"/>
    <w:rsid w:val="005C043C"/>
    <w:rsid w:val="005C2305"/>
    <w:rsid w:val="005C2DE6"/>
    <w:rsid w:val="005C36C3"/>
    <w:rsid w:val="005C4C3C"/>
    <w:rsid w:val="005C5098"/>
    <w:rsid w:val="005C58EB"/>
    <w:rsid w:val="005C5C18"/>
    <w:rsid w:val="005C6A67"/>
    <w:rsid w:val="005C6B10"/>
    <w:rsid w:val="005D088D"/>
    <w:rsid w:val="005D0FB8"/>
    <w:rsid w:val="005D1F21"/>
    <w:rsid w:val="005D392F"/>
    <w:rsid w:val="005D4769"/>
    <w:rsid w:val="005D78A2"/>
    <w:rsid w:val="005E1C52"/>
    <w:rsid w:val="005E2E68"/>
    <w:rsid w:val="005E33D2"/>
    <w:rsid w:val="005E4BD2"/>
    <w:rsid w:val="005E50F3"/>
    <w:rsid w:val="005F1B70"/>
    <w:rsid w:val="005F2D4C"/>
    <w:rsid w:val="005F37D4"/>
    <w:rsid w:val="005F42D2"/>
    <w:rsid w:val="005F4DD9"/>
    <w:rsid w:val="005F6815"/>
    <w:rsid w:val="00601EF9"/>
    <w:rsid w:val="0060238A"/>
    <w:rsid w:val="00603AAF"/>
    <w:rsid w:val="00604E11"/>
    <w:rsid w:val="00605007"/>
    <w:rsid w:val="00605DEF"/>
    <w:rsid w:val="00607BBD"/>
    <w:rsid w:val="006108AB"/>
    <w:rsid w:val="00610DCD"/>
    <w:rsid w:val="00610E53"/>
    <w:rsid w:val="006119B8"/>
    <w:rsid w:val="00613245"/>
    <w:rsid w:val="00615990"/>
    <w:rsid w:val="00616BBC"/>
    <w:rsid w:val="00616BF1"/>
    <w:rsid w:val="00617730"/>
    <w:rsid w:val="00620808"/>
    <w:rsid w:val="006209E0"/>
    <w:rsid w:val="006217E3"/>
    <w:rsid w:val="00621A67"/>
    <w:rsid w:val="00621EDB"/>
    <w:rsid w:val="00623F7E"/>
    <w:rsid w:val="0062497C"/>
    <w:rsid w:val="00636643"/>
    <w:rsid w:val="00637F16"/>
    <w:rsid w:val="00640A47"/>
    <w:rsid w:val="0064267E"/>
    <w:rsid w:val="006430FF"/>
    <w:rsid w:val="00643967"/>
    <w:rsid w:val="00645CCF"/>
    <w:rsid w:val="006463AC"/>
    <w:rsid w:val="00647F9D"/>
    <w:rsid w:val="0065038B"/>
    <w:rsid w:val="00653B74"/>
    <w:rsid w:val="006569FD"/>
    <w:rsid w:val="0066096D"/>
    <w:rsid w:val="0066100B"/>
    <w:rsid w:val="00662EE0"/>
    <w:rsid w:val="00676087"/>
    <w:rsid w:val="00677156"/>
    <w:rsid w:val="006779A1"/>
    <w:rsid w:val="006807B3"/>
    <w:rsid w:val="006813A4"/>
    <w:rsid w:val="00681F77"/>
    <w:rsid w:val="00682BA0"/>
    <w:rsid w:val="00682E7A"/>
    <w:rsid w:val="0068390A"/>
    <w:rsid w:val="006855D3"/>
    <w:rsid w:val="00686D35"/>
    <w:rsid w:val="00690243"/>
    <w:rsid w:val="0069139A"/>
    <w:rsid w:val="0069219F"/>
    <w:rsid w:val="006944EB"/>
    <w:rsid w:val="0069459F"/>
    <w:rsid w:val="00694C2D"/>
    <w:rsid w:val="006A1B12"/>
    <w:rsid w:val="006A2D0E"/>
    <w:rsid w:val="006A34AC"/>
    <w:rsid w:val="006A50E4"/>
    <w:rsid w:val="006A713E"/>
    <w:rsid w:val="006A7371"/>
    <w:rsid w:val="006B1602"/>
    <w:rsid w:val="006B4795"/>
    <w:rsid w:val="006B5791"/>
    <w:rsid w:val="006B5C9A"/>
    <w:rsid w:val="006B7B54"/>
    <w:rsid w:val="006C0536"/>
    <w:rsid w:val="006C0F76"/>
    <w:rsid w:val="006C23C2"/>
    <w:rsid w:val="006C33AC"/>
    <w:rsid w:val="006C3D4B"/>
    <w:rsid w:val="006C5C39"/>
    <w:rsid w:val="006D2054"/>
    <w:rsid w:val="006D3A6D"/>
    <w:rsid w:val="006D4F91"/>
    <w:rsid w:val="006D6ADB"/>
    <w:rsid w:val="006D7341"/>
    <w:rsid w:val="006D7352"/>
    <w:rsid w:val="006E0419"/>
    <w:rsid w:val="006E2157"/>
    <w:rsid w:val="006E45CC"/>
    <w:rsid w:val="006E4AF5"/>
    <w:rsid w:val="006E5FA2"/>
    <w:rsid w:val="006E63DE"/>
    <w:rsid w:val="006E64C6"/>
    <w:rsid w:val="006E70D1"/>
    <w:rsid w:val="006F137B"/>
    <w:rsid w:val="006F1DC1"/>
    <w:rsid w:val="006F2292"/>
    <w:rsid w:val="006F33C0"/>
    <w:rsid w:val="006F3844"/>
    <w:rsid w:val="006F3B2C"/>
    <w:rsid w:val="006F4901"/>
    <w:rsid w:val="006F6D52"/>
    <w:rsid w:val="007001BB"/>
    <w:rsid w:val="00704082"/>
    <w:rsid w:val="00705B51"/>
    <w:rsid w:val="007068D1"/>
    <w:rsid w:val="00707DAE"/>
    <w:rsid w:val="00710C2B"/>
    <w:rsid w:val="00713C8C"/>
    <w:rsid w:val="0071593B"/>
    <w:rsid w:val="00715D5A"/>
    <w:rsid w:val="00722CFC"/>
    <w:rsid w:val="00723FF4"/>
    <w:rsid w:val="00725683"/>
    <w:rsid w:val="007257D4"/>
    <w:rsid w:val="00726F2B"/>
    <w:rsid w:val="007274D0"/>
    <w:rsid w:val="007328FB"/>
    <w:rsid w:val="00732F1A"/>
    <w:rsid w:val="007360FB"/>
    <w:rsid w:val="007369A0"/>
    <w:rsid w:val="00737DBF"/>
    <w:rsid w:val="00740E6A"/>
    <w:rsid w:val="0074150C"/>
    <w:rsid w:val="00741CCC"/>
    <w:rsid w:val="007434B4"/>
    <w:rsid w:val="00744360"/>
    <w:rsid w:val="00745685"/>
    <w:rsid w:val="00746586"/>
    <w:rsid w:val="0074731D"/>
    <w:rsid w:val="00747779"/>
    <w:rsid w:val="00747DDA"/>
    <w:rsid w:val="00747F03"/>
    <w:rsid w:val="00751F7C"/>
    <w:rsid w:val="007553E8"/>
    <w:rsid w:val="00755F77"/>
    <w:rsid w:val="007567BC"/>
    <w:rsid w:val="007568EE"/>
    <w:rsid w:val="007606C3"/>
    <w:rsid w:val="00760E64"/>
    <w:rsid w:val="00761F02"/>
    <w:rsid w:val="0076675E"/>
    <w:rsid w:val="0076684A"/>
    <w:rsid w:val="007677C8"/>
    <w:rsid w:val="007700B5"/>
    <w:rsid w:val="0077276B"/>
    <w:rsid w:val="00772BAC"/>
    <w:rsid w:val="007741AD"/>
    <w:rsid w:val="00775065"/>
    <w:rsid w:val="00776F52"/>
    <w:rsid w:val="00780CB0"/>
    <w:rsid w:val="00781B8D"/>
    <w:rsid w:val="00781BF2"/>
    <w:rsid w:val="00783119"/>
    <w:rsid w:val="00787713"/>
    <w:rsid w:val="00787B90"/>
    <w:rsid w:val="007936B7"/>
    <w:rsid w:val="007938A2"/>
    <w:rsid w:val="00793C99"/>
    <w:rsid w:val="0079531F"/>
    <w:rsid w:val="00795D1A"/>
    <w:rsid w:val="007967C8"/>
    <w:rsid w:val="00796F45"/>
    <w:rsid w:val="007972B8"/>
    <w:rsid w:val="007A3ABD"/>
    <w:rsid w:val="007A646C"/>
    <w:rsid w:val="007A69F1"/>
    <w:rsid w:val="007A6EC0"/>
    <w:rsid w:val="007A782E"/>
    <w:rsid w:val="007B2434"/>
    <w:rsid w:val="007B4A00"/>
    <w:rsid w:val="007B55DC"/>
    <w:rsid w:val="007B6DE9"/>
    <w:rsid w:val="007C0045"/>
    <w:rsid w:val="007C08E9"/>
    <w:rsid w:val="007C196E"/>
    <w:rsid w:val="007C2C9D"/>
    <w:rsid w:val="007C302F"/>
    <w:rsid w:val="007C4610"/>
    <w:rsid w:val="007C5C1F"/>
    <w:rsid w:val="007C76F3"/>
    <w:rsid w:val="007D071A"/>
    <w:rsid w:val="007D1483"/>
    <w:rsid w:val="007D23C8"/>
    <w:rsid w:val="007D3EE3"/>
    <w:rsid w:val="007D405F"/>
    <w:rsid w:val="007D460B"/>
    <w:rsid w:val="007D57AF"/>
    <w:rsid w:val="007D6528"/>
    <w:rsid w:val="007D6E84"/>
    <w:rsid w:val="007D7812"/>
    <w:rsid w:val="007E0993"/>
    <w:rsid w:val="007E0D44"/>
    <w:rsid w:val="007E1DC0"/>
    <w:rsid w:val="007E4969"/>
    <w:rsid w:val="007E4DB5"/>
    <w:rsid w:val="007E613F"/>
    <w:rsid w:val="007F11C4"/>
    <w:rsid w:val="007F29F7"/>
    <w:rsid w:val="007F5C7E"/>
    <w:rsid w:val="007F6ECA"/>
    <w:rsid w:val="007F7AC6"/>
    <w:rsid w:val="007F7E4E"/>
    <w:rsid w:val="00801A75"/>
    <w:rsid w:val="00802329"/>
    <w:rsid w:val="00802E2B"/>
    <w:rsid w:val="008031EC"/>
    <w:rsid w:val="008041E9"/>
    <w:rsid w:val="00805E68"/>
    <w:rsid w:val="00805FC8"/>
    <w:rsid w:val="00807527"/>
    <w:rsid w:val="00810E0C"/>
    <w:rsid w:val="008137E0"/>
    <w:rsid w:val="00813A91"/>
    <w:rsid w:val="00813B9C"/>
    <w:rsid w:val="00814F1A"/>
    <w:rsid w:val="00817C54"/>
    <w:rsid w:val="008203BE"/>
    <w:rsid w:val="008205E0"/>
    <w:rsid w:val="00820A0A"/>
    <w:rsid w:val="00820C24"/>
    <w:rsid w:val="00823905"/>
    <w:rsid w:val="00823DBE"/>
    <w:rsid w:val="00824B7E"/>
    <w:rsid w:val="00826A07"/>
    <w:rsid w:val="00831BEF"/>
    <w:rsid w:val="00832224"/>
    <w:rsid w:val="00833685"/>
    <w:rsid w:val="008348A7"/>
    <w:rsid w:val="00835778"/>
    <w:rsid w:val="008368A0"/>
    <w:rsid w:val="00837EB4"/>
    <w:rsid w:val="00840AB2"/>
    <w:rsid w:val="008417A5"/>
    <w:rsid w:val="00845390"/>
    <w:rsid w:val="00846C2C"/>
    <w:rsid w:val="00847408"/>
    <w:rsid w:val="0085129C"/>
    <w:rsid w:val="00852675"/>
    <w:rsid w:val="008526AF"/>
    <w:rsid w:val="00852853"/>
    <w:rsid w:val="00853659"/>
    <w:rsid w:val="00860E07"/>
    <w:rsid w:val="008613AD"/>
    <w:rsid w:val="00862AC9"/>
    <w:rsid w:val="00862E2B"/>
    <w:rsid w:val="00865FEB"/>
    <w:rsid w:val="00874C18"/>
    <w:rsid w:val="00874F0B"/>
    <w:rsid w:val="0088016F"/>
    <w:rsid w:val="008801ED"/>
    <w:rsid w:val="00880277"/>
    <w:rsid w:val="0088062D"/>
    <w:rsid w:val="008821CE"/>
    <w:rsid w:val="00882419"/>
    <w:rsid w:val="00882F88"/>
    <w:rsid w:val="00886FAE"/>
    <w:rsid w:val="00887570"/>
    <w:rsid w:val="008915B0"/>
    <w:rsid w:val="00892913"/>
    <w:rsid w:val="00892BA0"/>
    <w:rsid w:val="00892D2C"/>
    <w:rsid w:val="00893531"/>
    <w:rsid w:val="008961A9"/>
    <w:rsid w:val="00897720"/>
    <w:rsid w:val="008978AE"/>
    <w:rsid w:val="00897ACD"/>
    <w:rsid w:val="008A1CC1"/>
    <w:rsid w:val="008A558F"/>
    <w:rsid w:val="008A64F6"/>
    <w:rsid w:val="008A6C2A"/>
    <w:rsid w:val="008B064A"/>
    <w:rsid w:val="008B4C1D"/>
    <w:rsid w:val="008B4ECD"/>
    <w:rsid w:val="008B5942"/>
    <w:rsid w:val="008B5974"/>
    <w:rsid w:val="008B685F"/>
    <w:rsid w:val="008B6CB7"/>
    <w:rsid w:val="008C008E"/>
    <w:rsid w:val="008C2834"/>
    <w:rsid w:val="008C2C82"/>
    <w:rsid w:val="008C2DE1"/>
    <w:rsid w:val="008C33F3"/>
    <w:rsid w:val="008C3A07"/>
    <w:rsid w:val="008C41AF"/>
    <w:rsid w:val="008C47C2"/>
    <w:rsid w:val="008C52EB"/>
    <w:rsid w:val="008C5902"/>
    <w:rsid w:val="008C5988"/>
    <w:rsid w:val="008C5E6D"/>
    <w:rsid w:val="008C7DE5"/>
    <w:rsid w:val="008D0C02"/>
    <w:rsid w:val="008D25EE"/>
    <w:rsid w:val="008D2E07"/>
    <w:rsid w:val="008D3FC4"/>
    <w:rsid w:val="008D41FC"/>
    <w:rsid w:val="008D499A"/>
    <w:rsid w:val="008D4A08"/>
    <w:rsid w:val="008D5A64"/>
    <w:rsid w:val="008E1829"/>
    <w:rsid w:val="008E1B2E"/>
    <w:rsid w:val="008E3C1A"/>
    <w:rsid w:val="008E4017"/>
    <w:rsid w:val="008E6DFB"/>
    <w:rsid w:val="008F393A"/>
    <w:rsid w:val="008F587E"/>
    <w:rsid w:val="008F63FC"/>
    <w:rsid w:val="008F64D6"/>
    <w:rsid w:val="0090312E"/>
    <w:rsid w:val="00904B9A"/>
    <w:rsid w:val="00904FDD"/>
    <w:rsid w:val="009069C0"/>
    <w:rsid w:val="0090766C"/>
    <w:rsid w:val="00910FB9"/>
    <w:rsid w:val="0091102F"/>
    <w:rsid w:val="00914055"/>
    <w:rsid w:val="00915C2A"/>
    <w:rsid w:val="00916580"/>
    <w:rsid w:val="00917854"/>
    <w:rsid w:val="00917978"/>
    <w:rsid w:val="00917B30"/>
    <w:rsid w:val="0092010E"/>
    <w:rsid w:val="00920D81"/>
    <w:rsid w:val="00921556"/>
    <w:rsid w:val="0092181D"/>
    <w:rsid w:val="009225B9"/>
    <w:rsid w:val="009226FF"/>
    <w:rsid w:val="009256D8"/>
    <w:rsid w:val="00926E98"/>
    <w:rsid w:val="009276BC"/>
    <w:rsid w:val="0093049E"/>
    <w:rsid w:val="0093169F"/>
    <w:rsid w:val="0093245B"/>
    <w:rsid w:val="00932D24"/>
    <w:rsid w:val="00934C42"/>
    <w:rsid w:val="00941D78"/>
    <w:rsid w:val="009438E2"/>
    <w:rsid w:val="009471C8"/>
    <w:rsid w:val="009477E4"/>
    <w:rsid w:val="00951E05"/>
    <w:rsid w:val="00956364"/>
    <w:rsid w:val="00956792"/>
    <w:rsid w:val="009576E2"/>
    <w:rsid w:val="00957889"/>
    <w:rsid w:val="00957CF2"/>
    <w:rsid w:val="00960A4D"/>
    <w:rsid w:val="00960AEF"/>
    <w:rsid w:val="00962287"/>
    <w:rsid w:val="00964404"/>
    <w:rsid w:val="00966A87"/>
    <w:rsid w:val="00966D3E"/>
    <w:rsid w:val="00967FBE"/>
    <w:rsid w:val="009703A7"/>
    <w:rsid w:val="0097053B"/>
    <w:rsid w:val="009716E8"/>
    <w:rsid w:val="00974D37"/>
    <w:rsid w:val="009764A4"/>
    <w:rsid w:val="0098151F"/>
    <w:rsid w:val="009822F0"/>
    <w:rsid w:val="009864CF"/>
    <w:rsid w:val="009868D4"/>
    <w:rsid w:val="00986F14"/>
    <w:rsid w:val="009913D4"/>
    <w:rsid w:val="00991EB4"/>
    <w:rsid w:val="00992BAF"/>
    <w:rsid w:val="00993871"/>
    <w:rsid w:val="009942F0"/>
    <w:rsid w:val="00996B4D"/>
    <w:rsid w:val="00996D0D"/>
    <w:rsid w:val="0099752F"/>
    <w:rsid w:val="00997A86"/>
    <w:rsid w:val="00997CA1"/>
    <w:rsid w:val="009A30BF"/>
    <w:rsid w:val="009A3F9F"/>
    <w:rsid w:val="009A5E9C"/>
    <w:rsid w:val="009A74DD"/>
    <w:rsid w:val="009A7525"/>
    <w:rsid w:val="009B06BC"/>
    <w:rsid w:val="009B16DB"/>
    <w:rsid w:val="009B1F47"/>
    <w:rsid w:val="009B327E"/>
    <w:rsid w:val="009B339A"/>
    <w:rsid w:val="009B4683"/>
    <w:rsid w:val="009B511D"/>
    <w:rsid w:val="009B56E8"/>
    <w:rsid w:val="009B6335"/>
    <w:rsid w:val="009B6438"/>
    <w:rsid w:val="009C39BD"/>
    <w:rsid w:val="009C45B1"/>
    <w:rsid w:val="009C641A"/>
    <w:rsid w:val="009C773C"/>
    <w:rsid w:val="009D223D"/>
    <w:rsid w:val="009D3491"/>
    <w:rsid w:val="009D65FC"/>
    <w:rsid w:val="009D7095"/>
    <w:rsid w:val="009E1756"/>
    <w:rsid w:val="009E2415"/>
    <w:rsid w:val="009E2D32"/>
    <w:rsid w:val="009E4A6F"/>
    <w:rsid w:val="009E59E9"/>
    <w:rsid w:val="009E5BB5"/>
    <w:rsid w:val="009E6DBA"/>
    <w:rsid w:val="009F3C62"/>
    <w:rsid w:val="009F3F25"/>
    <w:rsid w:val="009F6627"/>
    <w:rsid w:val="00A0299A"/>
    <w:rsid w:val="00A0440E"/>
    <w:rsid w:val="00A05F7C"/>
    <w:rsid w:val="00A068BD"/>
    <w:rsid w:val="00A079C5"/>
    <w:rsid w:val="00A10DF5"/>
    <w:rsid w:val="00A121D3"/>
    <w:rsid w:val="00A14F25"/>
    <w:rsid w:val="00A2099A"/>
    <w:rsid w:val="00A20FB8"/>
    <w:rsid w:val="00A21F26"/>
    <w:rsid w:val="00A23F0B"/>
    <w:rsid w:val="00A27620"/>
    <w:rsid w:val="00A30F01"/>
    <w:rsid w:val="00A312B0"/>
    <w:rsid w:val="00A32EF8"/>
    <w:rsid w:val="00A33250"/>
    <w:rsid w:val="00A35162"/>
    <w:rsid w:val="00A35822"/>
    <w:rsid w:val="00A3740A"/>
    <w:rsid w:val="00A40786"/>
    <w:rsid w:val="00A40795"/>
    <w:rsid w:val="00A410EA"/>
    <w:rsid w:val="00A42EF0"/>
    <w:rsid w:val="00A44AA1"/>
    <w:rsid w:val="00A466A9"/>
    <w:rsid w:val="00A47B85"/>
    <w:rsid w:val="00A47D2E"/>
    <w:rsid w:val="00A47F0F"/>
    <w:rsid w:val="00A51B00"/>
    <w:rsid w:val="00A51D21"/>
    <w:rsid w:val="00A53A4C"/>
    <w:rsid w:val="00A560C6"/>
    <w:rsid w:val="00A572BD"/>
    <w:rsid w:val="00A57B0B"/>
    <w:rsid w:val="00A62B81"/>
    <w:rsid w:val="00A63272"/>
    <w:rsid w:val="00A64028"/>
    <w:rsid w:val="00A66442"/>
    <w:rsid w:val="00A67E2B"/>
    <w:rsid w:val="00A71D21"/>
    <w:rsid w:val="00A74B0D"/>
    <w:rsid w:val="00A74F07"/>
    <w:rsid w:val="00A76084"/>
    <w:rsid w:val="00A800B7"/>
    <w:rsid w:val="00A801A5"/>
    <w:rsid w:val="00A806A9"/>
    <w:rsid w:val="00A809FF"/>
    <w:rsid w:val="00A81C21"/>
    <w:rsid w:val="00A83F45"/>
    <w:rsid w:val="00A8567F"/>
    <w:rsid w:val="00A869D6"/>
    <w:rsid w:val="00A86ECE"/>
    <w:rsid w:val="00A905B1"/>
    <w:rsid w:val="00A90B18"/>
    <w:rsid w:val="00A92238"/>
    <w:rsid w:val="00A92883"/>
    <w:rsid w:val="00A93090"/>
    <w:rsid w:val="00A933B4"/>
    <w:rsid w:val="00A94CD4"/>
    <w:rsid w:val="00A96972"/>
    <w:rsid w:val="00A979CB"/>
    <w:rsid w:val="00AA2FFA"/>
    <w:rsid w:val="00AA353A"/>
    <w:rsid w:val="00AA4545"/>
    <w:rsid w:val="00AA4C3B"/>
    <w:rsid w:val="00AA5080"/>
    <w:rsid w:val="00AA5473"/>
    <w:rsid w:val="00AA57EE"/>
    <w:rsid w:val="00AB5225"/>
    <w:rsid w:val="00AB621A"/>
    <w:rsid w:val="00AC0DE4"/>
    <w:rsid w:val="00AC14AF"/>
    <w:rsid w:val="00AC25B2"/>
    <w:rsid w:val="00AC46E7"/>
    <w:rsid w:val="00AC7D32"/>
    <w:rsid w:val="00AD0017"/>
    <w:rsid w:val="00AD0343"/>
    <w:rsid w:val="00AD28A2"/>
    <w:rsid w:val="00AD44DC"/>
    <w:rsid w:val="00AD5A5C"/>
    <w:rsid w:val="00AD7759"/>
    <w:rsid w:val="00AE0EF8"/>
    <w:rsid w:val="00AE137E"/>
    <w:rsid w:val="00AE43C4"/>
    <w:rsid w:val="00AE4454"/>
    <w:rsid w:val="00AE4D65"/>
    <w:rsid w:val="00AE5041"/>
    <w:rsid w:val="00AE754C"/>
    <w:rsid w:val="00AF0141"/>
    <w:rsid w:val="00AF1B80"/>
    <w:rsid w:val="00AF6181"/>
    <w:rsid w:val="00AF78BA"/>
    <w:rsid w:val="00AF7B5E"/>
    <w:rsid w:val="00B00935"/>
    <w:rsid w:val="00B012BD"/>
    <w:rsid w:val="00B014E7"/>
    <w:rsid w:val="00B02A7E"/>
    <w:rsid w:val="00B02A8C"/>
    <w:rsid w:val="00B115CA"/>
    <w:rsid w:val="00B13996"/>
    <w:rsid w:val="00B15C5A"/>
    <w:rsid w:val="00B161D2"/>
    <w:rsid w:val="00B216C6"/>
    <w:rsid w:val="00B218D2"/>
    <w:rsid w:val="00B21BCE"/>
    <w:rsid w:val="00B221AB"/>
    <w:rsid w:val="00B22735"/>
    <w:rsid w:val="00B233A7"/>
    <w:rsid w:val="00B256F2"/>
    <w:rsid w:val="00B26607"/>
    <w:rsid w:val="00B27D90"/>
    <w:rsid w:val="00B31CB9"/>
    <w:rsid w:val="00B36AA3"/>
    <w:rsid w:val="00B37CD6"/>
    <w:rsid w:val="00B420B0"/>
    <w:rsid w:val="00B42258"/>
    <w:rsid w:val="00B42450"/>
    <w:rsid w:val="00B42C45"/>
    <w:rsid w:val="00B4323A"/>
    <w:rsid w:val="00B45413"/>
    <w:rsid w:val="00B46449"/>
    <w:rsid w:val="00B471AE"/>
    <w:rsid w:val="00B47A89"/>
    <w:rsid w:val="00B47F99"/>
    <w:rsid w:val="00B50B02"/>
    <w:rsid w:val="00B51F0D"/>
    <w:rsid w:val="00B53341"/>
    <w:rsid w:val="00B53D89"/>
    <w:rsid w:val="00B551D4"/>
    <w:rsid w:val="00B575F0"/>
    <w:rsid w:val="00B61172"/>
    <w:rsid w:val="00B61262"/>
    <w:rsid w:val="00B618A0"/>
    <w:rsid w:val="00B629EE"/>
    <w:rsid w:val="00B6426D"/>
    <w:rsid w:val="00B64897"/>
    <w:rsid w:val="00B65534"/>
    <w:rsid w:val="00B661D4"/>
    <w:rsid w:val="00B703A8"/>
    <w:rsid w:val="00B70C84"/>
    <w:rsid w:val="00B70D74"/>
    <w:rsid w:val="00B716F8"/>
    <w:rsid w:val="00B7326F"/>
    <w:rsid w:val="00B75EF6"/>
    <w:rsid w:val="00B75F93"/>
    <w:rsid w:val="00B762A9"/>
    <w:rsid w:val="00B76AC4"/>
    <w:rsid w:val="00B77BB6"/>
    <w:rsid w:val="00B80B41"/>
    <w:rsid w:val="00B82AE8"/>
    <w:rsid w:val="00B8333A"/>
    <w:rsid w:val="00B83403"/>
    <w:rsid w:val="00B8443F"/>
    <w:rsid w:val="00B902DA"/>
    <w:rsid w:val="00B924B9"/>
    <w:rsid w:val="00B93D7E"/>
    <w:rsid w:val="00B96203"/>
    <w:rsid w:val="00BA1190"/>
    <w:rsid w:val="00BA27AD"/>
    <w:rsid w:val="00BA2A64"/>
    <w:rsid w:val="00BA3DEF"/>
    <w:rsid w:val="00BB7E13"/>
    <w:rsid w:val="00BC23A2"/>
    <w:rsid w:val="00BC3413"/>
    <w:rsid w:val="00BC4CC0"/>
    <w:rsid w:val="00BC51EA"/>
    <w:rsid w:val="00BC5F46"/>
    <w:rsid w:val="00BC61E8"/>
    <w:rsid w:val="00BC62F1"/>
    <w:rsid w:val="00BC65C5"/>
    <w:rsid w:val="00BC6F2C"/>
    <w:rsid w:val="00BD3615"/>
    <w:rsid w:val="00BD4652"/>
    <w:rsid w:val="00BE0C22"/>
    <w:rsid w:val="00BE1802"/>
    <w:rsid w:val="00BE28ED"/>
    <w:rsid w:val="00BE3417"/>
    <w:rsid w:val="00BE3967"/>
    <w:rsid w:val="00BE4B06"/>
    <w:rsid w:val="00BE4EF1"/>
    <w:rsid w:val="00BE6CBA"/>
    <w:rsid w:val="00BF0168"/>
    <w:rsid w:val="00BF2869"/>
    <w:rsid w:val="00BF289E"/>
    <w:rsid w:val="00BF2A3D"/>
    <w:rsid w:val="00BF39C0"/>
    <w:rsid w:val="00BF39FE"/>
    <w:rsid w:val="00BF3DF7"/>
    <w:rsid w:val="00BF4C07"/>
    <w:rsid w:val="00BF7233"/>
    <w:rsid w:val="00BF79D5"/>
    <w:rsid w:val="00C00EE7"/>
    <w:rsid w:val="00C02977"/>
    <w:rsid w:val="00C0330A"/>
    <w:rsid w:val="00C04F00"/>
    <w:rsid w:val="00C0799A"/>
    <w:rsid w:val="00C10611"/>
    <w:rsid w:val="00C11D0C"/>
    <w:rsid w:val="00C11DB1"/>
    <w:rsid w:val="00C1232C"/>
    <w:rsid w:val="00C12F2F"/>
    <w:rsid w:val="00C16F75"/>
    <w:rsid w:val="00C17281"/>
    <w:rsid w:val="00C23D8A"/>
    <w:rsid w:val="00C23E80"/>
    <w:rsid w:val="00C251FE"/>
    <w:rsid w:val="00C2755A"/>
    <w:rsid w:val="00C30134"/>
    <w:rsid w:val="00C315B1"/>
    <w:rsid w:val="00C3302E"/>
    <w:rsid w:val="00C33EC6"/>
    <w:rsid w:val="00C343EE"/>
    <w:rsid w:val="00C345F2"/>
    <w:rsid w:val="00C35288"/>
    <w:rsid w:val="00C40DA5"/>
    <w:rsid w:val="00C4109D"/>
    <w:rsid w:val="00C469CD"/>
    <w:rsid w:val="00C46B5A"/>
    <w:rsid w:val="00C46CAF"/>
    <w:rsid w:val="00C475AC"/>
    <w:rsid w:val="00C5245A"/>
    <w:rsid w:val="00C53170"/>
    <w:rsid w:val="00C536AF"/>
    <w:rsid w:val="00C54739"/>
    <w:rsid w:val="00C54C6E"/>
    <w:rsid w:val="00C5696E"/>
    <w:rsid w:val="00C578FA"/>
    <w:rsid w:val="00C613C2"/>
    <w:rsid w:val="00C61777"/>
    <w:rsid w:val="00C62CE9"/>
    <w:rsid w:val="00C62FE6"/>
    <w:rsid w:val="00C63C78"/>
    <w:rsid w:val="00C63CB0"/>
    <w:rsid w:val="00C65169"/>
    <w:rsid w:val="00C67517"/>
    <w:rsid w:val="00C67694"/>
    <w:rsid w:val="00C67AF0"/>
    <w:rsid w:val="00C71CFA"/>
    <w:rsid w:val="00C71E43"/>
    <w:rsid w:val="00C75910"/>
    <w:rsid w:val="00C7696B"/>
    <w:rsid w:val="00C77DF9"/>
    <w:rsid w:val="00C814BA"/>
    <w:rsid w:val="00C81682"/>
    <w:rsid w:val="00C81B0F"/>
    <w:rsid w:val="00C8238D"/>
    <w:rsid w:val="00C82539"/>
    <w:rsid w:val="00C829F6"/>
    <w:rsid w:val="00C84BEE"/>
    <w:rsid w:val="00C84D95"/>
    <w:rsid w:val="00C859BE"/>
    <w:rsid w:val="00C86F99"/>
    <w:rsid w:val="00C91D4B"/>
    <w:rsid w:val="00C93184"/>
    <w:rsid w:val="00C94A69"/>
    <w:rsid w:val="00C9576D"/>
    <w:rsid w:val="00C957B6"/>
    <w:rsid w:val="00C9675F"/>
    <w:rsid w:val="00CA3F26"/>
    <w:rsid w:val="00CA6433"/>
    <w:rsid w:val="00CA752A"/>
    <w:rsid w:val="00CA7A3F"/>
    <w:rsid w:val="00CB003D"/>
    <w:rsid w:val="00CB0E79"/>
    <w:rsid w:val="00CB110F"/>
    <w:rsid w:val="00CB1BDE"/>
    <w:rsid w:val="00CB2E3C"/>
    <w:rsid w:val="00CB566F"/>
    <w:rsid w:val="00CB5AF2"/>
    <w:rsid w:val="00CB6099"/>
    <w:rsid w:val="00CB68B5"/>
    <w:rsid w:val="00CC1E37"/>
    <w:rsid w:val="00CC44EE"/>
    <w:rsid w:val="00CC479D"/>
    <w:rsid w:val="00CC4990"/>
    <w:rsid w:val="00CC60E8"/>
    <w:rsid w:val="00CC7237"/>
    <w:rsid w:val="00CC72C5"/>
    <w:rsid w:val="00CC754B"/>
    <w:rsid w:val="00CD13E8"/>
    <w:rsid w:val="00CD2906"/>
    <w:rsid w:val="00CD62B6"/>
    <w:rsid w:val="00CD770B"/>
    <w:rsid w:val="00CE1CB5"/>
    <w:rsid w:val="00CE20E6"/>
    <w:rsid w:val="00CF3E93"/>
    <w:rsid w:val="00CF5178"/>
    <w:rsid w:val="00CF51C7"/>
    <w:rsid w:val="00CF565F"/>
    <w:rsid w:val="00CF6927"/>
    <w:rsid w:val="00CF702A"/>
    <w:rsid w:val="00D0186B"/>
    <w:rsid w:val="00D045AB"/>
    <w:rsid w:val="00D05CC8"/>
    <w:rsid w:val="00D06806"/>
    <w:rsid w:val="00D102D4"/>
    <w:rsid w:val="00D10882"/>
    <w:rsid w:val="00D1130C"/>
    <w:rsid w:val="00D11C1D"/>
    <w:rsid w:val="00D13355"/>
    <w:rsid w:val="00D139BC"/>
    <w:rsid w:val="00D153C1"/>
    <w:rsid w:val="00D1657F"/>
    <w:rsid w:val="00D17CB4"/>
    <w:rsid w:val="00D20FE9"/>
    <w:rsid w:val="00D21663"/>
    <w:rsid w:val="00D22CC9"/>
    <w:rsid w:val="00D24163"/>
    <w:rsid w:val="00D25618"/>
    <w:rsid w:val="00D25B6D"/>
    <w:rsid w:val="00D27066"/>
    <w:rsid w:val="00D270CB"/>
    <w:rsid w:val="00D2732B"/>
    <w:rsid w:val="00D305EC"/>
    <w:rsid w:val="00D32A90"/>
    <w:rsid w:val="00D32D49"/>
    <w:rsid w:val="00D333A4"/>
    <w:rsid w:val="00D3360B"/>
    <w:rsid w:val="00D358A0"/>
    <w:rsid w:val="00D366FB"/>
    <w:rsid w:val="00D43543"/>
    <w:rsid w:val="00D44937"/>
    <w:rsid w:val="00D46917"/>
    <w:rsid w:val="00D479E7"/>
    <w:rsid w:val="00D539C8"/>
    <w:rsid w:val="00D5688F"/>
    <w:rsid w:val="00D62DC7"/>
    <w:rsid w:val="00D6347E"/>
    <w:rsid w:val="00D66DC1"/>
    <w:rsid w:val="00D66F25"/>
    <w:rsid w:val="00D67984"/>
    <w:rsid w:val="00D679C2"/>
    <w:rsid w:val="00D71866"/>
    <w:rsid w:val="00D774C7"/>
    <w:rsid w:val="00D82C72"/>
    <w:rsid w:val="00D835D3"/>
    <w:rsid w:val="00D83A2E"/>
    <w:rsid w:val="00D8453D"/>
    <w:rsid w:val="00D84D5F"/>
    <w:rsid w:val="00D854A2"/>
    <w:rsid w:val="00D85DC3"/>
    <w:rsid w:val="00D86957"/>
    <w:rsid w:val="00D86A93"/>
    <w:rsid w:val="00D87F54"/>
    <w:rsid w:val="00D90A72"/>
    <w:rsid w:val="00D94248"/>
    <w:rsid w:val="00D94FEB"/>
    <w:rsid w:val="00D962ED"/>
    <w:rsid w:val="00D96B28"/>
    <w:rsid w:val="00DA069D"/>
    <w:rsid w:val="00DA0D97"/>
    <w:rsid w:val="00DA2F07"/>
    <w:rsid w:val="00DA44C8"/>
    <w:rsid w:val="00DA4AC8"/>
    <w:rsid w:val="00DA5DC0"/>
    <w:rsid w:val="00DA788C"/>
    <w:rsid w:val="00DB2595"/>
    <w:rsid w:val="00DB65C0"/>
    <w:rsid w:val="00DB74B1"/>
    <w:rsid w:val="00DC144A"/>
    <w:rsid w:val="00DC181C"/>
    <w:rsid w:val="00DC1BB1"/>
    <w:rsid w:val="00DC44D3"/>
    <w:rsid w:val="00DC4A83"/>
    <w:rsid w:val="00DD33A0"/>
    <w:rsid w:val="00DD579B"/>
    <w:rsid w:val="00DD5965"/>
    <w:rsid w:val="00DD6272"/>
    <w:rsid w:val="00DD790D"/>
    <w:rsid w:val="00DE0220"/>
    <w:rsid w:val="00DE2D8D"/>
    <w:rsid w:val="00DE34D0"/>
    <w:rsid w:val="00DE6364"/>
    <w:rsid w:val="00DE7D7D"/>
    <w:rsid w:val="00DF39D2"/>
    <w:rsid w:val="00DF3E27"/>
    <w:rsid w:val="00DF53AF"/>
    <w:rsid w:val="00DF759D"/>
    <w:rsid w:val="00DF7BAE"/>
    <w:rsid w:val="00E01138"/>
    <w:rsid w:val="00E01802"/>
    <w:rsid w:val="00E0313A"/>
    <w:rsid w:val="00E05BA4"/>
    <w:rsid w:val="00E05EE8"/>
    <w:rsid w:val="00E06DA8"/>
    <w:rsid w:val="00E07EB2"/>
    <w:rsid w:val="00E1182D"/>
    <w:rsid w:val="00E12D3B"/>
    <w:rsid w:val="00E13BD4"/>
    <w:rsid w:val="00E14283"/>
    <w:rsid w:val="00E15A39"/>
    <w:rsid w:val="00E2031E"/>
    <w:rsid w:val="00E23EBF"/>
    <w:rsid w:val="00E25115"/>
    <w:rsid w:val="00E25F5E"/>
    <w:rsid w:val="00E2648E"/>
    <w:rsid w:val="00E26A16"/>
    <w:rsid w:val="00E26F87"/>
    <w:rsid w:val="00E3015C"/>
    <w:rsid w:val="00E309A4"/>
    <w:rsid w:val="00E3127B"/>
    <w:rsid w:val="00E31857"/>
    <w:rsid w:val="00E32F4F"/>
    <w:rsid w:val="00E3454D"/>
    <w:rsid w:val="00E34719"/>
    <w:rsid w:val="00E36870"/>
    <w:rsid w:val="00E372AE"/>
    <w:rsid w:val="00E42AE6"/>
    <w:rsid w:val="00E43872"/>
    <w:rsid w:val="00E43FD1"/>
    <w:rsid w:val="00E451F3"/>
    <w:rsid w:val="00E46551"/>
    <w:rsid w:val="00E50005"/>
    <w:rsid w:val="00E5009F"/>
    <w:rsid w:val="00E519F0"/>
    <w:rsid w:val="00E52BCA"/>
    <w:rsid w:val="00E54D53"/>
    <w:rsid w:val="00E554E8"/>
    <w:rsid w:val="00E55E77"/>
    <w:rsid w:val="00E60581"/>
    <w:rsid w:val="00E61894"/>
    <w:rsid w:val="00E630EB"/>
    <w:rsid w:val="00E63140"/>
    <w:rsid w:val="00E633DC"/>
    <w:rsid w:val="00E65CD8"/>
    <w:rsid w:val="00E66603"/>
    <w:rsid w:val="00E70838"/>
    <w:rsid w:val="00E711EA"/>
    <w:rsid w:val="00E71899"/>
    <w:rsid w:val="00E729EB"/>
    <w:rsid w:val="00E735A9"/>
    <w:rsid w:val="00E73ACF"/>
    <w:rsid w:val="00E80640"/>
    <w:rsid w:val="00E8157E"/>
    <w:rsid w:val="00E81736"/>
    <w:rsid w:val="00E8176E"/>
    <w:rsid w:val="00E81E3C"/>
    <w:rsid w:val="00E82BF0"/>
    <w:rsid w:val="00E82F1F"/>
    <w:rsid w:val="00E84D69"/>
    <w:rsid w:val="00E85C7C"/>
    <w:rsid w:val="00E85DC7"/>
    <w:rsid w:val="00E86488"/>
    <w:rsid w:val="00E912B1"/>
    <w:rsid w:val="00E9165A"/>
    <w:rsid w:val="00E9219E"/>
    <w:rsid w:val="00E979F7"/>
    <w:rsid w:val="00EA3000"/>
    <w:rsid w:val="00EA3936"/>
    <w:rsid w:val="00EA5CD1"/>
    <w:rsid w:val="00EA7CD0"/>
    <w:rsid w:val="00EB2020"/>
    <w:rsid w:val="00EB2E09"/>
    <w:rsid w:val="00EB62A9"/>
    <w:rsid w:val="00EC02BE"/>
    <w:rsid w:val="00EC3054"/>
    <w:rsid w:val="00EC35DE"/>
    <w:rsid w:val="00EC409F"/>
    <w:rsid w:val="00EC61F6"/>
    <w:rsid w:val="00EC6766"/>
    <w:rsid w:val="00EC7AE3"/>
    <w:rsid w:val="00EC7E08"/>
    <w:rsid w:val="00ED2563"/>
    <w:rsid w:val="00ED5FC2"/>
    <w:rsid w:val="00EE2D3E"/>
    <w:rsid w:val="00EE5590"/>
    <w:rsid w:val="00EE68FC"/>
    <w:rsid w:val="00EE7A5E"/>
    <w:rsid w:val="00EF11CE"/>
    <w:rsid w:val="00EF13FE"/>
    <w:rsid w:val="00EF1C07"/>
    <w:rsid w:val="00EF4F51"/>
    <w:rsid w:val="00EF5C95"/>
    <w:rsid w:val="00EF6960"/>
    <w:rsid w:val="00EF7D4C"/>
    <w:rsid w:val="00F01F0C"/>
    <w:rsid w:val="00F062AC"/>
    <w:rsid w:val="00F068A0"/>
    <w:rsid w:val="00F0745D"/>
    <w:rsid w:val="00F10886"/>
    <w:rsid w:val="00F10C63"/>
    <w:rsid w:val="00F121CB"/>
    <w:rsid w:val="00F17101"/>
    <w:rsid w:val="00F175F6"/>
    <w:rsid w:val="00F17AC1"/>
    <w:rsid w:val="00F20949"/>
    <w:rsid w:val="00F20A25"/>
    <w:rsid w:val="00F20D6E"/>
    <w:rsid w:val="00F23521"/>
    <w:rsid w:val="00F25E05"/>
    <w:rsid w:val="00F314CA"/>
    <w:rsid w:val="00F32A62"/>
    <w:rsid w:val="00F34039"/>
    <w:rsid w:val="00F35350"/>
    <w:rsid w:val="00F35E37"/>
    <w:rsid w:val="00F4022D"/>
    <w:rsid w:val="00F40A22"/>
    <w:rsid w:val="00F4164F"/>
    <w:rsid w:val="00F435DD"/>
    <w:rsid w:val="00F43806"/>
    <w:rsid w:val="00F44A54"/>
    <w:rsid w:val="00F46714"/>
    <w:rsid w:val="00F46DC9"/>
    <w:rsid w:val="00F504D0"/>
    <w:rsid w:val="00F55E9F"/>
    <w:rsid w:val="00F5645F"/>
    <w:rsid w:val="00F61F2B"/>
    <w:rsid w:val="00F632F0"/>
    <w:rsid w:val="00F650C6"/>
    <w:rsid w:val="00F65174"/>
    <w:rsid w:val="00F670C5"/>
    <w:rsid w:val="00F675A5"/>
    <w:rsid w:val="00F7197C"/>
    <w:rsid w:val="00F7266E"/>
    <w:rsid w:val="00F74487"/>
    <w:rsid w:val="00F86665"/>
    <w:rsid w:val="00F86924"/>
    <w:rsid w:val="00F87873"/>
    <w:rsid w:val="00F90FD1"/>
    <w:rsid w:val="00F92E0D"/>
    <w:rsid w:val="00F951A8"/>
    <w:rsid w:val="00F97276"/>
    <w:rsid w:val="00F973B8"/>
    <w:rsid w:val="00F97D34"/>
    <w:rsid w:val="00FA33EA"/>
    <w:rsid w:val="00FA41E0"/>
    <w:rsid w:val="00FA4E6A"/>
    <w:rsid w:val="00FA7041"/>
    <w:rsid w:val="00FB1F32"/>
    <w:rsid w:val="00FB38C1"/>
    <w:rsid w:val="00FB4EEC"/>
    <w:rsid w:val="00FB580A"/>
    <w:rsid w:val="00FC1165"/>
    <w:rsid w:val="00FC2BFC"/>
    <w:rsid w:val="00FC2FEF"/>
    <w:rsid w:val="00FC43F2"/>
    <w:rsid w:val="00FC4E0A"/>
    <w:rsid w:val="00FC65CF"/>
    <w:rsid w:val="00FC7688"/>
    <w:rsid w:val="00FD0107"/>
    <w:rsid w:val="00FD0552"/>
    <w:rsid w:val="00FD52A5"/>
    <w:rsid w:val="00FD5B9A"/>
    <w:rsid w:val="00FD5BAB"/>
    <w:rsid w:val="00FD6621"/>
    <w:rsid w:val="00FE0E17"/>
    <w:rsid w:val="00FE2EBF"/>
    <w:rsid w:val="00FE2FFD"/>
    <w:rsid w:val="00FE4CEE"/>
    <w:rsid w:val="00FF1535"/>
    <w:rsid w:val="00FF1921"/>
    <w:rsid w:val="00FF204F"/>
    <w:rsid w:val="00FF2ACC"/>
    <w:rsid w:val="00FF5CDC"/>
    <w:rsid w:val="00FF77B0"/>
    <w:rsid w:val="00FF77BF"/>
    <w:rsid w:val="00FF7E78"/>
    <w:rsid w:val="012627EC"/>
    <w:rsid w:val="012F044B"/>
    <w:rsid w:val="01380F70"/>
    <w:rsid w:val="013910A0"/>
    <w:rsid w:val="017559C7"/>
    <w:rsid w:val="0192398E"/>
    <w:rsid w:val="01B71576"/>
    <w:rsid w:val="01D55D76"/>
    <w:rsid w:val="020C40F2"/>
    <w:rsid w:val="02376E22"/>
    <w:rsid w:val="023C7FD4"/>
    <w:rsid w:val="02DE1638"/>
    <w:rsid w:val="02E14BB7"/>
    <w:rsid w:val="02F24C3D"/>
    <w:rsid w:val="030B2844"/>
    <w:rsid w:val="0353569A"/>
    <w:rsid w:val="04460984"/>
    <w:rsid w:val="045F0087"/>
    <w:rsid w:val="04B86BAD"/>
    <w:rsid w:val="04D32ECC"/>
    <w:rsid w:val="04E6106A"/>
    <w:rsid w:val="05043E59"/>
    <w:rsid w:val="052467E4"/>
    <w:rsid w:val="05322738"/>
    <w:rsid w:val="05595E26"/>
    <w:rsid w:val="05704DD8"/>
    <w:rsid w:val="05735443"/>
    <w:rsid w:val="058D40EB"/>
    <w:rsid w:val="05DB3D50"/>
    <w:rsid w:val="05DE7F94"/>
    <w:rsid w:val="06305B70"/>
    <w:rsid w:val="06B33FE8"/>
    <w:rsid w:val="06B6038C"/>
    <w:rsid w:val="06DC5BA0"/>
    <w:rsid w:val="074A69F7"/>
    <w:rsid w:val="07651153"/>
    <w:rsid w:val="077B28FC"/>
    <w:rsid w:val="077D564B"/>
    <w:rsid w:val="07D4246E"/>
    <w:rsid w:val="080F2E7E"/>
    <w:rsid w:val="08D631A4"/>
    <w:rsid w:val="08EF4AFC"/>
    <w:rsid w:val="0910075F"/>
    <w:rsid w:val="0922701E"/>
    <w:rsid w:val="0955113E"/>
    <w:rsid w:val="09561002"/>
    <w:rsid w:val="09B94817"/>
    <w:rsid w:val="09BA6179"/>
    <w:rsid w:val="09E516E3"/>
    <w:rsid w:val="0A232D8A"/>
    <w:rsid w:val="0A375166"/>
    <w:rsid w:val="0A715A92"/>
    <w:rsid w:val="0AE02263"/>
    <w:rsid w:val="0B31791A"/>
    <w:rsid w:val="0B487BFD"/>
    <w:rsid w:val="0B97511A"/>
    <w:rsid w:val="0B9E091F"/>
    <w:rsid w:val="0BA15C34"/>
    <w:rsid w:val="0BFD6F80"/>
    <w:rsid w:val="0C193E4B"/>
    <w:rsid w:val="0C242407"/>
    <w:rsid w:val="0C4C440E"/>
    <w:rsid w:val="0CAC27FF"/>
    <w:rsid w:val="0DD423A8"/>
    <w:rsid w:val="0DD56AC6"/>
    <w:rsid w:val="0DE130FF"/>
    <w:rsid w:val="0DEF567D"/>
    <w:rsid w:val="0E580065"/>
    <w:rsid w:val="0E6E046F"/>
    <w:rsid w:val="0E77074F"/>
    <w:rsid w:val="0E9819E4"/>
    <w:rsid w:val="0EE73635"/>
    <w:rsid w:val="0F25216F"/>
    <w:rsid w:val="0F525FB7"/>
    <w:rsid w:val="0F5472DE"/>
    <w:rsid w:val="0F750D69"/>
    <w:rsid w:val="0F96740E"/>
    <w:rsid w:val="0FA230A8"/>
    <w:rsid w:val="0FA87ECE"/>
    <w:rsid w:val="0FAD0CC5"/>
    <w:rsid w:val="0FF52D01"/>
    <w:rsid w:val="0FFC7994"/>
    <w:rsid w:val="10083F3E"/>
    <w:rsid w:val="1008458B"/>
    <w:rsid w:val="100C12D6"/>
    <w:rsid w:val="1037024A"/>
    <w:rsid w:val="10D2645C"/>
    <w:rsid w:val="118964D1"/>
    <w:rsid w:val="11C83CE9"/>
    <w:rsid w:val="121D1954"/>
    <w:rsid w:val="1224328A"/>
    <w:rsid w:val="12387762"/>
    <w:rsid w:val="123A6F6C"/>
    <w:rsid w:val="128B5E33"/>
    <w:rsid w:val="128D7B9B"/>
    <w:rsid w:val="12AB3C15"/>
    <w:rsid w:val="12FF0ADE"/>
    <w:rsid w:val="131C63E3"/>
    <w:rsid w:val="131F4723"/>
    <w:rsid w:val="133C0147"/>
    <w:rsid w:val="136A0621"/>
    <w:rsid w:val="137E5EFF"/>
    <w:rsid w:val="13D1527E"/>
    <w:rsid w:val="141F7C3F"/>
    <w:rsid w:val="14207BC2"/>
    <w:rsid w:val="143E58E9"/>
    <w:rsid w:val="144C0CAA"/>
    <w:rsid w:val="14D85525"/>
    <w:rsid w:val="15036D14"/>
    <w:rsid w:val="150800C9"/>
    <w:rsid w:val="15750513"/>
    <w:rsid w:val="159A3457"/>
    <w:rsid w:val="15C714C2"/>
    <w:rsid w:val="16626626"/>
    <w:rsid w:val="16B831D2"/>
    <w:rsid w:val="16C6735C"/>
    <w:rsid w:val="170A457F"/>
    <w:rsid w:val="171A2C0D"/>
    <w:rsid w:val="17263DB6"/>
    <w:rsid w:val="17311FD8"/>
    <w:rsid w:val="177531A3"/>
    <w:rsid w:val="179476B3"/>
    <w:rsid w:val="17C612CE"/>
    <w:rsid w:val="17D0164A"/>
    <w:rsid w:val="180513B0"/>
    <w:rsid w:val="18393080"/>
    <w:rsid w:val="189C1D14"/>
    <w:rsid w:val="18B60AE0"/>
    <w:rsid w:val="18D002AB"/>
    <w:rsid w:val="18D23085"/>
    <w:rsid w:val="18DC4AAB"/>
    <w:rsid w:val="18E80CA3"/>
    <w:rsid w:val="18F02060"/>
    <w:rsid w:val="190D3B48"/>
    <w:rsid w:val="191A3199"/>
    <w:rsid w:val="191B5FB9"/>
    <w:rsid w:val="195B5901"/>
    <w:rsid w:val="19EC193E"/>
    <w:rsid w:val="1A223C5B"/>
    <w:rsid w:val="1A630069"/>
    <w:rsid w:val="1A87046A"/>
    <w:rsid w:val="1B052549"/>
    <w:rsid w:val="1B121246"/>
    <w:rsid w:val="1B202D65"/>
    <w:rsid w:val="1BB378F8"/>
    <w:rsid w:val="1BD702ED"/>
    <w:rsid w:val="1C27091F"/>
    <w:rsid w:val="1C7375CD"/>
    <w:rsid w:val="1C835628"/>
    <w:rsid w:val="1C984E41"/>
    <w:rsid w:val="1D0F4A92"/>
    <w:rsid w:val="1D10354F"/>
    <w:rsid w:val="1D2813EC"/>
    <w:rsid w:val="1DA115C5"/>
    <w:rsid w:val="1DE87E12"/>
    <w:rsid w:val="1E192F15"/>
    <w:rsid w:val="1E1B2B12"/>
    <w:rsid w:val="1E4B6B5B"/>
    <w:rsid w:val="1EE021CA"/>
    <w:rsid w:val="1F4161BA"/>
    <w:rsid w:val="200B3BED"/>
    <w:rsid w:val="2010515D"/>
    <w:rsid w:val="20196EDC"/>
    <w:rsid w:val="209B6913"/>
    <w:rsid w:val="20A718C3"/>
    <w:rsid w:val="20D57D40"/>
    <w:rsid w:val="20E93A54"/>
    <w:rsid w:val="21737CC2"/>
    <w:rsid w:val="21C76432"/>
    <w:rsid w:val="221E0A69"/>
    <w:rsid w:val="2253090A"/>
    <w:rsid w:val="22BC21CD"/>
    <w:rsid w:val="22BC4F06"/>
    <w:rsid w:val="22EF10CD"/>
    <w:rsid w:val="23346AD3"/>
    <w:rsid w:val="23C42CEA"/>
    <w:rsid w:val="23F23130"/>
    <w:rsid w:val="23F915EB"/>
    <w:rsid w:val="2417589A"/>
    <w:rsid w:val="247E2C16"/>
    <w:rsid w:val="24F0235C"/>
    <w:rsid w:val="24FD3C49"/>
    <w:rsid w:val="250E52B0"/>
    <w:rsid w:val="25333A00"/>
    <w:rsid w:val="25534B94"/>
    <w:rsid w:val="25643A69"/>
    <w:rsid w:val="25B05D4D"/>
    <w:rsid w:val="25C06FB5"/>
    <w:rsid w:val="260B6A4D"/>
    <w:rsid w:val="2625501D"/>
    <w:rsid w:val="2630783C"/>
    <w:rsid w:val="263431F9"/>
    <w:rsid w:val="26980F33"/>
    <w:rsid w:val="26A4050D"/>
    <w:rsid w:val="26B32BB5"/>
    <w:rsid w:val="26B63325"/>
    <w:rsid w:val="26C70AE5"/>
    <w:rsid w:val="27683AA6"/>
    <w:rsid w:val="27C23147"/>
    <w:rsid w:val="27EC7B97"/>
    <w:rsid w:val="28250CC6"/>
    <w:rsid w:val="284C09E6"/>
    <w:rsid w:val="28741B2F"/>
    <w:rsid w:val="28766894"/>
    <w:rsid w:val="28EE7985"/>
    <w:rsid w:val="28FF0012"/>
    <w:rsid w:val="295604C2"/>
    <w:rsid w:val="296604FE"/>
    <w:rsid w:val="297B49FB"/>
    <w:rsid w:val="299B3B6E"/>
    <w:rsid w:val="29B30E1A"/>
    <w:rsid w:val="29EE5B43"/>
    <w:rsid w:val="29EF2C20"/>
    <w:rsid w:val="29F32CAA"/>
    <w:rsid w:val="2A2306D6"/>
    <w:rsid w:val="2A36520C"/>
    <w:rsid w:val="2A390A83"/>
    <w:rsid w:val="2AA576F8"/>
    <w:rsid w:val="2ABE44AD"/>
    <w:rsid w:val="2AD519B7"/>
    <w:rsid w:val="2AD51C9E"/>
    <w:rsid w:val="2B1905BA"/>
    <w:rsid w:val="2B7807D7"/>
    <w:rsid w:val="2BB06763"/>
    <w:rsid w:val="2C137C81"/>
    <w:rsid w:val="2C155C0E"/>
    <w:rsid w:val="2C2F2ADC"/>
    <w:rsid w:val="2C476A7D"/>
    <w:rsid w:val="2C734225"/>
    <w:rsid w:val="2CC45BE0"/>
    <w:rsid w:val="2D3175C2"/>
    <w:rsid w:val="2D3E0885"/>
    <w:rsid w:val="2D4F6FA0"/>
    <w:rsid w:val="2D57287B"/>
    <w:rsid w:val="2D723114"/>
    <w:rsid w:val="2D8C7A3F"/>
    <w:rsid w:val="2DED4844"/>
    <w:rsid w:val="2E1201A7"/>
    <w:rsid w:val="2E5408B1"/>
    <w:rsid w:val="2E833B16"/>
    <w:rsid w:val="2EB411CC"/>
    <w:rsid w:val="2EBA46DE"/>
    <w:rsid w:val="2EF96FED"/>
    <w:rsid w:val="2EFB2258"/>
    <w:rsid w:val="2F0F31E6"/>
    <w:rsid w:val="2F6674F4"/>
    <w:rsid w:val="2F84431E"/>
    <w:rsid w:val="2FD57AFF"/>
    <w:rsid w:val="300F6527"/>
    <w:rsid w:val="303247EE"/>
    <w:rsid w:val="30993AA1"/>
    <w:rsid w:val="30D34E0D"/>
    <w:rsid w:val="3100648F"/>
    <w:rsid w:val="311A0EA5"/>
    <w:rsid w:val="311F1372"/>
    <w:rsid w:val="317163F2"/>
    <w:rsid w:val="31AB483D"/>
    <w:rsid w:val="322B4249"/>
    <w:rsid w:val="32676A97"/>
    <w:rsid w:val="32B54268"/>
    <w:rsid w:val="333F13F4"/>
    <w:rsid w:val="33533315"/>
    <w:rsid w:val="33975C9A"/>
    <w:rsid w:val="34000D04"/>
    <w:rsid w:val="340962A6"/>
    <w:rsid w:val="3417184D"/>
    <w:rsid w:val="344235D6"/>
    <w:rsid w:val="34A710DE"/>
    <w:rsid w:val="34E70363"/>
    <w:rsid w:val="34F634B6"/>
    <w:rsid w:val="34F807BD"/>
    <w:rsid w:val="35045DDF"/>
    <w:rsid w:val="353A1619"/>
    <w:rsid w:val="3572601A"/>
    <w:rsid w:val="359C6CBD"/>
    <w:rsid w:val="35D36C38"/>
    <w:rsid w:val="35E132A1"/>
    <w:rsid w:val="36994677"/>
    <w:rsid w:val="36C14DBF"/>
    <w:rsid w:val="36C266C4"/>
    <w:rsid w:val="37336181"/>
    <w:rsid w:val="375D5510"/>
    <w:rsid w:val="378C2A74"/>
    <w:rsid w:val="379A68D8"/>
    <w:rsid w:val="37BE6E27"/>
    <w:rsid w:val="37E77E78"/>
    <w:rsid w:val="381415A9"/>
    <w:rsid w:val="386E6D0F"/>
    <w:rsid w:val="38AD3F07"/>
    <w:rsid w:val="38E47142"/>
    <w:rsid w:val="397E5A65"/>
    <w:rsid w:val="39BB14A5"/>
    <w:rsid w:val="39CE6A60"/>
    <w:rsid w:val="39F17CF6"/>
    <w:rsid w:val="39F93328"/>
    <w:rsid w:val="3A015ACD"/>
    <w:rsid w:val="3A0634DB"/>
    <w:rsid w:val="3A1F0811"/>
    <w:rsid w:val="3A570EB8"/>
    <w:rsid w:val="3A5D00FF"/>
    <w:rsid w:val="3A6E6089"/>
    <w:rsid w:val="3A905B51"/>
    <w:rsid w:val="3A912FB6"/>
    <w:rsid w:val="3AF91C16"/>
    <w:rsid w:val="3B216667"/>
    <w:rsid w:val="3B673A7D"/>
    <w:rsid w:val="3B7C4830"/>
    <w:rsid w:val="3B9F7BFE"/>
    <w:rsid w:val="3BA54BF1"/>
    <w:rsid w:val="3BC1394A"/>
    <w:rsid w:val="3BD72EE0"/>
    <w:rsid w:val="3C0A2499"/>
    <w:rsid w:val="3C343279"/>
    <w:rsid w:val="3C8C0CA5"/>
    <w:rsid w:val="3C9E3AD4"/>
    <w:rsid w:val="3CA00A5F"/>
    <w:rsid w:val="3CDD3B4E"/>
    <w:rsid w:val="3DB94316"/>
    <w:rsid w:val="3DDE08F9"/>
    <w:rsid w:val="3E2E252D"/>
    <w:rsid w:val="3E4E5B2B"/>
    <w:rsid w:val="3EB72977"/>
    <w:rsid w:val="3ED854DE"/>
    <w:rsid w:val="3F5B064A"/>
    <w:rsid w:val="3F927702"/>
    <w:rsid w:val="3FA87CDA"/>
    <w:rsid w:val="3FB12EA5"/>
    <w:rsid w:val="3FC72D8E"/>
    <w:rsid w:val="401E2DB8"/>
    <w:rsid w:val="40763704"/>
    <w:rsid w:val="41041A87"/>
    <w:rsid w:val="414260C8"/>
    <w:rsid w:val="41903EBE"/>
    <w:rsid w:val="41AB3C26"/>
    <w:rsid w:val="41DE6B9D"/>
    <w:rsid w:val="41E778F8"/>
    <w:rsid w:val="41F477D5"/>
    <w:rsid w:val="4223043C"/>
    <w:rsid w:val="42285333"/>
    <w:rsid w:val="422E64F3"/>
    <w:rsid w:val="42405B8F"/>
    <w:rsid w:val="42595963"/>
    <w:rsid w:val="427B0526"/>
    <w:rsid w:val="42A96F33"/>
    <w:rsid w:val="42B46AFE"/>
    <w:rsid w:val="42BB4678"/>
    <w:rsid w:val="42CF2AAA"/>
    <w:rsid w:val="42D601B6"/>
    <w:rsid w:val="42EB2FD6"/>
    <w:rsid w:val="43002F13"/>
    <w:rsid w:val="431C5C18"/>
    <w:rsid w:val="4373477F"/>
    <w:rsid w:val="438013F4"/>
    <w:rsid w:val="43CB7D73"/>
    <w:rsid w:val="441A02B3"/>
    <w:rsid w:val="442D0617"/>
    <w:rsid w:val="44784DF2"/>
    <w:rsid w:val="44E82FA9"/>
    <w:rsid w:val="44E8359D"/>
    <w:rsid w:val="45857143"/>
    <w:rsid w:val="45EE4662"/>
    <w:rsid w:val="461B60BF"/>
    <w:rsid w:val="46741846"/>
    <w:rsid w:val="468F348A"/>
    <w:rsid w:val="46B42D12"/>
    <w:rsid w:val="46BA3358"/>
    <w:rsid w:val="46C52C66"/>
    <w:rsid w:val="46DC6915"/>
    <w:rsid w:val="47027BE0"/>
    <w:rsid w:val="474E2A67"/>
    <w:rsid w:val="47507AB4"/>
    <w:rsid w:val="47895A0A"/>
    <w:rsid w:val="478B35E3"/>
    <w:rsid w:val="47A20D04"/>
    <w:rsid w:val="47D76015"/>
    <w:rsid w:val="48D2515B"/>
    <w:rsid w:val="48F74706"/>
    <w:rsid w:val="49343430"/>
    <w:rsid w:val="493B5356"/>
    <w:rsid w:val="493E1DAA"/>
    <w:rsid w:val="49431453"/>
    <w:rsid w:val="49477653"/>
    <w:rsid w:val="496D29C8"/>
    <w:rsid w:val="4972553E"/>
    <w:rsid w:val="49EF313E"/>
    <w:rsid w:val="49F2265D"/>
    <w:rsid w:val="4A2A54D9"/>
    <w:rsid w:val="4A5408FB"/>
    <w:rsid w:val="4A8A3813"/>
    <w:rsid w:val="4ACE12CA"/>
    <w:rsid w:val="4B2D65BF"/>
    <w:rsid w:val="4B4F2061"/>
    <w:rsid w:val="4BB766B1"/>
    <w:rsid w:val="4BBD01DF"/>
    <w:rsid w:val="4BD83474"/>
    <w:rsid w:val="4C0C7771"/>
    <w:rsid w:val="4C42016C"/>
    <w:rsid w:val="4C5F6467"/>
    <w:rsid w:val="4C7A267F"/>
    <w:rsid w:val="4C8B75BA"/>
    <w:rsid w:val="4CA757A7"/>
    <w:rsid w:val="4D0B2CFA"/>
    <w:rsid w:val="4D513A8B"/>
    <w:rsid w:val="4E202B2B"/>
    <w:rsid w:val="4E4104D7"/>
    <w:rsid w:val="4E4E1AD3"/>
    <w:rsid w:val="4E6F7ED9"/>
    <w:rsid w:val="4E941A5E"/>
    <w:rsid w:val="4ED2744B"/>
    <w:rsid w:val="4EF7302E"/>
    <w:rsid w:val="4F5F0DCA"/>
    <w:rsid w:val="4F630779"/>
    <w:rsid w:val="4F9A19D9"/>
    <w:rsid w:val="4FC36FBC"/>
    <w:rsid w:val="4FD66541"/>
    <w:rsid w:val="4FDB6FF1"/>
    <w:rsid w:val="501D7F57"/>
    <w:rsid w:val="507D418E"/>
    <w:rsid w:val="50B30DEB"/>
    <w:rsid w:val="51190237"/>
    <w:rsid w:val="51235CA6"/>
    <w:rsid w:val="5126484D"/>
    <w:rsid w:val="51844B34"/>
    <w:rsid w:val="51871FF8"/>
    <w:rsid w:val="51D210B4"/>
    <w:rsid w:val="51EA0D86"/>
    <w:rsid w:val="51ED5106"/>
    <w:rsid w:val="51EE6435"/>
    <w:rsid w:val="51FB5FD8"/>
    <w:rsid w:val="52902630"/>
    <w:rsid w:val="52B04009"/>
    <w:rsid w:val="53D96043"/>
    <w:rsid w:val="54504294"/>
    <w:rsid w:val="54A13D14"/>
    <w:rsid w:val="54D576D6"/>
    <w:rsid w:val="5507617F"/>
    <w:rsid w:val="555013F6"/>
    <w:rsid w:val="5560764A"/>
    <w:rsid w:val="559A5D14"/>
    <w:rsid w:val="559D5EE4"/>
    <w:rsid w:val="55B41AF5"/>
    <w:rsid w:val="55BA1EB0"/>
    <w:rsid w:val="56384123"/>
    <w:rsid w:val="565222F5"/>
    <w:rsid w:val="56B15042"/>
    <w:rsid w:val="57296619"/>
    <w:rsid w:val="572C03D8"/>
    <w:rsid w:val="572F33BD"/>
    <w:rsid w:val="57773E2A"/>
    <w:rsid w:val="579D6B7D"/>
    <w:rsid w:val="57A145E1"/>
    <w:rsid w:val="57A22E9A"/>
    <w:rsid w:val="57FE1198"/>
    <w:rsid w:val="581D7FA6"/>
    <w:rsid w:val="58332920"/>
    <w:rsid w:val="58465817"/>
    <w:rsid w:val="586D2561"/>
    <w:rsid w:val="58E9485F"/>
    <w:rsid w:val="58EB0C71"/>
    <w:rsid w:val="58EC3E34"/>
    <w:rsid w:val="596E1A64"/>
    <w:rsid w:val="59B71D6B"/>
    <w:rsid w:val="5A4831FC"/>
    <w:rsid w:val="5AC3711C"/>
    <w:rsid w:val="5B260D1C"/>
    <w:rsid w:val="5B583C84"/>
    <w:rsid w:val="5B7F68A0"/>
    <w:rsid w:val="5BDB6005"/>
    <w:rsid w:val="5C0C2CFA"/>
    <w:rsid w:val="5C12560E"/>
    <w:rsid w:val="5C441F61"/>
    <w:rsid w:val="5CEB3FD9"/>
    <w:rsid w:val="5CF039A9"/>
    <w:rsid w:val="5D0B568A"/>
    <w:rsid w:val="5D283554"/>
    <w:rsid w:val="5D42145A"/>
    <w:rsid w:val="5DA6493D"/>
    <w:rsid w:val="5DAE73F2"/>
    <w:rsid w:val="5DF32230"/>
    <w:rsid w:val="5E776D86"/>
    <w:rsid w:val="5E7B2319"/>
    <w:rsid w:val="5E845E14"/>
    <w:rsid w:val="5E9C2DA1"/>
    <w:rsid w:val="5ED34064"/>
    <w:rsid w:val="5FA339A2"/>
    <w:rsid w:val="5FC548FB"/>
    <w:rsid w:val="5FD76A07"/>
    <w:rsid w:val="600E63A9"/>
    <w:rsid w:val="60232C7D"/>
    <w:rsid w:val="60375C2E"/>
    <w:rsid w:val="604A5FEF"/>
    <w:rsid w:val="607F4F51"/>
    <w:rsid w:val="611258D9"/>
    <w:rsid w:val="613719DF"/>
    <w:rsid w:val="613D0692"/>
    <w:rsid w:val="61CC600D"/>
    <w:rsid w:val="61E218B9"/>
    <w:rsid w:val="623B7475"/>
    <w:rsid w:val="62AC0FD1"/>
    <w:rsid w:val="62C57C67"/>
    <w:rsid w:val="63131CC4"/>
    <w:rsid w:val="632F5E66"/>
    <w:rsid w:val="63AD6357"/>
    <w:rsid w:val="63D80168"/>
    <w:rsid w:val="63EE43EA"/>
    <w:rsid w:val="63FB0D03"/>
    <w:rsid w:val="64144C3B"/>
    <w:rsid w:val="64145311"/>
    <w:rsid w:val="64361733"/>
    <w:rsid w:val="64760C38"/>
    <w:rsid w:val="647E5958"/>
    <w:rsid w:val="64865018"/>
    <w:rsid w:val="649F7553"/>
    <w:rsid w:val="64BB63F8"/>
    <w:rsid w:val="64C9409E"/>
    <w:rsid w:val="64EF2844"/>
    <w:rsid w:val="650065D8"/>
    <w:rsid w:val="65050506"/>
    <w:rsid w:val="65622D19"/>
    <w:rsid w:val="656A3451"/>
    <w:rsid w:val="656F7304"/>
    <w:rsid w:val="65B708DE"/>
    <w:rsid w:val="65D5373C"/>
    <w:rsid w:val="65F02C91"/>
    <w:rsid w:val="66603836"/>
    <w:rsid w:val="6676702E"/>
    <w:rsid w:val="66CA52C9"/>
    <w:rsid w:val="671B7DE8"/>
    <w:rsid w:val="67491003"/>
    <w:rsid w:val="6751785F"/>
    <w:rsid w:val="675B6700"/>
    <w:rsid w:val="676254E9"/>
    <w:rsid w:val="6780567D"/>
    <w:rsid w:val="67C10C48"/>
    <w:rsid w:val="67CC1879"/>
    <w:rsid w:val="67DC66DC"/>
    <w:rsid w:val="680802C2"/>
    <w:rsid w:val="682942C8"/>
    <w:rsid w:val="68352BF1"/>
    <w:rsid w:val="683A3D2B"/>
    <w:rsid w:val="68784033"/>
    <w:rsid w:val="68803037"/>
    <w:rsid w:val="68B458C4"/>
    <w:rsid w:val="68C012C7"/>
    <w:rsid w:val="69016C2F"/>
    <w:rsid w:val="69080BDE"/>
    <w:rsid w:val="69083ABB"/>
    <w:rsid w:val="69191A64"/>
    <w:rsid w:val="6987670C"/>
    <w:rsid w:val="69906697"/>
    <w:rsid w:val="69D507E2"/>
    <w:rsid w:val="6A0E546F"/>
    <w:rsid w:val="6A1F1550"/>
    <w:rsid w:val="6A2F4547"/>
    <w:rsid w:val="6A31291F"/>
    <w:rsid w:val="6A497BD1"/>
    <w:rsid w:val="6A595D36"/>
    <w:rsid w:val="6A7554EE"/>
    <w:rsid w:val="6A817D97"/>
    <w:rsid w:val="6B5E15DB"/>
    <w:rsid w:val="6BAC4983"/>
    <w:rsid w:val="6BD76F6F"/>
    <w:rsid w:val="6C041279"/>
    <w:rsid w:val="6C475649"/>
    <w:rsid w:val="6C6F4377"/>
    <w:rsid w:val="6C7E67E5"/>
    <w:rsid w:val="6CFA6255"/>
    <w:rsid w:val="6D3A6F3B"/>
    <w:rsid w:val="6DDD7C5D"/>
    <w:rsid w:val="6DE77D9E"/>
    <w:rsid w:val="6E2B6B6B"/>
    <w:rsid w:val="6E4B6440"/>
    <w:rsid w:val="6E536019"/>
    <w:rsid w:val="6E6E0706"/>
    <w:rsid w:val="6EA939B8"/>
    <w:rsid w:val="6EB21F24"/>
    <w:rsid w:val="6EB87290"/>
    <w:rsid w:val="6EC008A6"/>
    <w:rsid w:val="6F0A4B97"/>
    <w:rsid w:val="6F4739A8"/>
    <w:rsid w:val="6F4E7959"/>
    <w:rsid w:val="6F894224"/>
    <w:rsid w:val="6FC82564"/>
    <w:rsid w:val="6FC869B5"/>
    <w:rsid w:val="700C3D3F"/>
    <w:rsid w:val="70383787"/>
    <w:rsid w:val="70695D62"/>
    <w:rsid w:val="70A55E24"/>
    <w:rsid w:val="70AC16AD"/>
    <w:rsid w:val="70C53F8B"/>
    <w:rsid w:val="70EA21D8"/>
    <w:rsid w:val="710664A7"/>
    <w:rsid w:val="71463A54"/>
    <w:rsid w:val="71704568"/>
    <w:rsid w:val="71791412"/>
    <w:rsid w:val="718F6178"/>
    <w:rsid w:val="721B7C23"/>
    <w:rsid w:val="72891AEC"/>
    <w:rsid w:val="73015A3B"/>
    <w:rsid w:val="730211B9"/>
    <w:rsid w:val="7310276A"/>
    <w:rsid w:val="73181744"/>
    <w:rsid w:val="736C180D"/>
    <w:rsid w:val="73DD7CAA"/>
    <w:rsid w:val="741A2E52"/>
    <w:rsid w:val="745F4D3E"/>
    <w:rsid w:val="749A62FC"/>
    <w:rsid w:val="74B14DAD"/>
    <w:rsid w:val="74ED70FF"/>
    <w:rsid w:val="750E30A4"/>
    <w:rsid w:val="75831CA0"/>
    <w:rsid w:val="75922DA4"/>
    <w:rsid w:val="75C669B6"/>
    <w:rsid w:val="760A4D90"/>
    <w:rsid w:val="765052F6"/>
    <w:rsid w:val="766F509A"/>
    <w:rsid w:val="768E5753"/>
    <w:rsid w:val="76F92DF7"/>
    <w:rsid w:val="770208BC"/>
    <w:rsid w:val="773D55E5"/>
    <w:rsid w:val="782B1FEC"/>
    <w:rsid w:val="782F6BB0"/>
    <w:rsid w:val="7846721B"/>
    <w:rsid w:val="7849788F"/>
    <w:rsid w:val="78542439"/>
    <w:rsid w:val="78661195"/>
    <w:rsid w:val="788E35A3"/>
    <w:rsid w:val="7892114B"/>
    <w:rsid w:val="78BE4AF8"/>
    <w:rsid w:val="78DF523C"/>
    <w:rsid w:val="78FB5758"/>
    <w:rsid w:val="793E5E52"/>
    <w:rsid w:val="794A2994"/>
    <w:rsid w:val="795036EB"/>
    <w:rsid w:val="79D22BA5"/>
    <w:rsid w:val="7A0F218E"/>
    <w:rsid w:val="7A19222E"/>
    <w:rsid w:val="7A361450"/>
    <w:rsid w:val="7AE94317"/>
    <w:rsid w:val="7AFD44A3"/>
    <w:rsid w:val="7B887FA2"/>
    <w:rsid w:val="7B9E6EB9"/>
    <w:rsid w:val="7C33173B"/>
    <w:rsid w:val="7C4514C4"/>
    <w:rsid w:val="7C681D0C"/>
    <w:rsid w:val="7C6C1DCC"/>
    <w:rsid w:val="7C9931B0"/>
    <w:rsid w:val="7C9F1980"/>
    <w:rsid w:val="7CC3033B"/>
    <w:rsid w:val="7D082996"/>
    <w:rsid w:val="7D20072F"/>
    <w:rsid w:val="7D7209E8"/>
    <w:rsid w:val="7D9655B2"/>
    <w:rsid w:val="7D9C4B36"/>
    <w:rsid w:val="7DA4280D"/>
    <w:rsid w:val="7DAC2251"/>
    <w:rsid w:val="7DCE7058"/>
    <w:rsid w:val="7DF47138"/>
    <w:rsid w:val="7E0718D3"/>
    <w:rsid w:val="7E3C33E1"/>
    <w:rsid w:val="7E80779E"/>
    <w:rsid w:val="7EB7131C"/>
    <w:rsid w:val="7ECB38E3"/>
    <w:rsid w:val="7EEE6EF0"/>
    <w:rsid w:val="7EFB397C"/>
    <w:rsid w:val="7F3D36B7"/>
    <w:rsid w:val="7F7E679B"/>
    <w:rsid w:val="7FD92A36"/>
    <w:rsid w:val="7FFD36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0"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2"/>
    <w:qFormat/>
    <w:uiPriority w:val="0"/>
    <w:pPr>
      <w:keepNext/>
      <w:jc w:val="center"/>
      <w:outlineLvl w:val="0"/>
    </w:pPr>
    <w:rPr>
      <w:b/>
      <w:bCs/>
      <w:kern w:val="0"/>
      <w:sz w:val="24"/>
      <w:szCs w:val="20"/>
    </w:rPr>
  </w:style>
  <w:style w:type="paragraph" w:styleId="2">
    <w:name w:val="heading 2"/>
    <w:basedOn w:val="1"/>
    <w:next w:val="3"/>
    <w:link w:val="54"/>
    <w:qFormat/>
    <w:uiPriority w:val="9"/>
    <w:pPr>
      <w:keepNext/>
      <w:keepLines/>
      <w:spacing w:line="360" w:lineRule="auto"/>
      <w:outlineLvl w:val="1"/>
    </w:pPr>
    <w:rPr>
      <w:rFonts w:ascii="Arial" w:hAnsi="Arial"/>
      <w:b/>
      <w:bCs/>
      <w:kern w:val="0"/>
      <w:sz w:val="24"/>
      <w:szCs w:val="32"/>
    </w:rPr>
  </w:style>
  <w:style w:type="paragraph" w:styleId="5">
    <w:name w:val="heading 3"/>
    <w:basedOn w:val="1"/>
    <w:next w:val="1"/>
    <w:link w:val="55"/>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56"/>
    <w:qFormat/>
    <w:uiPriority w:val="9"/>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1"/>
    <w:link w:val="57"/>
    <w:qFormat/>
    <w:uiPriority w:val="9"/>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58"/>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59"/>
    <w:qFormat/>
    <w:uiPriority w:val="9"/>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60"/>
    <w:qFormat/>
    <w:uiPriority w:val="9"/>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61"/>
    <w:qFormat/>
    <w:uiPriority w:val="9"/>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rPr>
      <w:kern w:val="0"/>
      <w:sz w:val="20"/>
      <w:szCs w:val="20"/>
    </w:rPr>
  </w:style>
  <w:style w:type="paragraph" w:styleId="12">
    <w:name w:val="toc 7"/>
    <w:basedOn w:val="1"/>
    <w:next w:val="1"/>
    <w:unhideWhenUsed/>
    <w:qFormat/>
    <w:uiPriority w:val="39"/>
    <w:pPr>
      <w:ind w:left="2520" w:leftChars="1200"/>
    </w:pPr>
    <w:rPr>
      <w:rFonts w:ascii="等线" w:hAnsi="等线" w:eastAsia="等线"/>
      <w:szCs w:val="22"/>
    </w:rPr>
  </w:style>
  <w:style w:type="paragraph" w:styleId="13">
    <w:name w:val="Document Map"/>
    <w:basedOn w:val="1"/>
    <w:link w:val="62"/>
    <w:semiHidden/>
    <w:qFormat/>
    <w:uiPriority w:val="0"/>
    <w:pPr>
      <w:shd w:val="clear" w:color="auto" w:fill="000080"/>
    </w:pPr>
    <w:rPr>
      <w:kern w:val="0"/>
      <w:sz w:val="20"/>
    </w:rPr>
  </w:style>
  <w:style w:type="paragraph" w:styleId="14">
    <w:name w:val="annotation text"/>
    <w:basedOn w:val="1"/>
    <w:link w:val="63"/>
    <w:qFormat/>
    <w:uiPriority w:val="99"/>
    <w:pPr>
      <w:jc w:val="left"/>
    </w:pPr>
    <w:rPr>
      <w:kern w:val="0"/>
      <w:sz w:val="20"/>
    </w:rPr>
  </w:style>
  <w:style w:type="paragraph" w:styleId="15">
    <w:name w:val="Salutation"/>
    <w:basedOn w:val="1"/>
    <w:next w:val="1"/>
    <w:link w:val="64"/>
    <w:qFormat/>
    <w:uiPriority w:val="0"/>
    <w:rPr>
      <w:rFonts w:ascii="仿宋_GB2312" w:eastAsia="仿宋_GB2312"/>
      <w:kern w:val="0"/>
      <w:sz w:val="24"/>
    </w:rPr>
  </w:style>
  <w:style w:type="paragraph" w:styleId="16">
    <w:name w:val="Body Text"/>
    <w:basedOn w:val="1"/>
    <w:next w:val="1"/>
    <w:link w:val="65"/>
    <w:qFormat/>
    <w:uiPriority w:val="0"/>
    <w:pPr>
      <w:spacing w:after="120"/>
    </w:pPr>
    <w:rPr>
      <w:kern w:val="0"/>
      <w:sz w:val="20"/>
    </w:rPr>
  </w:style>
  <w:style w:type="paragraph" w:styleId="17">
    <w:name w:val="Body Text Indent"/>
    <w:basedOn w:val="1"/>
    <w:next w:val="18"/>
    <w:link w:val="66"/>
    <w:qFormat/>
    <w:uiPriority w:val="0"/>
    <w:pPr>
      <w:spacing w:after="120"/>
      <w:ind w:left="420" w:leftChars="200"/>
    </w:pPr>
    <w:rPr>
      <w:kern w:val="0"/>
      <w:sz w:val="20"/>
    </w:rPr>
  </w:style>
  <w:style w:type="paragraph" w:styleId="18">
    <w:name w:val="Body Text First Indent 2"/>
    <w:basedOn w:val="1"/>
    <w:next w:val="16"/>
    <w:link w:val="78"/>
    <w:unhideWhenUsed/>
    <w:qFormat/>
    <w:uiPriority w:val="0"/>
    <w:pPr>
      <w:ind w:firstLine="420" w:firstLineChars="200"/>
    </w:pPr>
    <w:rPr>
      <w:kern w:val="2"/>
      <w:sz w:val="21"/>
    </w:r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unhideWhenUsed/>
    <w:qFormat/>
    <w:uiPriority w:val="39"/>
    <w:pPr>
      <w:ind w:left="1680" w:leftChars="800"/>
    </w:pPr>
    <w:rPr>
      <w:rFonts w:ascii="等线" w:hAnsi="等线" w:eastAsia="等线"/>
      <w:szCs w:val="22"/>
    </w:rPr>
  </w:style>
  <w:style w:type="paragraph" w:styleId="21">
    <w:name w:val="toc 3"/>
    <w:basedOn w:val="1"/>
    <w:next w:val="1"/>
    <w:unhideWhenUsed/>
    <w:qFormat/>
    <w:uiPriority w:val="39"/>
    <w:pPr>
      <w:spacing w:before="12" w:after="12" w:line="360" w:lineRule="auto"/>
    </w:pPr>
    <w:rPr>
      <w:rFonts w:ascii="等线" w:hAnsi="等线" w:eastAsia="等线"/>
      <w:szCs w:val="22"/>
    </w:rPr>
  </w:style>
  <w:style w:type="paragraph" w:styleId="22">
    <w:name w:val="Plain Text"/>
    <w:basedOn w:val="1"/>
    <w:link w:val="67"/>
    <w:qFormat/>
    <w:uiPriority w:val="0"/>
    <w:rPr>
      <w:rFonts w:ascii="宋体" w:hAnsi="Courier New"/>
      <w:kern w:val="0"/>
      <w:sz w:val="20"/>
      <w:szCs w:val="21"/>
    </w:rPr>
  </w:style>
  <w:style w:type="paragraph" w:styleId="23">
    <w:name w:val="toc 8"/>
    <w:basedOn w:val="1"/>
    <w:next w:val="1"/>
    <w:unhideWhenUsed/>
    <w:qFormat/>
    <w:uiPriority w:val="39"/>
    <w:pPr>
      <w:ind w:left="2940" w:leftChars="1400"/>
    </w:pPr>
    <w:rPr>
      <w:rFonts w:ascii="等线" w:hAnsi="等线" w:eastAsia="等线"/>
      <w:szCs w:val="22"/>
    </w:rPr>
  </w:style>
  <w:style w:type="paragraph" w:styleId="24">
    <w:name w:val="Date"/>
    <w:basedOn w:val="1"/>
    <w:next w:val="1"/>
    <w:link w:val="68"/>
    <w:qFormat/>
    <w:uiPriority w:val="0"/>
    <w:rPr>
      <w:kern w:val="0"/>
      <w:sz w:val="24"/>
      <w:szCs w:val="20"/>
    </w:rPr>
  </w:style>
  <w:style w:type="paragraph" w:styleId="25">
    <w:name w:val="Body Text Indent 2"/>
    <w:basedOn w:val="1"/>
    <w:link w:val="69"/>
    <w:qFormat/>
    <w:uiPriority w:val="0"/>
    <w:pPr>
      <w:spacing w:after="120" w:line="480" w:lineRule="auto"/>
      <w:ind w:left="420" w:leftChars="200"/>
    </w:pPr>
    <w:rPr>
      <w:kern w:val="0"/>
      <w:sz w:val="20"/>
    </w:rPr>
  </w:style>
  <w:style w:type="paragraph" w:styleId="26">
    <w:name w:val="Balloon Text"/>
    <w:basedOn w:val="1"/>
    <w:link w:val="70"/>
    <w:qFormat/>
    <w:uiPriority w:val="99"/>
    <w:rPr>
      <w:kern w:val="0"/>
      <w:sz w:val="18"/>
      <w:szCs w:val="18"/>
    </w:rPr>
  </w:style>
  <w:style w:type="paragraph" w:styleId="27">
    <w:name w:val="footer"/>
    <w:basedOn w:val="1"/>
    <w:link w:val="71"/>
    <w:qFormat/>
    <w:uiPriority w:val="99"/>
    <w:pPr>
      <w:tabs>
        <w:tab w:val="center" w:pos="4153"/>
        <w:tab w:val="right" w:pos="8306"/>
      </w:tabs>
      <w:snapToGrid w:val="0"/>
      <w:jc w:val="left"/>
    </w:pPr>
    <w:rPr>
      <w:kern w:val="0"/>
      <w:sz w:val="18"/>
      <w:szCs w:val="18"/>
    </w:rPr>
  </w:style>
  <w:style w:type="paragraph" w:styleId="28">
    <w:name w:val="header"/>
    <w:basedOn w:val="1"/>
    <w:link w:val="72"/>
    <w:qFormat/>
    <w:uiPriority w:val="99"/>
    <w:pPr>
      <w:pBdr>
        <w:bottom w:val="single" w:color="auto" w:sz="6" w:space="1"/>
      </w:pBdr>
      <w:tabs>
        <w:tab w:val="center" w:pos="4153"/>
        <w:tab w:val="right" w:pos="8306"/>
      </w:tabs>
      <w:snapToGrid w:val="0"/>
      <w:jc w:val="center"/>
    </w:pPr>
    <w:rPr>
      <w:kern w:val="0"/>
      <w:sz w:val="18"/>
      <w:szCs w:val="18"/>
    </w:rPr>
  </w:style>
  <w:style w:type="paragraph" w:styleId="29">
    <w:name w:val="toc 1"/>
    <w:basedOn w:val="1"/>
    <w:next w:val="1"/>
    <w:qFormat/>
    <w:uiPriority w:val="39"/>
    <w:rPr>
      <w:rFonts w:ascii="宋体" w:hAnsi="宋体"/>
      <w:szCs w:val="21"/>
    </w:rPr>
  </w:style>
  <w:style w:type="paragraph" w:styleId="30">
    <w:name w:val="toc 4"/>
    <w:basedOn w:val="1"/>
    <w:next w:val="1"/>
    <w:unhideWhenUsed/>
    <w:qFormat/>
    <w:uiPriority w:val="39"/>
    <w:pPr>
      <w:spacing w:before="12" w:after="12" w:line="360" w:lineRule="auto"/>
      <w:ind w:left="1260" w:leftChars="600" w:firstLine="200" w:firstLineChars="200"/>
    </w:pPr>
    <w:rPr>
      <w:rFonts w:ascii="等线" w:hAnsi="等线" w:eastAsia="等线"/>
      <w:szCs w:val="22"/>
    </w:rPr>
  </w:style>
  <w:style w:type="paragraph" w:styleId="31">
    <w:name w:val="Subtitle"/>
    <w:basedOn w:val="1"/>
    <w:next w:val="1"/>
    <w:qFormat/>
    <w:uiPriority w:val="11"/>
    <w:pPr>
      <w:spacing w:before="240" w:after="60" w:line="312" w:lineRule="auto"/>
      <w:jc w:val="left"/>
      <w:outlineLvl w:val="1"/>
    </w:pPr>
    <w:rPr>
      <w:rFonts w:ascii="Cambria" w:hAnsi="Cambria"/>
      <w:b/>
      <w:bCs/>
      <w:kern w:val="28"/>
      <w:sz w:val="28"/>
      <w:szCs w:val="32"/>
    </w:rPr>
  </w:style>
  <w:style w:type="paragraph" w:styleId="32">
    <w:name w:val="toc 6"/>
    <w:basedOn w:val="1"/>
    <w:next w:val="1"/>
    <w:qFormat/>
    <w:uiPriority w:val="39"/>
    <w:pPr>
      <w:ind w:left="2100"/>
    </w:pPr>
    <w:rPr>
      <w:szCs w:val="20"/>
    </w:rPr>
  </w:style>
  <w:style w:type="paragraph" w:styleId="33">
    <w:name w:val="Body Text Indent 3"/>
    <w:basedOn w:val="1"/>
    <w:link w:val="73"/>
    <w:qFormat/>
    <w:uiPriority w:val="0"/>
    <w:pPr>
      <w:spacing w:after="120"/>
      <w:ind w:left="420" w:leftChars="200"/>
    </w:pPr>
    <w:rPr>
      <w:kern w:val="0"/>
      <w:sz w:val="16"/>
      <w:szCs w:val="16"/>
    </w:rPr>
  </w:style>
  <w:style w:type="paragraph" w:styleId="34">
    <w:name w:val="toc 2"/>
    <w:basedOn w:val="1"/>
    <w:next w:val="1"/>
    <w:unhideWhenUsed/>
    <w:qFormat/>
    <w:uiPriority w:val="39"/>
    <w:pPr>
      <w:spacing w:before="12" w:after="12" w:line="360" w:lineRule="auto"/>
    </w:pPr>
    <w:rPr>
      <w:rFonts w:ascii="等线" w:hAnsi="等线" w:eastAsia="等线"/>
      <w:b/>
      <w:szCs w:val="22"/>
    </w:rPr>
  </w:style>
  <w:style w:type="paragraph" w:styleId="35">
    <w:name w:val="toc 9"/>
    <w:basedOn w:val="1"/>
    <w:next w:val="1"/>
    <w:unhideWhenUsed/>
    <w:qFormat/>
    <w:uiPriority w:val="39"/>
    <w:pPr>
      <w:ind w:left="3360" w:leftChars="1600"/>
    </w:pPr>
    <w:rPr>
      <w:rFonts w:ascii="等线" w:hAnsi="等线" w:eastAsia="等线"/>
      <w:szCs w:val="22"/>
    </w:rPr>
  </w:style>
  <w:style w:type="paragraph" w:styleId="36">
    <w:name w:val="Body Text 2"/>
    <w:basedOn w:val="1"/>
    <w:link w:val="74"/>
    <w:qFormat/>
    <w:uiPriority w:val="0"/>
    <w:pPr>
      <w:spacing w:after="120" w:line="480" w:lineRule="auto"/>
    </w:pPr>
    <w:rPr>
      <w:kern w:val="0"/>
      <w:sz w:val="20"/>
    </w:rPr>
  </w:style>
  <w:style w:type="paragraph" w:styleId="37">
    <w:name w:val="HTML Preformatted"/>
    <w:basedOn w:val="1"/>
    <w:link w:val="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pPr>
      <w:spacing w:line="220" w:lineRule="exact"/>
      <w:jc w:val="center"/>
    </w:pPr>
    <w:rPr>
      <w:rFonts w:ascii="仿宋_GB2312" w:eastAsia="仿宋_GB2312"/>
      <w:szCs w:val="20"/>
    </w:rPr>
  </w:style>
  <w:style w:type="paragraph" w:styleId="40">
    <w:name w:val="Title"/>
    <w:basedOn w:val="1"/>
    <w:next w:val="1"/>
    <w:link w:val="76"/>
    <w:qFormat/>
    <w:uiPriority w:val="10"/>
    <w:pPr>
      <w:spacing w:before="240" w:after="60"/>
      <w:jc w:val="center"/>
      <w:outlineLvl w:val="0"/>
    </w:pPr>
    <w:rPr>
      <w:rFonts w:ascii="Cambria" w:hAnsi="Cambria"/>
      <w:b/>
      <w:bCs/>
      <w:sz w:val="32"/>
      <w:szCs w:val="32"/>
    </w:rPr>
  </w:style>
  <w:style w:type="paragraph" w:styleId="41">
    <w:name w:val="annotation subject"/>
    <w:basedOn w:val="14"/>
    <w:next w:val="14"/>
    <w:link w:val="77"/>
    <w:qFormat/>
    <w:uiPriority w:val="99"/>
    <w:rPr>
      <w:b/>
      <w:bCs/>
    </w:rPr>
  </w:style>
  <w:style w:type="paragraph" w:styleId="42">
    <w:name w:val="Body Text First Indent"/>
    <w:basedOn w:val="16"/>
    <w:qFormat/>
    <w:uiPriority w:val="0"/>
    <w:pPr>
      <w:ind w:firstLine="420" w:firstLineChars="100"/>
    </w:pPr>
  </w:style>
  <w:style w:type="table" w:styleId="44">
    <w:name w:val="Table Grid"/>
    <w:basedOn w:val="4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basedOn w:val="45"/>
    <w:qFormat/>
    <w:uiPriority w:val="99"/>
    <w:rPr>
      <w:color w:val="5C5C5C"/>
      <w:u w:val="none"/>
    </w:rPr>
  </w:style>
  <w:style w:type="character" w:styleId="49">
    <w:name w:val="Emphasis"/>
    <w:qFormat/>
    <w:uiPriority w:val="20"/>
    <w:rPr>
      <w:color w:val="CC0000"/>
    </w:rPr>
  </w:style>
  <w:style w:type="character" w:styleId="50">
    <w:name w:val="Hyperlink"/>
    <w:qFormat/>
    <w:uiPriority w:val="99"/>
    <w:rPr>
      <w:color w:val="136EC2"/>
      <w:u w:val="single"/>
    </w:rPr>
  </w:style>
  <w:style w:type="character" w:styleId="51">
    <w:name w:val="annotation reference"/>
    <w:qFormat/>
    <w:uiPriority w:val="99"/>
    <w:rPr>
      <w:sz w:val="21"/>
      <w:szCs w:val="21"/>
    </w:rPr>
  </w:style>
  <w:style w:type="character" w:customStyle="1" w:styleId="52">
    <w:name w:val="标题 1 Char"/>
    <w:link w:val="4"/>
    <w:qFormat/>
    <w:uiPriority w:val="0"/>
    <w:rPr>
      <w:rFonts w:ascii="Times New Roman" w:hAnsi="Times New Roman" w:eastAsia="宋体" w:cs="Times New Roman"/>
      <w:b/>
      <w:bCs/>
      <w:sz w:val="24"/>
      <w:szCs w:val="20"/>
    </w:rPr>
  </w:style>
  <w:style w:type="paragraph" w:customStyle="1" w:styleId="5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54">
    <w:name w:val="标题 2 Char"/>
    <w:link w:val="2"/>
    <w:qFormat/>
    <w:uiPriority w:val="9"/>
    <w:rPr>
      <w:rFonts w:ascii="Arial" w:hAnsi="Arial" w:eastAsia="宋体" w:cs="Times New Roman"/>
      <w:b/>
      <w:bCs/>
      <w:sz w:val="24"/>
      <w:szCs w:val="32"/>
    </w:rPr>
  </w:style>
  <w:style w:type="character" w:customStyle="1" w:styleId="55">
    <w:name w:val="标题 3 Char"/>
    <w:link w:val="5"/>
    <w:qFormat/>
    <w:uiPriority w:val="0"/>
    <w:rPr>
      <w:rFonts w:ascii="Times New Roman" w:hAnsi="Times New Roman" w:eastAsia="宋体" w:cs="Times New Roman"/>
      <w:b/>
      <w:bCs/>
      <w:sz w:val="32"/>
      <w:szCs w:val="32"/>
    </w:rPr>
  </w:style>
  <w:style w:type="character" w:customStyle="1" w:styleId="56">
    <w:name w:val="标题 4 Char"/>
    <w:link w:val="6"/>
    <w:qFormat/>
    <w:uiPriority w:val="9"/>
    <w:rPr>
      <w:rFonts w:ascii="Arial" w:hAnsi="Arial" w:eastAsia="黑体" w:cs="Times New Roman"/>
      <w:b/>
      <w:bCs/>
      <w:sz w:val="28"/>
      <w:szCs w:val="28"/>
    </w:rPr>
  </w:style>
  <w:style w:type="character" w:customStyle="1" w:styleId="57">
    <w:name w:val="标题 5 Char"/>
    <w:link w:val="7"/>
    <w:qFormat/>
    <w:uiPriority w:val="9"/>
    <w:rPr>
      <w:rFonts w:ascii="Times New Roman" w:hAnsi="Times New Roman" w:eastAsia="宋体" w:cs="Times New Roman"/>
      <w:b/>
      <w:bCs/>
      <w:kern w:val="0"/>
      <w:sz w:val="28"/>
      <w:szCs w:val="28"/>
    </w:rPr>
  </w:style>
  <w:style w:type="character" w:customStyle="1" w:styleId="58">
    <w:name w:val="标题 6 Char"/>
    <w:link w:val="8"/>
    <w:qFormat/>
    <w:uiPriority w:val="0"/>
    <w:rPr>
      <w:rFonts w:ascii="Arial" w:hAnsi="Arial" w:eastAsia="黑体" w:cs="Times New Roman"/>
      <w:b/>
      <w:bCs/>
      <w:kern w:val="0"/>
      <w:sz w:val="24"/>
      <w:szCs w:val="24"/>
    </w:rPr>
  </w:style>
  <w:style w:type="character" w:customStyle="1" w:styleId="59">
    <w:name w:val="标题 7 Char"/>
    <w:link w:val="9"/>
    <w:qFormat/>
    <w:uiPriority w:val="9"/>
    <w:rPr>
      <w:rFonts w:ascii="Times New Roman" w:hAnsi="Times New Roman" w:eastAsia="宋体" w:cs="Times New Roman"/>
      <w:b/>
      <w:bCs/>
      <w:kern w:val="0"/>
      <w:sz w:val="24"/>
      <w:szCs w:val="24"/>
    </w:rPr>
  </w:style>
  <w:style w:type="character" w:customStyle="1" w:styleId="60">
    <w:name w:val="标题 8 Char"/>
    <w:link w:val="10"/>
    <w:qFormat/>
    <w:uiPriority w:val="9"/>
    <w:rPr>
      <w:rFonts w:ascii="Arial" w:hAnsi="Arial" w:eastAsia="黑体" w:cs="Times New Roman"/>
      <w:kern w:val="0"/>
      <w:sz w:val="24"/>
      <w:szCs w:val="24"/>
    </w:rPr>
  </w:style>
  <w:style w:type="character" w:customStyle="1" w:styleId="61">
    <w:name w:val="标题 9 Char"/>
    <w:link w:val="11"/>
    <w:qFormat/>
    <w:uiPriority w:val="9"/>
    <w:rPr>
      <w:rFonts w:ascii="Arial" w:hAnsi="Arial" w:eastAsia="黑体" w:cs="Times New Roman"/>
      <w:kern w:val="0"/>
      <w:szCs w:val="21"/>
    </w:rPr>
  </w:style>
  <w:style w:type="character" w:customStyle="1" w:styleId="62">
    <w:name w:val="文档结构图 Char"/>
    <w:link w:val="13"/>
    <w:semiHidden/>
    <w:qFormat/>
    <w:uiPriority w:val="0"/>
    <w:rPr>
      <w:rFonts w:ascii="Times New Roman" w:hAnsi="Times New Roman" w:eastAsia="宋体" w:cs="Times New Roman"/>
      <w:szCs w:val="24"/>
      <w:shd w:val="clear" w:color="auto" w:fill="000080"/>
    </w:rPr>
  </w:style>
  <w:style w:type="character" w:customStyle="1" w:styleId="63">
    <w:name w:val="批注文字 Char"/>
    <w:link w:val="14"/>
    <w:qFormat/>
    <w:uiPriority w:val="99"/>
    <w:rPr>
      <w:rFonts w:ascii="Times New Roman" w:hAnsi="Times New Roman" w:eastAsia="宋体" w:cs="Times New Roman"/>
      <w:szCs w:val="24"/>
    </w:rPr>
  </w:style>
  <w:style w:type="character" w:customStyle="1" w:styleId="64">
    <w:name w:val="称呼 Char"/>
    <w:link w:val="15"/>
    <w:qFormat/>
    <w:uiPriority w:val="0"/>
    <w:rPr>
      <w:rFonts w:ascii="仿宋_GB2312" w:hAnsi="Times New Roman" w:eastAsia="仿宋_GB2312" w:cs="Times New Roman"/>
      <w:sz w:val="24"/>
      <w:szCs w:val="24"/>
    </w:rPr>
  </w:style>
  <w:style w:type="character" w:customStyle="1" w:styleId="65">
    <w:name w:val="正文文本 Char"/>
    <w:link w:val="16"/>
    <w:qFormat/>
    <w:uiPriority w:val="0"/>
    <w:rPr>
      <w:rFonts w:ascii="Times New Roman" w:hAnsi="Times New Roman" w:eastAsia="宋体" w:cs="Times New Roman"/>
      <w:szCs w:val="24"/>
    </w:rPr>
  </w:style>
  <w:style w:type="character" w:customStyle="1" w:styleId="66">
    <w:name w:val="正文文本缩进 Char"/>
    <w:link w:val="17"/>
    <w:qFormat/>
    <w:uiPriority w:val="0"/>
    <w:rPr>
      <w:rFonts w:ascii="Times New Roman" w:hAnsi="Times New Roman" w:eastAsia="宋体" w:cs="Times New Roman"/>
      <w:szCs w:val="24"/>
    </w:rPr>
  </w:style>
  <w:style w:type="character" w:customStyle="1" w:styleId="67">
    <w:name w:val="纯文本 Char"/>
    <w:link w:val="22"/>
    <w:qFormat/>
    <w:uiPriority w:val="0"/>
    <w:rPr>
      <w:rFonts w:ascii="宋体" w:hAnsi="Courier New" w:eastAsia="宋体" w:cs="Courier New"/>
      <w:szCs w:val="21"/>
    </w:rPr>
  </w:style>
  <w:style w:type="character" w:customStyle="1" w:styleId="68">
    <w:name w:val="日期 Char"/>
    <w:link w:val="24"/>
    <w:qFormat/>
    <w:uiPriority w:val="0"/>
    <w:rPr>
      <w:rFonts w:ascii="Times New Roman" w:hAnsi="Times New Roman" w:eastAsia="宋体" w:cs="Times New Roman"/>
      <w:sz w:val="24"/>
      <w:szCs w:val="20"/>
    </w:rPr>
  </w:style>
  <w:style w:type="character" w:customStyle="1" w:styleId="69">
    <w:name w:val="正文文本缩进 2 Char"/>
    <w:link w:val="25"/>
    <w:qFormat/>
    <w:uiPriority w:val="0"/>
    <w:rPr>
      <w:rFonts w:ascii="Times New Roman" w:hAnsi="Times New Roman" w:eastAsia="宋体" w:cs="Times New Roman"/>
      <w:szCs w:val="24"/>
    </w:rPr>
  </w:style>
  <w:style w:type="character" w:customStyle="1" w:styleId="70">
    <w:name w:val="批注框文本 Char"/>
    <w:link w:val="26"/>
    <w:qFormat/>
    <w:uiPriority w:val="99"/>
    <w:rPr>
      <w:rFonts w:ascii="Times New Roman" w:hAnsi="Times New Roman" w:eastAsia="宋体" w:cs="Times New Roman"/>
      <w:sz w:val="18"/>
      <w:szCs w:val="18"/>
    </w:rPr>
  </w:style>
  <w:style w:type="character" w:customStyle="1" w:styleId="71">
    <w:name w:val="页脚 Char"/>
    <w:link w:val="27"/>
    <w:qFormat/>
    <w:uiPriority w:val="99"/>
    <w:rPr>
      <w:rFonts w:ascii="Times New Roman" w:hAnsi="Times New Roman" w:eastAsia="宋体" w:cs="Times New Roman"/>
      <w:sz w:val="18"/>
      <w:szCs w:val="18"/>
    </w:rPr>
  </w:style>
  <w:style w:type="character" w:customStyle="1" w:styleId="72">
    <w:name w:val="页眉 Char"/>
    <w:link w:val="28"/>
    <w:qFormat/>
    <w:uiPriority w:val="99"/>
    <w:rPr>
      <w:rFonts w:ascii="Times New Roman" w:hAnsi="Times New Roman" w:eastAsia="宋体" w:cs="Times New Roman"/>
      <w:sz w:val="18"/>
      <w:szCs w:val="18"/>
    </w:rPr>
  </w:style>
  <w:style w:type="character" w:customStyle="1" w:styleId="73">
    <w:name w:val="正文文本缩进 3 Char"/>
    <w:link w:val="33"/>
    <w:qFormat/>
    <w:uiPriority w:val="0"/>
    <w:rPr>
      <w:rFonts w:ascii="Times New Roman" w:hAnsi="Times New Roman" w:eastAsia="宋体" w:cs="Times New Roman"/>
      <w:sz w:val="16"/>
      <w:szCs w:val="16"/>
    </w:rPr>
  </w:style>
  <w:style w:type="character" w:customStyle="1" w:styleId="74">
    <w:name w:val="正文文本 2 Char"/>
    <w:link w:val="36"/>
    <w:qFormat/>
    <w:uiPriority w:val="0"/>
    <w:rPr>
      <w:rFonts w:ascii="Times New Roman" w:hAnsi="Times New Roman" w:eastAsia="宋体" w:cs="Times New Roman"/>
      <w:szCs w:val="24"/>
    </w:rPr>
  </w:style>
  <w:style w:type="character" w:customStyle="1" w:styleId="75">
    <w:name w:val="HTML 预设格式 Char"/>
    <w:link w:val="37"/>
    <w:qFormat/>
    <w:uiPriority w:val="0"/>
    <w:rPr>
      <w:rFonts w:ascii="Arial" w:hAnsi="Arial" w:eastAsia="宋体" w:cs="Arial"/>
      <w:kern w:val="0"/>
      <w:sz w:val="24"/>
      <w:szCs w:val="24"/>
    </w:rPr>
  </w:style>
  <w:style w:type="character" w:customStyle="1" w:styleId="76">
    <w:name w:val="标题 Char"/>
    <w:link w:val="40"/>
    <w:qFormat/>
    <w:uiPriority w:val="10"/>
    <w:rPr>
      <w:rFonts w:ascii="Cambria" w:hAnsi="Cambria"/>
      <w:b/>
      <w:bCs/>
      <w:kern w:val="2"/>
      <w:sz w:val="32"/>
      <w:szCs w:val="32"/>
    </w:rPr>
  </w:style>
  <w:style w:type="character" w:customStyle="1" w:styleId="77">
    <w:name w:val="批注主题 Char"/>
    <w:link w:val="41"/>
    <w:qFormat/>
    <w:uiPriority w:val="99"/>
    <w:rPr>
      <w:rFonts w:ascii="Times New Roman" w:hAnsi="Times New Roman" w:eastAsia="宋体" w:cs="Times New Roman"/>
      <w:b/>
      <w:bCs/>
      <w:szCs w:val="24"/>
    </w:rPr>
  </w:style>
  <w:style w:type="character" w:customStyle="1" w:styleId="78">
    <w:name w:val="正文首行缩进 2 Char"/>
    <w:link w:val="18"/>
    <w:qFormat/>
    <w:uiPriority w:val="0"/>
    <w:rPr>
      <w:rFonts w:ascii="Times New Roman" w:hAnsi="Times New Roman" w:eastAsia="宋体" w:cs="Times New Roman"/>
      <w:kern w:val="2"/>
      <w:sz w:val="21"/>
      <w:szCs w:val="24"/>
    </w:rPr>
  </w:style>
  <w:style w:type="paragraph" w:customStyle="1" w:styleId="79">
    <w:name w:val="UserStyle_0"/>
    <w:basedOn w:val="1"/>
    <w:qFormat/>
    <w:uiPriority w:val="0"/>
    <w:pPr>
      <w:jc w:val="left"/>
    </w:pPr>
    <w:rPr>
      <w:color w:val="000000"/>
      <w:sz w:val="24"/>
    </w:rPr>
  </w:style>
  <w:style w:type="character" w:customStyle="1" w:styleId="80">
    <w:name w:val="font11"/>
    <w:qFormat/>
    <w:uiPriority w:val="0"/>
    <w:rPr>
      <w:rFonts w:hint="eastAsia" w:ascii="新宋体" w:hAnsi="新宋体" w:eastAsia="新宋体" w:cs="新宋体"/>
      <w:color w:val="FF0000"/>
      <w:sz w:val="20"/>
      <w:szCs w:val="20"/>
      <w:u w:val="none"/>
    </w:rPr>
  </w:style>
  <w:style w:type="character" w:customStyle="1" w:styleId="81">
    <w:name w:val="无间隔 Char"/>
    <w:link w:val="82"/>
    <w:qFormat/>
    <w:locked/>
    <w:uiPriority w:val="1"/>
    <w:rPr>
      <w:sz w:val="22"/>
      <w:lang w:val="en-US" w:eastAsia="zh-CN" w:bidi="ar-SA"/>
    </w:rPr>
  </w:style>
  <w:style w:type="paragraph" w:styleId="82">
    <w:name w:val="No Spacing"/>
    <w:link w:val="81"/>
    <w:qFormat/>
    <w:uiPriority w:val="1"/>
    <w:rPr>
      <w:rFonts w:ascii="Times New Roman" w:hAnsi="Times New Roman" w:eastAsia="宋体" w:cs="Times New Roman"/>
      <w:sz w:val="22"/>
      <w:lang w:val="en-US" w:eastAsia="zh-CN" w:bidi="ar-SA"/>
    </w:rPr>
  </w:style>
  <w:style w:type="character" w:customStyle="1" w:styleId="83">
    <w:name w:val="未处理的提及1"/>
    <w:unhideWhenUsed/>
    <w:qFormat/>
    <w:uiPriority w:val="99"/>
    <w:rPr>
      <w:color w:val="605E5C"/>
      <w:shd w:val="clear" w:color="auto" w:fill="E1DFDD"/>
    </w:rPr>
  </w:style>
  <w:style w:type="character" w:customStyle="1" w:styleId="84">
    <w:name w:val="列出段落 Char"/>
    <w:link w:val="85"/>
    <w:qFormat/>
    <w:locked/>
    <w:uiPriority w:val="34"/>
    <w:rPr>
      <w:rFonts w:ascii="Times New Roman" w:hAnsi="Times New Roman"/>
      <w:kern w:val="2"/>
      <w:sz w:val="21"/>
      <w:szCs w:val="24"/>
    </w:rPr>
  </w:style>
  <w:style w:type="paragraph" w:styleId="85">
    <w:name w:val="List Paragraph"/>
    <w:basedOn w:val="1"/>
    <w:link w:val="84"/>
    <w:qFormat/>
    <w:uiPriority w:val="34"/>
    <w:pPr>
      <w:ind w:firstLine="420" w:firstLineChars="200"/>
    </w:pPr>
  </w:style>
  <w:style w:type="character" w:customStyle="1" w:styleId="86">
    <w:name w:val="font61"/>
    <w:qFormat/>
    <w:uiPriority w:val="0"/>
    <w:rPr>
      <w:rFonts w:hint="eastAsia" w:ascii="新宋体" w:hAnsi="新宋体" w:eastAsia="新宋体" w:cs="新宋体"/>
      <w:color w:val="000000"/>
      <w:sz w:val="20"/>
      <w:szCs w:val="20"/>
      <w:u w:val="none"/>
    </w:rPr>
  </w:style>
  <w:style w:type="character" w:customStyle="1" w:styleId="87">
    <w:name w:val="标题 Char1"/>
    <w:qFormat/>
    <w:uiPriority w:val="10"/>
    <w:rPr>
      <w:rFonts w:ascii="Cambria" w:hAnsi="Cambria" w:cs="Times New Roman"/>
      <w:b/>
      <w:bCs/>
      <w:kern w:val="2"/>
      <w:sz w:val="32"/>
      <w:szCs w:val="32"/>
    </w:rPr>
  </w:style>
  <w:style w:type="character" w:customStyle="1" w:styleId="88">
    <w:name w:val="H正文 字符"/>
    <w:link w:val="89"/>
    <w:qFormat/>
    <w:uiPriority w:val="0"/>
    <w:rPr>
      <w:kern w:val="2"/>
      <w:sz w:val="24"/>
      <w:szCs w:val="24"/>
    </w:rPr>
  </w:style>
  <w:style w:type="paragraph" w:customStyle="1" w:styleId="89">
    <w:name w:val="H正文"/>
    <w:basedOn w:val="1"/>
    <w:link w:val="88"/>
    <w:qFormat/>
    <w:uiPriority w:val="0"/>
    <w:pPr>
      <w:spacing w:before="60" w:after="60" w:line="360" w:lineRule="auto"/>
      <w:ind w:firstLine="480" w:firstLineChars="200"/>
    </w:pPr>
    <w:rPr>
      <w:sz w:val="24"/>
    </w:rPr>
  </w:style>
  <w:style w:type="character" w:customStyle="1" w:styleId="90">
    <w:name w:val="未处理的提及"/>
    <w:unhideWhenUsed/>
    <w:qFormat/>
    <w:uiPriority w:val="99"/>
    <w:rPr>
      <w:color w:val="605E5C"/>
      <w:shd w:val="clear" w:color="auto" w:fill="E1DFDD"/>
    </w:rPr>
  </w:style>
  <w:style w:type="character" w:customStyle="1" w:styleId="91">
    <w:name w:val="bjh-p"/>
    <w:qFormat/>
    <w:uiPriority w:val="0"/>
  </w:style>
  <w:style w:type="character" w:customStyle="1" w:styleId="92">
    <w:name w:val="3级标题3级 Char"/>
    <w:link w:val="93"/>
    <w:qFormat/>
    <w:uiPriority w:val="0"/>
    <w:rPr>
      <w:rFonts w:ascii="Arial" w:hAnsi="Arial" w:eastAsia="等线"/>
      <w:b/>
      <w:bCs/>
      <w:kern w:val="44"/>
      <w:sz w:val="28"/>
      <w:szCs w:val="44"/>
      <w:lang w:eastAsia="en-US" w:bidi="en-US"/>
    </w:rPr>
  </w:style>
  <w:style w:type="paragraph" w:customStyle="1" w:styleId="93">
    <w:name w:val="3级标题3级"/>
    <w:basedOn w:val="5"/>
    <w:link w:val="92"/>
    <w:qFormat/>
    <w:uiPriority w:val="0"/>
    <w:pPr>
      <w:widowControl/>
      <w:tabs>
        <w:tab w:val="left" w:pos="360"/>
        <w:tab w:val="left" w:pos="720"/>
      </w:tabs>
      <w:spacing w:before="120" w:after="120" w:line="288" w:lineRule="auto"/>
      <w:ind w:right="198"/>
    </w:pPr>
    <w:rPr>
      <w:rFonts w:ascii="Arial" w:hAnsi="Arial" w:eastAsia="等线"/>
      <w:kern w:val="44"/>
      <w:sz w:val="28"/>
      <w:szCs w:val="44"/>
      <w:lang w:eastAsia="en-US" w:bidi="en-US"/>
    </w:rPr>
  </w:style>
  <w:style w:type="character" w:customStyle="1" w:styleId="94">
    <w:name w:val="p0 Char"/>
    <w:link w:val="95"/>
    <w:qFormat/>
    <w:uiPriority w:val="0"/>
    <w:rPr>
      <w:rFonts w:eastAsia="宋体"/>
      <w:szCs w:val="21"/>
    </w:rPr>
  </w:style>
  <w:style w:type="paragraph" w:customStyle="1" w:styleId="95">
    <w:name w:val="p0"/>
    <w:basedOn w:val="1"/>
    <w:link w:val="94"/>
    <w:qFormat/>
    <w:uiPriority w:val="0"/>
    <w:pPr>
      <w:widowControl/>
    </w:pPr>
    <w:rPr>
      <w:kern w:val="0"/>
      <w:sz w:val="20"/>
      <w:szCs w:val="21"/>
    </w:rPr>
  </w:style>
  <w:style w:type="character" w:customStyle="1" w:styleId="96">
    <w:name w:val="2级标题2级 Char"/>
    <w:link w:val="97"/>
    <w:qFormat/>
    <w:uiPriority w:val="0"/>
    <w:rPr>
      <w:rFonts w:ascii="Arial" w:hAnsi="Arial"/>
      <w:b/>
      <w:bCs/>
      <w:kern w:val="44"/>
      <w:sz w:val="28"/>
      <w:szCs w:val="44"/>
      <w:lang w:eastAsia="en-US" w:bidi="en-US"/>
    </w:rPr>
  </w:style>
  <w:style w:type="paragraph" w:customStyle="1" w:styleId="97">
    <w:name w:val="2级标题2级"/>
    <w:basedOn w:val="2"/>
    <w:link w:val="96"/>
    <w:qFormat/>
    <w:uiPriority w:val="0"/>
    <w:pPr>
      <w:widowControl/>
      <w:tabs>
        <w:tab w:val="left" w:pos="720"/>
        <w:tab w:val="left" w:pos="1440"/>
      </w:tabs>
      <w:adjustRightInd w:val="0"/>
      <w:spacing w:before="120" w:after="120"/>
      <w:ind w:right="210"/>
    </w:pPr>
    <w:rPr>
      <w:kern w:val="44"/>
      <w:sz w:val="28"/>
      <w:szCs w:val="44"/>
      <w:lang w:eastAsia="en-US" w:bidi="en-US"/>
    </w:rPr>
  </w:style>
  <w:style w:type="character" w:customStyle="1" w:styleId="98">
    <w:name w:val="正文文本 Char1"/>
    <w:semiHidden/>
    <w:qFormat/>
    <w:uiPriority w:val="99"/>
    <w:rPr>
      <w:sz w:val="24"/>
    </w:rPr>
  </w:style>
  <w:style w:type="character" w:customStyle="1" w:styleId="99">
    <w:name w:val="1级标题 1级 Char"/>
    <w:link w:val="100"/>
    <w:qFormat/>
    <w:uiPriority w:val="0"/>
    <w:rPr>
      <w:rFonts w:ascii="宋体" w:hAnsi="宋体" w:eastAsia="等线"/>
      <w:kern w:val="2"/>
      <w:sz w:val="28"/>
      <w:szCs w:val="21"/>
      <w:lang w:eastAsia="en-US" w:bidi="en-US"/>
    </w:rPr>
  </w:style>
  <w:style w:type="paragraph" w:customStyle="1" w:styleId="100">
    <w:name w:val="1级标题 1级"/>
    <w:basedOn w:val="1"/>
    <w:next w:val="4"/>
    <w:link w:val="99"/>
    <w:qFormat/>
    <w:uiPriority w:val="0"/>
    <w:pPr>
      <w:keepLines/>
      <w:pageBreakBefore/>
      <w:tabs>
        <w:tab w:val="left" w:pos="360"/>
        <w:tab w:val="left" w:pos="425"/>
        <w:tab w:val="left" w:pos="1247"/>
      </w:tabs>
      <w:spacing w:before="240" w:after="240" w:line="360" w:lineRule="auto"/>
      <w:contextualSpacing/>
      <w:jc w:val="center"/>
      <w:outlineLvl w:val="0"/>
    </w:pPr>
    <w:rPr>
      <w:rFonts w:ascii="宋体" w:hAnsi="宋体" w:eastAsia="等线"/>
      <w:sz w:val="28"/>
      <w:szCs w:val="21"/>
      <w:lang w:eastAsia="en-US" w:bidi="en-US"/>
    </w:rPr>
  </w:style>
  <w:style w:type="character" w:customStyle="1" w:styleId="101">
    <w:name w:val="*正文 Char"/>
    <w:link w:val="102"/>
    <w:qFormat/>
    <w:uiPriority w:val="0"/>
    <w:rPr>
      <w:rFonts w:ascii="宋体" w:hAnsi="宋体"/>
      <w:kern w:val="2"/>
      <w:sz w:val="24"/>
      <w:szCs w:val="24"/>
    </w:rPr>
  </w:style>
  <w:style w:type="paragraph" w:customStyle="1" w:styleId="102">
    <w:name w:val="*正文"/>
    <w:basedOn w:val="1"/>
    <w:link w:val="101"/>
    <w:qFormat/>
    <w:uiPriority w:val="0"/>
    <w:pPr>
      <w:spacing w:line="480" w:lineRule="auto"/>
      <w:ind w:firstLine="340"/>
      <w:jc w:val="left"/>
    </w:pPr>
    <w:rPr>
      <w:rFonts w:ascii="宋体" w:hAnsi="宋体"/>
      <w:sz w:val="24"/>
    </w:rPr>
  </w:style>
  <w:style w:type="paragraph" w:customStyle="1" w:styleId="103">
    <w:name w:val="首行缩进"/>
    <w:basedOn w:val="1"/>
    <w:qFormat/>
    <w:uiPriority w:val="0"/>
    <w:pPr>
      <w:ind w:firstLine="720"/>
      <w:jc w:val="left"/>
    </w:pPr>
    <w:rPr>
      <w:sz w:val="24"/>
    </w:rPr>
  </w:style>
  <w:style w:type="paragraph" w:customStyle="1" w:styleId="10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0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06">
    <w:name w:val="Char1 Char Char Char 字元 Char Char 字元 Char 字元 Char1 Char Char Char"/>
    <w:basedOn w:val="1"/>
    <w:qFormat/>
    <w:uiPriority w:val="0"/>
    <w:rPr>
      <w:szCs w:val="20"/>
    </w:rPr>
  </w:style>
  <w:style w:type="paragraph" w:customStyle="1" w:styleId="107">
    <w:name w:val="_Style 7"/>
    <w:basedOn w:val="1"/>
    <w:qFormat/>
    <w:uiPriority w:val="0"/>
    <w:pPr>
      <w:ind w:firstLine="200" w:firstLineChars="200"/>
    </w:pPr>
    <w:rPr>
      <w:rFonts w:ascii="Calibri" w:hAnsi="Calibri"/>
      <w:szCs w:val="22"/>
    </w:rPr>
  </w:style>
  <w:style w:type="paragraph" w:customStyle="1" w:styleId="108">
    <w:name w:val="列表段落1"/>
    <w:basedOn w:val="1"/>
    <w:qFormat/>
    <w:uiPriority w:val="34"/>
    <w:pPr>
      <w:ind w:firstLine="420" w:firstLineChars="200"/>
    </w:pPr>
    <w:rPr>
      <w:rFonts w:ascii="等线" w:hAnsi="等线" w:eastAsia="仿宋"/>
      <w:szCs w:val="22"/>
    </w:rPr>
  </w:style>
  <w:style w:type="paragraph" w:customStyle="1" w:styleId="109">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10">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11">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12">
    <w:name w:val="表格文字"/>
    <w:basedOn w:val="1"/>
    <w:next w:val="16"/>
    <w:qFormat/>
    <w:uiPriority w:val="0"/>
    <w:pPr>
      <w:adjustRightInd w:val="0"/>
      <w:spacing w:line="420" w:lineRule="atLeast"/>
      <w:jc w:val="left"/>
      <w:textAlignment w:val="baseline"/>
    </w:pPr>
    <w:rPr>
      <w:kern w:val="0"/>
      <w:szCs w:val="22"/>
    </w:rPr>
  </w:style>
  <w:style w:type="paragraph" w:customStyle="1" w:styleId="113">
    <w:name w:val="正文 A"/>
    <w:qFormat/>
    <w:uiPriority w:val="0"/>
    <w:pPr>
      <w:widowControl w:val="0"/>
      <w:jc w:val="both"/>
    </w:pPr>
    <w:rPr>
      <w:rFonts w:ascii="Arial Unicode MS" w:hAnsi="Arial Unicode MS" w:eastAsia="Times New Roman" w:cs="Arial Unicode MS"/>
      <w:color w:val="000000"/>
      <w:kern w:val="2"/>
      <w:sz w:val="21"/>
      <w:szCs w:val="21"/>
      <w:lang w:val="en-US" w:eastAsia="zh-CN" w:bidi="ar-SA"/>
    </w:rPr>
  </w:style>
  <w:style w:type="paragraph" w:customStyle="1" w:styleId="114">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5">
    <w:name w:val="正文1"/>
    <w:basedOn w:val="1"/>
    <w:qFormat/>
    <w:uiPriority w:val="0"/>
    <w:pPr>
      <w:spacing w:line="360" w:lineRule="auto"/>
      <w:ind w:left="350" w:leftChars="350"/>
    </w:pPr>
    <w:rPr>
      <w:sz w:val="24"/>
    </w:rPr>
  </w:style>
  <w:style w:type="paragraph" w:customStyle="1" w:styleId="116">
    <w:name w:val="Char Char Char"/>
    <w:basedOn w:val="1"/>
    <w:qFormat/>
    <w:uiPriority w:val="0"/>
    <w:rPr>
      <w:rFonts w:ascii="宋体" w:hAnsi="宋体"/>
      <w:b/>
      <w:sz w:val="28"/>
      <w:szCs w:val="28"/>
    </w:rPr>
  </w:style>
  <w:style w:type="paragraph" w:customStyle="1" w:styleId="117">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18">
    <w:name w:val="样式 标题 2 + Times New Roman 四号 非加粗 段前: 5 磅 段后: 0 磅 行距: 固定值 20..."/>
    <w:basedOn w:val="2"/>
    <w:qFormat/>
    <w:uiPriority w:val="0"/>
    <w:pPr>
      <w:spacing w:before="100" w:line="400" w:lineRule="exact"/>
    </w:pPr>
    <w:rPr>
      <w:rFonts w:ascii="Times New Roman" w:hAnsi="Times New Roman" w:eastAsia="黑体"/>
      <w:b w:val="0"/>
      <w:bCs w:val="0"/>
      <w:sz w:val="28"/>
      <w:szCs w:val="20"/>
    </w:rPr>
  </w:style>
  <w:style w:type="paragraph" w:customStyle="1" w:styleId="119">
    <w:name w:val="_Style 145"/>
    <w:basedOn w:val="1"/>
    <w:next w:val="1"/>
    <w:unhideWhenUsed/>
    <w:qFormat/>
    <w:uiPriority w:val="34"/>
    <w:rPr>
      <w:rFonts w:ascii="Calibri" w:hAnsi="Calibri"/>
      <w:szCs w:val="22"/>
    </w:rPr>
  </w:style>
  <w:style w:type="paragraph" w:customStyle="1" w:styleId="120">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21">
    <w:name w:val="TOC 标题1"/>
    <w:basedOn w:val="4"/>
    <w:next w:val="1"/>
    <w:unhideWhenUsed/>
    <w:qFormat/>
    <w:uiPriority w:val="39"/>
    <w:pPr>
      <w:keepLines/>
      <w:widowControl/>
      <w:spacing w:before="240" w:line="259" w:lineRule="auto"/>
      <w:jc w:val="left"/>
      <w:outlineLvl w:val="9"/>
    </w:pPr>
    <w:rPr>
      <w:rFonts w:ascii="等线 Light" w:hAnsi="等线 Light" w:eastAsia="等线 Light"/>
      <w:b w:val="0"/>
      <w:bCs w:val="0"/>
      <w:color w:val="2F5496"/>
      <w:sz w:val="32"/>
      <w:szCs w:val="32"/>
    </w:rPr>
  </w:style>
  <w:style w:type="paragraph" w:customStyle="1" w:styleId="122">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23">
    <w:name w:val="列出段落1"/>
    <w:basedOn w:val="124"/>
    <w:qFormat/>
    <w:uiPriority w:val="0"/>
    <w:pPr>
      <w:ind w:firstLine="420" w:firstLineChars="200"/>
    </w:pPr>
  </w:style>
  <w:style w:type="paragraph" w:customStyle="1" w:styleId="124">
    <w:name w:val="纯文本1"/>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1"/>
      <w:lang w:val="en-US" w:eastAsia="zh-CN" w:bidi="ar"/>
    </w:rPr>
  </w:style>
  <w:style w:type="paragraph" w:customStyle="1" w:styleId="125">
    <w:name w:val="列出段落2"/>
    <w:basedOn w:val="1"/>
    <w:qFormat/>
    <w:uiPriority w:val="0"/>
    <w:pPr>
      <w:ind w:firstLine="420" w:firstLineChars="200"/>
    </w:pPr>
    <w:rPr>
      <w:rFonts w:ascii="Calibri" w:hAnsi="Calibri"/>
    </w:rPr>
  </w:style>
  <w:style w:type="paragraph" w:customStyle="1" w:styleId="126">
    <w:name w:val="列出段落3"/>
    <w:basedOn w:val="1"/>
    <w:qFormat/>
    <w:uiPriority w:val="34"/>
    <w:pPr>
      <w:ind w:firstLine="420" w:firstLineChars="200"/>
    </w:pPr>
  </w:style>
  <w:style w:type="paragraph" w:customStyle="1" w:styleId="127">
    <w:name w:val="表格内容"/>
    <w:basedOn w:val="16"/>
    <w:qFormat/>
    <w:uiPriority w:val="0"/>
    <w:pPr>
      <w:suppressLineNumbers/>
      <w:suppressAutoHyphens/>
      <w:jc w:val="left"/>
    </w:pPr>
    <w:rPr>
      <w:rFonts w:cs="Tahoma"/>
      <w:sz w:val="24"/>
    </w:rPr>
  </w:style>
  <w:style w:type="paragraph" w:customStyle="1" w:styleId="128">
    <w:name w:val="样式 标题 2 + 宋体 五号 行距: 单倍行距"/>
    <w:basedOn w:val="2"/>
    <w:qFormat/>
    <w:uiPriority w:val="0"/>
    <w:pPr>
      <w:tabs>
        <w:tab w:val="left" w:pos="2175"/>
      </w:tabs>
      <w:adjustRightInd w:val="0"/>
      <w:spacing w:before="260" w:after="260" w:line="240" w:lineRule="auto"/>
      <w:ind w:left="2175" w:hanging="1275"/>
      <w:jc w:val="left"/>
      <w:textAlignment w:val="baseline"/>
    </w:pPr>
    <w:rPr>
      <w:rFonts w:ascii="宋体" w:hAnsi="宋体"/>
      <w:sz w:val="21"/>
      <w:szCs w:val="20"/>
    </w:rPr>
  </w:style>
  <w:style w:type="paragraph" w:customStyle="1" w:styleId="129">
    <w:name w:val="p16"/>
    <w:basedOn w:val="1"/>
    <w:qFormat/>
    <w:uiPriority w:val="0"/>
    <w:pPr>
      <w:widowControl/>
      <w:jc w:val="left"/>
    </w:pPr>
    <w:rPr>
      <w:kern w:val="0"/>
      <w:szCs w:val="21"/>
    </w:rPr>
  </w:style>
  <w:style w:type="paragraph" w:customStyle="1" w:styleId="130">
    <w:name w:val="ChinesePara"/>
    <w:basedOn w:val="1"/>
    <w:qFormat/>
    <w:uiPriority w:val="0"/>
    <w:pPr>
      <w:widowControl/>
      <w:adjustRightInd w:val="0"/>
      <w:spacing w:before="50" w:after="50" w:line="400" w:lineRule="exact"/>
      <w:jc w:val="left"/>
      <w:textAlignment w:val="baseline"/>
    </w:pPr>
    <w:rPr>
      <w:rFonts w:ascii="Arial" w:hAnsi="Arial" w:eastAsia="楷体"/>
      <w:color w:val="000000"/>
      <w:kern w:val="0"/>
      <w:sz w:val="24"/>
      <w:szCs w:val="20"/>
    </w:rPr>
  </w:style>
  <w:style w:type="paragraph" w:customStyle="1" w:styleId="13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32">
    <w:name w:val="正文格式"/>
    <w:basedOn w:val="16"/>
    <w:next w:val="16"/>
    <w:qFormat/>
    <w:uiPriority w:val="0"/>
    <w:pPr>
      <w:widowControl/>
      <w:adjustRightInd w:val="0"/>
      <w:snapToGrid w:val="0"/>
      <w:spacing w:line="400" w:lineRule="atLeast"/>
      <w:ind w:firstLine="482"/>
      <w:textAlignment w:val="baseline"/>
    </w:pPr>
    <w:rPr>
      <w:sz w:val="24"/>
    </w:rPr>
  </w:style>
  <w:style w:type="paragraph" w:customStyle="1" w:styleId="133">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3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5">
    <w:name w:val="_Style 144"/>
    <w:basedOn w:val="1"/>
    <w:next w:val="85"/>
    <w:qFormat/>
    <w:uiPriority w:val="34"/>
    <w:pPr>
      <w:ind w:firstLine="420" w:firstLineChars="200"/>
    </w:pPr>
    <w:rPr>
      <w:rFonts w:ascii="Calibri" w:hAnsi="Calibri"/>
      <w:szCs w:val="22"/>
    </w:rPr>
  </w:style>
  <w:style w:type="paragraph" w:customStyle="1" w:styleId="136">
    <w:name w:val="Char Char1 Char Char Char Char Char1 Char Char Char Char"/>
    <w:basedOn w:val="13"/>
    <w:qFormat/>
    <w:uiPriority w:val="0"/>
    <w:rPr>
      <w:rFonts w:ascii="Tahoma" w:hAnsi="Tahoma"/>
    </w:rPr>
  </w:style>
  <w:style w:type="paragraph" w:customStyle="1" w:styleId="137">
    <w:name w:val="标题 1 +"/>
    <w:basedOn w:val="4"/>
    <w:next w:val="1"/>
    <w:qFormat/>
    <w:uiPriority w:val="0"/>
    <w:pPr>
      <w:keepLines/>
      <w:spacing w:line="600" w:lineRule="auto"/>
    </w:pPr>
    <w:rPr>
      <w:rFonts w:eastAsia="黑体"/>
      <w:sz w:val="32"/>
      <w:szCs w:val="32"/>
    </w:rPr>
  </w:style>
  <w:style w:type="paragraph" w:customStyle="1" w:styleId="138">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39">
    <w:name w:val="Char"/>
    <w:basedOn w:val="1"/>
    <w:qFormat/>
    <w:uiPriority w:val="0"/>
    <w:pPr>
      <w:tabs>
        <w:tab w:val="left" w:pos="360"/>
      </w:tabs>
      <w:ind w:left="360" w:hanging="360" w:hangingChars="200"/>
    </w:pPr>
    <w:rPr>
      <w:sz w:val="24"/>
    </w:rPr>
  </w:style>
  <w:style w:type="paragraph" w:customStyle="1" w:styleId="140">
    <w:name w:val="1"/>
    <w:basedOn w:val="1"/>
    <w:qFormat/>
    <w:uiPriority w:val="0"/>
    <w:pPr>
      <w:spacing w:afterLines="50" w:line="360" w:lineRule="auto"/>
    </w:pPr>
    <w:rPr>
      <w:rFonts w:ascii="宋体" w:hAnsi="宋体"/>
      <w:b/>
      <w:sz w:val="30"/>
      <w:szCs w:val="21"/>
    </w:rPr>
  </w:style>
  <w:style w:type="paragraph" w:customStyle="1" w:styleId="141">
    <w:name w:val="TOC 标题2"/>
    <w:basedOn w:val="4"/>
    <w:next w:val="1"/>
    <w:qFormat/>
    <w:uiPriority w:val="39"/>
    <w:pPr>
      <w:keepLines/>
      <w:widowControl/>
      <w:spacing w:before="480" w:line="276" w:lineRule="auto"/>
      <w:jc w:val="left"/>
      <w:outlineLvl w:val="9"/>
    </w:pPr>
    <w:rPr>
      <w:rFonts w:ascii="Cambria" w:hAnsi="Cambria"/>
      <w:color w:val="365F91"/>
      <w:sz w:val="28"/>
      <w:szCs w:val="28"/>
    </w:rPr>
  </w:style>
  <w:style w:type="paragraph" w:customStyle="1" w:styleId="142">
    <w:name w:val="Table Paragraph"/>
    <w:basedOn w:val="1"/>
    <w:qFormat/>
    <w:uiPriority w:val="1"/>
    <w:pPr>
      <w:autoSpaceDE w:val="0"/>
      <w:autoSpaceDN w:val="0"/>
      <w:jc w:val="left"/>
    </w:pPr>
    <w:rPr>
      <w:rFonts w:ascii="宋体" w:hAnsi="宋体" w:cs="宋体"/>
      <w:kern w:val="0"/>
      <w:sz w:val="22"/>
      <w:lang w:val="zh-CN" w:bidi="zh-CN"/>
    </w:rPr>
  </w:style>
  <w:style w:type="character" w:customStyle="1" w:styleId="143">
    <w:name w:val="l-btn-empty"/>
    <w:basedOn w:val="45"/>
    <w:qFormat/>
    <w:uiPriority w:val="0"/>
  </w:style>
  <w:style w:type="character" w:customStyle="1" w:styleId="144">
    <w:name w:val="l-btn-left"/>
    <w:basedOn w:val="45"/>
    <w:qFormat/>
    <w:uiPriority w:val="0"/>
  </w:style>
  <w:style w:type="character" w:customStyle="1" w:styleId="145">
    <w:name w:val="l-btn-left1"/>
    <w:basedOn w:val="45"/>
    <w:qFormat/>
    <w:uiPriority w:val="0"/>
  </w:style>
  <w:style w:type="character" w:customStyle="1" w:styleId="146">
    <w:name w:val="l-btn-left2"/>
    <w:basedOn w:val="45"/>
    <w:qFormat/>
    <w:uiPriority w:val="0"/>
  </w:style>
  <w:style w:type="character" w:customStyle="1" w:styleId="147">
    <w:name w:val="l-btn-left3"/>
    <w:basedOn w:val="45"/>
    <w:qFormat/>
    <w:uiPriority w:val="0"/>
  </w:style>
  <w:style w:type="character" w:customStyle="1" w:styleId="148">
    <w:name w:val="l-btn-text"/>
    <w:basedOn w:val="45"/>
    <w:qFormat/>
    <w:uiPriority w:val="0"/>
    <w:rPr>
      <w:sz w:val="18"/>
      <w:szCs w:val="18"/>
      <w:vertAlign w:val="baseline"/>
    </w:rPr>
  </w:style>
  <w:style w:type="character" w:customStyle="1" w:styleId="149">
    <w:name w:val="l-btn-icon-right"/>
    <w:basedOn w:val="45"/>
    <w:qFormat/>
    <w:uiPriority w:val="0"/>
  </w:style>
  <w:style w:type="character" w:customStyle="1" w:styleId="150">
    <w:name w:val="l-btn-icon-left"/>
    <w:basedOn w:val="45"/>
    <w:qFormat/>
    <w:uiPriority w:val="0"/>
  </w:style>
  <w:style w:type="paragraph" w:customStyle="1" w:styleId="15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2">
    <w:name w:val="font6"/>
    <w:basedOn w:val="1"/>
    <w:qFormat/>
    <w:uiPriority w:val="0"/>
    <w:pPr>
      <w:widowControl/>
      <w:spacing w:before="100" w:beforeAutospacing="1" w:after="100" w:afterAutospacing="1"/>
      <w:jc w:val="left"/>
    </w:pPr>
    <w:rPr>
      <w:rFonts w:ascii="??" w:hAnsi="??" w:cs="宋体"/>
      <w:kern w:val="0"/>
      <w:sz w:val="18"/>
      <w:szCs w:val="18"/>
    </w:rPr>
  </w:style>
  <w:style w:type="paragraph" w:customStyle="1" w:styleId="153">
    <w:name w:val="font7"/>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154">
    <w:name w:val="font8"/>
    <w:basedOn w:val="1"/>
    <w:qFormat/>
    <w:uiPriority w:val="0"/>
    <w:pPr>
      <w:widowControl/>
      <w:spacing w:before="100" w:beforeAutospacing="1" w:after="100" w:afterAutospacing="1"/>
      <w:jc w:val="left"/>
    </w:pPr>
    <w:rPr>
      <w:rFonts w:ascii="宋体" w:hAnsi="宋体" w:cs="宋体"/>
      <w:b/>
      <w:bCs/>
      <w:color w:val="FF0000"/>
      <w:kern w:val="0"/>
      <w:sz w:val="18"/>
      <w:szCs w:val="18"/>
    </w:rPr>
  </w:style>
  <w:style w:type="paragraph" w:customStyle="1" w:styleId="155">
    <w:name w:val="xl64"/>
    <w:basedOn w:val="1"/>
    <w:qFormat/>
    <w:uiPriority w:val="0"/>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156">
    <w:name w:val="xl65"/>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57">
    <w:name w:val="xl66"/>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158">
    <w:name w:val="xl67"/>
    <w:basedOn w:val="1"/>
    <w:qFormat/>
    <w:uiPriority w:val="0"/>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59">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cs="宋体"/>
      <w:color w:val="FF0000"/>
      <w:kern w:val="0"/>
      <w:sz w:val="24"/>
    </w:rPr>
  </w:style>
  <w:style w:type="paragraph" w:customStyle="1" w:styleId="160">
    <w:name w:val="xl69"/>
    <w:basedOn w:val="1"/>
    <w:qFormat/>
    <w:uiPriority w:val="0"/>
    <w:pPr>
      <w:widowControl/>
      <w:pBdr>
        <w:top w:val="single" w:color="000000" w:sz="4" w:space="0"/>
        <w:left w:val="single" w:color="000000" w:sz="4" w:space="0"/>
        <w:bottom w:val="single" w:color="000000" w:sz="4" w:space="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161">
    <w:name w:val="xl70"/>
    <w:basedOn w:val="1"/>
    <w:qFormat/>
    <w:uiPriority w:val="0"/>
    <w:pPr>
      <w:widowControl/>
      <w:pBdr>
        <w:top w:val="single" w:color="000000" w:sz="4"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162">
    <w:name w:val="xl71"/>
    <w:basedOn w:val="1"/>
    <w:qFormat/>
    <w:uiPriority w:val="0"/>
    <w:pPr>
      <w:widowControl/>
      <w:pBdr>
        <w:top w:val="single" w:color="000000" w:sz="4" w:space="0"/>
        <w:left w:val="single" w:color="000000" w:sz="4" w:space="0"/>
        <w:bottom w:val="single" w:color="000000" w:sz="4" w:space="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163">
    <w:name w:val="xl72"/>
    <w:basedOn w:val="1"/>
    <w:qFormat/>
    <w:uiPriority w:val="0"/>
    <w:pPr>
      <w:widowControl/>
      <w:pBdr>
        <w:top w:val="single" w:color="000000" w:sz="4" w:space="0"/>
        <w:bottom w:val="single" w:color="000000" w:sz="4" w:space="0"/>
        <w:right w:val="single" w:color="000000" w:sz="4" w:space="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164">
    <w:name w:val="xl73"/>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00"/>
      <w:spacing w:before="100" w:beforeAutospacing="1" w:after="100" w:afterAutospacing="1"/>
      <w:jc w:val="left"/>
      <w:textAlignment w:val="center"/>
    </w:pPr>
    <w:rPr>
      <w:rFonts w:ascii="宋体" w:hAnsi="宋体" w:cs="宋体"/>
      <w:color w:val="FF0000"/>
      <w:kern w:val="0"/>
      <w:sz w:val="24"/>
    </w:rPr>
  </w:style>
  <w:style w:type="paragraph" w:customStyle="1" w:styleId="165">
    <w:name w:val="xl74"/>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cs="宋体"/>
      <w:kern w:val="0"/>
      <w:sz w:val="16"/>
      <w:szCs w:val="16"/>
    </w:rPr>
  </w:style>
  <w:style w:type="paragraph" w:customStyle="1" w:styleId="166">
    <w:name w:val="xl75"/>
    <w:basedOn w:val="1"/>
    <w:qFormat/>
    <w:uiPriority w:val="0"/>
    <w:pPr>
      <w:widowControl/>
      <w:pBdr>
        <w:top w:val="single" w:color="000000" w:sz="8" w:space="0"/>
        <w:left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67">
    <w:name w:val="xl76"/>
    <w:basedOn w:val="1"/>
    <w:qFormat/>
    <w:uiPriority w:val="0"/>
    <w:pPr>
      <w:widowControl/>
      <w:pBdr>
        <w:left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68">
    <w:name w:val="xl77"/>
    <w:basedOn w:val="1"/>
    <w:qFormat/>
    <w:uiPriority w:val="0"/>
    <w:pPr>
      <w:widowControl/>
      <w:pBdr>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69">
    <w:name w:val="xl78"/>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170">
    <w:name w:val="xl79"/>
    <w:basedOn w:val="1"/>
    <w:qFormat/>
    <w:uiPriority w:val="0"/>
    <w:pPr>
      <w:widowControl/>
      <w:pBdr>
        <w:top w:val="single" w:color="000000" w:sz="8" w:space="0"/>
        <w:left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1">
    <w:name w:val="xl80"/>
    <w:basedOn w:val="1"/>
    <w:qFormat/>
    <w:uiPriority w:val="0"/>
    <w:pPr>
      <w:widowControl/>
      <w:pBdr>
        <w:left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2">
    <w:name w:val="xl81"/>
    <w:basedOn w:val="1"/>
    <w:qFormat/>
    <w:uiPriority w:val="0"/>
    <w:pPr>
      <w:widowControl/>
      <w:pBdr>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3">
    <w:name w:val="xl82"/>
    <w:basedOn w:val="1"/>
    <w:qFormat/>
    <w:uiPriority w:val="0"/>
    <w:pPr>
      <w:widowControl/>
      <w:pBdr>
        <w:top w:val="single" w:color="000000" w:sz="8" w:space="0"/>
        <w:lef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4">
    <w:name w:val="xl83"/>
    <w:basedOn w:val="1"/>
    <w:qFormat/>
    <w:uiPriority w:val="0"/>
    <w:pPr>
      <w:widowControl/>
      <w:pBdr>
        <w:top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5">
    <w:name w:val="xl84"/>
    <w:basedOn w:val="1"/>
    <w:qFormat/>
    <w:uiPriority w:val="0"/>
    <w:pPr>
      <w:widowControl/>
      <w:pBdr>
        <w:lef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6">
    <w:name w:val="xl85"/>
    <w:basedOn w:val="1"/>
    <w:qFormat/>
    <w:uiPriority w:val="0"/>
    <w:pPr>
      <w:widowControl/>
      <w:pBdr>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7">
    <w:name w:val="xl86"/>
    <w:basedOn w:val="1"/>
    <w:qFormat/>
    <w:uiPriority w:val="0"/>
    <w:pPr>
      <w:widowControl/>
      <w:pBdr>
        <w:left w:val="single" w:color="000000" w:sz="4" w:space="0"/>
        <w:bottom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8">
    <w:name w:val="xl87"/>
    <w:basedOn w:val="1"/>
    <w:qFormat/>
    <w:uiPriority w:val="0"/>
    <w:pPr>
      <w:widowControl/>
      <w:pBdr>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79">
    <w:name w:val="xl88"/>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00"/>
      <w:spacing w:before="100" w:beforeAutospacing="1" w:after="100" w:afterAutospacing="1"/>
      <w:jc w:val="left"/>
      <w:textAlignment w:val="center"/>
    </w:pPr>
    <w:rPr>
      <w:rFonts w:ascii="宋体" w:hAnsi="宋体" w:cs="宋体"/>
      <w:kern w:val="0"/>
      <w:sz w:val="24"/>
    </w:rPr>
  </w:style>
  <w:style w:type="paragraph" w:customStyle="1" w:styleId="18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FF0000"/>
      <w:kern w:val="0"/>
      <w:sz w:val="24"/>
    </w:rPr>
  </w:style>
  <w:style w:type="paragraph" w:customStyle="1" w:styleId="181">
    <w:name w:val="xl90"/>
    <w:basedOn w:val="1"/>
    <w:qFormat/>
    <w:uiPriority w:val="0"/>
    <w:pPr>
      <w:widowControl/>
      <w:pBdr>
        <w:top w:val="single" w:color="000000" w:sz="4" w:space="0"/>
        <w:left w:val="single" w:color="000000" w:sz="4" w:space="0"/>
        <w:bottom w:val="single" w:color="000000" w:sz="4" w:space="0"/>
      </w:pBdr>
      <w:shd w:val="clear" w:color="FFFFFF" w:fill="FFFF00"/>
      <w:spacing w:before="100" w:beforeAutospacing="1" w:after="100" w:afterAutospacing="1"/>
      <w:jc w:val="left"/>
      <w:textAlignment w:val="center"/>
    </w:pPr>
    <w:rPr>
      <w:rFonts w:ascii="宋体" w:hAnsi="宋体" w:cs="宋体"/>
      <w:color w:val="FF0000"/>
      <w:kern w:val="0"/>
      <w:sz w:val="24"/>
    </w:rPr>
  </w:style>
  <w:style w:type="paragraph" w:customStyle="1" w:styleId="182">
    <w:name w:val="xl91"/>
    <w:basedOn w:val="1"/>
    <w:qFormat/>
    <w:uiPriority w:val="0"/>
    <w:pPr>
      <w:widowControl/>
      <w:pBdr>
        <w:top w:val="single" w:color="000000" w:sz="4" w:space="0"/>
        <w:bottom w:val="single" w:color="000000" w:sz="4" w:space="0"/>
        <w:right w:val="single" w:color="000000" w:sz="4" w:space="0"/>
      </w:pBdr>
      <w:shd w:val="clear" w:color="FFFFFF" w:fill="FFFF00"/>
      <w:spacing w:before="100" w:beforeAutospacing="1" w:after="100" w:afterAutospacing="1"/>
      <w:jc w:val="left"/>
      <w:textAlignment w:val="center"/>
    </w:pPr>
    <w:rPr>
      <w:rFonts w:ascii="宋体" w:hAnsi="宋体" w:cs="宋体"/>
      <w:color w:val="FF0000"/>
      <w:kern w:val="0"/>
      <w:sz w:val="24"/>
    </w:rPr>
  </w:style>
  <w:style w:type="paragraph" w:customStyle="1" w:styleId="183">
    <w:name w:val="xl9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00"/>
      <w:spacing w:before="100" w:beforeAutospacing="1" w:after="100" w:afterAutospacing="1"/>
      <w:jc w:val="left"/>
      <w:textAlignment w:val="center"/>
    </w:pPr>
    <w:rPr>
      <w:rFonts w:ascii="宋体" w:hAnsi="宋体" w:cs="宋体"/>
      <w:color w:val="FF0000"/>
      <w:kern w:val="0"/>
      <w:sz w:val="24"/>
    </w:rPr>
  </w:style>
  <w:style w:type="paragraph" w:customStyle="1" w:styleId="184">
    <w:name w:val="正文首行缩进两字符"/>
    <w:basedOn w:val="1"/>
    <w:qFormat/>
    <w:uiPriority w:val="0"/>
    <w:pPr>
      <w:spacing w:line="360" w:lineRule="auto"/>
      <w:ind w:firstLine="200" w:firstLineChars="200"/>
    </w:pPr>
  </w:style>
  <w:style w:type="paragraph" w:customStyle="1" w:styleId="185">
    <w:name w:val="正文文本首行缩进 2"/>
    <w:basedOn w:val="17"/>
    <w:qFormat/>
    <w:uiPriority w:val="99"/>
    <w:pPr>
      <w:spacing w:after="0" w:line="200" w:lineRule="atLeast"/>
      <w:ind w:left="0" w:leftChars="0" w:firstLine="420" w:firstLineChars="200"/>
    </w:pPr>
    <w:rPr>
      <w:rFonts w:ascii="宋体" w:hAnsi="Courier New"/>
      <w:color w:val="000000"/>
      <w:spacing w:val="-4"/>
      <w:kern w:val="2"/>
      <w:sz w:val="18"/>
    </w:rPr>
  </w:style>
  <w:style w:type="table" w:customStyle="1" w:styleId="186">
    <w:name w:val="Table Normal"/>
    <w:basedOn w:val="43"/>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187">
    <w:name w:val="目录 81"/>
    <w:basedOn w:val="1"/>
    <w:qFormat/>
    <w:uiPriority w:val="0"/>
    <w:pPr>
      <w:keepNext w:val="0"/>
      <w:keepLines w:val="0"/>
      <w:widowControl w:val="0"/>
      <w:suppressLineNumbers w:val="0"/>
      <w:ind w:left="2940"/>
      <w:jc w:val="both"/>
    </w:pPr>
    <w:rPr>
      <w:rFonts w:hint="default" w:ascii="Calibri" w:hAnsi="Times New Roman" w:eastAsia="宋体" w:cs="Times New Roman"/>
      <w:kern w:val="2"/>
      <w:sz w:val="21"/>
      <w:szCs w:val="21"/>
      <w:lang w:val="en-US" w:eastAsia="zh-CN" w:bidi="ar"/>
    </w:rPr>
  </w:style>
  <w:style w:type="paragraph" w:customStyle="1" w:styleId="188">
    <w:name w:val="_Style 2"/>
    <w:qFormat/>
    <w:uiPriority w:val="1"/>
    <w:pPr>
      <w:widowControl w:val="0"/>
      <w:jc w:val="both"/>
    </w:pPr>
    <w:rPr>
      <w:rFonts w:hint="eastAsia" w:ascii="Calibri" w:hAnsi="Calibri" w:eastAsia="宋体" w:cs="Times New Roman"/>
      <w:kern w:val="2"/>
      <w:sz w:val="21"/>
      <w:szCs w:val="22"/>
      <w:lang w:val="en-US" w:eastAsia="zh-CN" w:bidi="ar-SA"/>
    </w:rPr>
  </w:style>
  <w:style w:type="paragraph" w:customStyle="1" w:styleId="189">
    <w:name w:val="Normal_0"/>
    <w:qFormat/>
    <w:uiPriority w:val="0"/>
    <w:rPr>
      <w:rFonts w:ascii="Times New Roman" w:hAnsi="Times New Roman" w:eastAsia="Times New Roman" w:cs="Times New Roman"/>
      <w:sz w:val="24"/>
      <w:szCs w:val="24"/>
    </w:rPr>
  </w:style>
  <w:style w:type="table" w:customStyle="1" w:styleId="190">
    <w:name w:val="Plain Table 1"/>
    <w:qFormat/>
    <w:uiPriority w:val="41"/>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character" w:customStyle="1" w:styleId="191">
    <w:name w:val="font21"/>
    <w:basedOn w:val="45"/>
    <w:qFormat/>
    <w:uiPriority w:val="0"/>
    <w:rPr>
      <w:rFonts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200ab5c4-e2bd-4476-93ea-1e67cc7cea99</errorID>
      <errorWord>之日起至</errorWord>
      <group>L1_Word</group>
      <groupName>字词问题</groupName>
      <ability>L2_Typo</ability>
      <abilityName>字词错误</abilityName>
      <candidateList>
        <item>之日起</item>
      </candidateList>
      <explain/>
      <paraID>423DBA6E</paraID>
      <start>14</start>
      <end>18</end>
      <status>unmodified</status>
      <modifiedWord/>
      <trackRevisions>false</trackRevisions>
    </reviewItem>
    <reviewItem>
      <errorID>1639e705-4de0-465a-9e35-5866776f561f</errorID>
      <errorWord>天</errorWord>
      <group>L1_Word</group>
      <groupName>字词问题</groupName>
      <ability>L2_Typo</ability>
      <abilityName>字词错误</abilityName>
      <candidateList>
        <item>天内</item>
      </candidateList>
      <explain/>
      <paraID>423DBA6E</paraID>
      <start>20</start>
      <end>21</end>
      <status>unmodified</status>
      <modifiedWord/>
      <trackRevisions>false</trackRevisions>
    </reviewItem>
    <reviewItem>
      <errorID>ec2b8ac8-ea10-4f7c-8a9c-eca54e3349d8</errorID>
      <errorWord>完成</errorWord>
      <group>L1_Word</group>
      <groupName>字词问题</groupName>
      <ability>L2_Typo</ability>
      <abilityName>字词错误</abilityName>
      <candidateList>
        <item>内完成</item>
      </candidateList>
      <explain/>
      <paraID>423DBA6E</paraID>
      <start>21</start>
      <end>23</end>
      <status>unmodified</status>
      <modifiedWord/>
      <trackRevisions>false</trackRevisions>
    </reviewItem>
    <reviewItem>
      <errorID>0070b8ce-bc36-4e20-98b9-911b23dd2d2b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4E9E6DFE</paraID>
      <start>39</start>
      <end>41</end>
      <status>unmodified</status>
      <modifiedWord/>
      <trackRevisions>false</trackRevisions>
    </reviewItem>
    <reviewItem>
      <errorID>2ba17a96-bb54-4f30-9927-43a13791fa20</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4E9E6DFE</paraID>
      <start>60</start>
      <end>62</end>
      <status>unmodified</status>
      <modifiedWord/>
      <trackRevisions>false</trackRevisions>
    </reviewItem>
    <reviewItem>
      <errorID>04cfb4ca-0e6f-4b40-8235-e8a78760875a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7E2A24BE</paraID>
      <start>39</start>
      <end>41</end>
      <status>unmodified</status>
      <modifiedWord/>
      <trackRevisions>false</trackRevisions>
    </reviewItem>
    <reviewItem>
      <errorID>3facea69-75fa-49ef-97ed-15fdbad8856b</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7E2A24BE</paraID>
      <start>60</start>
      <end>62</end>
      <status>unmodified</status>
      <modifiedWord/>
      <trackRevisions>false</trackRevisions>
    </reviewItem>
    <reviewItem>
      <errorID>b1d30f89-4a98-41c9-a26a-ae078fb546e4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6940F81E</paraID>
      <start>39</start>
      <end>41</end>
      <status>unmodified</status>
      <modifiedWord/>
      <trackRevisions>false</trackRevisions>
    </reviewItem>
    <reviewItem>
      <errorID>a663d029-0864-4c81-bfa1-8dd6cb6e6256</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6940F81E</paraID>
      <start>60</start>
      <end>62</end>
      <status>unmodified</status>
      <modifiedWord/>
      <trackRevisions>false</trackRevisions>
    </reviewItem>
    <reviewItem>
      <errorID>c7feeef3-4066-4deb-9d18-0a60f56de261</errorID>
      <errorWord>【2022】17号</errorWord>
      <group>L1_Knowledge</group>
      <groupName>知识性问题</groupName>
      <ability>L2_Knowledge</ability>
      <abilityName>其他知识</abilityName>
      <candidateList>
        <item>〔2022〕17号</item>
      </candidateList>
      <explain>发文字号格式错误。</explain>
      <paraID>36DD3DE1</paraID>
      <start>40</start>
      <end>49</end>
      <status>unmodified</status>
      <modifiedWord/>
      <trackRevisions>false</trackRevisions>
    </reviewItem>
    <reviewItem>
      <errorID>04aeb0d9-003f-4402-8976-2da02cec13ee</errorID>
      <errorWord>登录“</errorWord>
      <group>L1_Word</group>
      <groupName>字词问题</groupName>
      <ability>L2_Typo</ability>
      <abilityName>字词错误</abilityName>
      <candidateList>
        <item>，登录</item>
      </candidateList>
      <explain/>
      <paraID>6ED24FC4</paraID>
      <start>60</start>
      <end>63</end>
      <status>unmodified</status>
      <modifiedWord/>
      <trackRevisions>false</trackRevisions>
    </reviewItem>
    <reviewItem>
      <errorID>67299614-7eed-44f8-a763-aa4e89e047e5</errorID>
      <errorWord>【2020】46号</errorWord>
      <group>L1_Knowledge</group>
      <groupName>知识性问题</groupName>
      <ability>L2_Knowledge</ability>
      <abilityName>其他知识</abilityName>
      <candidateList>
        <item>〔2020〕46号</item>
      </candidateList>
      <explain>发文字号格式错误。</explain>
      <paraID>22D131E3</paraID>
      <start>5</start>
      <end>14</end>
      <status>unmodified</status>
      <modifiedWord/>
      <trackRevisions>false</trackRevisions>
    </reviewItem>
    <reviewItem>
      <errorID>b9848a7a-c4b5-496e-9ef1-17a6baadc6c4</errorID>
      <errorWord>视频的</errorWord>
      <group>L1_Word</group>
      <groupName>字词问题</groupName>
      <ability>L2_Typo</ability>
      <abilityName>字词错误</abilityName>
      <candidateList>
        <item>视频</item>
      </candidateList>
      <explain/>
      <paraID>40537374</paraID>
      <start>16</start>
      <end>19</end>
      <status>unmodified</status>
      <modifiedWord/>
      <trackRevisions>false</trackRevisions>
    </reviewItem>
    <reviewItem>
      <errorID>c20770c3-a1da-4c1e-b35c-bda9ed94282d</errorID>
      <errorWord>u盘形式提交（投标人自行保证u盘</errorWord>
      <group>L1_Word</group>
      <groupName>字词问题</groupName>
      <ability>L2_Typo</ability>
      <abilityName>字词错误</abilityName>
      <candidateList>
        <item>U盘形式提交（投标人自行保证U盘</item>
      </candidateList>
      <explain/>
      <paraID>40537374</paraID>
      <start>93</start>
      <end>109</end>
      <status>unmodified</status>
      <modifiedWord/>
      <trackRevisions>false</trackRevisions>
    </reviewItem>
    <reviewItem>
      <errorID>cc0c7cb3-2129-41d9-bb9f-3896cfbef16f</errorID>
      <errorWord>u盘损坏或数据损坏造成u盘</errorWord>
      <group>L1_Word</group>
      <groupName>字词问题</groupName>
      <ability>L2_Typo</ability>
      <abilityName>字词错误</abilityName>
      <candidateList>
        <item>U盘损坏或数据损坏造成U盘</item>
      </candidateList>
      <explain/>
      <paraID>40537374</paraID>
      <start>114</start>
      <end>127</end>
      <status>unmodified</status>
      <modifiedWord/>
      <trackRevisions>false</trackRevisions>
    </reviewItem>
    <reviewItem>
      <errorID>92b95323-e6a7-49fb-bc00-77b77ea4a0cd</errorID>
      <errorWord>u盘</errorWord>
      <group>L1_Word</group>
      <groupName>字词问题</groupName>
      <ability>L2_Typo</ability>
      <abilityName>字词错误</abilityName>
      <candidateList>
        <item>U盘</item>
      </candidateList>
      <explain/>
      <paraID>40537374</paraID>
      <start>231</start>
      <end>233</end>
      <status>unmodified</status>
      <modifiedWord/>
      <trackRevisions>false</trackRevisions>
    </reviewItem>
    <reviewItem>
      <errorID>6bc42c36-9a29-40f6-bdc0-85082c5c0672</errorID>
      <errorWord>成份</errorWord>
      <group>L1_Word</group>
      <groupName>字词问题</groupName>
      <ability>L2_Typo</ability>
      <abilityName>字词错误</abilityName>
      <candidateList>
        <item>成分</item>
      </candidateList>
      <explain/>
      <paraID>1783E081</paraID>
      <start>88</start>
      <end>90</end>
      <status>unmodified</status>
      <modifiedWord/>
      <trackRevisions>false</trackRevisions>
    </reviewItem>
    <reviewItem>
      <errorID>4595b8c1-cb2e-4894-a7c2-e87190eb5855</errorID>
      <errorWord>法律、法规</errorWord>
      <group>L1_Word</group>
      <groupName>字词问题</groupName>
      <ability>L2_Typo</ability>
      <abilityName>字词错误</abilityName>
      <candidateList>
        <item>法律法规</item>
      </candidateList>
      <explain/>
      <paraID> C5D39FE</paraID>
      <start>26</start>
      <end>31</end>
      <status>unmodified</status>
      <modifiedWord/>
      <trackRevisions>false</trackRevisions>
    </reviewItem>
    <reviewItem>
      <errorID>addf2e00-4cb5-4ad3-8a5e-4d42a5221dd1</errorID>
      <errorWord>[2007]119号</errorWord>
      <group>L1_Knowledge</group>
      <groupName>知识性问题</groupName>
      <ability>L2_Knowledge</ability>
      <abilityName>其他知识</abilityName>
      <candidateList>
        <item>〔2007〕119号</item>
      </candidateList>
      <explain>发文字号格式错误。</explain>
      <paraID>73866335</paraID>
      <start>61</start>
      <end>71</end>
      <status>unmodified</status>
      <modifiedWord/>
      <trackRevisions>false</trackRevisions>
    </reviewItem>
    <reviewItem>
      <errorID>85e63706-049f-49e8-95dc-e01cb63a0d49</errorID>
      <errorWord>l</errorWord>
      <group>L1_Word</group>
      <groupName>字词问题</groupName>
      <ability>L2_Typo</ability>
      <abilityName>字词错误</abilityName>
      <candidateList>
        <item>1</item>
      </candidateList>
      <explain/>
      <paraID> 9903480</paraID>
      <start>1</start>
      <end>2</end>
      <status>modified</status>
      <modifiedWord>1</modifiedWord>
      <trackRevisions>false</trackRevisions>
    </reviewItem>
    <reviewItem>
      <errorID>3081818d-59f9-43e4-bffe-130b89dd3e9b</errorID>
      <errorWord>l</errorWord>
      <group>L1_Word</group>
      <groupName>字词问题</groupName>
      <ability>L2_Typo</ability>
      <abilityName>字词错误</abilityName>
      <candidateList>
        <item>1</item>
      </candidateList>
      <explain/>
      <paraID>29E22D87</paraID>
      <start>1</start>
      <end>2</end>
      <status>modified</status>
      <modifiedWord>1</modifiedWord>
      <trackRevisions>false</trackRevisions>
    </reviewItem>
    <reviewItem>
      <errorID>9c8348a2-9cf7-4bb8-b6a0-2b1d7d8dda9e</errorID>
      <errorWord>法律、法规</errorWord>
      <group>L1_Word</group>
      <groupName>字词问题</groupName>
      <ability>L2_Typo</ability>
      <abilityName>字词错误</abilityName>
      <candidateList>
        <item>法律法规</item>
      </candidateList>
      <explain/>
      <paraID>55056729</paraID>
      <start>4</start>
      <end>9</end>
      <status>unmodified</status>
      <modifiedWord/>
      <trackRevisions>false</trackRevisions>
    </reviewItem>
    <reviewItem>
      <errorID>8835d89d-28fe-49e1-9a90-7a2e8561f127</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28553BFE</paraID>
      <start>57</start>
      <end>61</end>
      <status>unmodified</status>
      <modifiedWord/>
      <trackRevisions>false</trackRevisions>
    </reviewItem>
    <reviewItem>
      <errorID>3fc75202-e21e-46a5-9cca-e99dfd202659</errorID>
      <errorWord>和</errorWord>
      <group>L1_Word</group>
      <groupName>字词问题</groupName>
      <ability>L2_Typo</ability>
      <abilityName>字词错误</abilityName>
      <candidateList>
        <item>、</item>
      </candidateList>
      <explain/>
      <paraID>3FA74256</paraID>
      <start>92</start>
      <end>93</end>
      <status>unmodified</status>
      <modifiedWord/>
      <trackRevisions>false</trackRevisions>
    </reviewItem>
    <reviewItem>
      <errorID>2c64f84f-1b8a-4244-91d6-f180552d7093</errorID>
      <errorWord>位</errorWord>
      <group>L1_Word</group>
      <groupName>字词问题</groupName>
      <ability>L2_Typo</ability>
      <abilityName>字词错误</abilityName>
      <candidateList>
        <item>位公</item>
      </candidateList>
      <explain/>
      <paraID>55271EA4</paraID>
      <start>28</start>
      <end>29</end>
      <status>unmodified</status>
      <modifiedWord/>
      <trackRevisions>false</trackRevisions>
    </reviewItem>
    <reviewItem>
      <errorID>0d3ebc7d-c0d4-4850-aaf3-1f0a884c0c9c</errorID>
      <errorWord>拟</errorWord>
      <group>L1_Word</group>
      <groupName>字词问题</groupName>
      <ability>L2_Typo</ability>
      <abilityName>字词错误</abilityName>
      <candidateList>
        <item>拟提</item>
      </candidateList>
      <explain/>
      <paraID>6447641B</paraID>
      <start>13</start>
      <end>14</end>
      <status>unmodified</status>
      <modifiedWord/>
      <trackRevisions>false</trackRevisions>
    </reviewItem>
    <reviewItem>
      <errorID>0ab0c535-c59a-4745-ae32-749e7fef163b</errorID>
      <errorWord>期期</errorWord>
      <group>L1_Word</group>
      <groupName>字词问题</groupName>
      <ability>L2_Typo</ability>
      <abilityName>字词错误</abilityName>
      <candidateList>
        <item>期</item>
      </candidateList>
      <explain/>
      <paraID>5807B4C3</paraID>
      <start>92</start>
      <end>94</end>
      <status>unmodified</status>
      <modifiedWord/>
      <trackRevisions>false</trackRevisions>
    </reviewItem>
    <reviewItem>
      <errorID>f9ba4869-8905-4e0c-8925-3f1e583e407e</errorID>
      <errorWord>．</errorWord>
      <group>L1_Word</group>
      <groupName>字词问题</groupName>
      <ability>L2_Typo</ability>
      <abilityName>字词错误</abilityName>
      <candidateList>
        <item>. </item>
      </candidateList>
      <explain/>
      <paraID> BE6DC1F</paraID>
      <start>2</start>
      <end>3</end>
      <status>unmodified</status>
      <modifiedWord/>
      <trackRevisions>false</trackRevisions>
    </reviewItem>
    <reviewItem>
      <errorID>0c6ec6ed-ee5d-44a0-af3f-0e65b0efd271</errorID>
      <errorWord>office2010</errorWord>
      <group>L1_Word</group>
      <groupName>字词问题</groupName>
      <ability>L2_Typo</ability>
      <abilityName>字词错误</abilityName>
      <candidateList>
        <item>Office 2010</item>
      </candidateList>
      <explain/>
      <paraID> BE6DC1F</paraID>
      <start>160</start>
      <end>171</end>
      <status>modified</status>
      <modifiedWord>Office 2010</modifiedWord>
      <trackRevisions>false</trackRevisions>
    </reviewItem>
    <reviewItem>
      <errorID>379b8d7c-004e-4fe5-8b2e-29ce36f8fad2</errorID>
      <errorWord>投标人应当使用岳阳市公共资源交易中心电子交易平台认可的“新点投标文件制作软件（湖南版）”制作投标文件（ </errorWord>
      <group>L1_Word</group>
      <groupName>字词问题</groupName>
      <ability>L2_Typo</ability>
      <abilityName>字词错误</abilityName>
      <candidateList>
        <item> 投标人应当使用岳阳市公共资源交易中心电子交易平台认可的“新点投标文件制作软件（湖南版）”制作投标文件（</item>
      </candidateList>
      <explain/>
      <paraID>75CB172D</paraID>
      <start>6</start>
      <end>58</end>
      <status>unmodified</status>
      <modifiedWord/>
      <trackRevisions>false</trackRevisions>
    </reviewItem>
    <reviewItem>
      <errorID>0166c491-cef6-48d4-9f1b-88bad66ce6eb</errorID>
      <errorWord>“电子标书软件加密锁” </errorWord>
      <group>L1_Word</group>
      <groupName>字词问题</groupName>
      <ability>L2_Typo</ability>
      <abilityName>字词错误</abilityName>
      <candidateList>
        <item> “电子标书软件加密锁”</item>
      </candidateList>
      <explain/>
      <paraID>73F5B224</paraID>
      <start>6</start>
      <end>18</end>
      <status>unmodified</status>
      <modifiedWord/>
      <trackRevisions>false</trackRevisions>
    </reviewItem>
    <reviewItem>
      <errorID>f3f0c2f8-e850-4396-ba68-4cd77ba8daad</errorID>
      <errorWord>请投标人注意压缩文件</errorWord>
      <group>L1_Word</group>
      <groupName>字词问题</groupName>
      <ability>L2_Typo</ability>
      <abilityName>字词错误</abilityName>
      <candidateList>
        <item>并注意将文件进行压缩</item>
      </candidateList>
      <explain/>
      <paraID>27BBB102</paraID>
      <start>42</start>
      <end>52</end>
      <status>unmodified</status>
      <modifiedWord/>
      <trackRevisions>false</trackRevisions>
    </reviewItem>
    <reviewItem>
      <errorID>1228f643-6372-4e19-aee3-13194bd4099b</errorID>
      <errorWord>电子</errorWord>
      <group>L1_Word</group>
      <groupName>字词问题</groupName>
      <ability>L2_Typo</ability>
      <abilityName>字词错误</abilityName>
      <candidateList>
        <item> 电子</item>
      </candidateList>
      <explain/>
      <paraID>3B71F3A4</paraID>
      <start>4</start>
      <end>6</end>
      <status>unmodified</status>
      <modifiedWord/>
      <trackRevisions>false</trackRevisions>
    </reviewItem>
    <reviewItem>
      <errorID>35ea9855-04ba-4314-9e3f-cb16dcb63226</errorID>
      <errorWord>在</errorWord>
      <group>L1_Word</group>
      <groupName>字词问题</groupName>
      <ability>L2_Typo</ability>
      <abilityName>字词错误</abilityName>
      <candidateList>
        <item>登录</item>
      </candidateList>
      <explain/>
      <paraID>3B71F3A4</paraID>
      <start>39</start>
      <end>40</end>
      <status>unmodified</status>
      <modifiedWord/>
      <trackRevisions>false</trackRevisions>
    </reviewItem>
    <reviewItem>
      <errorID>7b2968a1-6a20-4ab2-9a21-75e603fa7ce8</errorID>
      <errorWord>按</errorWord>
      <group>L1_Word</group>
      <groupName>字词问题</groupName>
      <ability>L2_Typo</ability>
      <abilityName>字词错误</abilityName>
      <candidateList>
        <item> 按</item>
      </candidateList>
      <explain/>
      <paraID>7A511218</paraID>
      <start>6</start>
      <end>7</end>
      <status>unmodified</status>
      <modifiedWord/>
      <trackRevisions>false</trackRevisions>
    </reviewItem>
    <reviewItem>
      <errorID>1dd502bc-51e9-483c-b838-3cfdb0d46c3d</errorID>
      <errorWord>投标</errorWord>
      <group>L1_Word</group>
      <groupName>字词问题</groupName>
      <ability>L2_Typo</ability>
      <abilityName>字词错误</abilityName>
      <candidateList>
        <item> 投标</item>
      </candidateList>
      <explain/>
      <paraID>162E7D07</paraID>
      <start>4</start>
      <end>6</end>
      <status>unmodified</status>
      <modifiedWord/>
      <trackRevisions>false</trackRevisions>
    </reviewItem>
    <reviewItem>
      <errorID>15eeacf0-11d3-4671-a203-08f7ab4b053a</errorID>
      <errorWord>投标</errorWord>
      <group>L1_Word</group>
      <groupName>字词问题</groupName>
      <ability>L2_Typo</ability>
      <abilityName>字词错误</abilityName>
      <candidateList>
        <item> 投标</item>
      </candidateList>
      <explain/>
      <paraID> 6167D32</paraID>
      <start>4</start>
      <end>6</end>
      <status>unmodified</status>
      <modifiedWord/>
      <trackRevisions>false</trackRevisions>
    </reviewItem>
    <reviewItem>
      <errorID>d58c9ac7-1d29-4c75-b89d-1b8af91bd84e</errorID>
      <errorWord>投标人</errorWord>
      <group>L1_Word</group>
      <groupName>字词问题</groupName>
      <ability>L2_Typo</ability>
      <abilityName>字词错误</abilityName>
      <candidateList>
        <item> 投标人</item>
      </candidateList>
      <explain/>
      <paraID>1B33AFD5</paraID>
      <start>4</start>
      <end>7</end>
      <status>unmodified</status>
      <modifiedWord/>
      <trackRevisions>false</trackRevisions>
    </reviewItem>
    <reviewItem>
      <errorID>1f2b5745-7790-468d-ab39-be8b268ec3c8</errorID>
      <errorWord>有</errorWord>
      <group>L1_Word</group>
      <groupName>字词问题</groupName>
      <ability>L2_Typo</ability>
      <abilityName>字词错误</abilityName>
      <candidateList>
        <item> 有</item>
      </candidateList>
      <explain/>
      <paraID> D73032B</paraID>
      <start>4</start>
      <end>5</end>
      <status>unmodified</status>
      <modifiedWord/>
      <trackRevisions>false</trackRevisions>
    </reviewItem>
    <reviewItem>
      <errorID>1d2ee895-888f-4a8a-80a6-08be77ad9757</errorID>
      <errorWord>有</errorWord>
      <group>L1_Word</group>
      <groupName>字词问题</groupName>
      <ability>L2_Typo</ability>
      <abilityName>字词错误</abilityName>
      <candidateList>
        <item> 有</item>
      </candidateList>
      <explain/>
      <paraID>5DDCCA6B</paraID>
      <start>4</start>
      <end>5</end>
      <status>unmodified</status>
      <modifiedWord/>
      <trackRevisions>false</trackRevisions>
    </reviewItem>
    <reviewItem>
      <errorID>368ef3ce-a12a-4d50-894a-c2d8182c7815</errorID>
      <errorWord>采购</errorWord>
      <group>L1_Word</group>
      <groupName>字词问题</groupName>
      <ability>L2_Typo</ability>
      <abilityName>字词错误</abilityName>
      <candidateList>
        <item> 采购</item>
      </candidateList>
      <explain/>
      <paraID> 5B5A683</paraID>
      <start>4</start>
      <end>6</end>
      <status>unmodified</status>
      <modifiedWord/>
      <trackRevisions>false</trackRevisions>
    </reviewItem>
    <reviewItem>
      <errorID>8e5e3b44-b68f-4c52-baf6-c9af04d70d66</errorID>
      <errorWord>投标</errorWord>
      <group>L1_Word</group>
      <groupName>字词问题</groupName>
      <ability>L2_Typo</ability>
      <abilityName>字词错误</abilityName>
      <candidateList>
        <item> 投标</item>
      </candidateList>
      <explain/>
      <paraID>4138DA14</paraID>
      <start>4</start>
      <end>6</end>
      <status>unmodified</status>
      <modifiedWord/>
      <trackRevisions>false</trackRevisions>
    </reviewItem>
    <reviewItem>
      <errorID>76765d3d-14b5-40aa-b2c7-a167405a6170</errorID>
      <errorWord>并在网上进行</errorWord>
      <group>L1_Word</group>
      <groupName>字词问题</groupName>
      <ability>L2_Typo</ability>
      <abilityName>字词错误</abilityName>
      <candidateList>
        <item>，参与网上</item>
      </candidateList>
      <explain/>
      <paraID>4138DA14</paraID>
      <start>35</start>
      <end>41</end>
      <status>unmodified</status>
      <modifiedWord/>
      <trackRevisions>false</trackRevisions>
    </reviewItem>
    <reviewItem>
      <errorID>2220ba09-3f09-4202-8d67-a0e2759f341c</errorID>
      <errorWord>同步</errorWord>
      <group>L1_Word</group>
      <groupName>字词问题</groupName>
      <ability>L2_Typo</ability>
      <abilityName>字词错误</abilityName>
      <candidateList>
        <item>并同步</item>
      </candidateList>
      <explain/>
      <paraID>4138DA14</paraID>
      <start>47</start>
      <end>49</end>
      <status>unmodified</status>
      <modifiedWord/>
      <trackRevisions>false</trackRevisions>
    </reviewItem>
    <reviewItem>
      <errorID>27ec87d7-cb4c-4c33-b028-f682533b4bc0</errorID>
      <errorWord>开标</errorWord>
      <group>L1_Word</group>
      <groupName>字词问题</groupName>
      <ability>L2_Typo</ability>
      <abilityName>字词错误</abilityName>
      <candidateList>
        <item> 开标</item>
      </candidateList>
      <explain/>
      <paraID>65B1D8A0</paraID>
      <start>4</start>
      <end>6</end>
      <status>unmodified</status>
      <modifiedWord/>
      <trackRevisions>false</trackRevisions>
    </reviewItem>
    <reviewItem>
      <errorID>bfbe93b7-007b-4f38-976c-00d1fc5a029d</errorID>
      <errorWord>资格</errorWord>
      <group>L1_Word</group>
      <groupName>字词问题</groupName>
      <ability>L2_Typo</ability>
      <abilityName>字词错误</abilityName>
      <candidateList>
        <item> 资格</item>
      </candidateList>
      <explain/>
      <paraID>55FE9555</paraID>
      <start>3</start>
      <end>5</end>
      <status>unmodified</status>
      <modifiedWord/>
      <trackRevisions>false</trackRevisions>
    </reviewItem>
    <reviewItem>
      <errorID>161438a6-1cb8-4a40-b572-a0248287b19d</errorID>
      <errorWord>开标</errorWord>
      <group>L1_Word</group>
      <groupName>字词问题</groupName>
      <ability>L2_Typo</ability>
      <abilityName>字词错误</abilityName>
      <candidateList>
        <item> 开标</item>
      </candidateList>
      <explain/>
      <paraID> 9479F85</paraID>
      <start>4</start>
      <end>6</end>
      <status>unmodified</status>
      <modifiedWord/>
      <trackRevisions>false</trackRevisions>
    </reviewItem>
    <reviewItem>
      <errorID>1ed473cd-ca5e-4912-856b-159c7ba50730</errorID>
      <errorWord>投标</errorWord>
      <group>L1_Word</group>
      <groupName>字词问题</groupName>
      <ability>L2_Typo</ability>
      <abilityName>字词错误</abilityName>
      <candidateList>
        <item> 投标</item>
      </candidateList>
      <explain/>
      <paraID>4BC74430</paraID>
      <start>4</start>
      <end>6</end>
      <status>unmodified</status>
      <modifiedWord/>
      <trackRevisions>false</trackRevisions>
    </reviewItem>
    <reviewItem>
      <errorID>9d2f526b-d009-476a-85a7-a4bf2d02e2e9</errorID>
      <errorWord>法律、法规</errorWord>
      <group>L1_Word</group>
      <groupName>字词问题</groupName>
      <ability>L2_Typo</ability>
      <abilityName>字词错误</abilityName>
      <candidateList>
        <item>法律法规</item>
      </candidateList>
      <explain/>
      <paraID>741B80E7</paraID>
      <start>6</start>
      <end>11</end>
      <status>unmodified</status>
      <modifiedWord/>
      <trackRevisions>false</trackRevisions>
    </reviewItem>
    <reviewItem>
      <errorID>602b43be-ced4-4b4b-974d-a5cff2f59902</errorID>
      <errorWord>法律、法规</errorWord>
      <group>L1_Word</group>
      <groupName>字词问题</groupName>
      <ability>L2_Typo</ability>
      <abilityName>字词错误</abilityName>
      <candidateList>
        <item>法律法规</item>
      </candidateList>
      <explain/>
      <paraID>5E7DE92C</paraID>
      <start>44</start>
      <end>49</end>
      <status>unmodified</status>
      <modifiedWord/>
      <trackRevisions>false</trackRevisions>
    </reviewItem>
    <reviewItem>
      <errorID>ac88f18f-9ebd-44a1-895b-53031b73fd31</errorID>
      <errorWord>５</errorWord>
      <group>L1_Word</group>
      <groupName>字词问题</groupName>
      <ability>L2_Typo</ability>
      <abilityName>字词错误</abilityName>
      <candidateList>
        <item>5</item>
      </candidateList>
      <explain/>
      <paraID> FD7164F</paraID>
      <start>26</start>
      <end>27</end>
      <status>unmodified</status>
      <modifiedWord/>
      <trackRevisions>false</trackRevisions>
    </reviewItem>
    <reviewItem>
      <errorID>ca4faaa1-3cdf-468d-8b0f-894547488a78</errorID>
      <errorWord>１</errorWord>
      <group>L1_Word</group>
      <groupName>字词问题</groupName>
      <ability>L2_Typo</ability>
      <abilityName>字词错误</abilityName>
      <candidateList>
        <item>1</item>
      </candidateList>
      <explain/>
      <paraID>46FCC930</paraID>
      <start>82</start>
      <end>83</end>
      <status>unmodified</status>
      <modifiedWord/>
      <trackRevisions>false</trackRevisions>
    </reviewItem>
    <reviewItem>
      <errorID>93992460-0c4f-426f-a64c-c564c846aec1</errorID>
      <errorWord>规</errorWord>
      <group>L1_Word</group>
      <groupName>字词问题</groupName>
      <ability>L2_Typo</ability>
      <abilityName>字词错误</abilityName>
      <candidateList>
        <item>规和</item>
      </candidateList>
      <explain/>
      <paraID>2DE0BAC3</paraID>
      <start>74</start>
      <end>75</end>
      <status>unmodified</status>
      <modifiedWord/>
      <trackRevisions>false</trackRevisions>
    </reviewItem>
    <reviewItem>
      <errorID>06b9e1a5-0dd8-45a3-b1a9-cb49cef0cb1f</errorID>
      <errorWord>中标</errorWord>
      <group>L1_Word</group>
      <groupName>字词问题</groupName>
      <ability>L2_Typo</ability>
      <abilityName>字词错误</abilityName>
      <candidateList>
        <item> 中标</item>
      </candidateList>
      <explain/>
      <paraID>4BDBD3F9</paraID>
      <start>4</start>
      <end>6</end>
      <status>unmodified</status>
      <modifiedWord/>
      <trackRevisions>false</trackRevisions>
    </reviewItem>
    <reviewItem>
      <errorID>57e30f1e-a1b9-43a6-a577-4fbd1ee3f59d</errorID>
      <errorWord>中标人</errorWord>
      <group>L1_Word</group>
      <groupName>字词问题</groupName>
      <ability>L2_Typo</ability>
      <abilityName>字词错误</abilityName>
      <candidateList>
        <item> 中标人</item>
      </candidateList>
      <explain/>
      <paraID>7DD30F8B</paraID>
      <start>4</start>
      <end>7</end>
      <status>unmodified</status>
      <modifiedWord/>
      <trackRevisions>false</trackRevisions>
    </reviewItem>
    <reviewItem>
      <errorID>a8b9fcc5-7518-4f6f-b872-a313e20d2669</errorID>
      <errorWord>优先</errorWord>
      <group>L1_Word</group>
      <groupName>字词问题</groupName>
      <ability>L2_Typo</ability>
      <abilityName>字词错误</abilityName>
      <candidateList>
        <item> 优先</item>
      </candidateList>
      <explain/>
      <paraID>445EE020</paraID>
      <start>4</start>
      <end>6</end>
      <status>unmodified</status>
      <modifiedWord/>
      <trackRevisions>false</trackRevisions>
    </reviewItem>
    <reviewItem>
      <errorID>86c32cca-190b-44de-b77a-d2e44d43be21</errorID>
      <errorWord>法律、法规</errorWord>
      <group>L1_Word</group>
      <groupName>字词问题</groupName>
      <ability>L2_Typo</ability>
      <abilityName>字词错误</abilityName>
      <candidateList>
        <item>法律法规</item>
      </candidateList>
      <explain/>
      <paraID>1C689D2B</paraID>
      <start>3</start>
      <end>8</end>
      <status>unmodified</status>
      <modifiedWord/>
      <trackRevisions>false</trackRevisions>
    </reviewItem>
    <reviewItem>
      <errorID>1dadac13-1b6f-4450-b673-8f56a071221e</errorID>
      <errorWord>情形的</errorWord>
      <group>L1_Word</group>
      <groupName>字词问题</groupName>
      <ability>L2_Typo</ability>
      <abilityName>字词错误</abilityName>
      <candidateList>
        <item>情形</item>
      </candidateList>
      <explain/>
      <paraID>1C689D2B</paraID>
      <start>22</start>
      <end>25</end>
      <status>unmodified</status>
      <modifiedWord/>
      <trackRevisions>false</trackRevisions>
    </reviewItem>
    <reviewItem>
      <errorID>f35b4083-be62-4432-843e-046398316b35</errorID>
      <errorWord>）</errorWord>
      <group>L1_Word</group>
      <groupName>字词问题</groupName>
      <ability>L2_Typo</ability>
      <abilityName>字词错误</abilityName>
      <candidateList>
        <item>）以</item>
      </candidateList>
      <explain/>
      <paraID>288B9797</paraID>
      <start>2</start>
      <end>3</end>
      <status>unmodified</status>
      <modifiedWord/>
      <trackRevisions>false</trackRevisions>
    </reviewItem>
    <reviewItem>
      <errorID>1b22857d-5546-4bdc-8f84-0fb5bbbd2e55</errorID>
      <errorWord>联合体</errorWord>
      <group>L1_Word</group>
      <groupName>字词问题</groupName>
      <ability>L2_Typo</ability>
      <abilityName>字词错误</abilityName>
      <candidateList>
        <item>以联合体</item>
      </candidateList>
      <explain/>
      <paraID>288B9797</paraID>
      <start>3</start>
      <end>6</end>
      <status>unmodified</status>
      <modifiedWord/>
      <trackRevisions>false</trackRevisions>
    </reviewItem>
    <reviewItem>
      <errorID>a2e2ea9e-56b4-4ceb-bb03-0f3e818348d7</errorID>
      <errorWord>联合体</errorWord>
      <group>L1_Word</group>
      <groupName>字词问题</groupName>
      <ability>L2_Typo</ability>
      <abilityName>字词错误</abilityName>
      <candidateList>
        <item>若联合体</item>
      </candidateList>
      <explain/>
      <paraID>288B9797</paraID>
      <start>12</start>
      <end>15</end>
      <status>unmodified</status>
      <modifiedWord/>
      <trackRevisions>false</trackRevisions>
    </reviewItem>
    <reviewItem>
      <errorID>f9a5f8a3-9233-4939-847c-30a521a32476</errorID>
      <errorWord>的，</errorWord>
      <group>L1_Word</group>
      <groupName>字词问题</groupName>
      <ability>L2_Typo</ability>
      <abilityName>字词错误</abilityName>
      <candidateList>
        <item>，则</item>
      </candidateList>
      <explain/>
      <paraID>288B9797</paraID>
      <start>25</start>
      <end>27</end>
      <status>unmodified</status>
      <modifiedWord/>
      <trackRevisions>false</trackRevisions>
    </reviewItem>
    <reviewItem>
      <errorID>b938077e-f9d2-4610-8ecd-f1f8163804d5</errorID>
      <errorWord>将</errorWord>
      <group>L1_Word</group>
      <groupName>字词问题</groupName>
      <ability>L2_Typo</ability>
      <abilityName>字词错误</abilityName>
      <candidateList>
        <item>应</item>
      </candidateList>
      <explain/>
      <paraID>46FD7D53</paraID>
      <start>86</start>
      <end>87</end>
      <status>unmodified</status>
      <modifiedWord/>
      <trackRevisions>false</trackRevisions>
    </reviewItem>
    <reviewItem>
      <errorID>dd44302a-eff1-49d2-86e1-9a0450c60947</errorID>
      <errorWord>具体</errorWord>
      <group>L1_Word</group>
      <groupName>字词问题</groupName>
      <ability>L2_Typo</ability>
      <abilityName>字词错误</abilityName>
      <candidateList>
        <item>的具体</item>
      </candidateList>
      <explain/>
      <paraID> 33466DD</paraID>
      <start>16</start>
      <end>18</end>
      <status>unmodified</status>
      <modifiedWord/>
      <trackRevisions>false</trackRevisions>
    </reviewItem>
    <reviewItem>
      <errorID>97f67f7b-f03a-4a97-8e33-dde45c0a008d</errorID>
      <errorWord>查询</errorWord>
      <group>L1_Word</group>
      <groupName>字词问题</groupName>
      <ability>L2_Typo</ability>
      <abilityName>字词错误</abilityName>
      <candidateList>
        <item>将查询</item>
      </candidateList>
      <explain/>
      <paraID> 33466DD</paraID>
      <start>21</start>
      <end>23</end>
      <status>unmodified</status>
      <modifiedWord/>
      <trackRevisions>false</trackRevisions>
    </reviewItem>
    <reviewItem>
      <errorID>22b11448-4c00-4ce6-96bd-c780942ad1be</errorID>
      <errorWord>【2022】17号</errorWord>
      <group>L1_Knowledge</group>
      <groupName>知识性问题</groupName>
      <ability>L2_Knowledge</ability>
      <abilityName>其他知识</abilityName>
      <candidateList>
        <item>〔2022〕17号</item>
      </candidateList>
      <explain>发文字号格式错误。</explain>
      <paraID>250994E7</paraID>
      <start>37</start>
      <end>46</end>
      <status>unmodified</status>
      <modifiedWord/>
      <trackRevisions>false</trackRevisions>
    </reviewItem>
    <reviewItem>
      <errorID>4d5f8a94-05e2-4e0b-b0a5-be64a8174966</errorID>
      <errorWord>评标评标</errorWord>
      <group>L1_Word</group>
      <groupName>字词问题</groupName>
      <ability>L2_Typo</ability>
      <abilityName>字词错误</abilityName>
      <candidateList>
        <item>评标</item>
      </candidateList>
      <explain/>
      <paraID>7B0715B1</paraID>
      <start>19</start>
      <end>23</end>
      <status>unmodified</status>
      <modifiedWord/>
      <trackRevisions>false</trackRevisions>
    </reviewItem>
    <reviewItem>
      <errorID>91284f5a-f1a3-47c7-a57f-0c0d0e58a42c</errorID>
      <errorWord>限价的</errorWord>
      <group>L1_Word</group>
      <groupName>字词问题</groupName>
      <ability>L2_Typo</ability>
      <abilityName>字词错误</abilityName>
      <candidateList>
        <item>限价</item>
      </candidateList>
      <explain/>
      <paraID>1B5D79FE</paraID>
      <start>20</start>
      <end>23</end>
      <status>unmodified</status>
      <modifiedWord/>
      <trackRevisions>false</trackRevisions>
    </reviewItem>
    <reviewItem>
      <errorID>78062b11-698e-472a-bbf9-510c65d504ca</errorID>
      <errorWord>法律、法规</errorWord>
      <group>L1_Word</group>
      <groupName>字词问题</groupName>
      <ability>L2_Typo</ability>
      <abilityName>字词错误</abilityName>
      <candidateList>
        <item>法律法规</item>
      </candidateList>
      <explain/>
      <paraID>2341B2B9</paraID>
      <start>6</start>
      <end>11</end>
      <status>unmodified</status>
      <modifiedWord/>
      <trackRevisions>false</trackRevisions>
    </reviewItem>
    <reviewItem>
      <errorID>927924f9-032f-43c4-940d-9b8140c09fef</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DD6A6F7</paraID>
      <start>18</start>
      <end>25</end>
      <status>unmodified</status>
      <modifiedWord/>
      <trackRevisions>false</trackRevisions>
    </reviewItem>
    <reviewItem>
      <errorID>9f682c65-9cb9-40c5-b1e6-abbdfdc21380</errorID>
      <errorWord> ％</errorWord>
      <group>L1_Word</group>
      <groupName>字词问题</groupName>
      <ability>L2_Typo</ability>
      <abilityName>字词错误</abilityName>
      <candidateList>
        <item>%</item>
      </candidateList>
      <explain/>
      <paraID> DD6A6F7</paraID>
      <start>55</start>
      <end>57</end>
      <status>unmodified</status>
      <modifiedWord/>
      <trackRevisions>false</trackRevisions>
    </reviewItem>
    <reviewItem>
      <errorID>91347974-a4f9-418a-9e52-5b729926bcb6</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52449EF7</paraID>
      <start>7</start>
      <end>12</end>
      <status>unmodified</status>
      <modifiedWord/>
      <trackRevisions>false</trackRevisions>
    </reviewItem>
    <reviewItem>
      <errorID>7d719a7b-52e5-481a-b03c-d7e2dd55cd63</errorID>
      <errorWord> ％</errorWord>
      <group>L1_Word</group>
      <groupName>字词问题</groupName>
      <ability>L2_Typo</ability>
      <abilityName>字词错误</abilityName>
      <candidateList>
        <item>%</item>
      </candidateList>
      <explain/>
      <paraID>52449EF7</paraID>
      <start>43</start>
      <end>45</end>
      <status>unmodified</status>
      <modifiedWord/>
      <trackRevisions>false</trackRevisions>
    </reviewItem>
    <reviewItem>
      <errorID>09504e42-bf46-444a-88a0-4b028fb6cdf3</errorID>
      <errorWord>采购非</errorWord>
      <group>L1_Word</group>
      <groupName>字词问题</groupName>
      <ability>L2_Typo</ability>
      <abilityName>字词错误</abilityName>
      <candidateList>
        <item>采购</item>
      </candidateList>
      <explain/>
      <paraID>4D5E5BEA</paraID>
      <start>8</start>
      <end>11</end>
      <status>unmodified</status>
      <modifiedWord/>
      <trackRevisions>false</trackRevisions>
    </reviewItem>
    <reviewItem>
      <errorID>32e72090-191a-4108-99f4-3b20aae520cd</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3E6987AC</paraID>
      <start>16</start>
      <end>22</end>
      <status>unmodified</status>
      <modifiedWord/>
      <trackRevisions>false</trackRevisions>
    </reviewItem>
    <reviewItem>
      <errorID>2431dd91-781c-4ec7-a70a-8b5b8f059997</errorID>
      <errorWord>4%-8%</errorWord>
      <group>L1_Knowledge</group>
      <groupName>知识性问题</groupName>
      <ability>L2_Knowledge</ability>
      <abilityName>其他知识</abilityName>
      <candidateList>
        <item>4%—8%</item>
      </candidateList>
      <explain>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7B52F016</paraID>
      <start>29</start>
      <end>34</end>
      <status>unmodified</status>
      <modifiedWord/>
      <trackRevisions>false</trackRevisions>
    </reviewItem>
    <reviewItem>
      <errorID>9fcd5de0-7af0-4cf2-b41a-23d3c4a8f97b</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21229745</paraID>
      <start>16</start>
      <end>22</end>
      <status>unmodified</status>
      <modifiedWord/>
      <trackRevisions>false</trackRevisions>
    </reviewItem>
    <reviewItem>
      <errorID>f3c33d8f-8cf9-4e16-96d7-736698c97e05</errorID>
      <errorWord>4%-8%</errorWord>
      <group>L1_Knowledge</group>
      <groupName>知识性问题</groupName>
      <ability>L2_Knowledge</ability>
      <abilityName>其他知识</abilityName>
      <candidateList>
        <item>4%—8%</item>
      </candidateList>
      <explain>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414A5EEC</paraID>
      <start>29</start>
      <end>34</end>
      <status>unmodified</status>
      <modifiedWord/>
      <trackRevisions>false</trackRevisions>
    </reviewItem>
    <reviewItem>
      <errorID>fe166fd6-95eb-4365-a633-87140feb2646</errorID>
      <errorWord>具备提供</errorWord>
      <group>L1_Word</group>
      <groupName>字词问题</groupName>
      <ability>L2_Typo</ability>
      <abilityName>字词错误</abilityName>
      <candidateList>
        <item>应具备</item>
      </candidateList>
      <explain/>
      <paraID>6FC8C15C</paraID>
      <start>10</start>
      <end>14</end>
      <status>unmodified</status>
      <modifiedWord/>
      <trackRevisions>false</trackRevisions>
    </reviewItem>
    <reviewItem>
      <errorID>9010d22c-1d0f-476f-9fca-ad7aefa79843</errorID>
      <errorWord>评</errorWord>
      <group>L1_Word</group>
      <groupName>字词问题</groupName>
      <ability>L2_Typo</ability>
      <abilityName>字词错误</abilityName>
      <candidateList>
        <item> 评</item>
      </candidateList>
      <explain/>
      <paraID> 430B372</paraID>
      <start>3</start>
      <end>4</end>
      <status>unmodified</status>
      <modifiedWord/>
      <trackRevisions>false</trackRevisions>
    </reviewItem>
    <reviewItem>
      <errorID>06d1830a-165d-4cde-a07c-c04462968904</errorID>
      <errorWord>指</errorWord>
      <group>L1_Word</group>
      <groupName>字词问题</groupName>
      <ability>L2_Typo</ability>
      <abilityName>字词错误</abilityName>
      <candidateList>
        <item>是指</item>
      </candidateList>
      <explain/>
      <paraID> 430B372</paraID>
      <start>14</start>
      <end>15</end>
      <status>unmodified</status>
      <modifiedWord/>
      <trackRevisions>false</trackRevisions>
    </reviewItem>
    <reviewItem>
      <errorID>6074d875-95c3-4720-a8ed-223e5e508333</errorID>
      <errorWord>评</errorWord>
      <group>L1_Word</group>
      <groupName>字词问题</groupName>
      <ability>L2_Typo</ability>
      <abilityName>字词错误</abilityName>
      <candidateList>
        <item> 评</item>
      </candidateList>
      <explain/>
      <paraID>51C3A305</paraID>
      <start>3</start>
      <end>4</end>
      <status>unmodified</status>
      <modifiedWord/>
      <trackRevisions>false</trackRevisions>
    </reviewItem>
    <reviewItem>
      <errorID>03c5ec61-c80c-4939-9d3b-68f7bca5ecb8</errorID>
      <errorWord>评</errorWord>
      <group>L1_Word</group>
      <groupName>字词问题</groupName>
      <ability>L2_Typo</ability>
      <abilityName>字词错误</abilityName>
      <candidateList>
        <item> 评</item>
      </candidateList>
      <explain/>
      <paraID>27248DE5</paraID>
      <start>3</start>
      <end>4</end>
      <status>unmodified</status>
      <modifiedWord/>
      <trackRevisions>false</trackRevisions>
    </reviewItem>
    <reviewItem>
      <errorID>b0a3caf8-a56e-4c69-bd36-0377b99ae6d7</errorID>
      <errorWord>不</errorWord>
      <group>L1_Word</group>
      <groupName>字词问题</groupName>
      <ability>L2_Typo</ability>
      <abilityName>字词错误</abilityName>
      <candidateList>
        <item>不符</item>
      </candidateList>
      <explain/>
      <paraID>7422CA65</paraID>
      <start>15</start>
      <end>16</end>
      <status>unmodified</status>
      <modifiedWord/>
      <trackRevisions>false</trackRevisions>
    </reviewItem>
    <reviewItem>
      <errorID>8c222738-170c-4629-b437-cc9881480eb6</errorID>
      <errorWord>投标人</errorWord>
      <group>L1_Word</group>
      <groupName>字词问题</groupName>
      <ability>L2_Typo</ability>
      <abilityName>字词错误</abilityName>
      <candidateList>
        <item> 投标人</item>
      </candidateList>
      <explain/>
      <paraID>55AC2F93</paraID>
      <start>3</start>
      <end>6</end>
      <status>unmodified</status>
      <modifiedWord/>
      <trackRevisions>false</trackRevisions>
    </reviewItem>
    <reviewItem>
      <errorID>8625f818-7bc8-497f-b62c-b65bc32d9e18</errorID>
      <errorWord>法律、法规</errorWord>
      <group>L1_Word</group>
      <groupName>字词问题</groupName>
      <ability>L2_Typo</ability>
      <abilityName>字词错误</abilityName>
      <candidateList>
        <item>法律法规</item>
      </candidateList>
      <explain/>
      <paraID>6A63361B</paraID>
      <start>3</start>
      <end>8</end>
      <status>unmodified</status>
      <modifiedWord/>
      <trackRevisions>false</trackRevisions>
    </reviewItem>
    <reviewItem>
      <errorID>318e2ca9-8725-4e2d-bc7e-21d85971dd42</errorID>
      <errorWord>在</errorWord>
      <group>L1_Word</group>
      <groupName>字词问题</groupName>
      <ability>L2_Typo</ability>
      <abilityName>字词错误</abilityName>
      <candidateList>
        <item> 在</item>
      </candidateList>
      <explain/>
      <paraID>68E21DD4</paraID>
      <start>3</start>
      <end>4</end>
      <status>unmodified</status>
      <modifiedWord/>
      <trackRevisions>false</trackRevisions>
    </reviewItem>
    <reviewItem>
      <errorID>521134ba-81c5-462a-ba4a-b993b335e7b3</errorID>
      <errorWord>对于</errorWord>
      <group>L1_Word</group>
      <groupName>字词问题</groupName>
      <ability>L2_Typo</ability>
      <abilityName>字词错误</abilityName>
      <candidateList>
        <item> 对于</item>
      </candidateList>
      <explain/>
      <paraID> B7E85FF</paraID>
      <start>3</start>
      <end>5</end>
      <status>unmodified</status>
      <modifiedWord/>
      <trackRevisions>false</trackRevisions>
    </reviewItem>
    <reviewItem>
      <errorID>5ad7100d-5d1a-4979-8efa-9f8857fc3ca6</errorID>
      <errorWord>投标</errorWord>
      <group>L1_Word</group>
      <groupName>字词问题</groupName>
      <ability>L2_Typo</ability>
      <abilityName>字词错误</abilityName>
      <candidateList>
        <item> 投标</item>
      </candidateList>
      <explain/>
      <paraID>702EC4C6</paraID>
      <start>3</start>
      <end>5</end>
      <status>unmodified</status>
      <modifiedWord/>
      <trackRevisions>false</trackRevisions>
    </reviewItem>
    <reviewItem>
      <errorID>a39e5954-108a-46a2-8b6b-6e019e4d6022</errorID>
      <errorWord>投标</errorWord>
      <group>L1_Word</group>
      <groupName>字词问题</groupName>
      <ability>L2_Typo</ability>
      <abilityName>字词错误</abilityName>
      <candidateList>
        <item> 投标</item>
      </candidateList>
      <explain/>
      <paraID>724A594B</paraID>
      <start>3</start>
      <end>5</end>
      <status>unmodified</status>
      <modifiedWord/>
      <trackRevisions>false</trackRevisions>
    </reviewItem>
    <reviewItem>
      <errorID>e4585bce-bb09-413c-a099-73f8873f06ae</errorID>
      <errorWord>位</errorWord>
      <group>L1_Word</group>
      <groupName>字词问题</groupName>
      <ability>L2_Typo</ability>
      <abilityName>字词错误</abilityName>
      <candidateList>
        <item>位公</item>
      </candidateList>
      <explain/>
      <paraID>724A594B</paraID>
      <start>53</start>
      <end>54</end>
      <status>unmodified</status>
      <modifiedWord/>
      <trackRevisions>false</trackRevisions>
    </reviewItem>
    <reviewItem>
      <errorID>e8708600-887d-4eca-97cf-f8f401a84a0a</errorID>
      <errorWord>投标人</errorWord>
      <group>L1_Word</group>
      <groupName>字词问题</groupName>
      <ability>L2_Typo</ability>
      <abilityName>字词错误</abilityName>
      <candidateList>
        <item> 投标人</item>
      </candidateList>
      <explain/>
      <paraID>2CC1D243</paraID>
      <start>3</start>
      <end>6</end>
      <status>unmodified</status>
      <modifiedWord/>
      <trackRevisions>false</trackRevisions>
    </reviewItem>
    <reviewItem>
      <errorID>3498b048-ce70-43a9-970b-b458ee73f74b</errorID>
      <errorWord>有效</errorWord>
      <group>L1_Word</group>
      <groupName>字词问题</groupName>
      <ability>L2_Typo</ability>
      <abilityName>字词错误</abilityName>
      <candidateList>
        <item> 有效</item>
      </candidateList>
      <explain/>
      <paraID>6A72480C</paraID>
      <start>3</start>
      <end>5</end>
      <status>unmodified</status>
      <modifiedWord/>
      <trackRevisions>false</trackRevisions>
    </reviewItem>
    <reviewItem>
      <errorID>6a1689a5-dada-4c6d-81e3-40f2488194fa</errorID>
      <errorWord>评</errorWord>
      <group>L1_Word</group>
      <groupName>字词问题</groupName>
      <ability>L2_Typo</ability>
      <abilityName>字词错误</abilityName>
      <candidateList>
        <item> 评</item>
      </candidateList>
      <explain/>
      <paraID>59521E96</paraID>
      <start>3</start>
      <end>4</end>
      <status>unmodified</status>
      <modifiedWord/>
      <trackRevisions>false</trackRevisions>
    </reviewItem>
    <reviewItem>
      <errorID>e4e4023d-4c31-4a69-b7f7-d73de6f01df5</errorID>
      <errorWord>评</errorWord>
      <group>L1_Word</group>
      <groupName>字词问题</groupName>
      <ability>L2_Typo</ability>
      <abilityName>字词错误</abilityName>
      <candidateList>
        <item> 评</item>
      </candidateList>
      <explain/>
      <paraID>48BFAF13</paraID>
      <start>3</start>
      <end>4</end>
      <status>unmodified</status>
      <modifiedWord/>
      <trackRevisions>false</trackRevisions>
    </reviewItem>
    <reviewItem>
      <errorID>363b015f-18cf-4d7e-8bf3-954afff680a0</errorID>
      <errorWord>投标</errorWord>
      <group>L1_Word</group>
      <groupName>字词问题</groupName>
      <ability>L2_Typo</ability>
      <abilityName>字词错误</abilityName>
      <candidateList>
        <item> 投标</item>
      </candidateList>
      <explain/>
      <paraID>66CEDAC2</paraID>
      <start>3</start>
      <end>5</end>
      <status>unmodified</status>
      <modifiedWord/>
      <trackRevisions>false</trackRevisions>
    </reviewItem>
    <reviewItem>
      <errorID>e5683d7c-cd82-4d7a-9afa-61be7da458e8</errorID>
      <errorWord>投标</errorWord>
      <group>L1_Word</group>
      <groupName>字词问题</groupName>
      <ability>L2_Typo</ability>
      <abilityName>字词错误</abilityName>
      <candidateList>
        <item> 投标</item>
      </candidateList>
      <explain/>
      <paraID>3C7345E0</paraID>
      <start>3</start>
      <end>5</end>
      <status>unmodified</status>
      <modifiedWord/>
      <trackRevisions>false</trackRevisions>
    </reviewItem>
    <reviewItem>
      <errorID>5aedc57c-209a-4d6c-bf43-574aa874b23e</errorID>
      <errorWord>技术</errorWord>
      <group>L1_Word</group>
      <groupName>字词问题</groupName>
      <ability>L2_Typo</ability>
      <abilityName>字词错误</abilityName>
      <candidateList>
        <item> 技术</item>
      </candidateList>
      <explain/>
      <paraID>60003B47</paraID>
      <start>3</start>
      <end>5</end>
      <status>unmodified</status>
      <modifiedWord/>
      <trackRevisions>false</trackRevisions>
    </reviewItem>
    <reviewItem>
      <errorID>13d23445-4afc-49a9-a3ad-86fe0707c29b</errorID>
      <errorWord>评</errorWord>
      <group>L1_Word</group>
      <groupName>字词问题</groupName>
      <ability>L2_Typo</ability>
      <abilityName>字词错误</abilityName>
      <candidateList>
        <item> 评</item>
      </candidateList>
      <explain/>
      <paraID>19F622CB</paraID>
      <start>3</start>
      <end>4</end>
      <status>unmodified</status>
      <modifiedWord/>
      <trackRevisions>false</trackRevisions>
    </reviewItem>
    <reviewItem>
      <errorID>bd8e951a-5e2e-4628-9553-19833a92e535</errorID>
      <errorWord>中文翻释</errorWord>
      <group>L1_Word</group>
      <groupName>字词问题</groupName>
      <ability>L2_Typo</ability>
      <abilityName>字词错误</abilityName>
      <candidateList>
        <item>中文翻译</item>
      </candidateList>
      <explain/>
      <paraID>69165884</paraID>
      <start>28</start>
      <end>32</end>
      <status>unmodified</status>
      <modifiedWord/>
      <trackRevisions>false</trackRevisions>
    </reviewItem>
    <reviewItem>
      <errorID>4ac8f707-df27-482b-acb3-82e3ab071d39</errorID>
      <errorWord>一但</errorWord>
      <group>L1_Word</group>
      <groupName>字词问题</groupName>
      <ability>L2_Typo</ability>
      <abilityName>字词错误</abilityName>
      <candidateList>
        <item>一旦</item>
      </candidateList>
      <explain>❶〈名〉一天之间（形容时间短）：毁于～。❷〈副〉指不确定的时间，表示有一天。a）用于已然，表示“忽然有一天”：相处三年，～离别，怎么能不想念呢？b）用于未然，表示“要是有一天”：理论～为群众所掌握，就会产生巨大的物质力量。</explain>
      <paraID>7BA90A44</paraID>
      <start>45</start>
      <end>47</end>
      <status>unmodified</status>
      <modifiedWord/>
      <trackRevisions>false</trackRevisions>
    </reviewItem>
    <reviewItem>
      <errorID>1dd0de9a-52dd-40f0-a313-0712d7877e1d</errorID>
      <errorWord>谋取</errorWord>
      <group>L1_Word</group>
      <groupName>字词问题</groupName>
      <ability>L2_Typo</ability>
      <abilityName>字词错误</abilityName>
      <candidateList>
        <item>牟取</item>
      </candidateList>
      <explain/>
      <paraID>7BA90A44</paraID>
      <start>55</start>
      <end>57</end>
      <status>unmodified</status>
      <modifiedWord/>
      <trackRevisions>false</trackRevisions>
    </reviewItem>
    <reviewItem>
      <errorID>bb94dd25-6ceb-415e-9ed2-80adb51d2ba2</errorID>
      <errorWord>英寸</errorWord>
      <group>L1_Knowledge</group>
      <groupName>知识性问题</groupName>
      <ability>L2_Unit</ability>
      <abilityName>计量单位</abilityName>
      <candidateList/>
      <explain>英制单位属非法定计量单位。</explain>
      <paraID>425CC40D</paraID>
      <start>9</start>
      <end>11</end>
      <status>unmodified</status>
      <modifiedWord/>
      <trackRevisions>false</trackRevisions>
    </reviewItem>
    <reviewItem>
      <errorID>5112e7fa-0260-4cee-bec9-62da8f264f08</errorID>
      <errorWord>英寸</errorWord>
      <group>L1_Knowledge</group>
      <groupName>知识性问题</groupName>
      <ability>L2_Unit</ability>
      <abilityName>计量单位</abilityName>
      <candidateList/>
      <explain>英制单位属非法定计量单位。</explain>
      <paraID>4109DDAF</paraID>
      <start>11</start>
      <end>13</end>
      <status>unmodified</status>
      <modifiedWord/>
      <trackRevisions>false</trackRevisions>
    </reviewItem>
    <reviewItem>
      <errorID>b7586ef5-cf58-479a-b65e-72a8140975e5</errorID>
      <errorWord>具有有</errorWord>
      <group>L1_Word</group>
      <groupName>字词问题</groupName>
      <ability>L2_Typo</ability>
      <abilityName>字词错误</abilityName>
      <candidateList>
        <item>具有</item>
      </candidateList>
      <explain>〈动〉有（多用于抽象事物）：～信心｜～伟大的意义。</explain>
      <paraID>7337F6E4</paraID>
      <start>2</start>
      <end>5</end>
      <status>unmodified</status>
      <modifiedWord/>
      <trackRevisions>false</trackRevisions>
    </reviewItem>
    <reviewItem>
      <errorID>ae1ac6cd-bc3e-4c52-86ca-61287a410fc2</errorID>
      <errorWord>1-85%</errorWord>
      <group>L1_Knowledge</group>
      <groupName>知识性问题</groupName>
      <ability>L2_Knowledge</ability>
      <abilityName>其他知识</abilityName>
      <candidateList>
        <item>1%—85%</item>
      </candidateList>
      <explain>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23DDF113</paraID>
      <start>16</start>
      <end>21</end>
      <status>unmodified</status>
      <modifiedWord/>
      <trackRevisions>false</trackRevisions>
    </reviewItem>
    <reviewItem>
      <errorID>284e4b6d-9d1d-48e9-bfa3-aa0359118101</errorID>
      <errorWord>成入</errorWord>
      <group>L1_Word</group>
      <groupName>字词问题</groupName>
      <ability>L2_Typo</ability>
      <abilityName>字词错误</abilityName>
      <candidateList>
        <item>成人</item>
      </candidateList>
      <explain/>
      <paraID>401D34A4</paraID>
      <start>7</start>
      <end>9</end>
      <status>unmodified</status>
      <modifiedWord/>
      <trackRevisions>false</trackRevisions>
    </reviewItem>
    <reviewItem>
      <errorID>b6ace60b-aafb-4e81-ba74-dbfb9fd050ad</errorID>
      <errorWord>英寸</errorWord>
      <group>L1_Knowledge</group>
      <groupName>知识性问题</groupName>
      <ability>L2_Unit</ability>
      <abilityName>计量单位</abilityName>
      <candidateList/>
      <explain>英制单位属非法定计量单位。</explain>
      <paraID>24C48DD5</paraID>
      <start>12</start>
      <end>14</end>
      <status>unmodified</status>
      <modifiedWord/>
      <trackRevisions>false</trackRevisions>
    </reviewItem>
    <reviewItem>
      <errorID>666ef212-d03b-4ca2-b953-d9a14ac49c3e</errorID>
      <errorWord>具有有</errorWord>
      <group>L1_Word</group>
      <groupName>字词问题</groupName>
      <ability>L2_Typo</ability>
      <abilityName>字词错误</abilityName>
      <candidateList>
        <item>具有</item>
      </candidateList>
      <explain>〈动〉有（多用于抽象事物）：～信心｜～伟大的意义。</explain>
      <paraID>66DE9287</paraID>
      <start>3</start>
      <end>6</end>
      <status>unmodified</status>
      <modifiedWord/>
      <trackRevisions>false</trackRevisions>
    </reviewItem>
    <reviewItem>
      <errorID>4da0911f-cbf5-4575-b029-36d25a703209</errorID>
      <errorWord>1-85%</errorWord>
      <group>L1_Knowledge</group>
      <groupName>知识性问题</groupName>
      <ability>L2_Knowledge</ability>
      <abilityName>其他知识</abilityName>
      <candidateList>
        <item>1%—85%</item>
      </candidateList>
      <explain>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438DF229</paraID>
      <start>29</start>
      <end>34</end>
      <status>unmodified</status>
      <modifiedWord/>
      <trackRevisions>false</trackRevisions>
    </reviewItem>
    <reviewItem>
      <errorID>2d61e1b7-1848-43ed-a7d5-821b585e8f98</errorID>
      <errorWord>25-350%</errorWord>
      <group>L1_Knowledge</group>
      <groupName>知识性问题</groupName>
      <ability>L2_Knowledge</ability>
      <abilityName>其他知识</abilityName>
      <candidateList>
        <item>25%—350%</item>
      </candidateList>
      <explain>1. “25-350%”中的单位“%”仅出现在后一个数字上，容易引起歧义；根据《现代汉语标点符号数字用法规范手册》，数字表示范围两边需要使用统一的格式。2. 根据标点国标 4.13 中的规则，数字、时间或地域连接符应使用（视觉上更长的）“—”或“～”。</explain>
      <paraID> 204A01C</paraID>
      <start>27</start>
      <end>34</end>
      <status>unmodified</status>
      <modifiedWord/>
      <trackRevisions>false</trackRevisions>
    </reviewItem>
    <reviewItem>
      <errorID>a334464d-3bc9-4c8f-ac31-866ed7eacb9b</errorID>
      <errorWord>选</errorWord>
      <group>L1_Word</group>
      <groupName>字词问题</groupName>
      <ability>L2_Typo</ability>
      <abilityName>字词错误</abilityName>
      <candidateList>
        <item>选择</item>
      </candidateList>
      <explain>〈动〉挑选：～对象｜～地点。</explain>
      <paraID>703DB754</paraID>
      <start>50</start>
      <end>51</end>
      <status>unmodified</status>
      <modifiedWord/>
      <trackRevisions>false</trackRevisions>
    </reviewItem>
    <reviewItem>
      <errorID>1c639df9-01f0-438b-88f8-a3d9e59bc808</errorID>
      <errorWord>WIFI</errorWord>
      <group>L1_Word</group>
      <groupName>字词问题</groupName>
      <ability>L2_Typo</ability>
      <abilityName>字词错误</abilityName>
      <candidateList>
        <item>Wi-Fi</item>
      </candidateList>
      <explain/>
      <paraID>77F0447C</paraID>
      <start>40</start>
      <end>44</end>
      <status>unmodified</status>
      <modifiedWord/>
      <trackRevisions>false</trackRevisions>
    </reviewItem>
    <reviewItem>
      <errorID>f7f15238-7051-4b9f-a833-970b70998e74</errorID>
      <errorWord>英寸</errorWord>
      <group>L1_Knowledge</group>
      <groupName>知识性问题</groupName>
      <ability>L2_Unit</ability>
      <abilityName>计量单位</abilityName>
      <candidateList/>
      <explain>英制单位属非法定计量单位。</explain>
      <paraID>206BD69D</paraID>
      <start>15</start>
      <end>17</end>
      <status>unmodified</status>
      <modifiedWord/>
      <trackRevisions>false</trackRevisions>
    </reviewItem>
    <reviewItem>
      <errorID>dc772184-5186-425a-90e9-5e0d8262e0cf</errorID>
      <errorWord>，</errorWord>
      <group>L1_Word</group>
      <groupName>字词问题</groupName>
      <ability>L2_Typo</ability>
      <abilityName>字词错误</abilityName>
      <candidateList>
        <item>，具</item>
      </candidateList>
      <explain/>
      <paraID>206BD69D</paraID>
      <start>42</start>
      <end>43</end>
      <status>unmodified</status>
      <modifiedWord/>
      <trackRevisions>false</trackRevisions>
    </reviewItem>
    <reviewItem>
      <errorID>e7761526-56b5-4118-afe0-71df936a071f</errorID>
      <errorWord>心脏骤停</errorWord>
      <group>L1_Knowledge</group>
      <groupName>知识性问题</groupName>
      <ability>L2_Term</ability>
      <abilityName>专业术语</abilityName>
      <candidateList>
        <item>心搏骤停</item>
      </candidateList>
      <explain>医学名词[心脏骤停]为不规范表述或旧称，其规范书面表述为[心搏骤停]。</explain>
      <paraID> 1AC0BA5</paraID>
      <start>8</start>
      <end>12</end>
      <status>unmodified</status>
      <modifiedWord/>
      <trackRevisions>false</trackRevisions>
    </reviewItem>
    <reviewItem>
      <errorID>af949faf-6d31-41a9-87b3-918f859ff3fe</errorID>
      <errorWord>英寸</errorWord>
      <group>L1_Knowledge</group>
      <groupName>知识性问题</groupName>
      <ability>L2_Unit</ability>
      <abilityName>计量单位</abilityName>
      <candidateList/>
      <explain>英制单位属非法定计量单位。</explain>
      <paraID>102F770B</paraID>
      <start>18</start>
      <end>20</end>
      <status>unmodified</status>
      <modifiedWord/>
      <trackRevisions>false</trackRevisions>
    </reviewItem>
    <reviewItem>
      <errorID>9adcf30c-3b4a-4ca9-9e9c-2fe9659161e9</errorID>
      <errorWord>英寸</errorWord>
      <group>L1_Knowledge</group>
      <groupName>知识性问题</groupName>
      <ability>L2_Unit</ability>
      <abilityName>计量单位</abilityName>
      <candidateList/>
      <explain>英制单位属非法定计量单位。</explain>
      <paraID>3051D15D</paraID>
      <start>12</start>
      <end>14</end>
      <status>unmodified</status>
      <modifiedWord/>
      <trackRevisions>false</trackRevisions>
    </reviewItem>
    <reviewItem>
      <errorID>8c44a028-b33c-4775-ae0d-4c463427fa22</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33DA5DE6</paraID>
      <start>3</start>
      <end>4</end>
      <status>unmodified</status>
      <modifiedWord/>
      <trackRevisions>false</trackRevisions>
    </reviewItem>
    <reviewItem>
      <errorID>d6680fc5-20f4-42e9-8ebb-1c21cbc722e2</errorID>
      <errorWord>噪音</errorWord>
      <group>L1_Word</group>
      <groupName>字词问题</groupName>
      <ability>L2_Alias</ability>
      <abilityName>也作/曾用词</abilityName>
      <candidateList>
        <item>噪声</item>
      </candidateList>
      <explain>词汇[噪音]为不规范表述或旧称，其规范书面表述为[噪声]。</explain>
      <paraID>2D7E2AB0</paraID>
      <start>23</start>
      <end>25</end>
      <status>unmodified</status>
      <modifiedWord/>
      <trackRevisions>false</trackRevisions>
    </reviewItem>
    <reviewItem>
      <errorID>f7e9bdef-89e1-465b-b65d-99c3ebf6261c</errorID>
      <errorWord>英寸</errorWord>
      <group>L1_Knowledge</group>
      <groupName>知识性问题</groupName>
      <ability>L2_Unit</ability>
      <abilityName>计量单位</abilityName>
      <candidateList/>
      <explain>英制单位属非法定计量单位。</explain>
      <paraID>493E659C</paraID>
      <start>8</start>
      <end>10</end>
      <status>unmodified</status>
      <modifiedWord/>
      <trackRevisions>false</trackRevisions>
    </reviewItem>
    <reviewItem>
      <errorID>95a30734-5638-4444-a430-551de768e310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7B46B5C9</paraID>
      <start>10</start>
      <end>17</end>
      <status>unmodified</status>
      <modifiedWord/>
      <trackRevisions>false</trackRevisions>
    </reviewItem>
    <reviewItem>
      <errorID>0df5596e-1f3c-43d0-99c6-a63e38ce4527</errorID>
      <errorWord>0.05-20%</errorWord>
      <group>L1_Knowledge</group>
      <groupName>知识性问题</groupName>
      <ability>L2_Knowledge</ability>
      <abilityName>其他知识</abilityName>
      <candidateList>
        <item>0.05%—20%</item>
      </candidateList>
      <explain>1. “0.05-20%”中的单位“%”仅出现在后一个数字上，容易引起歧义；根据《现代汉语标点符号数字用法规范手册》，数字表示范围两边需要使用统一的格式。2. 根据标点国标 4.13 中的规则，数字、时间或地域连接符应使用（视觉上更长的）“—”或“～”。</explain>
      <paraID>7AF353C1</paraID>
      <start>40</start>
      <end>48</end>
      <status>unmodified</status>
      <modifiedWord/>
      <trackRevisions>false</trackRevisions>
    </reviewItem>
    <reviewItem>
      <errorID>d1c4e4e9-b82d-4e9d-a0b6-036a94b93376</errorID>
      <errorWord>噪音</errorWord>
      <group>L1_Word</group>
      <groupName>字词问题</groupName>
      <ability>L2_Alias</ability>
      <abilityName>也作/曾用词</abilityName>
      <candidateList>
        <item>噪声</item>
      </candidateList>
      <explain>词汇[噪音]为不规范表述或旧称，其规范书面表述为[噪声]。</explain>
      <paraID>161D1A30</paraID>
      <start>23</start>
      <end>25</end>
      <status>unmodified</status>
      <modifiedWord/>
      <trackRevisions>false</trackRevisions>
    </reviewItem>
    <reviewItem>
      <errorID>6ad8e5a9-e7a9-437a-9677-aa7fcd0c4e79</errorID>
      <errorWord>英寸</errorWord>
      <group>L1_Knowledge</group>
      <groupName>知识性问题</groupName>
      <ability>L2_Unit</ability>
      <abilityName>计量单位</abilityName>
      <candidateList/>
      <explain>英制单位属非法定计量单位。</explain>
      <paraID>25F2DDD9</paraID>
      <start>7</start>
      <end>9</end>
      <status>unmodified</status>
      <modifiedWord/>
      <trackRevisions>false</trackRevisions>
    </reviewItem>
    <reviewItem>
      <errorID>fbe2a38f-a162-4ba2-b114-66eaa2244693</errorID>
      <errorWord>脉博</errorWord>
      <group>L1_Word</group>
      <groupName>字词问题</groupName>
      <ability>L2_Typo</ability>
      <abilityName>字词错误</abilityName>
      <candidateList>
        <item>脉搏</item>
      </candidateList>
      <explain>〈名〉❶心脏收缩时，由于输出血液的冲击引起的动脉的跳动。医生可根据脉搏来诊断疾病。❷比喻社会、生活等发展、变化的情况或趋势：时代的～｜把握生活的～。</explain>
      <paraID>624FE288</paraID>
      <start>10</start>
      <end>12</end>
      <status>unmodified</status>
      <modifiedWord/>
      <trackRevisions>false</trackRevisions>
    </reviewItem>
    <reviewItem>
      <errorID>28f7a67e-cc28-452f-b28a-5d8deb7e162c</errorID>
      <errorWord>db</errorWord>
      <group>L1_Knowledge</group>
      <groupName>知识性问题</groupName>
      <ability>L2_Unit</ability>
      <abilityName>计量单位</abilityName>
      <candidateList>
        <item>dB</item>
      </candidateList>
      <explain>不规范的计量单位表示符号书写方式。</explain>
      <paraID>5324D81D</paraID>
      <start>13</start>
      <end>15</end>
      <status>unmodified</status>
      <modifiedWord/>
      <trackRevisions>false</trackRevisions>
    </reviewItem>
    <reviewItem>
      <errorID>0432937e-3c6c-4806-a7a9-84dfdbf2a308</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2813AFAD</paraID>
      <start>10</start>
      <end>17</end>
      <status>unmodified</status>
      <modifiedWord/>
      <trackRevisions>false</trackRevisions>
    </reviewItem>
    <reviewItem>
      <errorID>12530d43-9876-483f-88ce-6a1235c6ab67</errorID>
      <errorWord>0.05%-20%</errorWord>
      <group>L1_Knowledge</group>
      <groupName>知识性问题</groupName>
      <ability>L2_Knowledge</ability>
      <abilityName>其他知识</abilityName>
      <candidateList>
        <item>0.05%—20%</item>
      </candidateList>
      <explain>1. “0.05%-20%”中的单位“%”仅出现在后一个数字上，容易引起歧义；根据《现代汉语标点符号数字用法规范手册》，数字表示范围两边需要使用统一的格式。2. 根据标点国标 4.13 中的规则，数字、时间或地域连接符应使用（视觉上更长的）“—”或“～”。</explain>
      <paraID> F0E21A2</paraID>
      <start>19</start>
      <end>28</end>
      <status>unmodified</status>
      <modifiedWord/>
      <trackRevisions>false</trackRevisions>
    </reviewItem>
    <reviewItem>
      <errorID>70fd1b8e-441d-4a4a-9075-5ad0c72f9858</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1349E99F</paraID>
      <start>4</start>
      <end>5</end>
      <status>unmodified</status>
      <modifiedWord/>
      <trackRevisions>false</trackRevisions>
    </reviewItem>
    <reviewItem>
      <errorID>d3477eb4-2af0-47fa-a044-90621d9800fa</errorID>
      <errorWord>III类</errorWord>
      <group>L1_Knowledge</group>
      <groupName>知识性问题</groupName>
      <ability>L2_Knowledge</ability>
      <abilityName>其他知识</abilityName>
      <candidateList>
        <item>Ⅲ类</item>
      </candidateList>
      <explain/>
      <paraID>35CDA4EE</paraID>
      <start>16</start>
      <end>20</end>
      <status>unmodified</status>
      <modifiedWord/>
      <trackRevisions>false</trackRevisions>
    </reviewItem>
    <reviewItem>
      <errorID>189a8240-b781-45cb-a8e8-c08a5ed822b7</errorID>
      <errorWord>英寸</errorWord>
      <group>L1_Knowledge</group>
      <groupName>知识性问题</groupName>
      <ability>L2_Unit</ability>
      <abilityName>计量单位</abilityName>
      <candidateList/>
      <explain>英制单位属非法定计量单位。</explain>
      <paraID> 4139CEB</paraID>
      <start>7</start>
      <end>9</end>
      <status>unmodified</status>
      <modifiedWord/>
      <trackRevisions>false</trackRevisions>
    </reviewItem>
    <reviewItem>
      <errorID>fd473f28-b8a5-457f-a92a-d0ecfb90d5c0</errorID>
      <errorWord>脉博</errorWord>
      <group>L1_Word</group>
      <groupName>字词问题</groupName>
      <ability>L2_Typo</ability>
      <abilityName>字词错误</abilityName>
      <candidateList>
        <item>脉搏</item>
      </candidateList>
      <explain>〈名〉❶心脏收缩时，由于输出血液的冲击引起的动脉的跳动。医生可根据脉搏来诊断疾病。❷比喻社会、生活等发展、变化的情况或趋势：时代的～｜把握生活的～。</explain>
      <paraID>72F12265</paraID>
      <start>12</start>
      <end>14</end>
      <status>unmodified</status>
      <modifiedWord/>
      <trackRevisions>false</trackRevisions>
    </reviewItem>
    <reviewItem>
      <errorID>795ad048-7174-4a6b-9803-72cd0ce1040e</errorID>
      <errorWord>db</errorWord>
      <group>L1_Knowledge</group>
      <groupName>知识性问题</groupName>
      <ability>L2_Unit</ability>
      <abilityName>计量单位</abilityName>
      <candidateList>
        <item>dB</item>
      </candidateList>
      <explain>不规范的计量单位表示符号书写方式。</explain>
      <paraID>496BF49B</paraID>
      <start>44</start>
      <end>46</end>
      <status>unmodified</status>
      <modifiedWord/>
      <trackRevisions>false</trackRevisions>
    </reviewItem>
    <reviewItem>
      <errorID>8b8c88d7-dc20-4077-83a8-aaff4a32c5bd</errorID>
      <errorWord>它床</errorWord>
      <group>L1_Word</group>
      <groupName>字词问题</groupName>
      <ability>L2_Typo</ability>
      <abilityName>字词错误</abilityName>
      <candidateList>
        <item>卧床</item>
      </candidateList>
      <explain/>
      <paraID>61F5F994</paraID>
      <start>29</start>
      <end>31</end>
      <status>unmodified</status>
      <modifiedWord/>
      <trackRevisions>false</trackRevisions>
    </reviewItem>
    <reviewItem>
      <errorID>6ffea0f2-d8f3-4692-a88f-b199faad55a1</errorID>
      <errorWord>具备有</errorWord>
      <group>L1_Word</group>
      <groupName>字词问题</groupName>
      <ability>L2_Typo</ability>
      <abilityName>字词错误</abilityName>
      <candidateList>
        <item>具备</item>
      </candidateList>
      <explain/>
      <paraID>12A524B9</paraID>
      <start>4</start>
      <end>7</end>
      <status>unmodified</status>
      <modifiedWord/>
      <trackRevisions>false</trackRevisions>
    </reviewItem>
    <reviewItem>
      <errorID>98d78e41-e419-4115-bd51-46a2e95fb123</errorID>
      <errorWord>来自于</errorWord>
      <group>L1_Word</group>
      <groupName>字词问题</groupName>
      <ability>L2_Typo</ability>
      <abilityName>字词错误</abilityName>
      <candidateList>
        <item>来自</item>
      </candidateList>
      <explain/>
      <paraID>12A790A4</paraID>
      <start>23</start>
      <end>26</end>
      <status>unmodified</status>
      <modifiedWord/>
      <trackRevisions>false</trackRevisions>
    </reviewItem>
    <reviewItem>
      <errorID>dec3a71a-61cb-4d43-a0cc-64c96575c700</errorID>
      <errorWord>来自于</errorWord>
      <group>L1_Word</group>
      <groupName>字词问题</groupName>
      <ability>L2_Typo</ability>
      <abilityName>字词错误</abilityName>
      <candidateList>
        <item>来自</item>
      </candidateList>
      <explain/>
      <paraID> DACAEEA</paraID>
      <start>4</start>
      <end>7</end>
      <status>unmodified</status>
      <modifiedWord/>
      <trackRevisions>false</trackRevisions>
    </reviewItem>
    <reviewItem>
      <errorID>b5949586-d168-4baa-b42c-a622e6146353</errorID>
      <errorWord>英寸</errorWord>
      <group>L1_Knowledge</group>
      <groupName>知识性问题</groupName>
      <ability>L2_Unit</ability>
      <abilityName>计量单位</abilityName>
      <candidateList/>
      <explain>英制单位属非法定计量单位。</explain>
      <paraID>2923DCFB</paraID>
      <start>8</start>
      <end>10</end>
      <status>unmodified</status>
      <modifiedWord/>
      <trackRevisions>false</trackRevisions>
    </reviewItem>
    <reviewItem>
      <errorID>b624cc3b-4403-43ed-9ca2-9fc2384342d1</errorID>
      <errorWord>英寸</errorWord>
      <group>L1_Knowledge</group>
      <groupName>知识性问题</groupName>
      <ability>L2_Unit</ability>
      <abilityName>计量单位</abilityName>
      <candidateList/>
      <explain>英制单位属非法定计量单位。</explain>
      <paraID>5B11C9A5</paraID>
      <start>8</start>
      <end>10</end>
      <status>unmodified</status>
      <modifiedWord/>
      <trackRevisions>false</trackRevisions>
    </reviewItem>
    <reviewItem>
      <errorID>df985ab1-4ada-439a-a00d-5292200cc259</errorID>
      <errorWord>英寸</errorWord>
      <group>L1_Knowledge</group>
      <groupName>知识性问题</groupName>
      <ability>L2_Unit</ability>
      <abilityName>计量单位</abilityName>
      <candidateList/>
      <explain>英制单位属非法定计量单位。</explain>
      <paraID>40891C36</paraID>
      <start>10</start>
      <end>12</end>
      <status>unmodified</status>
      <modifiedWord/>
      <trackRevisions>false</trackRevisions>
    </reviewItem>
    <reviewItem>
      <errorID>75202dd6-35e4-4d44-a893-7e9750920617</errorID>
      <errorWord>英寸</errorWord>
      <group>L1_Knowledge</group>
      <groupName>知识性问题</groupName>
      <ability>L2_Unit</ability>
      <abilityName>计量单位</abilityName>
      <candidateList/>
      <explain>英制单位属非法定计量单位。</explain>
      <paraID>3F7D2695</paraID>
      <start>8</start>
      <end>10</end>
      <status>unmodified</status>
      <modifiedWord/>
      <trackRevisions>false</trackRevisions>
    </reviewItem>
    <reviewItem>
      <errorID>f10c41f6-eeda-45f0-b7c6-5a3081b28430</errorID>
      <errorWord>需具备</errorWord>
      <group>L1_Word</group>
      <groupName>字词问题</groupName>
      <ability>L2_Typo</ability>
      <abilityName>字词错误</abilityName>
      <candidateList>
        <item>须具备</item>
      </candidateList>
      <explain/>
      <paraID>73556BC6</paraID>
      <start>5</start>
      <end>8</end>
      <status>unmodified</status>
      <modifiedWord/>
      <trackRevisions>false</trackRevisions>
    </reviewItem>
    <reviewItem>
      <errorID>9dd1384e-1ade-4367-a9fa-3ccd8b2fcfae</errorID>
      <errorWord>0-200%</errorWord>
      <group>L1_Knowledge</group>
      <groupName>知识性问题</groupName>
      <ability>L2_Knowledge</ability>
      <abilityName>其他知识</abilityName>
      <candidateList>
        <item>0—200%</item>
      </candidateList>
      <explain>1. “0-200%”中的单位“%”仅出现在后一个数字上，容易引起歧义；根据《现代汉语标点符号数字用法规范手册》，数字表示范围两边需要使用统一的格式。2.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C926BAA</paraID>
      <start>18</start>
      <end>24</end>
      <status>unmodified</status>
      <modifiedWord/>
      <trackRevisions>false</trackRevisions>
    </reviewItem>
    <reviewItem>
      <errorID>33099e1f-4013-4383-929c-bab4ae1f8cbf</errorID>
      <errorWord>需具备</errorWord>
      <group>L1_Word</group>
      <groupName>字词问题</groupName>
      <ability>L2_Typo</ability>
      <abilityName>字词错误</abilityName>
      <candidateList>
        <item>须具备</item>
      </candidateList>
      <explain/>
      <paraID>367EB878</paraID>
      <start>3</start>
      <end>6</end>
      <status>unmodified</status>
      <modifiedWord/>
      <trackRevisions>false</trackRevisions>
    </reviewItem>
    <reviewItem>
      <errorID>a1d3b90a-e156-4b8e-b0da-4590d5c66ba8</errorID>
      <errorWord>需具备</errorWord>
      <group>L1_Word</group>
      <groupName>字词问题</groupName>
      <ability>L2_Typo</ability>
      <abilityName>字词错误</abilityName>
      <candidateList>
        <item>须具备</item>
      </candidateList>
      <explain/>
      <paraID>7FF51C50</paraID>
      <start>3</start>
      <end>6</end>
      <status>unmodified</status>
      <modifiedWord/>
      <trackRevisions>false</trackRevisions>
    </reviewItem>
    <reviewItem>
      <errorID>1f071c13-af7f-4f78-bb8d-6ae0c3811083</errorID>
      <errorWord>需具备</errorWord>
      <group>L1_Word</group>
      <groupName>字词问题</groupName>
      <ability>L2_Typo</ability>
      <abilityName>字词错误</abilityName>
      <candidateList>
        <item>须具备</item>
      </candidateList>
      <explain/>
      <paraID>34948A1E</paraID>
      <start>3</start>
      <end>6</end>
      <status>unmodified</status>
      <modifiedWord/>
      <trackRevisions>false</trackRevisions>
    </reviewItem>
    <reviewItem>
      <errorID>50275a6a-88ba-4560-baf5-0f5f832c504a</errorID>
      <errorWord>英寸</errorWord>
      <group>L1_Knowledge</group>
      <groupName>知识性问题</groupName>
      <ability>L2_Unit</ability>
      <abilityName>计量单位</abilityName>
      <candidateList/>
      <explain>英制单位属非法定计量单位。</explain>
      <paraID>53AC83CB</paraID>
      <start>10</start>
      <end>12</end>
      <status>unmodified</status>
      <modifiedWord/>
      <trackRevisions>false</trackRevisions>
    </reviewItem>
    <reviewItem>
      <errorID>b2393481-508d-46ee-9129-589ea6e6b221</errorID>
      <errorWord>0.02%-20%</errorWord>
      <group>L1_Knowledge</group>
      <groupName>知识性问题</groupName>
      <ability>L2_Knowledge</ability>
      <abilityName>其他知识</abilityName>
      <candidateList>
        <item>0.02%—20%</item>
      </candidateList>
      <explain>1. “0.02%-20%”中的单位“%”仅出现在后一个数字上，容易引起歧义；根据《现代汉语标点符号数字用法规范手册》，数字表示范围两边需要使用统一的格式。2. 根据标点国标 4.13 中的规则，数字、时间或地域连接符应使用（视觉上更长的）“—”或“～”。</explain>
      <paraID> FECA031</paraID>
      <start>15</start>
      <end>24</end>
      <status>unmodified</status>
      <modifiedWord/>
      <trackRevisions>false</trackRevisions>
    </reviewItem>
    <reviewItem>
      <errorID>b46b73a3-3569-404a-918d-4561dee0f967</errorID>
      <errorWord>报警限</errorWord>
      <group>L1_Word</group>
      <groupName>字词问题</groupName>
      <ability>L2_Typo</ability>
      <abilityName>字词错误</abilityName>
      <candidateList>
        <item>报警</item>
      </candidateList>
      <explain/>
      <paraID>  130911</paraID>
      <start>15</start>
      <end>18</end>
      <status>unmodified</status>
      <modifiedWord/>
      <trackRevisions>false</trackRevisions>
    </reviewItem>
    <reviewItem>
      <errorID>77a26f58-f21e-4dc4-9ec6-848c5567e3fa</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3950142F</paraID>
      <start>4</start>
      <end>5</end>
      <status>unmodified</status>
      <modifiedWord/>
      <trackRevisions>false</trackRevisions>
    </reviewItem>
    <reviewItem>
      <errorID>2c6e5951-11aa-4f1c-b330-0027b579d058</errorID>
      <errorWord>之日起至</errorWord>
      <group>L1_Word</group>
      <groupName>字词问题</groupName>
      <ability>L2_Typo</ability>
      <abilityName>字词错误</abilityName>
      <candidateList>
        <item>之日起</item>
      </candidateList>
      <explain/>
      <paraID>24FA20BA</paraID>
      <start>61</start>
      <end>65</end>
      <status>unmodified</status>
      <modifiedWord/>
      <trackRevisions>false</trackRevisions>
    </reviewItem>
    <reviewItem>
      <errorID>f8f452ef-4309-40a3-9933-10085fcc0e0c</errorID>
      <errorWord>六</errorWord>
      <group>L1_Word</group>
      <groupName>字词问题</groupName>
      <ability>L2_Typo</ability>
      <abilityName>字词错误</abilityName>
      <candidateList>
        <item>六个</item>
      </candidateList>
      <explain/>
      <paraID>7CB2B928</paraID>
      <start>67</start>
      <end>68</end>
      <status>unmodified</status>
      <modifiedWord/>
      <trackRevisions>false</trackRevisions>
    </reviewItem>
    <reviewItem>
      <errorID>729103d0-8fb0-4fdb-8efb-dc331d278ed0</errorID>
      <errorWord>其它设备</errorWord>
      <group>L1_Word</group>
      <groupName>字词问题</groupName>
      <ability>L2_Alias</ability>
      <abilityName>也作/曾用词</abilityName>
      <candidateList>
        <item>其他设备</item>
      </candidateList>
      <explain>词汇[其它设备]为不规范表述或旧称，其规范书面表述为[其他设备]。</explain>
      <paraID>20627AFF</paraID>
      <start>26</start>
      <end>30</end>
      <status>unmodified</status>
      <modifiedWord/>
      <trackRevisions>false</trackRevisions>
    </reviewItem>
    <reviewItem>
      <errorID>ce32bf44-bb8e-4e57-9ed0-78b534eb3b81</errorID>
      <errorWord>以外保险</errorWord>
      <group>L1_Word</group>
      <groupName>字词问题</groupName>
      <ability>L2_Typo</ability>
      <abilityName>字词错误</abilityName>
      <candidateList>
        <item>意外保险</item>
      </candidateList>
      <explain/>
      <paraID> D9C2EFC</paraID>
      <start>16</start>
      <end>20</end>
      <status>unmodified</status>
      <modifiedWord/>
      <trackRevisions>false</trackRevisions>
    </reviewItem>
    <reviewItem>
      <errorID>f4b39b73-7ace-4a59-811a-bdfe2c5bf1a8</errorID>
      <errorWord>权力</errorWord>
      <group>L1_Word</group>
      <groupName>字词问题</groupName>
      <ability>L2_Typo</ability>
      <abilityName>字词错误</abilityName>
      <candidateList>
        <item>权利</item>
      </candidateList>
      <explain/>
      <paraID>2E4283DD</paraID>
      <start>70</start>
      <end>72</end>
      <status>unmodified</status>
      <modifiedWord/>
      <trackRevisions>false</trackRevisions>
    </reviewItem>
    <reviewItem>
      <errorID>c15c2d54-aa87-4465-ad7c-6bdcb1b604c1</errorID>
      <errorWord>法律、法规</errorWord>
      <group>L1_Word</group>
      <groupName>字词问题</groupName>
      <ability>L2_Typo</ability>
      <abilityName>字词错误</abilityName>
      <candidateList>
        <item>法律法规</item>
      </candidateList>
      <explain/>
      <paraID>438E9833</paraID>
      <start>50</start>
      <end>55</end>
      <status>unmodified</status>
      <modifiedWord/>
      <trackRevisions>false</trackRevisions>
    </reviewItem>
    <reviewItem>
      <errorID>d72cd1ee-bf61-4ee8-ab0d-89008f430008</errorID>
      <errorWord>帐       号</errorWord>
      <group>L1_Word</group>
      <groupName>字词问题</groupName>
      <ability>L2_Typo</ability>
      <abilityName>字词错误</abilityName>
      <candidateList>
        <item>账       号</item>
      </candidateList>
      <explain/>
      <paraID>1A9683C8</paraID>
      <start>12</start>
      <end>21</end>
      <status>unmodified</status>
      <modifiedWord/>
      <trackRevisions>false</trackRevisions>
    </reviewItem>
    <reviewItem>
      <errorID>5750d87d-ec0d-4173-ab6c-56cf3af1d497</errorID>
      <errorWord>下</errorWord>
      <group>L1_Word</group>
      <groupName>字词问题</groupName>
      <ability>L2_Typo</ability>
      <abilityName>字词错误</abilityName>
      <candidateList>
        <item>下简</item>
      </candidateList>
      <explain/>
      <paraID>317FEC5B</paraID>
      <start>8</start>
      <end>9</end>
      <status>unmodified</status>
      <modifiedWord/>
      <trackRevisions>false</trackRevisions>
    </reviewItem>
    <reviewItem>
      <errorID>2a312f32-aa8a-4c72-94a3-0d3f66bc37fb</errorID>
      <errorWord>下</errorWord>
      <group>L1_Word</group>
      <groupName>字词问题</groupName>
      <ability>L2_Typo</ability>
      <abilityName>字词错误</abilityName>
      <candidateList>
        <item>下简</item>
      </candidateList>
      <explain/>
      <paraID>58F4E86A</paraID>
      <start>8</start>
      <end>9</end>
      <status>unmodified</status>
      <modifiedWord/>
      <trackRevisions>false</trackRevisions>
    </reviewItem>
    <reviewItem>
      <errorID>102a8a43-b7aa-4110-aa46-11b9ad6e5753</errorID>
      <errorWord>其</errorWord>
      <group>L1_Word</group>
      <groupName>字词问题</groupName>
      <ability>L2_Typo</ability>
      <abilityName>字词错误</abilityName>
      <candidateList>
        <item>其他</item>
      </candidateList>
      <explain>〈代〉指示代词。别的：今天的文娱晚会，除了京剧、曲艺以外，还有～精彩节目。</explain>
      <paraID>1058F47F</paraID>
      <start>57</start>
      <end>58</end>
      <status>unmodified</status>
      <modifiedWord/>
      <trackRevisions>false</trackRevisions>
    </reviewItem>
    <reviewItem>
      <errorID>f6c6a200-90ee-407f-ac1e-5659d37dee17</errorID>
      <errorWord>其它</errorWord>
      <group>L1_Word</group>
      <groupName>字词问题</groupName>
      <ability>L2_Alias</ability>
      <abilityName>也作/曾用词</abilityName>
      <candidateList>
        <item>其他</item>
      </candidateList>
      <explain>词汇[其它]为不规范表述或旧称，其规范书面表述为[其他]。</explain>
      <paraID>2FDA71F4</paraID>
      <start>41</start>
      <end>43</end>
      <status>unmodified</status>
      <modifiedWord/>
      <trackRevisions>false</trackRevisions>
    </reviewItem>
    <reviewItem>
      <errorID>d8a72ea7-b5d9-4c8c-968f-56f44c482a5f</errorID>
      <errorWord>其它</errorWord>
      <group>L1_Word</group>
      <groupName>字词问题</groupName>
      <ability>L2_Alias</ability>
      <abilityName>也作/曾用词</abilityName>
      <candidateList>
        <item>其他</item>
      </candidateList>
      <explain>词汇[其它]为不规范表述或旧称，其规范书面表述为[其他]。</explain>
      <paraID>40A85C90</paraID>
      <start>54</start>
      <end>56</end>
      <status>unmodified</status>
      <modifiedWord/>
      <trackRevisions>false</trackRevisions>
    </reviewItem>
    <reviewItem>
      <errorID>b0ae3519-0c8f-465f-8979-b37b1355c799</errorID>
      <errorWord>服务的</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170A8050</paraID>
      <start>8</start>
      <end>11</end>
      <status>unmodified</status>
      <modifiedWord/>
      <trackRevisions>false</trackRevisions>
    </reviewItem>
    <reviewItem>
      <errorID>7d04c226-d650-4164-b40b-67ecf280e308</errorID>
      <errorWord>按《中华人民共和国</errorWord>
      <group>L1_Word</group>
      <groupName>字词问题</groupName>
      <ability>L2_Typo</ability>
      <abilityName>字词错误</abilityName>
      <candidateList>
        <item>按照《中华人民共和国</item>
      </candidateList>
      <explain/>
      <paraID> F3641DC</paraID>
      <start>34</start>
      <end>43</end>
      <status>unmodified</status>
      <modifiedWord/>
      <trackRevisions>false</trackRevisions>
    </reviewItem>
    <reviewItem>
      <errorID>acac3b70-8ada-4575-a734-73e58658e5a7</errorID>
      <errorWord>如从</errorWord>
      <group>L1_Word</group>
      <groupName>字词问题</groupName>
      <ability>L2_Typo</ability>
      <abilityName>字词错误</abilityName>
      <candidateList>
        <item>如</item>
      </candidateList>
      <explain/>
      <paraID> 5DEED17</paraID>
      <start>43</start>
      <end>45</end>
      <status>unmodified</status>
      <modifiedWord/>
      <trackRevisions>false</trackRevisions>
    </reviewItem>
    <reviewItem>
      <errorID>c25933f6-0549-4280-87f9-f89bf1a19bf0</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571F85D1</paraID>
      <start>18</start>
      <end>22</end>
      <status>unmodified</status>
      <modifiedWord/>
      <trackRevisions>false</trackRevisions>
    </reviewItem>
    <reviewItem>
      <errorID>b93d4763-6a96-4386-a445-d2b21d3398ae</errorID>
      <errorWord>的其它部分</errorWord>
      <group>L1_Word</group>
      <groupName>字词问题</groupName>
      <ability>L2_Alias</ability>
      <abilityName>也作/曾用词</abilityName>
      <candidateList>
        <item>的其他部分</item>
      </candidateList>
      <explain>词汇[的其它部分]为不规范表述或旧称，其规范书面表述为[的其他部分]。</explain>
      <paraID>571F85D1</paraID>
      <start>53</start>
      <end>58</end>
      <status>unmodified</status>
      <modifiedWord/>
      <trackRevisions>false</trackRevisions>
    </reviewItem>
    <reviewItem>
      <errorID>aa2993cd-139e-425c-b6fa-ddc2f5e7b491</errorID>
      <errorWord>送到</errorWord>
      <group>L1_Word</group>
      <groupName>字词问题</groupName>
      <ability>L2_Typo</ability>
      <abilityName>字词错误</abilityName>
      <candidateList>
        <item>送达</item>
      </candidateList>
      <explain>存在发音相近字词的误用。</explain>
      <paraID> FFF4B61</paraID>
      <start>7</start>
      <end>9</end>
      <status>unmodified</status>
      <modifiedWord/>
      <trackRevisions>false</trackRevisions>
    </reviewItem>
    <reviewItem>
      <errorID>d38cbd97-daca-4d98-887f-0aceeb039c43</errorID>
      <errorWord>之日起至</errorWord>
      <group>L1_Word</group>
      <groupName>字词问题</groupName>
      <ability>L2_Typo</ability>
      <abilityName>字词错误</abilityName>
      <candidateList>
        <item>之日起</item>
      </candidateList>
      <explain/>
      <paraID>5F5E11B5</paraID>
      <start>10</start>
      <end>14</end>
      <status>unmodified</status>
      <modifiedWord/>
      <trackRevisions>false</trackRevisions>
    </reviewItem>
    <reviewItem>
      <errorID>1aefa2f9-199a-4f3f-847f-e706de4ad158</errorID>
      <errorWord>、或者</errorWord>
      <group>L1_Word</group>
      <groupName>字词问题</groupName>
      <ability>L2_Typo</ability>
      <abilityName>字词错误</abilityName>
      <candidateList>
        <item>，或者</item>
      </candidateList>
      <explain/>
      <paraID>3FAD12B6</paraID>
      <start>2</start>
      <end>5</end>
      <status>unmodified</status>
      <modifiedWord/>
      <trackRevisions>false</trackRevisions>
    </reviewItem>
    <reviewItem>
      <errorID>0be56f42-bd61-4b4e-8dbf-18571d4bc097</errorID>
      <errorWord>证</errorWord>
      <group>L1_Word</group>
      <groupName>字词问题</groupName>
      <ability>L2_Typo</ability>
      <abilityName>字词错误</abilityName>
      <candidateList>
        <item>证金</item>
      </candidateList>
      <explain/>
      <paraID>380F31F4</paraID>
      <start>70</start>
      <end>71</end>
      <status>unmodified</status>
      <modifiedWord/>
      <trackRevisions>false</trackRevisions>
    </reviewItem>
    <reviewItem>
      <errorID>2cf2ba71-0908-42fa-aa4a-355f1bde5d24</errorID>
      <errorWord>予以考虑</errorWord>
      <group>L1_Word</group>
      <groupName>字词问题</groupName>
      <ability>L2_Typo</ability>
      <abilityName>字词错误</abilityName>
      <candidateList>
        <item>予考虑</item>
      </candidateList>
      <explain/>
      <paraID>255C7308</paraID>
      <start>71</start>
      <end>75</end>
      <status>unmodified</status>
      <modifiedWord/>
      <trackRevisions>false</trackRevisions>
    </reviewItem>
    <reviewItem>
      <errorID>697b22eb-a75a-430c-9e71-c7f06e2ead11</errorID>
      <errorWord>-览</errorWord>
      <group>L1_Word</group>
      <groupName>字词问题</groupName>
      <ability>L2_Typo</ability>
      <abilityName>字词错误</abilityName>
      <candidateList>
        <item>一览</item>
      </candidateList>
      <explain/>
      <paraID>62CC6FAA</paraID>
      <start>8</start>
      <end>10</end>
      <status>unmodified</status>
      <modifiedWord/>
      <trackRevisions>false</trackRevisions>
    </reviewItem>
    <reviewItem>
      <errorID>56b979ff-bb08-45b7-b49a-86f17db6b46d</errorID>
      <errorWord>予以考虑</errorWord>
      <group>L1_Word</group>
      <groupName>字词问题</groupName>
      <ability>L2_Typo</ability>
      <abilityName>字词错误</abilityName>
      <candidateList>
        <item>予考虑</item>
      </candidateList>
      <explain/>
      <paraID>6136BA70</paraID>
      <start>43</start>
      <end>47</end>
      <status>unmodified</status>
      <modifiedWord/>
      <trackRevisions>false</trackRevisions>
    </reviewItem>
    <reviewItem>
      <errorID>75ec8bf2-d2a6-41f3-98bd-c79b758c0676</errorID>
      <errorWord>予以考虑</errorWord>
      <group>L1_Word</group>
      <groupName>字词问题</groupName>
      <ability>L2_Typo</ability>
      <abilityName>字词错误</abilityName>
      <candidateList>
        <item>予考虑</item>
      </candidateList>
      <explain/>
      <paraID> CE8A406</paraID>
      <start>67</start>
      <end>71</end>
      <status>unmodified</status>
      <modifiedWord/>
      <trackRevisions>false</trackRevisions>
    </reviewItem>
    <reviewItem>
      <errorID>2792bbe2-800d-469e-8c65-c0dcafd0c4fa</errorID>
      <errorWord>须</errorWord>
      <group>L1_Word</group>
      <groupName>字词问题</groupName>
      <ability>L2_Typo</ability>
      <abilityName>字词错误</abilityName>
      <candidateList>
        <item>需</item>
      </candidateList>
      <explain>存在发音相同字词的误用。</explain>
      <paraID>65A238BE</paraID>
      <start>63</start>
      <end>64</end>
      <status>unmodified</status>
      <modifiedWord/>
      <trackRevisions>false</trackRevisions>
    </reviewItem>
    <reviewItem>
      <errorID>abdcbda4-b59b-4c1d-af1f-4e1802553655</errorID>
      <errorWord>予以考虑</errorWord>
      <group>L1_Word</group>
      <groupName>字词问题</groupName>
      <ability>L2_Typo</ability>
      <abilityName>字词错误</abilityName>
      <candidateList>
        <item>予考虑</item>
      </candidateList>
      <explain/>
      <paraID> 5CA8363</paraID>
      <start>67</start>
      <end>71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2f0945-86e0-4e11-b736-da9b11cf0391}">
  <ds:schemaRefs/>
</ds:datastoreItem>
</file>

<file path=customXml/itemProps3.xml><?xml version="1.0" encoding="utf-8"?>
<ds:datastoreItem xmlns:ds="http://schemas.openxmlformats.org/officeDocument/2006/customXml" ds:itemID="{1ADEBF44-3A95-40F7-8F67-3AE228CAEFFF}">
  <ds:schemaRefs/>
</ds:datastoreItem>
</file>

<file path=docProps/app.xml><?xml version="1.0" encoding="utf-8"?>
<Properties xmlns="http://schemas.openxmlformats.org/officeDocument/2006/extended-properties" xmlns:vt="http://schemas.openxmlformats.org/officeDocument/2006/docPropsVTypes">
  <Template>Normal</Template>
  <Pages>112</Pages>
  <Words>3954</Words>
  <Characters>4539</Characters>
  <Lines>72</Lines>
  <Paragraphs>121</Paragraphs>
  <TotalTime>7</TotalTime>
  <ScaleCrop>false</ScaleCrop>
  <LinksUpToDate>false</LinksUpToDate>
  <CharactersWithSpaces>4659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2021-08-03T08:59:00Z</dcterms:created>
  <dc:creator>admin</dc:creator>
  <cp:lastModifiedBy>admin</cp:lastModifiedBy>
  <cp:lastPrinted>2026-08-31T07:09:00Z</cp:lastPrinted>
  <dcterms:modified xsi:type="dcterms:W3CDTF">2026-09-17T07:07:36Z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241B88C469C645B6BBB277442E2064C8_13</vt:lpwstr>
  </property>
  <property fmtid="{D5CDD505-2E9C-101B-9397-08002B2CF9AE}" pid="4" name="KSOTemplateDocerSaveRecord">
    <vt:lpwstr>eyJoZGlkIjoiNDQ3OWYyMDQ1ZTMzZTdmNGM2M2RkY2RkZjY5ZWZmNzUiLCJ1c2VySWQiOiIxNzc3MDI5MjkwIn0=</vt:lpwstr>
  </property>
</Properties>
</file>