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A04BB7">
      <w:pPr>
        <w:pStyle w:val="7"/>
        <w:adjustRightInd w:val="0"/>
        <w:snapToGrid w:val="0"/>
        <w:spacing w:before="156" w:beforeLines="50" w:line="240" w:lineRule="auto"/>
        <w:jc w:val="center"/>
        <w:outlineLvl w:val="0"/>
        <w:rPr>
          <w:rStyle w:val="10"/>
          <w:rFonts w:hint="eastAsia" w:eastAsia="宋体"/>
          <w:lang w:eastAsia="zh-CN"/>
        </w:rPr>
      </w:pPr>
      <w:r>
        <w:rPr>
          <w:rStyle w:val="10"/>
          <w:rFonts w:hint="eastAsia"/>
          <w:lang w:eastAsia="zh-CN"/>
        </w:rPr>
        <w:t>采购需求</w:t>
      </w:r>
    </w:p>
    <w:p w14:paraId="06A4DE0A">
      <w:pPr>
        <w:pStyle w:val="4"/>
        <w:spacing w:line="240" w:lineRule="auto"/>
        <w:rPr>
          <w:rFonts w:hint="eastAsia" w:ascii="宋体" w:hAnsi="宋体" w:eastAsia="宋体" w:cs="宋体"/>
          <w:sz w:val="21"/>
          <w:szCs w:val="21"/>
        </w:rPr>
      </w:pPr>
    </w:p>
    <w:p w14:paraId="2A9796C1">
      <w:pPr>
        <w:pStyle w:val="11"/>
        <w:tabs>
          <w:tab w:val="left" w:pos="1342"/>
        </w:tabs>
        <w:spacing w:before="67" w:line="288" w:lineRule="auto"/>
        <w:ind w:firstLine="0" w:firstLineChars="0"/>
        <w:jc w:val="center"/>
        <w:textAlignment w:val="baseline"/>
        <w:outlineLvl w:val="1"/>
        <w:rPr>
          <w:rFonts w:hint="eastAsia" w:ascii="宋体" w:hAnsi="宋体" w:cs="宋体"/>
          <w:b/>
          <w:bCs/>
          <w:kern w:val="0"/>
          <w:sz w:val="24"/>
        </w:rPr>
      </w:pPr>
      <w:r>
        <w:rPr>
          <w:rFonts w:hint="eastAsia" w:ascii="宋体" w:hAnsi="宋体" w:cs="宋体"/>
          <w:b/>
          <w:bCs/>
          <w:kern w:val="0"/>
          <w:sz w:val="24"/>
        </w:rPr>
        <w:t>第一节  采购清单一览表</w:t>
      </w:r>
    </w:p>
    <w:tbl>
      <w:tblPr>
        <w:tblStyle w:val="8"/>
        <w:tblW w:w="910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7"/>
        <w:gridCol w:w="3172"/>
        <w:gridCol w:w="990"/>
        <w:gridCol w:w="1545"/>
        <w:gridCol w:w="1522"/>
        <w:gridCol w:w="1194"/>
      </w:tblGrid>
      <w:tr w14:paraId="412578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08" w:hRule="atLeast"/>
          <w:jc w:val="center"/>
        </w:trPr>
        <w:tc>
          <w:tcPr>
            <w:tcW w:w="677" w:type="dxa"/>
            <w:vAlign w:val="center"/>
          </w:tcPr>
          <w:p w14:paraId="35B91BA6">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szCs w:val="21"/>
              </w:rPr>
            </w:pPr>
            <w:r>
              <w:rPr>
                <w:rFonts w:hint="eastAsia" w:ascii="宋体" w:hAnsi="宋体"/>
                <w:szCs w:val="21"/>
                <w:lang w:eastAsia="zh-CN"/>
              </w:rPr>
              <w:t>包</w:t>
            </w:r>
            <w:r>
              <w:rPr>
                <w:rFonts w:hint="eastAsia" w:ascii="宋体" w:hAnsi="宋体"/>
                <w:szCs w:val="21"/>
              </w:rPr>
              <w:t xml:space="preserve">号 </w:t>
            </w:r>
          </w:p>
        </w:tc>
        <w:tc>
          <w:tcPr>
            <w:tcW w:w="3172" w:type="dxa"/>
            <w:vAlign w:val="center"/>
          </w:tcPr>
          <w:p w14:paraId="450EE02A">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szCs w:val="21"/>
              </w:rPr>
            </w:pPr>
            <w:r>
              <w:rPr>
                <w:rFonts w:hint="eastAsia"/>
              </w:rPr>
              <w:t>分项项目名称</w:t>
            </w:r>
          </w:p>
        </w:tc>
        <w:tc>
          <w:tcPr>
            <w:tcW w:w="990" w:type="dxa"/>
            <w:vAlign w:val="center"/>
          </w:tcPr>
          <w:p w14:paraId="04A3EFA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szCs w:val="21"/>
              </w:rPr>
            </w:pPr>
            <w:r>
              <w:rPr>
                <w:rFonts w:hint="eastAsia" w:ascii="宋体" w:hAnsi="宋体"/>
                <w:szCs w:val="21"/>
              </w:rPr>
              <w:t>数量</w:t>
            </w:r>
          </w:p>
          <w:p w14:paraId="6159AC7E">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（单位）</w:t>
            </w:r>
          </w:p>
        </w:tc>
        <w:tc>
          <w:tcPr>
            <w:tcW w:w="1545" w:type="dxa"/>
            <w:tcBorders>
              <w:right w:val="single" w:color="auto" w:sz="4" w:space="0"/>
            </w:tcBorders>
            <w:vAlign w:val="center"/>
          </w:tcPr>
          <w:p w14:paraId="6D21179F">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szCs w:val="21"/>
              </w:rPr>
            </w:pPr>
            <w:r>
              <w:rPr>
                <w:rFonts w:hint="default" w:ascii="宋体" w:hAnsi="宋体"/>
                <w:szCs w:val="21"/>
              </w:rPr>
              <w:t>预算金额（元）</w:t>
            </w:r>
          </w:p>
        </w:tc>
        <w:tc>
          <w:tcPr>
            <w:tcW w:w="1522" w:type="dxa"/>
            <w:tcBorders>
              <w:left w:val="single" w:color="auto" w:sz="4" w:space="0"/>
              <w:right w:val="single" w:color="auto" w:sz="4" w:space="0"/>
            </w:tcBorders>
            <w:vAlign w:val="center"/>
          </w:tcPr>
          <w:p w14:paraId="3CF3265C">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szCs w:val="21"/>
              </w:rPr>
            </w:pPr>
            <w:r>
              <w:rPr>
                <w:rFonts w:hint="default" w:ascii="宋体" w:hAnsi="宋体"/>
                <w:szCs w:val="21"/>
              </w:rPr>
              <w:t>最高限价（元）</w:t>
            </w:r>
          </w:p>
        </w:tc>
        <w:tc>
          <w:tcPr>
            <w:tcW w:w="1194" w:type="dxa"/>
            <w:tcBorders>
              <w:left w:val="single" w:color="auto" w:sz="4" w:space="0"/>
            </w:tcBorders>
            <w:vAlign w:val="center"/>
          </w:tcPr>
          <w:p w14:paraId="31756C14">
            <w:pPr>
              <w:pStyle w:val="12"/>
              <w:keepNext w:val="0"/>
              <w:keepLines w:val="0"/>
              <w:suppressLineNumbers w:val="0"/>
              <w:adjustRightInd w:val="0"/>
              <w:snapToGrid w:val="0"/>
              <w:spacing w:before="0" w:beforeAutospacing="0" w:after="0" w:afterAutospacing="0" w:line="360" w:lineRule="exact"/>
              <w:ind w:left="0" w:right="0"/>
              <w:jc w:val="center"/>
              <w:rPr>
                <w:rStyle w:val="9"/>
                <w:rFonts w:hint="default" w:ascii="宋体" w:hAnsi="宋体" w:cs="宋体"/>
                <w:kern w:val="0"/>
                <w:szCs w:val="21"/>
              </w:rPr>
            </w:pPr>
            <w:r>
              <w:rPr>
                <w:rStyle w:val="9"/>
                <w:rFonts w:hint="default" w:ascii="宋体" w:hAnsi="宋体" w:cs="宋体"/>
                <w:kern w:val="0"/>
                <w:szCs w:val="21"/>
              </w:rPr>
              <w:t>是否接受</w:t>
            </w:r>
          </w:p>
          <w:p w14:paraId="2C83538D">
            <w:pPr>
              <w:pStyle w:val="12"/>
              <w:keepNext w:val="0"/>
              <w:keepLines w:val="0"/>
              <w:suppressLineNumbers w:val="0"/>
              <w:adjustRightInd w:val="0"/>
              <w:snapToGrid w:val="0"/>
              <w:spacing w:before="0" w:beforeAutospacing="0" w:after="0" w:afterAutospacing="0" w:line="360" w:lineRule="exact"/>
              <w:ind w:left="0" w:right="0"/>
              <w:jc w:val="center"/>
              <w:rPr>
                <w:rFonts w:hint="default" w:ascii="宋体" w:hAnsi="宋体"/>
                <w:szCs w:val="21"/>
              </w:rPr>
            </w:pPr>
            <w:r>
              <w:rPr>
                <w:rStyle w:val="9"/>
                <w:rFonts w:hint="default" w:ascii="宋体" w:hAnsi="宋体" w:cs="宋体"/>
                <w:kern w:val="0"/>
                <w:szCs w:val="21"/>
              </w:rPr>
              <w:t>进口设备</w:t>
            </w:r>
          </w:p>
        </w:tc>
      </w:tr>
      <w:tr w14:paraId="1AE9B5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79" w:hRule="atLeast"/>
          <w:jc w:val="center"/>
        </w:trPr>
        <w:tc>
          <w:tcPr>
            <w:tcW w:w="677" w:type="dxa"/>
            <w:vAlign w:val="center"/>
          </w:tcPr>
          <w:p w14:paraId="2099F536">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szCs w:val="21"/>
                <w:lang w:val="en-US" w:eastAsia="zh-CN"/>
              </w:rPr>
            </w:pPr>
            <w:r>
              <w:rPr>
                <w:rFonts w:hint="eastAsia" w:ascii="宋体" w:hAnsi="宋体"/>
                <w:szCs w:val="21"/>
                <w:lang w:eastAsia="zh-CN"/>
              </w:rPr>
              <w:t>包</w:t>
            </w:r>
            <w:r>
              <w:rPr>
                <w:rFonts w:hint="eastAsia" w:ascii="宋体" w:hAnsi="宋体"/>
                <w:szCs w:val="21"/>
                <w:lang w:val="en-US" w:eastAsia="zh-CN"/>
              </w:rPr>
              <w:t>1</w:t>
            </w:r>
          </w:p>
        </w:tc>
        <w:tc>
          <w:tcPr>
            <w:tcW w:w="3172" w:type="dxa"/>
            <w:vAlign w:val="center"/>
          </w:tcPr>
          <w:p w14:paraId="1705C985">
            <w:pPr>
              <w:keepNext w:val="0"/>
              <w:keepLines w:val="0"/>
              <w:widowControl/>
              <w:suppressLineNumbers w:val="0"/>
              <w:spacing w:before="75" w:beforeAutospacing="0" w:after="0" w:afterAutospacing="0" w:line="420" w:lineRule="atLeast"/>
              <w:ind w:left="0" w:leftChars="0" w:right="0" w:rightChars="0" w:firstLine="0" w:firstLineChars="0"/>
              <w:jc w:val="left"/>
              <w:rPr>
                <w:rFonts w:hint="eastAsia" w:ascii="宋体" w:hAnsi="宋体"/>
                <w:szCs w:val="21"/>
                <w:lang w:val="en-US" w:eastAsia="zh-CN"/>
              </w:rPr>
            </w:pPr>
            <w:r>
              <w:rPr>
                <w:rFonts w:hint="eastAsia" w:ascii="宋体" w:hAnsi="宋体" w:cs="宋体"/>
                <w:kern w:val="0"/>
                <w:sz w:val="21"/>
                <w:szCs w:val="21"/>
                <w:lang w:val="en-US" w:eastAsia="zh-CN" w:bidi="ar"/>
              </w:rPr>
              <w:t>岳阳市人民医院数字减影血管造影系统采购项目</w:t>
            </w:r>
          </w:p>
        </w:tc>
        <w:tc>
          <w:tcPr>
            <w:tcW w:w="990" w:type="dxa"/>
            <w:vAlign w:val="center"/>
          </w:tcPr>
          <w:p w14:paraId="4D07820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szCs w:val="21"/>
              </w:rPr>
            </w:pPr>
            <w:r>
              <w:rPr>
                <w:rFonts w:hint="eastAsia" w:ascii="宋体" w:hAnsi="宋体"/>
                <w:szCs w:val="21"/>
              </w:rPr>
              <w:t>1</w:t>
            </w:r>
            <w:r>
              <w:rPr>
                <w:rFonts w:hint="eastAsia" w:ascii="宋体" w:hAnsi="宋体"/>
                <w:szCs w:val="21"/>
                <w:lang w:val="en-US" w:eastAsia="zh-CN"/>
              </w:rPr>
              <w:t>套</w:t>
            </w:r>
          </w:p>
        </w:tc>
        <w:tc>
          <w:tcPr>
            <w:tcW w:w="1545" w:type="dxa"/>
            <w:tcBorders>
              <w:right w:val="single" w:color="auto" w:sz="4" w:space="0"/>
            </w:tcBorders>
            <w:vAlign w:val="center"/>
          </w:tcPr>
          <w:p w14:paraId="69EFA4D7">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szCs w:val="21"/>
                <w:lang w:val="en-US" w:eastAsia="zh-CN"/>
              </w:rPr>
            </w:pPr>
            <w:r>
              <w:rPr>
                <w:rFonts w:hint="eastAsia" w:ascii="宋体" w:hAnsi="宋体"/>
                <w:szCs w:val="21"/>
                <w:lang w:val="en-US" w:eastAsia="zh-CN"/>
              </w:rPr>
              <w:t>5500000</w:t>
            </w:r>
          </w:p>
        </w:tc>
        <w:tc>
          <w:tcPr>
            <w:tcW w:w="1522" w:type="dxa"/>
            <w:tcBorders>
              <w:left w:val="single" w:color="auto" w:sz="4" w:space="0"/>
              <w:right w:val="single" w:color="auto" w:sz="4" w:space="0"/>
            </w:tcBorders>
            <w:vAlign w:val="center"/>
          </w:tcPr>
          <w:p w14:paraId="00BD419E">
            <w:pPr>
              <w:keepNext w:val="0"/>
              <w:keepLines w:val="0"/>
              <w:suppressLineNumbers w:val="0"/>
              <w:adjustRightInd w:val="0"/>
              <w:snapToGrid w:val="0"/>
              <w:spacing w:before="156" w:beforeLines="50" w:beforeAutospacing="0" w:after="0" w:afterAutospacing="0" w:line="360" w:lineRule="auto"/>
              <w:ind w:left="0" w:leftChars="0" w:right="0" w:rightChars="0"/>
              <w:jc w:val="center"/>
              <w:rPr>
                <w:rFonts w:hint="eastAsia" w:ascii="宋体" w:hAnsi="宋体"/>
                <w:szCs w:val="21"/>
                <w:highlight w:val="none"/>
                <w:shd w:val="clear"/>
                <w:lang w:val="en-US" w:eastAsia="zh-CN"/>
              </w:rPr>
            </w:pPr>
            <w:r>
              <w:rPr>
                <w:rFonts w:hint="eastAsia" w:ascii="宋体" w:hAnsi="宋体"/>
                <w:szCs w:val="21"/>
                <w:highlight w:val="none"/>
                <w:lang w:val="en-US" w:eastAsia="zh-CN"/>
              </w:rPr>
              <w:t>5500000</w:t>
            </w:r>
          </w:p>
        </w:tc>
        <w:tc>
          <w:tcPr>
            <w:tcW w:w="1194" w:type="dxa"/>
            <w:tcBorders>
              <w:left w:val="single" w:color="auto" w:sz="4" w:space="0"/>
            </w:tcBorders>
            <w:vAlign w:val="center"/>
          </w:tcPr>
          <w:p w14:paraId="7867AC30">
            <w:pPr>
              <w:pStyle w:val="12"/>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szCs w:val="21"/>
              </w:rPr>
            </w:pPr>
            <w:r>
              <w:rPr>
                <w:rStyle w:val="9"/>
                <w:rFonts w:hint="eastAsia" w:ascii="宋体" w:hAnsi="宋体"/>
                <w:szCs w:val="21"/>
              </w:rPr>
              <w:t>否</w:t>
            </w:r>
          </w:p>
        </w:tc>
      </w:tr>
    </w:tbl>
    <w:p w14:paraId="27776A13">
      <w:pPr>
        <w:adjustRightInd w:val="0"/>
        <w:snapToGrid w:val="0"/>
        <w:spacing w:before="156" w:beforeLines="50" w:line="360" w:lineRule="auto"/>
        <w:ind w:firstLine="420" w:firstLineChars="200"/>
        <w:rPr>
          <w:rFonts w:ascii="宋体" w:hAnsi="宋体" w:cs="Arial"/>
          <w:color w:val="000000"/>
          <w:kern w:val="0"/>
          <w:szCs w:val="21"/>
        </w:rPr>
      </w:pPr>
      <w:r>
        <w:rPr>
          <w:rFonts w:hint="eastAsia" w:ascii="宋体" w:hAnsi="宋体" w:cs="Arial"/>
          <w:kern w:val="0"/>
          <w:szCs w:val="21"/>
        </w:rPr>
        <w:t>注：</w:t>
      </w:r>
      <w:r>
        <w:rPr>
          <w:rFonts w:hint="eastAsia" w:ascii="宋体" w:hAnsi="宋体" w:cs="Arial"/>
          <w:color w:val="000000"/>
          <w:kern w:val="0"/>
          <w:szCs w:val="21"/>
        </w:rPr>
        <w:t>1、</w:t>
      </w:r>
      <w:r>
        <w:rPr>
          <w:rFonts w:hint="eastAsia" w:ascii="宋体" w:hAnsi="宋体"/>
          <w:color w:val="000000"/>
          <w:szCs w:val="21"/>
        </w:rPr>
        <w:t>投标人必须对一个完整、独立的包进行投标，不得仅对一个包中的部分品目投标，否则</w:t>
      </w:r>
      <w:r>
        <w:rPr>
          <w:rFonts w:hint="eastAsia" w:ascii="宋体" w:hAnsi="宋体"/>
          <w:b/>
          <w:color w:val="000000"/>
          <w:szCs w:val="21"/>
        </w:rPr>
        <w:t>投标无效。</w:t>
      </w:r>
    </w:p>
    <w:p w14:paraId="270D5747">
      <w:pPr>
        <w:pStyle w:val="11"/>
        <w:tabs>
          <w:tab w:val="left" w:pos="1342"/>
        </w:tabs>
        <w:spacing w:before="67" w:line="288" w:lineRule="auto"/>
        <w:ind w:firstLine="840" w:firstLineChars="400"/>
        <w:jc w:val="left"/>
        <w:textAlignment w:val="baseline"/>
        <w:rPr>
          <w:rFonts w:ascii="宋体" w:hAnsi="宋体" w:cs="Arial"/>
          <w:color w:val="000000"/>
          <w:kern w:val="0"/>
          <w:szCs w:val="21"/>
        </w:rPr>
      </w:pPr>
      <w:r>
        <w:rPr>
          <w:rFonts w:hint="eastAsia" w:ascii="宋体" w:hAnsi="宋体" w:cs="Arial"/>
          <w:color w:val="000000"/>
          <w:kern w:val="0"/>
          <w:szCs w:val="21"/>
        </w:rPr>
        <w:t>2、投标人所投产品与采购清单产品名称不一致的，需在《开标一览表》单独注明。</w:t>
      </w:r>
    </w:p>
    <w:p w14:paraId="0985F496">
      <w:pPr>
        <w:adjustRightInd w:val="0"/>
        <w:snapToGrid w:val="0"/>
        <w:spacing w:before="156" w:beforeLines="50" w:line="360" w:lineRule="auto"/>
        <w:ind w:firstLine="840" w:firstLineChars="400"/>
        <w:rPr>
          <w:rFonts w:ascii="宋体" w:hAnsi="宋体" w:cs="宋体"/>
          <w:color w:val="000000"/>
          <w:kern w:val="0"/>
          <w:szCs w:val="21"/>
        </w:rPr>
      </w:pPr>
      <w:r>
        <w:rPr>
          <w:rFonts w:hint="eastAsia" w:ascii="宋体" w:hAnsi="宋体"/>
          <w:color w:val="000000"/>
          <w:szCs w:val="21"/>
        </w:rPr>
        <w:t>3、货物的主要技术参数或规格：</w:t>
      </w:r>
      <w:r>
        <w:rPr>
          <w:rFonts w:ascii="宋体" w:hAnsi="宋体" w:cs="宋体"/>
          <w:color w:val="000000"/>
          <w:kern w:val="0"/>
          <w:szCs w:val="21"/>
        </w:rPr>
        <w:t>详见“技术要求”中的具体技术参数</w:t>
      </w:r>
      <w:r>
        <w:rPr>
          <w:rFonts w:hint="eastAsia" w:ascii="宋体" w:hAnsi="宋体" w:cs="宋体"/>
          <w:color w:val="000000"/>
          <w:kern w:val="0"/>
          <w:szCs w:val="21"/>
        </w:rPr>
        <w:t>。</w:t>
      </w:r>
    </w:p>
    <w:p w14:paraId="19D639E7">
      <w:pPr>
        <w:numPr>
          <w:ilvl w:val="0"/>
          <w:numId w:val="0"/>
        </w:numPr>
        <w:ind w:leftChars="295"/>
        <w:rPr>
          <w:rFonts w:hint="eastAsia" w:ascii="宋体" w:hAnsi="宋体" w:eastAsia="宋体" w:cs="Arial"/>
          <w:kern w:val="0"/>
          <w:szCs w:val="21"/>
          <w:highlight w:val="yellow"/>
          <w:lang w:val="en-US" w:eastAsia="zh-CN"/>
        </w:rPr>
      </w:pPr>
    </w:p>
    <w:p w14:paraId="0B432209">
      <w:pPr>
        <w:widowControl w:val="0"/>
        <w:numPr>
          <w:ilvl w:val="0"/>
          <w:numId w:val="0"/>
        </w:numPr>
        <w:jc w:val="both"/>
        <w:rPr>
          <w:rFonts w:hint="default" w:ascii="宋体" w:hAnsi="宋体" w:eastAsia="宋体" w:cs="Arial"/>
          <w:kern w:val="0"/>
          <w:szCs w:val="21"/>
          <w:lang w:val="en-US" w:eastAsia="zh-CN"/>
        </w:rPr>
      </w:pPr>
    </w:p>
    <w:p w14:paraId="4AB719AA">
      <w:pPr>
        <w:widowControl w:val="0"/>
        <w:numPr>
          <w:ilvl w:val="0"/>
          <w:numId w:val="0"/>
        </w:numPr>
        <w:jc w:val="both"/>
        <w:rPr>
          <w:rFonts w:hint="default" w:ascii="宋体" w:hAnsi="宋体" w:eastAsia="宋体" w:cs="Arial"/>
          <w:kern w:val="0"/>
          <w:szCs w:val="21"/>
          <w:lang w:val="en-US" w:eastAsia="zh-CN"/>
        </w:rPr>
      </w:pPr>
    </w:p>
    <w:p w14:paraId="4820E14B">
      <w:pPr>
        <w:pStyle w:val="11"/>
        <w:numPr>
          <w:ilvl w:val="0"/>
          <w:numId w:val="1"/>
        </w:numPr>
        <w:tabs>
          <w:tab w:val="left" w:pos="1342"/>
        </w:tabs>
        <w:spacing w:before="67" w:line="288" w:lineRule="auto"/>
        <w:ind w:firstLine="241" w:firstLineChars="100"/>
        <w:jc w:val="center"/>
        <w:textAlignment w:val="baseline"/>
        <w:outlineLvl w:val="1"/>
        <w:rPr>
          <w:rFonts w:hint="eastAsia" w:ascii="宋体" w:hAnsi="宋体" w:cs="宋体"/>
          <w:b/>
          <w:bCs/>
          <w:kern w:val="0"/>
          <w:sz w:val="24"/>
        </w:rPr>
      </w:pPr>
      <w:r>
        <w:rPr>
          <w:rFonts w:hint="eastAsia" w:ascii="宋体" w:hAnsi="宋体" w:cs="宋体"/>
          <w:b/>
          <w:bCs/>
          <w:kern w:val="0"/>
          <w:sz w:val="24"/>
        </w:rPr>
        <w:t xml:space="preserve"> 技术要求</w:t>
      </w:r>
    </w:p>
    <w:p w14:paraId="1E43F9C9">
      <w:pPr>
        <w:rPr>
          <w:rFonts w:hint="eastAsia"/>
          <w:lang w:val="en-US" w:eastAsia="zh-CN"/>
        </w:rPr>
      </w:pPr>
    </w:p>
    <w:p w14:paraId="071865B1">
      <w:pPr>
        <w:widowControl/>
        <w:overflowPunct w:val="0"/>
        <w:autoSpaceDE w:val="0"/>
        <w:autoSpaceDN w:val="0"/>
        <w:adjustRightInd w:val="0"/>
        <w:spacing w:line="360" w:lineRule="auto"/>
        <w:ind w:left="400" w:right="-180"/>
        <w:textAlignment w:val="baseline"/>
        <w:rPr>
          <w:rFonts w:hint="default" w:ascii="宋体" w:hAnsi="宋体" w:eastAsia="宋体"/>
          <w:b/>
          <w:bCs w:val="0"/>
          <w:sz w:val="28"/>
          <w:szCs w:val="28"/>
          <w:lang w:val="en-US" w:eastAsia="zh-CN"/>
        </w:rPr>
      </w:pPr>
      <w:r>
        <w:rPr>
          <w:rFonts w:hint="eastAsia" w:ascii="宋体" w:hAnsi="宋体"/>
          <w:b/>
          <w:bCs w:val="0"/>
          <w:sz w:val="28"/>
          <w:szCs w:val="28"/>
          <w:lang w:val="en-US" w:eastAsia="zh-CN"/>
        </w:rPr>
        <w:t>一、</w:t>
      </w:r>
      <w:r>
        <w:rPr>
          <w:rFonts w:hint="eastAsia" w:ascii="宋体" w:hAnsi="宋体" w:cs="宋体"/>
          <w:b/>
          <w:bCs w:val="0"/>
          <w:kern w:val="0"/>
          <w:sz w:val="24"/>
          <w:szCs w:val="24"/>
          <w:lang w:val="en-US" w:eastAsia="zh-CN" w:bidi="ar"/>
        </w:rPr>
        <w:t>技术规格及要求</w:t>
      </w:r>
    </w:p>
    <w:p w14:paraId="5F217341">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val="en-US" w:eastAsia="zh-CN"/>
        </w:rPr>
        <w:tab/>
      </w:r>
      <w:r>
        <w:rPr>
          <w:rFonts w:hint="eastAsia" w:ascii="宋体" w:hAnsi="宋体" w:eastAsia="宋体" w:cs="宋体"/>
          <w:b/>
          <w:bCs/>
          <w:sz w:val="24"/>
          <w:szCs w:val="24"/>
          <w:lang w:val="en-US" w:eastAsia="zh-CN"/>
        </w:rPr>
        <w:t>机架系统：满足心、脑及周围血管的造影和介入治疗需要</w:t>
      </w:r>
    </w:p>
    <w:p w14:paraId="286B8B5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 xml:space="preserve">移动式悬吊机架，天花板具有滑动轨道，机架能覆盖全身 </w:t>
      </w:r>
    </w:p>
    <w:p w14:paraId="3EFCF46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机架可进行等中心旋转</w:t>
      </w:r>
    </w:p>
    <w:p w14:paraId="4B52A46C">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机架运动包括电动和手动两种方式</w:t>
      </w:r>
    </w:p>
    <w:p w14:paraId="165BBE86">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C型臂旋转速度（非旋转采集）LAO/RAO：≥25°/秒</w:t>
      </w:r>
    </w:p>
    <w:p w14:paraId="7189811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C型臂环内滑动速度（非旋转采集）CRAN/CAU：≥25°/秒</w:t>
      </w:r>
    </w:p>
    <w:p w14:paraId="09ECE9F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CRA：≥90°</w:t>
      </w:r>
    </w:p>
    <w:p w14:paraId="6F2077F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CAU：≥90°</w:t>
      </w:r>
    </w:p>
    <w:p w14:paraId="02FAB1F0">
      <w:pPr>
        <w:spacing w:line="360" w:lineRule="auto"/>
        <w:rPr>
          <w:rFonts w:hint="eastAsia" w:ascii="宋体" w:hAnsi="宋体" w:eastAsia="宋体" w:cs="宋体"/>
          <w:sz w:val="24"/>
          <w:szCs w:val="24"/>
          <w:lang w:val="en-US" w:eastAsia="zh-CN"/>
        </w:rPr>
      </w:pPr>
      <w:r>
        <w:rPr>
          <w:rFonts w:hint="eastAsia" w:ascii="微软雅黑" w:hAnsi="微软雅黑" w:eastAsia="微软雅黑" w:cs="微软雅黑"/>
          <w:sz w:val="24"/>
          <w:szCs w:val="24"/>
          <w:lang w:val="en-US" w:eastAsia="zh-CN"/>
        </w:rPr>
        <w:t>▲</w:t>
      </w:r>
      <w:r>
        <w:rPr>
          <w:rFonts w:hint="eastAsia" w:ascii="宋体" w:hAnsi="宋体" w:eastAsia="宋体" w:cs="宋体"/>
          <w:sz w:val="24"/>
          <w:szCs w:val="24"/>
          <w:lang w:val="en-US" w:eastAsia="zh-CN"/>
        </w:rPr>
        <w:t>1．8</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RAO：≥180°</w:t>
      </w:r>
    </w:p>
    <w:p w14:paraId="3D92B8D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1．9</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LAO：≥120°</w:t>
      </w:r>
    </w:p>
    <w:p w14:paraId="06519DA9">
      <w:pPr>
        <w:spacing w:line="360" w:lineRule="auto"/>
        <w:rPr>
          <w:rFonts w:hint="eastAsia" w:ascii="宋体" w:hAnsi="宋体" w:eastAsia="宋体" w:cs="宋体"/>
          <w:sz w:val="24"/>
          <w:szCs w:val="24"/>
          <w:lang w:val="en-US" w:eastAsia="zh-CN"/>
        </w:rPr>
      </w:pPr>
      <w:r>
        <w:rPr>
          <w:rFonts w:hint="eastAsia" w:ascii="微软雅黑" w:hAnsi="微软雅黑" w:eastAsia="微软雅黑" w:cs="微软雅黑"/>
          <w:sz w:val="24"/>
          <w:szCs w:val="24"/>
          <w:lang w:val="en-US" w:eastAsia="zh-CN"/>
        </w:rPr>
        <w:t>▲</w:t>
      </w:r>
      <w:r>
        <w:rPr>
          <w:rFonts w:hint="eastAsia" w:ascii="宋体" w:hAnsi="宋体" w:eastAsia="宋体" w:cs="宋体"/>
          <w:sz w:val="24"/>
          <w:szCs w:val="24"/>
          <w:lang w:val="en-US" w:eastAsia="zh-CN"/>
        </w:rPr>
        <w:t>1．10</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旋转采集角度：≥240°</w:t>
      </w:r>
    </w:p>
    <w:p w14:paraId="36DC92B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机架（L臂）可移出手术野，L臂移动范围：≥270 cm</w:t>
      </w:r>
    </w:p>
    <w:p w14:paraId="743B4DF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C型臂弧深：≥94cm （不包括L臂补偿）</w:t>
      </w:r>
    </w:p>
    <w:p w14:paraId="599DBF46">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机架可分别在头位、左侧位、右侧位进行透视和采集</w:t>
      </w:r>
    </w:p>
    <w:p w14:paraId="1F24BBA1">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SID最小范围≥90cm</w:t>
      </w:r>
    </w:p>
    <w:p w14:paraId="031C926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1．15   机架L 臂旋转范围≥±100°</w:t>
      </w:r>
    </w:p>
    <w:p w14:paraId="28C13E40">
      <w:pPr>
        <w:spacing w:line="360" w:lineRule="auto"/>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val="en-US" w:eastAsia="zh-CN"/>
        </w:rPr>
        <w:tab/>
      </w:r>
      <w:r>
        <w:rPr>
          <w:rFonts w:hint="eastAsia" w:ascii="宋体" w:hAnsi="宋体" w:eastAsia="宋体" w:cs="宋体"/>
          <w:b/>
          <w:bCs/>
          <w:sz w:val="24"/>
          <w:szCs w:val="24"/>
          <w:lang w:val="en-US" w:eastAsia="zh-CN"/>
        </w:rPr>
        <w:t>导管床</w:t>
      </w:r>
    </w:p>
    <w:p w14:paraId="68EC850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满足全身检查、治疗的要求</w:t>
      </w:r>
    </w:p>
    <w:p w14:paraId="0EB1A0C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床面要求为碳纤维材料</w:t>
      </w:r>
    </w:p>
    <w:p w14:paraId="6494611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纵向运动范围：≥125cm</w:t>
      </w:r>
    </w:p>
    <w:p w14:paraId="3C0AF9F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导管床横向运动：≥3</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cm</w:t>
      </w:r>
    </w:p>
    <w:p w14:paraId="497155A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床面升降范围：≥30cm</w:t>
      </w:r>
    </w:p>
    <w:p w14:paraId="43EF64F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床面最低高度：≤7</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cm</w:t>
      </w:r>
    </w:p>
    <w:p w14:paraId="6E56B32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床最大承重：≥325KG</w:t>
      </w:r>
    </w:p>
    <w:p w14:paraId="6A06C09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2．8</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任意位置承重：≥250KG + 500N额外CPR承重</w:t>
      </w:r>
    </w:p>
    <w:p w14:paraId="3F687CA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2．9</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床身纵向运动伸出最远端时，无需回床即能在床面任意位置进行CPR，保障紧急情况下的安全</w:t>
      </w:r>
    </w:p>
    <w:p w14:paraId="198B07B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2．10</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床长度：≥31</w:t>
      </w:r>
      <w:r>
        <w:rPr>
          <w:rFonts w:hint="eastAsia" w:ascii="宋体" w:hAnsi="宋体" w:cs="宋体"/>
          <w:sz w:val="24"/>
          <w:szCs w:val="24"/>
          <w:lang w:val="en-US" w:eastAsia="zh-CN"/>
        </w:rPr>
        <w:t>0</w:t>
      </w:r>
      <w:r>
        <w:rPr>
          <w:rFonts w:hint="eastAsia" w:ascii="宋体" w:hAnsi="宋体" w:eastAsia="宋体" w:cs="宋体"/>
          <w:sz w:val="24"/>
          <w:szCs w:val="24"/>
          <w:lang w:val="en-US" w:eastAsia="zh-CN"/>
        </w:rPr>
        <w:t>cm</w:t>
      </w:r>
    </w:p>
    <w:p w14:paraId="676FE04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床宽度：≥4</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cm</w:t>
      </w:r>
    </w:p>
    <w:p w14:paraId="0644CFA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床面患者最大有效覆盖：≥210cm</w:t>
      </w:r>
    </w:p>
    <w:p w14:paraId="54BE768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床面旋转角度：≥270度</w:t>
      </w:r>
    </w:p>
    <w:p w14:paraId="1C3CA6D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为方便接送病人手推床贴近，导管床面水平旋转范围：≥-90°~+180°或-180°~+90°，导管床具备手臂支架，床垫，输液支架。</w:t>
      </w:r>
    </w:p>
    <w:p w14:paraId="7125D75E">
      <w:pPr>
        <w:spacing w:line="360" w:lineRule="auto"/>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val="en-US" w:eastAsia="zh-CN"/>
        </w:rPr>
        <w:tab/>
      </w:r>
      <w:r>
        <w:rPr>
          <w:rFonts w:hint="eastAsia" w:ascii="宋体" w:hAnsi="宋体" w:eastAsia="宋体" w:cs="宋体"/>
          <w:b/>
          <w:bCs/>
          <w:sz w:val="24"/>
          <w:szCs w:val="24"/>
          <w:lang w:val="en-US" w:eastAsia="zh-CN"/>
        </w:rPr>
        <w:t>检查室内控制系统</w:t>
      </w:r>
    </w:p>
    <w:p w14:paraId="7BA7343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提供床旁一套液晶触摸控制屏</w:t>
      </w:r>
    </w:p>
    <w:p w14:paraId="367E4B0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控制屏可置于导管床3边，或者控制室内，便于医生操作</w:t>
      </w:r>
    </w:p>
    <w:p w14:paraId="33AD1FA4">
      <w:pPr>
        <w:spacing w:line="360" w:lineRule="auto"/>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lang w:val="en-US" w:eastAsia="zh-CN"/>
        </w:rPr>
        <w:tab/>
      </w:r>
      <w:r>
        <w:rPr>
          <w:rFonts w:hint="eastAsia" w:ascii="宋体" w:hAnsi="宋体" w:eastAsia="宋体" w:cs="宋体"/>
          <w:b/>
          <w:bCs/>
          <w:sz w:val="24"/>
          <w:szCs w:val="24"/>
          <w:lang w:val="en-US" w:eastAsia="zh-CN"/>
        </w:rPr>
        <w:t>控制室并行处理工作站</w:t>
      </w:r>
    </w:p>
    <w:p w14:paraId="685ADE0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透视或曝光时可进行图像处理和存档浏览等工作，可独立运行</w:t>
      </w:r>
    </w:p>
    <w:p w14:paraId="6A648606">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术中可执行像素位移和测量分析功能</w:t>
      </w:r>
    </w:p>
    <w:p w14:paraId="5409926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可同时浏览两个序列，处理不同病人的信息，进行QCA后，可立即与检查室分享</w:t>
      </w:r>
    </w:p>
    <w:p w14:paraId="43E3F57E">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5.</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高压发生器</w:t>
      </w:r>
    </w:p>
    <w:p w14:paraId="2B003DF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高频逆变发生器，功率：≥100</w:t>
      </w:r>
      <w:r>
        <w:rPr>
          <w:rFonts w:hint="eastAsia" w:ascii="宋体" w:hAnsi="宋体" w:cs="宋体"/>
          <w:sz w:val="24"/>
          <w:szCs w:val="24"/>
          <w:lang w:val="en-US" w:eastAsia="zh-CN"/>
        </w:rPr>
        <w:t>kW</w:t>
      </w:r>
    </w:p>
    <w:p w14:paraId="7CD9804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最大管电流：≥1000mA</w:t>
      </w:r>
    </w:p>
    <w:p w14:paraId="3FEB342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逆变频率：≥100</w:t>
      </w:r>
      <w:r>
        <w:rPr>
          <w:rFonts w:hint="eastAsia" w:ascii="宋体" w:hAnsi="宋体" w:cs="宋体"/>
          <w:sz w:val="24"/>
          <w:szCs w:val="24"/>
          <w:lang w:val="en-US" w:eastAsia="zh-CN"/>
        </w:rPr>
        <w:t>kHz</w:t>
      </w:r>
    </w:p>
    <w:p w14:paraId="4341BA6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最小管电压：≤40</w:t>
      </w:r>
      <w:r>
        <w:rPr>
          <w:rFonts w:hint="eastAsia" w:ascii="宋体" w:hAnsi="宋体" w:cs="宋体"/>
          <w:sz w:val="24"/>
          <w:szCs w:val="24"/>
          <w:lang w:val="en-US" w:eastAsia="zh-CN"/>
        </w:rPr>
        <w:t>kV</w:t>
      </w:r>
    </w:p>
    <w:p w14:paraId="61DC83C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最大管电压：≥125</w:t>
      </w:r>
      <w:r>
        <w:rPr>
          <w:rFonts w:hint="eastAsia" w:ascii="宋体" w:hAnsi="宋体" w:cs="宋体"/>
          <w:sz w:val="24"/>
          <w:szCs w:val="24"/>
          <w:lang w:val="en-US" w:eastAsia="zh-CN"/>
        </w:rPr>
        <w:t>kV</w:t>
      </w:r>
    </w:p>
    <w:p w14:paraId="763497C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最短曝光时间：≥1ms</w:t>
      </w:r>
    </w:p>
    <w:p w14:paraId="4AA688E8">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6.</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X线球管</w:t>
      </w:r>
    </w:p>
    <w:p w14:paraId="1882729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球管阳极热容量：≥3.5MHU</w:t>
      </w:r>
    </w:p>
    <w:p w14:paraId="7F08759B">
      <w:pPr>
        <w:spacing w:line="360" w:lineRule="auto"/>
        <w:rPr>
          <w:rFonts w:hint="eastAsia" w:ascii="宋体" w:hAnsi="宋体" w:eastAsia="宋体" w:cs="宋体"/>
          <w:sz w:val="24"/>
          <w:szCs w:val="24"/>
          <w:lang w:val="en-US" w:eastAsia="zh-CN"/>
        </w:rPr>
      </w:pPr>
      <w:r>
        <w:rPr>
          <w:rFonts w:hint="eastAsia" w:ascii="微软雅黑" w:hAnsi="微软雅黑" w:eastAsia="微软雅黑" w:cs="微软雅黑"/>
          <w:sz w:val="24"/>
          <w:szCs w:val="24"/>
          <w:lang w:val="en-US" w:eastAsia="zh-CN"/>
        </w:rPr>
        <w:t>▲</w:t>
      </w:r>
      <w:r>
        <w:rPr>
          <w:rFonts w:hint="eastAsia" w:ascii="宋体" w:hAnsi="宋体" w:eastAsia="宋体" w:cs="宋体"/>
          <w:sz w:val="24"/>
          <w:szCs w:val="24"/>
          <w:lang w:val="en-US" w:eastAsia="zh-CN"/>
        </w:rPr>
        <w:t>6．2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球管管套热容量：≥6.6MHU</w:t>
      </w:r>
    </w:p>
    <w:p w14:paraId="0D9EAF16">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最大阳极冷却速率：≥450kHU/min</w:t>
      </w:r>
    </w:p>
    <w:p w14:paraId="08192846">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球管阳极散热率：≥5500 W</w:t>
      </w:r>
    </w:p>
    <w:p w14:paraId="6F75801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金属陶瓷外壳</w:t>
      </w:r>
    </w:p>
    <w:p w14:paraId="27C2512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液态金属轴承球管</w:t>
      </w:r>
    </w:p>
    <w:p w14:paraId="27BCBC9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10分钟透视功率：≥3000W</w:t>
      </w:r>
    </w:p>
    <w:p w14:paraId="4C54E67D">
      <w:pPr>
        <w:spacing w:line="360" w:lineRule="auto"/>
        <w:rPr>
          <w:rFonts w:hint="eastAsia" w:ascii="宋体" w:hAnsi="宋体" w:eastAsia="宋体" w:cs="宋体"/>
          <w:sz w:val="24"/>
          <w:szCs w:val="24"/>
          <w:lang w:val="en-US" w:eastAsia="zh-CN"/>
        </w:rPr>
      </w:pPr>
      <w:r>
        <w:rPr>
          <w:rFonts w:hint="eastAsia" w:ascii="微软雅黑" w:hAnsi="微软雅黑" w:eastAsia="微软雅黑" w:cs="微软雅黑"/>
          <w:sz w:val="24"/>
          <w:szCs w:val="24"/>
          <w:lang w:val="en-US" w:eastAsia="zh-CN"/>
        </w:rPr>
        <w:t>▲</w:t>
      </w:r>
      <w:r>
        <w:rPr>
          <w:rFonts w:hint="eastAsia" w:ascii="宋体" w:hAnsi="宋体" w:eastAsia="宋体" w:cs="宋体"/>
          <w:sz w:val="24"/>
          <w:szCs w:val="24"/>
          <w:lang w:val="en-US" w:eastAsia="zh-CN"/>
        </w:rPr>
        <w:t>6．8</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球管阳极转速：≥</w:t>
      </w:r>
      <w:r>
        <w:rPr>
          <w:rFonts w:hint="eastAsia" w:ascii="宋体" w:hAnsi="宋体" w:cs="宋体"/>
          <w:sz w:val="24"/>
          <w:szCs w:val="24"/>
          <w:lang w:val="en-US" w:eastAsia="zh-CN"/>
        </w:rPr>
        <w:t>78</w:t>
      </w:r>
      <w:r>
        <w:rPr>
          <w:rFonts w:hint="eastAsia" w:ascii="宋体" w:hAnsi="宋体" w:eastAsia="宋体" w:cs="宋体"/>
          <w:sz w:val="24"/>
          <w:szCs w:val="24"/>
          <w:lang w:val="en-US" w:eastAsia="zh-CN"/>
        </w:rPr>
        <w:t>00转/分钟</w:t>
      </w:r>
    </w:p>
    <w:p w14:paraId="2810D817">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6．9</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球管小焦点：≥0.4mm</w:t>
      </w:r>
    </w:p>
    <w:p w14:paraId="667CF06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6. 10</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大焦点：≥0.9mm</w:t>
      </w:r>
    </w:p>
    <w:p w14:paraId="3550EFD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 11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最小焦点功率：≥25</w:t>
      </w:r>
      <w:r>
        <w:rPr>
          <w:rFonts w:hint="eastAsia" w:ascii="宋体" w:hAnsi="宋体" w:cs="宋体"/>
          <w:sz w:val="24"/>
          <w:szCs w:val="24"/>
          <w:lang w:val="en-US" w:eastAsia="zh-CN"/>
        </w:rPr>
        <w:t>kW</w:t>
      </w:r>
    </w:p>
    <w:p w14:paraId="6480ED2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最大焦点功率：≥100</w:t>
      </w:r>
      <w:r>
        <w:rPr>
          <w:rFonts w:hint="eastAsia" w:ascii="宋体" w:hAnsi="宋体" w:cs="宋体"/>
          <w:sz w:val="24"/>
          <w:szCs w:val="24"/>
          <w:lang w:val="en-US" w:eastAsia="zh-CN"/>
        </w:rPr>
        <w:t>kW</w:t>
      </w:r>
    </w:p>
    <w:p w14:paraId="7D70378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球管阳极靶边直径：≥120mm</w:t>
      </w:r>
    </w:p>
    <w:p w14:paraId="1A4CD9D1">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球管采用直接油冷技术或者水冷加油冷技术</w:t>
      </w:r>
    </w:p>
    <w:p w14:paraId="4EAC7FB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球管内置栅控技术，非高压发生器控制脉冲透视，以消除传统脉冲透视产生的软射线</w:t>
      </w:r>
    </w:p>
    <w:p w14:paraId="34D9CBD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球管阳极靶靶角≤11.5°</w:t>
      </w:r>
    </w:p>
    <w:p w14:paraId="6E562166">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7.</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平板探测器</w:t>
      </w:r>
    </w:p>
    <w:p w14:paraId="1E88455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探测器类型：≥16 bits非晶硅数字化平板探测器</w:t>
      </w:r>
    </w:p>
    <w:p w14:paraId="48FC792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平板外壳大小：≤60 X 70cm</w:t>
      </w:r>
    </w:p>
    <w:p w14:paraId="0C89143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最大有效成像视野(边长) ≥30cm X 38cm</w:t>
      </w:r>
    </w:p>
    <w:p w14:paraId="134A526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≥8种物理成像视野，以适应不同部位介入需要</w:t>
      </w:r>
    </w:p>
    <w:p w14:paraId="6175F7F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最大图像矩阵灰阶输出：1904 x 2586 x 16 bits</w:t>
      </w:r>
    </w:p>
    <w:p w14:paraId="3F5510D1">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平板探测器分辨率：≥3.25LP／mm</w:t>
      </w:r>
    </w:p>
    <w:p w14:paraId="5849517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像素尺寸：≤154μm</w:t>
      </w:r>
    </w:p>
    <w:p w14:paraId="0D9CB92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7．8</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0 lp/mm 时DQE：≥77%</w:t>
      </w:r>
    </w:p>
    <w:p w14:paraId="227A47C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7．9</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平板可±135度旋转</w:t>
      </w:r>
    </w:p>
    <w:p w14:paraId="37F9927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7．10</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平板探测器带有防碰撞保护装置及防碰撞自动控制</w:t>
      </w:r>
    </w:p>
    <w:p w14:paraId="49FF5809">
      <w:pPr>
        <w:numPr>
          <w:ilvl w:val="0"/>
          <w:numId w:val="2"/>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   平板探测器具备无射线激光定位灯</w:t>
      </w:r>
    </w:p>
    <w:p w14:paraId="0B648C53">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图像显示器</w:t>
      </w:r>
    </w:p>
    <w:p w14:paraId="41C504D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控制室：≥24英吋高亮医用高分辨率LCD显示器，≥2台，显示矩阵：≥1920 x 1080</w:t>
      </w:r>
    </w:p>
    <w:p w14:paraId="76816C2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最大视角：≥178°，亮度：≥400Cd/m²</w:t>
      </w:r>
    </w:p>
    <w:p w14:paraId="7E992FA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操作室：≥24英吋高亮医用高分辨率宽屏LCD显示器：≥4台，显示矩阵：≥1920 x 1080</w:t>
      </w:r>
    </w:p>
    <w:p w14:paraId="4BE51AA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最大视角：≥178°，亮度：≥400Cd/m²</w:t>
      </w:r>
    </w:p>
    <w:p w14:paraId="11F6BF11">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≥4架位宽屏显示器吊架</w:t>
      </w:r>
    </w:p>
    <w:p w14:paraId="18FAB8F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显示器吊架可置于床旁三侧位置，吊架移动范围：≥300 x 300cm</w:t>
      </w:r>
    </w:p>
    <w:p w14:paraId="10F14387">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显示器吊架可进行人性化升降：≥32cm</w:t>
      </w:r>
    </w:p>
    <w:p w14:paraId="01B4A191">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8．8</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显示器吊架旋转范围：≥300°</w:t>
      </w:r>
    </w:p>
    <w:p w14:paraId="1721D4F2">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9.</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图像系统</w:t>
      </w:r>
    </w:p>
    <w:p w14:paraId="1FCDCCB6">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外周采集、处理、存储2048²矩阵，即提供2K影像链配置</w:t>
      </w:r>
    </w:p>
    <w:p w14:paraId="331AB0F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采集帧率：0.5 - 30帧 /秒</w:t>
      </w:r>
    </w:p>
    <w:p w14:paraId="62978DE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心脏采集、处理、存储1024²矩阵</w:t>
      </w:r>
    </w:p>
    <w:p w14:paraId="01A782B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采集帧率：0.5- 30帧 /秒</w:t>
      </w:r>
    </w:p>
    <w:p w14:paraId="755B6F5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实时减影</w:t>
      </w:r>
    </w:p>
    <w:p w14:paraId="0E93E6D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脉冲透视</w:t>
      </w:r>
    </w:p>
    <w:p w14:paraId="2B85B68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床旁可直接选择透视剂量：≥3档，最小档：≤5伦琴/分钟</w:t>
      </w:r>
    </w:p>
    <w:p w14:paraId="36AF3D1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9．8</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可存储单幅及序列透视图象（单次储存≥60S且≥1000幅的连续动态透视图象），透视序列可以同屏多幅图像形式显示于参考屏上</w:t>
      </w:r>
    </w:p>
    <w:p w14:paraId="039B77B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9．9</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最大脉冲透视速度：≥30幅/秒</w:t>
      </w:r>
    </w:p>
    <w:p w14:paraId="562BA4D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9．10</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最小脉冲透视速度：≤0.5幅/秒</w:t>
      </w:r>
    </w:p>
    <w:p w14:paraId="10DF913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具有透视末帧图像保持功能</w:t>
      </w:r>
    </w:p>
    <w:p w14:paraId="6DC7D2DA">
      <w:pPr>
        <w:spacing w:line="360" w:lineRule="auto"/>
        <w:rPr>
          <w:rFonts w:hint="eastAsia" w:ascii="宋体" w:hAnsi="宋体" w:eastAsia="宋体" w:cs="宋体"/>
          <w:sz w:val="24"/>
          <w:szCs w:val="24"/>
          <w:lang w:val="en-US" w:eastAsia="zh-CN"/>
        </w:rPr>
      </w:pPr>
      <w:r>
        <w:rPr>
          <w:rFonts w:hint="eastAsia" w:ascii="微软雅黑" w:hAnsi="微软雅黑" w:eastAsia="微软雅黑" w:cs="微软雅黑"/>
          <w:sz w:val="24"/>
          <w:szCs w:val="24"/>
          <w:lang w:val="en-US" w:eastAsia="zh-CN"/>
        </w:rPr>
        <w:t>▲</w:t>
      </w:r>
      <w:r>
        <w:rPr>
          <w:rFonts w:hint="eastAsia" w:ascii="宋体" w:hAnsi="宋体" w:eastAsia="宋体" w:cs="宋体"/>
          <w:sz w:val="24"/>
          <w:szCs w:val="24"/>
          <w:lang w:val="en-US" w:eastAsia="zh-CN"/>
        </w:rPr>
        <w:t>9．12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硬盘图像存储量1024 矩阵：≥100,000幅或2048矩阵：≥30,000幅</w:t>
      </w:r>
    </w:p>
    <w:p w14:paraId="4D109656">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后处理功能包括：改变回放速度、选择路标图像、电子遮光器、边缘增强、图像反转、附加注解、快速选择图像、移动放大、可变速度循环放映、造影图像自动窗宽、窗位调节、重定蒙片、手动自动像素移位、最大路径和骨标记</w:t>
      </w:r>
    </w:p>
    <w:p w14:paraId="74E5B49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血管序列实时DSA功能和DA功能</w:t>
      </w:r>
    </w:p>
    <w:p w14:paraId="6EE02BB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图像显示功能：采集时间、日期显示、图像冻结，灰阶反转，图像标注，左／右标识，文字注释，解剖背景。</w:t>
      </w:r>
    </w:p>
    <w:p w14:paraId="4685AF6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路径图造影剂自动峰值保持功能</w:t>
      </w:r>
    </w:p>
    <w:p w14:paraId="38BA8E9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支持术中事件记录并存储</w:t>
      </w:r>
    </w:p>
    <w:p w14:paraId="6C3E57C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9．18   采集像素大小可达 5M（2586 x 1904）</w:t>
      </w:r>
    </w:p>
    <w:p w14:paraId="40062E3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9．19   具有最新</w:t>
      </w:r>
      <w:r>
        <w:rPr>
          <w:rFonts w:hint="eastAsia" w:ascii="宋体" w:hAnsi="宋体" w:cs="宋体"/>
          <w:sz w:val="24"/>
          <w:szCs w:val="24"/>
          <w:lang w:val="en-US" w:eastAsia="zh-CN"/>
        </w:rPr>
        <w:t>版本软件</w:t>
      </w:r>
      <w:r>
        <w:rPr>
          <w:rFonts w:hint="eastAsia" w:ascii="宋体" w:hAnsi="宋体" w:eastAsia="宋体" w:cs="宋体"/>
          <w:sz w:val="24"/>
          <w:szCs w:val="24"/>
          <w:lang w:val="en-US" w:eastAsia="zh-CN"/>
        </w:rPr>
        <w:t>噪声抑制技术，在达到良好降噪效果时充分保留图像细节</w:t>
      </w:r>
    </w:p>
    <w:p w14:paraId="450AC08C">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9．20   图像工作站处理器≥10核</w:t>
      </w:r>
    </w:p>
    <w:p w14:paraId="73DE4EEB">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10.</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测量分析</w:t>
      </w:r>
    </w:p>
    <w:p w14:paraId="7825A07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左心室分析软件，可测量舒张末期和收缩末期容积、射血分数、每博量测定</w:t>
      </w:r>
    </w:p>
    <w:p w14:paraId="51B0EDF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三种方法以上室壁运动曲线测量</w:t>
      </w:r>
    </w:p>
    <w:p w14:paraId="5BF3999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自动校正分析功能</w:t>
      </w:r>
    </w:p>
    <w:p w14:paraId="1694E04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冠脉分析软件，所选血管段直径、狭窄信息、截面积、狭窄百分比、压力级值等测量</w:t>
      </w:r>
    </w:p>
    <w:p w14:paraId="1DD5606F">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11.</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旋转采集</w:t>
      </w:r>
    </w:p>
    <w:p w14:paraId="209C492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L臂正位旋转采集C臂旋转速度：≥50度/秒，有效覆盖范围：≥240度</w:t>
      </w:r>
    </w:p>
    <w:p w14:paraId="211C3EC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L臂侧位旋转采集C臂旋转速度：≥30度/秒，有效覆盖范围：≥180度</w:t>
      </w:r>
    </w:p>
    <w:p w14:paraId="2F0D223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1024采集，最快采集速度：≥30幅/秒</w:t>
      </w:r>
    </w:p>
    <w:p w14:paraId="456F779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可实时减影</w:t>
      </w:r>
    </w:p>
    <w:p w14:paraId="7396E43C">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12.</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网络与接口</w:t>
      </w:r>
    </w:p>
    <w:p w14:paraId="7C8DE60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 xml:space="preserve">具有DICOM Send功能 </w:t>
      </w:r>
    </w:p>
    <w:p w14:paraId="58F2B96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具有DICOM Print功能</w:t>
      </w:r>
    </w:p>
    <w:p w14:paraId="3140B0B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具有DICOM Query/Retrieve功能</w:t>
      </w:r>
    </w:p>
    <w:p w14:paraId="24B5FF07">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具有DICOM Worklist功能</w:t>
      </w:r>
    </w:p>
    <w:p w14:paraId="402FB5A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具有DICOM MPPS功能</w:t>
      </w:r>
    </w:p>
    <w:p w14:paraId="201A8AC7">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激光相机接口</w:t>
      </w:r>
    </w:p>
    <w:p w14:paraId="0CCFD967">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高压注射器接口</w:t>
      </w:r>
    </w:p>
    <w:p w14:paraId="23504B5C">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13.</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附件</w:t>
      </w:r>
    </w:p>
    <w:p w14:paraId="51857E4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具备整个系统的升级能力</w:t>
      </w:r>
    </w:p>
    <w:p w14:paraId="787D5DE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具有双向对讲系统</w:t>
      </w:r>
    </w:p>
    <w:p w14:paraId="0611978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具有图像处理操作面板</w:t>
      </w:r>
    </w:p>
    <w:p w14:paraId="1298AAE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具有手持控制器</w:t>
      </w:r>
    </w:p>
    <w:p w14:paraId="361B908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具有中文操作手册</w:t>
      </w:r>
    </w:p>
    <w:p w14:paraId="6F7E672C">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14.</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智能路径图功能</w:t>
      </w:r>
    </w:p>
    <w:p w14:paraId="1C0C536C">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可针对脑血管、胸部、腹部等不同检查部位，设置专门的路径图参数</w:t>
      </w:r>
    </w:p>
    <w:p w14:paraId="14652BC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可在针对导管引导、打胶、放置弹簧圈等不同介入操作的专门路径图模式</w:t>
      </w:r>
    </w:p>
    <w:p w14:paraId="038D4D91">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医生可自定义针对特殊介入操作类型的路径图显示模式</w:t>
      </w:r>
    </w:p>
    <w:p w14:paraId="383C61E1">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r>
        <w:rPr>
          <w:rFonts w:hint="eastAsia" w:ascii="宋体" w:hAnsi="宋体" w:eastAsia="宋体" w:cs="宋体"/>
          <w:sz w:val="24"/>
          <w:szCs w:val="24"/>
          <w:lang w:val="en-US" w:eastAsia="zh-CN"/>
        </w:rPr>
        <w:tab/>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组合蒙片功能</w:t>
      </w:r>
    </w:p>
    <w:p w14:paraId="277138B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可对用于实时DSA的蒙片数量进行实时组合优化，以明显降低蒙片的背景噪声，显著提高DSA的图像质量</w:t>
      </w:r>
    </w:p>
    <w:p w14:paraId="531A40E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可对用于实时DSA的蒙片数量进行实时组合优化，在保持相同噪声水平的前提下，明显降低辐射剂量</w:t>
      </w:r>
    </w:p>
    <w:p w14:paraId="0150CB3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在实时DSA图像显示前的瞬间，可显示组合蒙片图像</w:t>
      </w:r>
    </w:p>
    <w:p w14:paraId="5ACBEAE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可对组合蒙片的数量调整，最大组合蒙片数量：≥5幅</w:t>
      </w:r>
    </w:p>
    <w:p w14:paraId="2770FF5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可针对不同检查部位进行蒙片数量的个性化组合，以满足不同部位的成像特点</w:t>
      </w:r>
    </w:p>
    <w:p w14:paraId="6DD78D1A">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16.</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射线剂量防护技术</w:t>
      </w:r>
    </w:p>
    <w:p w14:paraId="1AA3E0A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采用铜滤片自动插入技术消除球管软射线，最厚：≥0.9mm</w:t>
      </w:r>
    </w:p>
    <w:p w14:paraId="097871C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插入铜滤片数：≥3片，具备自动和手动两种方式</w:t>
      </w:r>
    </w:p>
    <w:p w14:paraId="05E2347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具有管球内置栅控技术</w:t>
      </w:r>
    </w:p>
    <w:p w14:paraId="045777E1">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透视冻结图像上可实现无射线调节遮光器、滤波片位置</w:t>
      </w:r>
    </w:p>
    <w:p w14:paraId="320CB3F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具有射线剂量监测功能，透视时，表面剂量率显示；透视间期，显示积累剂量，区域剂量和剂量限值</w:t>
      </w:r>
    </w:p>
    <w:p w14:paraId="242433D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16.6</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无射线下定位功能</w:t>
      </w:r>
    </w:p>
    <w:p w14:paraId="12D6E9B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检查床及平板移动，或改变视野，图像跟随位置变化并指示移动方向</w:t>
      </w:r>
    </w:p>
    <w:p w14:paraId="0A076244">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17.</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高级图像处理工作站</w:t>
      </w:r>
    </w:p>
    <w:p w14:paraId="250DA38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原厂三维重建工作站硬件和软件</w:t>
      </w:r>
    </w:p>
    <w:p w14:paraId="09421A0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机架旋转速度50度/秒，覆盖范围≥220度</w:t>
      </w:r>
    </w:p>
    <w:p w14:paraId="032C932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机架可在头位及侧位进行三维采集</w:t>
      </w:r>
    </w:p>
    <w:p w14:paraId="59C7EE3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具有体积/表面重建,最大密度投影、虚拟支架、 虚拟内窥镜、模拟机架位、钙化斑成像、透明血管成像功能</w:t>
      </w:r>
    </w:p>
    <w:p w14:paraId="763AB59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具有局部放大重建</w:t>
      </w:r>
    </w:p>
    <w:p w14:paraId="4C267F0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具有脊柱三维采集程序及脊柱重建功能</w:t>
      </w:r>
    </w:p>
    <w:p w14:paraId="0ED3C7D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具有钙化斑块重建</w:t>
      </w:r>
    </w:p>
    <w:p w14:paraId="650864D6">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17.8</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具有距离测量、体积测量功能</w:t>
      </w:r>
    </w:p>
    <w:p w14:paraId="31A04A7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17.9</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仅造影序列便可重建出三维图像;无需蒙片序列;减少曝光,加快手术进程</w:t>
      </w:r>
    </w:p>
    <w:p w14:paraId="2542CDC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17.10</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具备三维与CT/MR图像融合功能</w:t>
      </w:r>
    </w:p>
    <w:p w14:paraId="7C7A1257">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17.11</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具备对于运动器官实现特殊技术处理，提高图像质量的同时降低射线剂量功能</w:t>
      </w:r>
    </w:p>
    <w:p w14:paraId="56BB3C1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17.12</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具备实时三维路图功能</w:t>
      </w:r>
    </w:p>
    <w:p w14:paraId="23D98E7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17.13</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具备CTA和MRI的血管影像与实时透视图像融合功能</w:t>
      </w:r>
    </w:p>
    <w:p w14:paraId="353BD5E3">
      <w:pPr>
        <w:spacing w:line="360" w:lineRule="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18类CT软组织成像</w:t>
      </w:r>
    </w:p>
    <w:p w14:paraId="477C70A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能提供类似CT的软组织图像，能够进行机架正位和侧位的类CT采集，以满足头部、胸部、腹部、盆腔、脊柱、四肢部分的采集和重建</w:t>
      </w:r>
    </w:p>
    <w:p w14:paraId="7EADD547">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能在床旁实现任意角度断面的观察，并可调节层厚，窗宽，窗位等CT参数</w:t>
      </w:r>
    </w:p>
    <w:p w14:paraId="0E8B3EB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单次旋转采集图像≥500幅，有效覆盖范围≥200度</w:t>
      </w:r>
    </w:p>
    <w:p w14:paraId="7D3F3676">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最快采集速率≥60帧/秒</w:t>
      </w:r>
    </w:p>
    <w:p w14:paraId="47545F6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最快采集时间≤5秒</w:t>
      </w:r>
    </w:p>
    <w:p w14:paraId="5220945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类CT图像采集，重建到显示全自动运行，无需人工干预</w:t>
      </w:r>
    </w:p>
    <w:p w14:paraId="70BECDF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三维重建和类CT重建硬件一体化设计，方便实现二者融合匹配显示</w:t>
      </w:r>
    </w:p>
    <w:p w14:paraId="6D65476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18.8</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仅需一次旋转采集即可实现三维重建和类CT重建</w:t>
      </w:r>
    </w:p>
    <w:p w14:paraId="21E87261">
      <w:pPr>
        <w:spacing w:line="360" w:lineRule="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18</w:t>
      </w:r>
      <w:r>
        <w:rPr>
          <w:rFonts w:hint="eastAsia" w:ascii="宋体" w:hAnsi="宋体" w:eastAsia="宋体" w:cs="宋体"/>
          <w:color w:val="000000" w:themeColor="text1"/>
          <w:sz w:val="24"/>
          <w:szCs w:val="24"/>
          <w:lang w:val="en-US" w:eastAsia="zh-CN"/>
          <w14:textFill>
            <w14:solidFill>
              <w14:schemeClr w14:val="tx1"/>
            </w14:solidFill>
          </w14:textFill>
        </w:rPr>
        <w:t>.9</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lang w:val="en-US" w:eastAsia="zh-CN"/>
          <w14:textFill>
            <w14:solidFill>
              <w14:schemeClr w14:val="tx1"/>
            </w14:solidFill>
          </w14:textFill>
        </w:rPr>
        <w:t>旋转采集数据能够自动传输至工作站并自动重建，整个过程无需人为参与</w:t>
      </w:r>
    </w:p>
    <w:p w14:paraId="6B52F618">
      <w:pPr>
        <w:spacing w:line="360" w:lineRule="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18.10</w:t>
      </w:r>
      <w:r>
        <w:rPr>
          <w:rFonts w:hint="eastAsia" w:ascii="宋体" w:hAnsi="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具备去金属伪影再重建功能</w:t>
      </w:r>
    </w:p>
    <w:p w14:paraId="4EE043BB">
      <w:pPr>
        <w:spacing w:line="360" w:lineRule="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18.11</w:t>
      </w:r>
      <w:r>
        <w:rPr>
          <w:rFonts w:hint="eastAsia" w:ascii="宋体" w:hAnsi="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具备双期断层软组织类CT功能</w:t>
      </w:r>
    </w:p>
    <w:p w14:paraId="2E9A1B41">
      <w:pPr>
        <w:spacing w:line="360" w:lineRule="auto"/>
        <w:rPr>
          <w:rFonts w:hint="eastAsia" w:ascii="宋体" w:hAnsi="宋体" w:eastAsia="宋体" w:cs="宋体"/>
          <w:sz w:val="24"/>
          <w:szCs w:val="24"/>
          <w:lang w:val="en-US" w:eastAsia="zh-CN"/>
        </w:rPr>
      </w:pPr>
      <w:r>
        <w:rPr>
          <w:rFonts w:hint="eastAsia" w:ascii="宋体" w:hAnsi="宋体" w:eastAsia="宋体" w:cs="宋体"/>
          <w:color w:val="000000" w:themeColor="text1"/>
          <w:sz w:val="24"/>
          <w:szCs w:val="24"/>
          <w:lang w:val="en-US" w:eastAsia="zh-CN"/>
          <w14:textFill>
            <w14:solidFill>
              <w14:schemeClr w14:val="tx1"/>
            </w14:solidFill>
          </w14:textFill>
        </w:rPr>
        <w:t>18.12</w:t>
      </w:r>
      <w:r>
        <w:rPr>
          <w:rFonts w:hint="eastAsia" w:ascii="宋体" w:hAnsi="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支持偏中心肝位类CT采集</w:t>
      </w:r>
    </w:p>
    <w:p w14:paraId="3D7BBFCB">
      <w:pPr>
        <w:numPr>
          <w:ilvl w:val="0"/>
          <w:numId w:val="3"/>
        </w:numPr>
        <w:spacing w:line="36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具备实时引导三维路径图功能</w:t>
      </w:r>
    </w:p>
    <w:p w14:paraId="30678AF0">
      <w:pPr>
        <w:numPr>
          <w:ilvl w:val="0"/>
          <w:numId w:val="3"/>
        </w:numPr>
        <w:spacing w:line="36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具备多模态融合引导功能</w:t>
      </w:r>
    </w:p>
    <w:p w14:paraId="1402AE3D">
      <w:pPr>
        <w:numPr>
          <w:ilvl w:val="0"/>
          <w:numId w:val="3"/>
        </w:numPr>
        <w:spacing w:line="36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具备患者正常呼吸模式下DSA：在呼吸运动部位（如肺部、肝脏等），术中患者无需憋气即正常呼吸模式下采集获得高清DSA图像，有效消除由呼吸运动带来的运动伪影技术，提升减影效果</w:t>
      </w:r>
    </w:p>
    <w:p w14:paraId="528181CF">
      <w:pPr>
        <w:numPr>
          <w:ilvl w:val="0"/>
          <w:numId w:val="3"/>
        </w:numPr>
        <w:spacing w:line="36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支持使用 CO2 作为示踪剂进行血管造影</w:t>
      </w:r>
    </w:p>
    <w:p w14:paraId="73082C1B">
      <w:pPr>
        <w:numPr>
          <w:ilvl w:val="0"/>
          <w:numId w:val="3"/>
        </w:numPr>
        <w:spacing w:line="36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并行工作流程优化功能</w:t>
      </w:r>
    </w:p>
    <w:p w14:paraId="6E5B4F6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23.1术中可执行像素位移和测量分析功能</w:t>
      </w:r>
    </w:p>
    <w:p w14:paraId="2A255279">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23.2透视或曝光时可进行图像处理和存档浏览等工作，可独立运行</w:t>
      </w:r>
    </w:p>
    <w:p w14:paraId="73409F7E">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23.3可同时浏览两个序列</w:t>
      </w:r>
    </w:p>
    <w:p w14:paraId="4A0FC0AC">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23.4可同时处理不同病人的信息</w:t>
      </w:r>
    </w:p>
    <w:p w14:paraId="39BDDA6D">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23.5可在术中可进行上一个病人的报告编写</w:t>
      </w:r>
    </w:p>
    <w:p w14:paraId="30B29183">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23.6可在术中准备下一个病人的信息输入</w:t>
      </w:r>
    </w:p>
    <w:p w14:paraId="237E0164">
      <w:pPr>
        <w:numPr>
          <w:ilvl w:val="0"/>
          <w:numId w:val="0"/>
        </w:numPr>
        <w:adjustRightInd w:val="0"/>
        <w:spacing w:line="360" w:lineRule="auto"/>
        <w:jc w:val="both"/>
        <w:rPr>
          <w:rFonts w:hint="eastAsia" w:ascii="宋体" w:hAnsi="宋体" w:cs="宋体"/>
          <w:b/>
          <w:bCs/>
          <w:color w:val="auto"/>
          <w:sz w:val="24"/>
          <w:szCs w:val="24"/>
          <w:highlight w:val="none"/>
          <w:shd w:val="clear" w:color="auto" w:fill="auto"/>
          <w:lang w:val="en-US" w:eastAsia="zh-CN"/>
        </w:rPr>
      </w:pPr>
      <w:r>
        <w:rPr>
          <w:rFonts w:hint="eastAsia" w:ascii="宋体" w:hAnsi="宋体" w:cs="宋体"/>
          <w:b/>
          <w:bCs/>
          <w:color w:val="auto"/>
          <w:sz w:val="24"/>
          <w:szCs w:val="24"/>
          <w:highlight w:val="none"/>
          <w:shd w:val="clear" w:color="auto" w:fill="auto"/>
          <w:lang w:val="en-US" w:eastAsia="zh-CN"/>
        </w:rPr>
        <w:t>24.第三方配置产品要求：</w:t>
      </w:r>
    </w:p>
    <w:p w14:paraId="28749934">
      <w:pPr>
        <w:numPr>
          <w:ilvl w:val="0"/>
          <w:numId w:val="0"/>
        </w:numPr>
        <w:adjustRightInd w:val="0"/>
        <w:spacing w:line="360" w:lineRule="auto"/>
        <w:jc w:val="both"/>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24.1高压造影注射系统（悬吊式）1套</w:t>
      </w:r>
    </w:p>
    <w:p w14:paraId="17FA51BF">
      <w:pPr>
        <w:numPr>
          <w:ilvl w:val="0"/>
          <w:numId w:val="0"/>
        </w:numPr>
        <w:adjustRightInd w:val="0"/>
        <w:spacing w:line="360" w:lineRule="auto"/>
        <w:jc w:val="both"/>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24.1.1 注射速率: 0.1～50ml/s，步长 0.1ml/s</w:t>
      </w:r>
    </w:p>
    <w:p w14:paraId="6342410A">
      <w:pPr>
        <w:numPr>
          <w:ilvl w:val="0"/>
          <w:numId w:val="0"/>
        </w:numPr>
        <w:adjustRightInd w:val="0"/>
        <w:spacing w:line="360" w:lineRule="auto"/>
        <w:jc w:val="both"/>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24.1.2 多阶段注射功能: 1-12 阶段</w:t>
      </w:r>
    </w:p>
    <w:p w14:paraId="58996B52">
      <w:pPr>
        <w:numPr>
          <w:ilvl w:val="0"/>
          <w:numId w:val="0"/>
        </w:numPr>
        <w:adjustRightInd w:val="0"/>
        <w:spacing w:line="360" w:lineRule="auto"/>
        <w:jc w:val="both"/>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24.1.3 注射头屏幕显示方向根据注射头旋转角度自适应调整</w:t>
      </w:r>
    </w:p>
    <w:p w14:paraId="43D805BC">
      <w:pPr>
        <w:numPr>
          <w:ilvl w:val="0"/>
          <w:numId w:val="0"/>
        </w:numPr>
        <w:adjustRightInd w:val="0"/>
        <w:spacing w:line="360" w:lineRule="auto"/>
        <w:jc w:val="both"/>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24.1.4 机头屏幕具备锁控按钮，激活后方可操作屏幕</w:t>
      </w:r>
    </w:p>
    <w:p w14:paraId="794272A8">
      <w:pPr>
        <w:numPr>
          <w:ilvl w:val="0"/>
          <w:numId w:val="0"/>
        </w:numPr>
        <w:adjustRightInd w:val="0"/>
        <w:spacing w:line="360" w:lineRule="auto"/>
        <w:jc w:val="both"/>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24.1.5 机头具备压力曲线功能</w:t>
      </w:r>
    </w:p>
    <w:p w14:paraId="703B2E67">
      <w:pPr>
        <w:numPr>
          <w:ilvl w:val="0"/>
          <w:numId w:val="0"/>
        </w:numPr>
        <w:adjustRightInd w:val="0"/>
        <w:spacing w:line="360" w:lineRule="auto"/>
        <w:jc w:val="both"/>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24.1.6 安装方式：悬吊</w:t>
      </w:r>
    </w:p>
    <w:p w14:paraId="203CF9EE">
      <w:pPr>
        <w:numPr>
          <w:ilvl w:val="0"/>
          <w:numId w:val="0"/>
        </w:numPr>
        <w:adjustRightInd w:val="0"/>
        <w:spacing w:line="360" w:lineRule="auto"/>
        <w:jc w:val="both"/>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24.2介入防护附属用具：无铅轻质防护服共4套（含防护服、防护帽、围脖、眼镜）。铅手套2双。</w:t>
      </w:r>
    </w:p>
    <w:p w14:paraId="6CB93B90">
      <w:pPr>
        <w:numPr>
          <w:ilvl w:val="0"/>
          <w:numId w:val="0"/>
        </w:numPr>
        <w:adjustRightInd w:val="0"/>
        <w:spacing w:line="360" w:lineRule="auto"/>
        <w:jc w:val="both"/>
        <w:rPr>
          <w:rFonts w:hint="default"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24.3 报告工作站 1台</w:t>
      </w:r>
    </w:p>
    <w:p w14:paraId="24A37D85">
      <w:pPr>
        <w:numPr>
          <w:ilvl w:val="0"/>
          <w:numId w:val="0"/>
        </w:numPr>
        <w:adjustRightInd w:val="0"/>
        <w:spacing w:line="360" w:lineRule="auto"/>
        <w:jc w:val="both"/>
        <w:rPr>
          <w:rFonts w:hint="eastAsia" w:ascii="宋体" w:hAnsi="宋体" w:cs="宋体"/>
          <w:b w:val="0"/>
          <w:bCs w:val="0"/>
          <w:color w:val="auto"/>
          <w:sz w:val="24"/>
          <w:szCs w:val="24"/>
          <w:highlight w:val="none"/>
          <w:shd w:val="clear" w:color="auto" w:fill="auto"/>
          <w:lang w:val="en-US" w:eastAsia="zh-CN"/>
        </w:rPr>
      </w:pPr>
    </w:p>
    <w:p w14:paraId="12D19FB1">
      <w:pPr>
        <w:widowControl/>
        <w:spacing w:line="360" w:lineRule="auto"/>
        <w:jc w:val="left"/>
        <w:rPr>
          <w:rFonts w:ascii="宋体" w:hAnsi="宋体" w:cs="宋体"/>
          <w:b/>
          <w:bCs/>
          <w:color w:val="000000"/>
          <w:kern w:val="0"/>
        </w:rPr>
      </w:pPr>
      <w:r>
        <w:rPr>
          <w:rFonts w:ascii="宋体" w:hAnsi="宋体" w:cs="宋体"/>
          <w:b/>
          <w:bCs/>
          <w:color w:val="000000"/>
          <w:kern w:val="0"/>
        </w:rPr>
        <w:t>备注</w:t>
      </w:r>
      <w:r>
        <w:rPr>
          <w:rFonts w:hint="eastAsia" w:ascii="宋体" w:hAnsi="宋体" w:cs="宋体"/>
          <w:b/>
          <w:bCs/>
          <w:color w:val="000000"/>
          <w:kern w:val="0"/>
        </w:rPr>
        <w:t>：投标人应保障投标文件中提供的相关证明材料的真实性，如发现虚假应标，除上报财政部门进行相应处罚外，采购人有权将经查实虚假应标的有关材料上报至行政主管部门并通报给本地区其他医疗机构，并将投标人及制造商（如涉及到）列入本单位不诚信企业名单，后续其他采购活动开展时将予以着重考量。</w:t>
      </w:r>
    </w:p>
    <w:p w14:paraId="2706AF8C">
      <w:pPr>
        <w:numPr>
          <w:ilvl w:val="0"/>
          <w:numId w:val="0"/>
        </w:numPr>
        <w:adjustRightInd w:val="0"/>
        <w:spacing w:line="360" w:lineRule="auto"/>
        <w:jc w:val="both"/>
        <w:rPr>
          <w:rFonts w:hint="eastAsia" w:ascii="宋体" w:hAnsi="宋体" w:cs="宋体"/>
          <w:b/>
          <w:bCs/>
          <w:color w:val="auto"/>
          <w:sz w:val="24"/>
          <w:szCs w:val="24"/>
          <w:highlight w:val="none"/>
          <w:shd w:val="clear" w:color="auto" w:fill="auto"/>
          <w:lang w:val="en-US" w:eastAsia="zh-CN"/>
        </w:rPr>
      </w:pPr>
    </w:p>
    <w:p w14:paraId="25FA80BC">
      <w:pPr>
        <w:numPr>
          <w:ilvl w:val="0"/>
          <w:numId w:val="0"/>
        </w:numPr>
        <w:adjustRightInd w:val="0"/>
        <w:spacing w:line="360" w:lineRule="auto"/>
        <w:jc w:val="both"/>
        <w:rPr>
          <w:rFonts w:hint="eastAsia" w:ascii="宋体" w:hAnsi="宋体" w:cs="宋体"/>
          <w:b/>
          <w:bCs/>
          <w:color w:val="auto"/>
          <w:sz w:val="24"/>
          <w:szCs w:val="24"/>
          <w:highlight w:val="none"/>
          <w:shd w:val="clear" w:color="auto" w:fill="auto"/>
          <w:lang w:val="en-US" w:eastAsia="zh-CN"/>
        </w:rPr>
      </w:pPr>
    </w:p>
    <w:p w14:paraId="12924BC7">
      <w:pPr>
        <w:numPr>
          <w:ilvl w:val="0"/>
          <w:numId w:val="0"/>
        </w:numPr>
        <w:adjustRightInd w:val="0"/>
        <w:spacing w:line="360" w:lineRule="auto"/>
        <w:jc w:val="center"/>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cs="宋体"/>
          <w:b/>
          <w:bCs/>
          <w:color w:val="auto"/>
          <w:sz w:val="24"/>
          <w:szCs w:val="24"/>
          <w:highlight w:val="none"/>
          <w:shd w:val="clear" w:color="auto" w:fill="auto"/>
          <w:lang w:val="en-US" w:eastAsia="zh-CN"/>
        </w:rPr>
        <w:t xml:space="preserve">第三节 </w:t>
      </w:r>
      <w:r>
        <w:rPr>
          <w:rFonts w:hint="eastAsia" w:ascii="宋体" w:hAnsi="宋体" w:eastAsia="宋体" w:cs="宋体"/>
          <w:b/>
          <w:bCs/>
          <w:color w:val="auto"/>
          <w:sz w:val="24"/>
          <w:szCs w:val="24"/>
          <w:highlight w:val="none"/>
          <w:shd w:val="clear" w:color="auto" w:fill="auto"/>
          <w:lang w:val="en-US" w:eastAsia="zh-CN"/>
        </w:rPr>
        <w:t>商务要求</w:t>
      </w:r>
    </w:p>
    <w:p w14:paraId="7DE42E9C">
      <w:pPr>
        <w:spacing w:line="360" w:lineRule="auto"/>
        <w:rPr>
          <w:rFonts w:hint="eastAsia" w:ascii="宋体" w:hAnsi="宋体" w:eastAsia="宋体" w:cs="宋体"/>
          <w:b/>
          <w:bCs w:val="0"/>
          <w:snapToGrid w:val="0"/>
          <w:sz w:val="24"/>
          <w:szCs w:val="24"/>
        </w:rPr>
      </w:pPr>
      <w:r>
        <w:rPr>
          <w:rFonts w:hint="eastAsia"/>
          <w:lang w:val="en-US" w:eastAsia="zh-CN"/>
        </w:rPr>
        <w:t>1、</w:t>
      </w:r>
      <w:r>
        <w:rPr>
          <w:rFonts w:hint="eastAsia" w:ascii="宋体" w:hAnsi="宋体" w:eastAsia="宋体" w:cs="宋体"/>
          <w:b/>
          <w:bCs w:val="0"/>
          <w:snapToGrid w:val="0"/>
          <w:sz w:val="24"/>
          <w:szCs w:val="24"/>
        </w:rPr>
        <w:t>质量保证</w:t>
      </w:r>
    </w:p>
    <w:p w14:paraId="6E92A1EE">
      <w:pPr>
        <w:numPr>
          <w:ilvl w:val="0"/>
          <w:numId w:val="0"/>
        </w:numPr>
        <w:spacing w:line="360" w:lineRule="auto"/>
        <w:ind w:leftChars="0"/>
        <w:rPr>
          <w:rFonts w:hint="eastAsia" w:ascii="宋体" w:hAnsi="宋体" w:eastAsia="宋体" w:cs="宋体"/>
          <w:color w:val="000000"/>
          <w:sz w:val="24"/>
          <w:szCs w:val="24"/>
        </w:rPr>
      </w:pPr>
      <w:r>
        <w:rPr>
          <w:rFonts w:hint="eastAsia" w:ascii="宋体" w:hAnsi="宋体" w:eastAsia="宋体" w:cs="宋体"/>
          <w:bCs/>
          <w:snapToGrid w:val="0"/>
          <w:sz w:val="24"/>
          <w:szCs w:val="24"/>
        </w:rPr>
        <w:t xml:space="preserve">1 </w:t>
      </w:r>
      <w:r>
        <w:rPr>
          <w:rFonts w:hint="eastAsia" w:ascii="宋体" w:hAnsi="宋体" w:eastAsia="宋体" w:cs="宋体"/>
          <w:bCs/>
          <w:snapToGrid w:val="0"/>
          <w:sz w:val="24"/>
          <w:szCs w:val="24"/>
          <w:lang w:eastAsia="zh-CN"/>
        </w:rPr>
        <w:t>）</w:t>
      </w:r>
      <w:r>
        <w:rPr>
          <w:rFonts w:hint="eastAsia" w:ascii="宋体" w:hAnsi="宋体" w:eastAsia="宋体" w:cs="宋体"/>
          <w:color w:val="000000"/>
          <w:sz w:val="24"/>
          <w:szCs w:val="24"/>
        </w:rPr>
        <w:t>针对本项目提供所有设施、设备整</w:t>
      </w:r>
      <w:r>
        <w:rPr>
          <w:rFonts w:hint="eastAsia" w:ascii="宋体" w:hAnsi="宋体" w:eastAsia="宋体" w:cs="宋体"/>
          <w:color w:val="000000"/>
          <w:sz w:val="24"/>
          <w:szCs w:val="24"/>
          <w:lang w:val="en-US" w:eastAsia="zh-CN"/>
        </w:rPr>
        <w:t>机</w:t>
      </w:r>
      <w:r>
        <w:rPr>
          <w:rFonts w:hint="eastAsia" w:ascii="宋体" w:hAnsi="宋体" w:eastAsia="宋体" w:cs="宋体"/>
          <w:color w:val="000000"/>
          <w:sz w:val="24"/>
          <w:szCs w:val="24"/>
        </w:rPr>
        <w:t>质保</w:t>
      </w:r>
      <w:r>
        <w:rPr>
          <w:rFonts w:hint="eastAsia" w:ascii="宋体" w:hAnsi="宋体" w:cs="宋体"/>
          <w:color w:val="000000"/>
          <w:sz w:val="24"/>
          <w:szCs w:val="24"/>
          <w:lang w:val="en-US" w:eastAsia="zh-CN"/>
        </w:rPr>
        <w:t>服务</w:t>
      </w:r>
      <w:r>
        <w:rPr>
          <w:rFonts w:hint="eastAsia" w:ascii="宋体" w:hAnsi="宋体" w:eastAsia="宋体" w:cs="宋体"/>
          <w:color w:val="000000"/>
          <w:sz w:val="24"/>
          <w:szCs w:val="24"/>
        </w:rPr>
        <w:t>，质保期从验收合格之日开始计算，质保期内所有服务内容都需免费上门服务，并要求售后服务技术专员提供 24 小时内上门服务。</w:t>
      </w:r>
    </w:p>
    <w:p w14:paraId="2BF82B82">
      <w:pPr>
        <w:numPr>
          <w:ilvl w:val="0"/>
          <w:numId w:val="4"/>
        </w:numPr>
        <w:spacing w:line="360" w:lineRule="auto"/>
        <w:ind w:leftChars="0"/>
        <w:rPr>
          <w:rFonts w:hint="eastAsia" w:ascii="宋体" w:hAnsi="宋体" w:eastAsia="宋体" w:cs="宋体"/>
          <w:color w:val="000000"/>
          <w:sz w:val="24"/>
          <w:szCs w:val="24"/>
        </w:rPr>
      </w:pPr>
      <w:r>
        <w:rPr>
          <w:rFonts w:hint="eastAsia" w:ascii="宋体" w:hAnsi="宋体" w:eastAsia="宋体" w:cs="宋体"/>
          <w:color w:val="000000"/>
          <w:sz w:val="24"/>
          <w:szCs w:val="24"/>
        </w:rPr>
        <w:t>供应商提供的货物应是全新原装合格正品，外观和内在质量都不得有任何异常问题，凡有拆封迹象，采购人可要求退货。供应商供货时，应与采购人当面验收、清点、确保产品型号吻合。采购人有权对供应商提供的所有货物（包括材质及配件）进行检测，如发现有质量问题或与成交品牌、规格不符或以次充好，采购人有权退货并终止合同，所产生的损失及费用由供应商承担。</w:t>
      </w:r>
    </w:p>
    <w:p w14:paraId="7FA883BC">
      <w:pPr>
        <w:numPr>
          <w:ilvl w:val="0"/>
          <w:numId w:val="4"/>
        </w:numPr>
        <w:spacing w:line="360" w:lineRule="auto"/>
        <w:ind w:leftChars="0"/>
        <w:rPr>
          <w:rFonts w:hint="eastAsia" w:ascii="宋体" w:hAnsi="宋体" w:eastAsia="宋体" w:cs="宋体"/>
          <w:color w:val="000000"/>
          <w:sz w:val="24"/>
          <w:szCs w:val="24"/>
        </w:rPr>
      </w:pPr>
      <w:r>
        <w:rPr>
          <w:rFonts w:hint="eastAsia" w:ascii="宋体" w:hAnsi="宋体" w:eastAsia="宋体" w:cs="宋体"/>
          <w:color w:val="000000"/>
          <w:sz w:val="24"/>
          <w:szCs w:val="24"/>
        </w:rPr>
        <w:t>成交供应商保证所提供的产品在正确安装、正常使用和维护保养的情况下，具有使采购方满意的使用性能和使用寿命。</w:t>
      </w:r>
    </w:p>
    <w:p w14:paraId="78E64F25">
      <w:pPr>
        <w:numPr>
          <w:ilvl w:val="0"/>
          <w:numId w:val="0"/>
        </w:numPr>
        <w:spacing w:line="360" w:lineRule="auto"/>
        <w:ind w:leftChars="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成交供应商应提供产品使用说明书、维修保养手册以及中标人认为有必要提供的其他文件和技术资料。</w:t>
      </w:r>
    </w:p>
    <w:p w14:paraId="5F61CD1B">
      <w:pPr>
        <w:adjustRightInd w:val="0"/>
        <w:snapToGrid w:val="0"/>
        <w:spacing w:line="360" w:lineRule="auto"/>
        <w:rPr>
          <w:rFonts w:hint="eastAsia" w:ascii="宋体" w:hAnsi="宋体" w:eastAsia="宋体" w:cs="宋体"/>
          <w:bCs/>
          <w:snapToGrid w:val="0"/>
          <w:sz w:val="24"/>
          <w:szCs w:val="24"/>
        </w:rPr>
      </w:pPr>
      <w:r>
        <w:rPr>
          <w:rFonts w:hint="eastAsia" w:ascii="宋体" w:hAnsi="宋体" w:eastAsia="宋体" w:cs="宋体"/>
          <w:bCs/>
          <w:snapToGrid w:val="0"/>
          <w:sz w:val="24"/>
          <w:szCs w:val="24"/>
          <w:lang w:val="en-US" w:eastAsia="zh-CN"/>
        </w:rPr>
        <w:t>5</w:t>
      </w:r>
      <w:r>
        <w:rPr>
          <w:rFonts w:hint="eastAsia" w:ascii="宋体" w:hAnsi="宋体" w:eastAsia="宋体" w:cs="宋体"/>
          <w:bCs/>
          <w:snapToGrid w:val="0"/>
          <w:sz w:val="24"/>
          <w:szCs w:val="24"/>
        </w:rPr>
        <w:t xml:space="preserve"> </w:t>
      </w:r>
      <w:r>
        <w:rPr>
          <w:rFonts w:hint="eastAsia" w:ascii="宋体" w:hAnsi="宋体" w:cs="宋体"/>
          <w:bCs/>
          <w:snapToGrid w:val="0"/>
          <w:sz w:val="24"/>
          <w:szCs w:val="24"/>
          <w:lang w:eastAsia="zh-CN"/>
        </w:rPr>
        <w:t>）</w:t>
      </w:r>
      <w:r>
        <w:rPr>
          <w:rFonts w:hint="eastAsia" w:ascii="宋体" w:hAnsi="宋体" w:eastAsia="宋体" w:cs="宋体"/>
          <w:bCs/>
          <w:snapToGrid w:val="0"/>
          <w:sz w:val="24"/>
          <w:szCs w:val="24"/>
        </w:rPr>
        <w:t>在服务保证期内，凡出现服务质量问题，由成交服务商负责处理，直至符合服务要求或在采购方同意的前提下，另行处理。成交人承担期间发生的一切费用和采购人的直接经济损失。</w:t>
      </w:r>
    </w:p>
    <w:p w14:paraId="20E3FFDB">
      <w:pPr>
        <w:pStyle w:val="3"/>
        <w:rPr>
          <w:rFonts w:hint="default" w:eastAsia="宋体"/>
          <w:b w:val="0"/>
          <w:bCs w:val="0"/>
          <w:highlight w:val="none"/>
          <w:lang w:val="en-US" w:eastAsia="zh-CN"/>
        </w:rPr>
      </w:pPr>
      <w:r>
        <w:rPr>
          <w:rFonts w:hint="eastAsia" w:ascii="宋体" w:hAnsi="宋体" w:cs="宋体"/>
          <w:b w:val="0"/>
          <w:bCs w:val="0"/>
          <w:snapToGrid w:val="0"/>
          <w:sz w:val="24"/>
          <w:szCs w:val="24"/>
          <w:highlight w:val="none"/>
          <w:lang w:val="en-US" w:eastAsia="zh-CN"/>
        </w:rPr>
        <w:t>6）</w:t>
      </w:r>
      <w:r>
        <w:rPr>
          <w:rFonts w:hint="eastAsia" w:ascii="宋体" w:hAnsi="宋体" w:eastAsia="宋体" w:cs="宋体"/>
          <w:b w:val="0"/>
          <w:bCs w:val="0"/>
          <w:color w:val="000000"/>
          <w:sz w:val="24"/>
          <w:szCs w:val="24"/>
          <w:highlight w:val="none"/>
        </w:rPr>
        <w:t>供应商提供货物</w:t>
      </w:r>
      <w:r>
        <w:rPr>
          <w:rFonts w:hint="eastAsia" w:ascii="宋体" w:hAnsi="宋体" w:cs="宋体"/>
          <w:b w:val="0"/>
          <w:bCs w:val="0"/>
          <w:color w:val="000000"/>
          <w:sz w:val="24"/>
          <w:szCs w:val="24"/>
          <w:highlight w:val="none"/>
          <w:lang w:val="en-US" w:eastAsia="zh-CN"/>
        </w:rPr>
        <w:t>的出厂日期至交付日期不得超过六个月。</w:t>
      </w:r>
    </w:p>
    <w:p w14:paraId="311E9100">
      <w:pPr>
        <w:pStyle w:val="5"/>
        <w:rPr>
          <w:rFonts w:hint="eastAsia" w:ascii="宋体" w:hAnsi="宋体" w:eastAsia="宋体" w:cs="宋体"/>
          <w:color w:val="000000"/>
          <w:kern w:val="2"/>
          <w:sz w:val="24"/>
          <w:szCs w:val="24"/>
          <w:lang w:val="en-US" w:eastAsia="zh-CN" w:bidi="ar-SA"/>
        </w:rPr>
      </w:pPr>
      <w:r>
        <w:rPr>
          <w:rFonts w:hint="eastAsia" w:ascii="宋体" w:hAnsi="宋体" w:cs="宋体"/>
          <w:b/>
          <w:bCs w:val="0"/>
          <w:snapToGrid w:val="0"/>
          <w:sz w:val="24"/>
          <w:szCs w:val="24"/>
          <w:lang w:val="en-US" w:eastAsia="zh-CN"/>
        </w:rPr>
        <w:t>2</w:t>
      </w:r>
      <w:r>
        <w:rPr>
          <w:rFonts w:hint="eastAsia" w:ascii="宋体" w:hAnsi="宋体" w:eastAsia="宋体" w:cs="宋体"/>
          <w:b/>
          <w:bCs w:val="0"/>
          <w:snapToGrid w:val="0"/>
          <w:sz w:val="24"/>
          <w:szCs w:val="24"/>
        </w:rPr>
        <w:t>、</w:t>
      </w:r>
      <w:r>
        <w:rPr>
          <w:rFonts w:hint="eastAsia" w:ascii="宋体" w:hAnsi="宋体" w:eastAsia="宋体" w:cs="宋体"/>
          <w:b/>
          <w:bCs/>
          <w:color w:val="000000"/>
          <w:kern w:val="2"/>
          <w:sz w:val="24"/>
          <w:szCs w:val="24"/>
          <w:lang w:val="en-US" w:eastAsia="zh-CN" w:bidi="ar-SA"/>
        </w:rPr>
        <w:t>附件及零配件（包括专用工具）、备品备件的要求</w:t>
      </w:r>
      <w:r>
        <w:rPr>
          <w:rFonts w:hint="eastAsia" w:ascii="宋体" w:hAnsi="宋体" w:eastAsia="宋体" w:cs="宋体"/>
          <w:color w:val="000000"/>
          <w:kern w:val="2"/>
          <w:sz w:val="24"/>
          <w:szCs w:val="24"/>
          <w:lang w:val="en-US" w:eastAsia="zh-CN" w:bidi="ar-SA"/>
        </w:rPr>
        <w:t xml:space="preserve"> </w:t>
      </w:r>
    </w:p>
    <w:p w14:paraId="1D2B4113">
      <w:pPr>
        <w:pStyle w:val="5"/>
        <w:spacing w:line="360" w:lineRule="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1）投标人应在投标文件中提供按出厂标准供应的主要备品备件价格清单及其制造商名称、地址</w:t>
      </w:r>
      <w:r>
        <w:rPr>
          <w:rFonts w:hint="eastAsia" w:ascii="宋体" w:hAnsi="宋体" w:cs="宋体"/>
          <w:color w:val="000000"/>
          <w:kern w:val="2"/>
          <w:sz w:val="24"/>
          <w:szCs w:val="24"/>
          <w:lang w:val="en-US" w:eastAsia="zh-CN" w:bidi="ar-SA"/>
        </w:rPr>
        <w:t>，备品备件价格不能高于市场价90%</w:t>
      </w:r>
      <w:r>
        <w:rPr>
          <w:rFonts w:hint="eastAsia" w:ascii="宋体" w:hAnsi="宋体" w:eastAsia="宋体" w:cs="宋体"/>
          <w:color w:val="000000"/>
          <w:kern w:val="2"/>
          <w:sz w:val="24"/>
          <w:szCs w:val="24"/>
          <w:lang w:val="en-US" w:eastAsia="zh-CN" w:bidi="ar-SA"/>
        </w:rPr>
        <w:t xml:space="preserve">。如招标人质保期后购买备品备件，其价格不能超过此清单价格。 </w:t>
      </w:r>
    </w:p>
    <w:p w14:paraId="6017AC9E">
      <w:pPr>
        <w:pStyle w:val="6"/>
        <w:spacing w:line="360" w:lineRule="auto"/>
        <w:ind w:left="0" w:leftChars="0" w:firstLine="0" w:firstLineChars="0"/>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lang w:val="en-US" w:eastAsia="zh-CN" w:bidi="ar-SA"/>
        </w:rPr>
        <w:t>2）为保证设备正常运行，卖方应在中国境内设置备件库，存入所有必须的备件</w:t>
      </w:r>
      <w:r>
        <w:rPr>
          <w:rFonts w:hint="eastAsia" w:ascii="宋体" w:hAnsi="宋体" w:eastAsia="宋体" w:cs="宋体"/>
          <w:color w:val="000000"/>
          <w:kern w:val="2"/>
          <w:sz w:val="24"/>
          <w:szCs w:val="24"/>
          <w:highlight w:val="none"/>
          <w:lang w:val="en-US" w:eastAsia="zh-CN" w:bidi="ar-SA"/>
        </w:rPr>
        <w:t>，并保证10年以上的供应期。</w:t>
      </w:r>
      <w:r>
        <w:rPr>
          <w:rFonts w:hint="eastAsia" w:ascii="宋体" w:hAnsi="宋体" w:cs="宋体"/>
          <w:color w:val="000000"/>
          <w:kern w:val="2"/>
          <w:sz w:val="24"/>
          <w:szCs w:val="24"/>
          <w:highlight w:val="none"/>
          <w:lang w:val="en-US" w:eastAsia="zh-CN" w:bidi="ar-SA"/>
        </w:rPr>
        <w:t>（提供生产厂家出具的的承诺函）</w:t>
      </w:r>
    </w:p>
    <w:p w14:paraId="3B5B9FEB">
      <w:pPr>
        <w:spacing w:line="360" w:lineRule="auto"/>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kern w:val="2"/>
          <w:sz w:val="24"/>
          <w:szCs w:val="24"/>
          <w:highlight w:val="none"/>
          <w:lang w:val="en-US" w:eastAsia="zh-CN" w:bidi="ar-SA"/>
        </w:rPr>
        <w:t>3、安装调试及验收</w:t>
      </w:r>
    </w:p>
    <w:p w14:paraId="4A7FA25D">
      <w:pPr>
        <w:pStyle w:val="5"/>
        <w:spacing w:line="360" w:lineRule="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 xml:space="preserve">1） 中标人配合和指导招标人对货物储存、安装和使用场地的建设或改良（含配套设施及条件），确保货物达到规定的使用环境，保证使用条件安全。 </w:t>
      </w:r>
    </w:p>
    <w:p w14:paraId="01E67B64">
      <w:pPr>
        <w:pStyle w:val="5"/>
        <w:spacing w:line="360" w:lineRule="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 xml:space="preserve">2） 在货物到达使用单位，现场场地符合安装条件后，招标人将通知中标人派技术人员进行安装调试。中标人应派技术人员在 </w:t>
      </w:r>
      <w:r>
        <w:rPr>
          <w:rFonts w:hint="eastAsia" w:ascii="宋体" w:hAnsi="宋体" w:cs="宋体"/>
          <w:color w:val="000000"/>
          <w:kern w:val="2"/>
          <w:sz w:val="24"/>
          <w:szCs w:val="24"/>
          <w:lang w:val="en-US" w:eastAsia="zh-CN" w:bidi="ar-SA"/>
        </w:rPr>
        <w:t>7</w:t>
      </w:r>
      <w:r>
        <w:rPr>
          <w:rFonts w:hint="eastAsia" w:ascii="宋体" w:hAnsi="宋体" w:eastAsia="宋体" w:cs="宋体"/>
          <w:color w:val="000000"/>
          <w:kern w:val="2"/>
          <w:sz w:val="24"/>
          <w:szCs w:val="24"/>
          <w:lang w:val="en-US" w:eastAsia="zh-CN" w:bidi="ar-SA"/>
        </w:rPr>
        <w:t>日内到达招标人指定安装地点，并在招标人技术人员在场的情况下开箱清点货物，组织安装、调试，并承担因此发生的一切费用。如中标人未在</w:t>
      </w:r>
      <w:r>
        <w:rPr>
          <w:rFonts w:hint="eastAsia" w:ascii="宋体" w:hAnsi="宋体" w:cs="宋体"/>
          <w:color w:val="000000"/>
          <w:kern w:val="2"/>
          <w:sz w:val="24"/>
          <w:szCs w:val="24"/>
          <w:lang w:val="en-US" w:eastAsia="zh-CN" w:bidi="ar-SA"/>
        </w:rPr>
        <w:t>3</w:t>
      </w:r>
      <w:r>
        <w:rPr>
          <w:rFonts w:hint="eastAsia" w:ascii="宋体" w:hAnsi="宋体" w:eastAsia="宋体" w:cs="宋体"/>
          <w:color w:val="000000"/>
          <w:kern w:val="2"/>
          <w:sz w:val="24"/>
          <w:szCs w:val="24"/>
          <w:lang w:val="en-US" w:eastAsia="zh-CN" w:bidi="ar-SA"/>
        </w:rPr>
        <w:t xml:space="preserve">日内到达招标人指定安装地点，招标人有权自行开箱安装调试。开箱如有缺货、错装、损坏或技术问题，中标人应承担全部责任。 </w:t>
      </w:r>
    </w:p>
    <w:p w14:paraId="79BA8358">
      <w:pPr>
        <w:pStyle w:val="5"/>
        <w:spacing w:line="360" w:lineRule="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 xml:space="preserve">3） 设备验收签字前如有任何质量问题，中标人必须无条件更换。 </w:t>
      </w:r>
    </w:p>
    <w:p w14:paraId="79E0A239">
      <w:pPr>
        <w:pStyle w:val="5"/>
        <w:spacing w:line="360" w:lineRule="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 xml:space="preserve">4） 中标人须承担货物验收前的财产保护责任，在验收前出现损坏由中标人负责。在安装运输过程中如出现人员伤亡及财产损坏由中标人承担赔偿责任。 </w:t>
      </w:r>
    </w:p>
    <w:p w14:paraId="60A5B30D">
      <w:pPr>
        <w:pStyle w:val="5"/>
        <w:spacing w:line="360" w:lineRule="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 xml:space="preserve">5）设备安装后，招标人按国家标准、厂方标准、医院验收制度流程及合同要求进行质量验收。中标人应向招标人提供详细的验收标准，验收手册和部分验收专用仪器，并承担相关费用。设备各项技术性能、指标必须达到合同和技术文件规定的要求。 </w:t>
      </w:r>
    </w:p>
    <w:p w14:paraId="1CCFBBA8">
      <w:pPr>
        <w:pStyle w:val="6"/>
        <w:spacing w:line="360" w:lineRule="auto"/>
        <w:ind w:left="0" w:leftChars="0" w:firstLine="0" w:firstLineChars="0"/>
        <w:rPr>
          <w:rFonts w:hint="default"/>
          <w:lang w:val="en-US" w:eastAsia="zh-CN"/>
        </w:rPr>
      </w:pPr>
      <w:r>
        <w:rPr>
          <w:rFonts w:hint="eastAsia" w:ascii="宋体" w:hAnsi="宋体" w:cs="宋体"/>
          <w:color w:val="000000"/>
          <w:kern w:val="2"/>
          <w:sz w:val="24"/>
          <w:szCs w:val="24"/>
          <w:lang w:val="en-US" w:eastAsia="zh-CN" w:bidi="ar-SA"/>
        </w:rPr>
        <w:t>6）中标人负责仪器设备与医院软件系统端口连接，保证仪器设备能够与医院系统兼容，数据互通，并承担接口费用。</w:t>
      </w:r>
    </w:p>
    <w:p w14:paraId="64C0EE65">
      <w:pPr>
        <w:spacing w:line="360" w:lineRule="auto"/>
        <w:rPr>
          <w:rFonts w:hint="eastAsia" w:ascii="宋体" w:hAnsi="宋体" w:eastAsia="宋体" w:cs="宋体"/>
          <w:b/>
          <w:bCs w:val="0"/>
          <w:snapToGrid w:val="0"/>
          <w:sz w:val="24"/>
          <w:szCs w:val="24"/>
        </w:rPr>
      </w:pPr>
      <w:r>
        <w:rPr>
          <w:rFonts w:hint="eastAsia" w:ascii="宋体" w:hAnsi="宋体" w:cs="宋体"/>
          <w:b/>
          <w:bCs w:val="0"/>
          <w:snapToGrid w:val="0"/>
          <w:sz w:val="24"/>
          <w:szCs w:val="24"/>
          <w:lang w:val="en-US" w:eastAsia="zh-CN"/>
        </w:rPr>
        <w:t>4</w:t>
      </w:r>
      <w:r>
        <w:rPr>
          <w:rFonts w:hint="eastAsia" w:ascii="宋体" w:hAnsi="宋体" w:eastAsia="宋体" w:cs="宋体"/>
          <w:b/>
          <w:bCs w:val="0"/>
          <w:snapToGrid w:val="0"/>
          <w:sz w:val="24"/>
          <w:szCs w:val="24"/>
        </w:rPr>
        <w:t>、售后服务</w:t>
      </w:r>
    </w:p>
    <w:p w14:paraId="5455E635">
      <w:pPr>
        <w:adjustRightInd w:val="0"/>
        <w:snapToGrid w:val="0"/>
        <w:spacing w:line="360" w:lineRule="auto"/>
        <w:rPr>
          <w:rFonts w:hint="default" w:ascii="宋体" w:hAnsi="宋体" w:eastAsia="宋体" w:cs="宋体"/>
          <w:b w:val="0"/>
          <w:bCs/>
          <w:snapToGrid w:val="0"/>
          <w:color w:val="auto"/>
          <w:sz w:val="24"/>
          <w:szCs w:val="24"/>
          <w:highlight w:val="none"/>
          <w:lang w:val="en-US" w:eastAsia="zh-CN"/>
        </w:rPr>
      </w:pPr>
      <w:r>
        <w:rPr>
          <w:rFonts w:hint="eastAsia" w:ascii="宋体" w:hAnsi="宋体" w:eastAsia="宋体" w:cs="宋体"/>
          <w:b w:val="0"/>
          <w:bCs/>
          <w:snapToGrid w:val="0"/>
          <w:color w:val="auto"/>
          <w:sz w:val="24"/>
          <w:szCs w:val="24"/>
          <w:highlight w:val="none"/>
          <w:lang w:val="en-US" w:eastAsia="zh-CN"/>
        </w:rPr>
        <w:t>★</w:t>
      </w:r>
      <w:r>
        <w:rPr>
          <w:rFonts w:hint="eastAsia" w:ascii="宋体" w:hAnsi="宋体" w:cs="宋体"/>
          <w:b w:val="0"/>
          <w:bCs/>
          <w:snapToGrid w:val="0"/>
          <w:color w:val="auto"/>
          <w:sz w:val="24"/>
          <w:szCs w:val="24"/>
          <w:highlight w:val="none"/>
          <w:lang w:val="en-US" w:eastAsia="zh-CN"/>
        </w:rPr>
        <w:t xml:space="preserve">  </w:t>
      </w:r>
      <w:r>
        <w:rPr>
          <w:rFonts w:hint="eastAsia" w:ascii="宋体" w:hAnsi="宋体" w:eastAsia="宋体" w:cs="宋体"/>
          <w:b w:val="0"/>
          <w:bCs/>
          <w:snapToGrid w:val="0"/>
          <w:color w:val="auto"/>
          <w:sz w:val="24"/>
          <w:szCs w:val="24"/>
          <w:highlight w:val="none"/>
          <w:lang w:val="en-US" w:eastAsia="zh-CN"/>
        </w:rPr>
        <w:t>1）</w:t>
      </w:r>
      <w:r>
        <w:rPr>
          <w:rFonts w:hint="eastAsia" w:ascii="宋体" w:hAnsi="宋体" w:eastAsia="宋体" w:cs="宋体"/>
          <w:b w:val="0"/>
          <w:bCs/>
          <w:snapToGrid w:val="0"/>
          <w:color w:val="auto"/>
          <w:sz w:val="24"/>
          <w:szCs w:val="24"/>
          <w:highlight w:val="none"/>
        </w:rPr>
        <w:t>投标人对</w:t>
      </w:r>
      <w:r>
        <w:rPr>
          <w:rFonts w:hint="eastAsia" w:ascii="宋体" w:hAnsi="宋体" w:cs="宋体"/>
          <w:b w:val="0"/>
          <w:bCs/>
          <w:snapToGrid w:val="0"/>
          <w:color w:val="auto"/>
          <w:sz w:val="24"/>
          <w:szCs w:val="24"/>
          <w:highlight w:val="none"/>
          <w:lang w:eastAsia="zh-CN"/>
        </w:rPr>
        <w:t>本项目</w:t>
      </w:r>
      <w:r>
        <w:rPr>
          <w:rFonts w:hint="eastAsia" w:ascii="宋体" w:hAnsi="宋体" w:eastAsia="宋体" w:cs="宋体"/>
          <w:b w:val="0"/>
          <w:bCs/>
          <w:snapToGrid w:val="0"/>
          <w:color w:val="auto"/>
          <w:sz w:val="24"/>
          <w:szCs w:val="24"/>
          <w:highlight w:val="none"/>
        </w:rPr>
        <w:t>所</w:t>
      </w:r>
      <w:r>
        <w:rPr>
          <w:rFonts w:hint="eastAsia" w:ascii="宋体" w:hAnsi="宋体" w:cs="宋体"/>
          <w:b w:val="0"/>
          <w:bCs/>
          <w:snapToGrid w:val="0"/>
          <w:color w:val="auto"/>
          <w:sz w:val="24"/>
          <w:szCs w:val="24"/>
          <w:highlight w:val="none"/>
          <w:lang w:eastAsia="zh-CN"/>
        </w:rPr>
        <w:t>投产品</w:t>
      </w:r>
      <w:r>
        <w:rPr>
          <w:rFonts w:hint="eastAsia" w:ascii="宋体" w:hAnsi="宋体" w:eastAsia="宋体" w:cs="宋体"/>
          <w:b w:val="0"/>
          <w:bCs/>
          <w:snapToGrid w:val="0"/>
          <w:color w:val="auto"/>
          <w:sz w:val="24"/>
          <w:szCs w:val="24"/>
          <w:highlight w:val="none"/>
        </w:rPr>
        <w:t>提供</w:t>
      </w:r>
      <w:r>
        <w:rPr>
          <w:rFonts w:hint="eastAsia" w:ascii="宋体" w:hAnsi="宋体" w:cs="宋体"/>
          <w:b w:val="0"/>
          <w:bCs/>
          <w:snapToGrid w:val="0"/>
          <w:color w:val="auto"/>
          <w:sz w:val="24"/>
          <w:szCs w:val="24"/>
          <w:highlight w:val="none"/>
          <w:lang w:val="en-US" w:eastAsia="zh-CN"/>
        </w:rPr>
        <w:t>5</w:t>
      </w:r>
      <w:r>
        <w:rPr>
          <w:rFonts w:hint="eastAsia" w:ascii="宋体" w:hAnsi="宋体" w:eastAsia="宋体" w:cs="宋体"/>
          <w:b w:val="0"/>
          <w:bCs/>
          <w:snapToGrid w:val="0"/>
          <w:color w:val="auto"/>
          <w:sz w:val="24"/>
          <w:szCs w:val="24"/>
          <w:highlight w:val="none"/>
        </w:rPr>
        <w:t>年</w:t>
      </w:r>
      <w:r>
        <w:rPr>
          <w:rFonts w:hint="eastAsia" w:ascii="宋体" w:hAnsi="宋体" w:eastAsia="宋体" w:cs="宋体"/>
          <w:b w:val="0"/>
          <w:bCs/>
          <w:snapToGrid w:val="0"/>
          <w:color w:val="auto"/>
          <w:sz w:val="24"/>
          <w:szCs w:val="24"/>
          <w:highlight w:val="none"/>
          <w:lang w:eastAsia="zh-CN"/>
        </w:rPr>
        <w:t>整机</w:t>
      </w:r>
      <w:r>
        <w:rPr>
          <w:rFonts w:hint="eastAsia" w:ascii="宋体" w:hAnsi="宋体" w:eastAsia="宋体" w:cs="宋体"/>
          <w:b w:val="0"/>
          <w:bCs/>
          <w:snapToGrid w:val="0"/>
          <w:color w:val="auto"/>
          <w:sz w:val="24"/>
          <w:szCs w:val="24"/>
          <w:highlight w:val="none"/>
        </w:rPr>
        <w:t>原厂</w:t>
      </w:r>
      <w:r>
        <w:rPr>
          <w:rFonts w:hint="eastAsia" w:ascii="宋体" w:hAnsi="宋体" w:eastAsia="宋体" w:cs="宋体"/>
          <w:b w:val="0"/>
          <w:bCs/>
          <w:snapToGrid w:val="0"/>
          <w:color w:val="auto"/>
          <w:sz w:val="24"/>
          <w:szCs w:val="24"/>
          <w:highlight w:val="none"/>
          <w:lang w:eastAsia="zh-CN"/>
        </w:rPr>
        <w:t>质保</w:t>
      </w:r>
      <w:r>
        <w:rPr>
          <w:rFonts w:hint="eastAsia" w:ascii="宋体" w:hAnsi="宋体" w:cs="宋体"/>
          <w:b w:val="0"/>
          <w:bCs/>
          <w:snapToGrid w:val="0"/>
          <w:color w:val="auto"/>
          <w:sz w:val="24"/>
          <w:szCs w:val="24"/>
          <w:highlight w:val="none"/>
          <w:lang w:eastAsia="zh-CN"/>
        </w:rPr>
        <w:t>售后</w:t>
      </w:r>
      <w:r>
        <w:rPr>
          <w:rFonts w:hint="eastAsia" w:ascii="宋体" w:hAnsi="宋体" w:eastAsia="宋体" w:cs="宋体"/>
          <w:b w:val="0"/>
          <w:bCs/>
          <w:snapToGrid w:val="0"/>
          <w:color w:val="auto"/>
          <w:sz w:val="24"/>
          <w:szCs w:val="24"/>
          <w:highlight w:val="none"/>
        </w:rPr>
        <w:t>服务</w:t>
      </w:r>
      <w:r>
        <w:rPr>
          <w:rFonts w:hint="eastAsia" w:ascii="宋体" w:hAnsi="宋体" w:cs="宋体"/>
          <w:b w:val="0"/>
          <w:bCs/>
          <w:snapToGrid w:val="0"/>
          <w:color w:val="auto"/>
          <w:sz w:val="24"/>
          <w:szCs w:val="24"/>
          <w:highlight w:val="none"/>
          <w:lang w:eastAsia="zh-CN"/>
        </w:rPr>
        <w:t>，</w:t>
      </w:r>
      <w:r>
        <w:rPr>
          <w:rFonts w:hint="eastAsia" w:ascii="宋体" w:hAnsi="宋体" w:cs="宋体"/>
          <w:b w:val="0"/>
          <w:bCs/>
          <w:snapToGrid w:val="0"/>
          <w:color w:val="auto"/>
          <w:sz w:val="24"/>
          <w:szCs w:val="24"/>
          <w:highlight w:val="none"/>
          <w:lang w:val="en-US" w:eastAsia="zh-CN"/>
        </w:rPr>
        <w:t>并提供原厂</w:t>
      </w:r>
      <w:r>
        <w:rPr>
          <w:rFonts w:hint="eastAsia" w:ascii="宋体" w:hAnsi="宋体" w:cs="宋体"/>
          <w:b w:val="0"/>
          <w:bCs/>
          <w:snapToGrid w:val="0"/>
          <w:color w:val="auto"/>
          <w:sz w:val="24"/>
          <w:szCs w:val="24"/>
          <w:highlight w:val="none"/>
          <w:u w:val="single"/>
          <w:lang w:val="en-US" w:eastAsia="zh-CN"/>
        </w:rPr>
        <w:t>免费</w:t>
      </w:r>
      <w:r>
        <w:rPr>
          <w:rFonts w:hint="eastAsia" w:ascii="宋体" w:hAnsi="宋体" w:cs="宋体"/>
          <w:b w:val="0"/>
          <w:bCs/>
          <w:snapToGrid w:val="0"/>
          <w:color w:val="auto"/>
          <w:sz w:val="24"/>
          <w:szCs w:val="24"/>
          <w:highlight w:val="none"/>
          <w:lang w:val="en-US" w:eastAsia="zh-CN"/>
        </w:rPr>
        <w:t>质保售后服务承诺书</w:t>
      </w:r>
      <w:r>
        <w:rPr>
          <w:rFonts w:hint="eastAsia" w:ascii="宋体" w:hAnsi="宋体" w:eastAsia="宋体" w:cs="宋体"/>
          <w:b w:val="0"/>
          <w:bCs/>
          <w:snapToGrid w:val="0"/>
          <w:color w:val="auto"/>
          <w:sz w:val="24"/>
          <w:szCs w:val="24"/>
          <w:highlight w:val="none"/>
        </w:rPr>
        <w:t>。</w:t>
      </w:r>
      <w:r>
        <w:rPr>
          <w:rFonts w:hint="eastAsia" w:ascii="宋体" w:hAnsi="宋体" w:cs="宋体"/>
          <w:b w:val="0"/>
          <w:bCs/>
          <w:snapToGrid w:val="0"/>
          <w:color w:val="auto"/>
          <w:sz w:val="24"/>
          <w:szCs w:val="24"/>
          <w:highlight w:val="none"/>
          <w:lang w:val="en-US" w:eastAsia="zh-CN"/>
        </w:rPr>
        <w:t>(本项目预算已包含5年质保服务费用，故质保期内维修或更换设备均由厂家免费提供，采购人不再承担任何费用。）</w:t>
      </w:r>
    </w:p>
    <w:p w14:paraId="4CF4CCEE">
      <w:pPr>
        <w:adjustRightInd w:val="0"/>
        <w:snapToGrid w:val="0"/>
        <w:spacing w:line="360" w:lineRule="auto"/>
        <w:ind w:firstLine="480" w:firstLineChars="200"/>
        <w:rPr>
          <w:rFonts w:hint="default" w:ascii="宋体" w:hAnsi="宋体" w:eastAsia="宋体" w:cs="宋体"/>
          <w:bCs/>
          <w:snapToGrid w:val="0"/>
          <w:color w:val="auto"/>
          <w:sz w:val="24"/>
          <w:szCs w:val="24"/>
          <w:highlight w:val="none"/>
          <w:lang w:val="en-US" w:eastAsia="zh-CN"/>
        </w:rPr>
      </w:pPr>
      <w:r>
        <w:rPr>
          <w:rFonts w:hint="eastAsia" w:ascii="宋体" w:hAnsi="宋体" w:eastAsia="宋体" w:cs="宋体"/>
          <w:bCs/>
          <w:snapToGrid w:val="0"/>
          <w:color w:val="auto"/>
          <w:sz w:val="24"/>
          <w:szCs w:val="24"/>
          <w:highlight w:val="none"/>
          <w:lang w:val="en-US" w:eastAsia="zh-CN"/>
        </w:rPr>
        <w:t>2）</w:t>
      </w:r>
      <w:r>
        <w:rPr>
          <w:rFonts w:hint="eastAsia" w:ascii="宋体" w:hAnsi="宋体" w:eastAsia="宋体" w:cs="宋体"/>
          <w:bCs/>
          <w:snapToGrid w:val="0"/>
          <w:color w:val="auto"/>
          <w:sz w:val="24"/>
          <w:szCs w:val="24"/>
          <w:highlight w:val="none"/>
        </w:rPr>
        <w:t>开机率 ≥ 9</w:t>
      </w:r>
      <w:r>
        <w:rPr>
          <w:rFonts w:hint="eastAsia" w:ascii="宋体" w:hAnsi="宋体" w:cs="宋体"/>
          <w:bCs/>
          <w:snapToGrid w:val="0"/>
          <w:color w:val="auto"/>
          <w:sz w:val="24"/>
          <w:szCs w:val="24"/>
          <w:highlight w:val="none"/>
          <w:lang w:val="en-US" w:eastAsia="zh-CN"/>
        </w:rPr>
        <w:t>5</w:t>
      </w:r>
      <w:r>
        <w:rPr>
          <w:rFonts w:hint="eastAsia" w:ascii="宋体" w:hAnsi="宋体" w:eastAsia="宋体" w:cs="宋体"/>
          <w:bCs/>
          <w:snapToGrid w:val="0"/>
          <w:color w:val="auto"/>
          <w:sz w:val="24"/>
          <w:szCs w:val="24"/>
          <w:highlight w:val="none"/>
        </w:rPr>
        <w:t>%，仪器故障要求12小时内应答，24小时形成解决方案。</w:t>
      </w:r>
    </w:p>
    <w:p w14:paraId="2A44E266">
      <w:pPr>
        <w:adjustRightInd w:val="0"/>
        <w:snapToGrid w:val="0"/>
        <w:spacing w:line="360" w:lineRule="auto"/>
        <w:ind w:firstLine="480" w:firstLineChars="200"/>
        <w:rPr>
          <w:rFonts w:hint="eastAsia" w:ascii="宋体" w:hAnsi="宋体" w:eastAsia="宋体" w:cs="宋体"/>
          <w:bCs/>
          <w:snapToGrid w:val="0"/>
          <w:sz w:val="24"/>
          <w:szCs w:val="24"/>
          <w:lang w:val="en-US" w:eastAsia="zh-CN"/>
        </w:rPr>
      </w:pPr>
      <w:r>
        <w:rPr>
          <w:rFonts w:hint="eastAsia" w:ascii="宋体" w:hAnsi="宋体" w:eastAsia="宋体" w:cs="宋体"/>
          <w:bCs/>
          <w:snapToGrid w:val="0"/>
          <w:sz w:val="24"/>
          <w:szCs w:val="24"/>
          <w:lang w:val="en-US" w:eastAsia="zh-CN"/>
        </w:rPr>
        <w:t>3）投标人（制造商或销售商）需在中国大陆地区设有售后服务机构和设施，并配备受过专业培训的售后服务人员。</w:t>
      </w:r>
    </w:p>
    <w:p w14:paraId="7A6E1C14">
      <w:pPr>
        <w:adjustRightInd w:val="0"/>
        <w:snapToGrid w:val="0"/>
        <w:spacing w:line="360" w:lineRule="auto"/>
        <w:ind w:firstLine="480" w:firstLineChars="200"/>
        <w:rPr>
          <w:rFonts w:hint="eastAsia" w:ascii="宋体" w:hAnsi="宋体" w:eastAsia="宋体" w:cs="宋体"/>
          <w:bCs/>
          <w:snapToGrid w:val="0"/>
          <w:sz w:val="24"/>
          <w:szCs w:val="24"/>
        </w:rPr>
      </w:pPr>
      <w:r>
        <w:rPr>
          <w:rFonts w:hint="eastAsia" w:ascii="宋体" w:hAnsi="宋体" w:eastAsia="宋体" w:cs="宋体"/>
          <w:bCs/>
          <w:snapToGrid w:val="0"/>
          <w:sz w:val="24"/>
          <w:szCs w:val="24"/>
          <w:lang w:val="en-US" w:eastAsia="zh-CN"/>
        </w:rPr>
        <w:t>4）</w:t>
      </w:r>
      <w:r>
        <w:rPr>
          <w:rFonts w:hint="eastAsia" w:ascii="宋体" w:hAnsi="宋体" w:eastAsia="宋体" w:cs="宋体"/>
          <w:bCs/>
          <w:snapToGrid w:val="0"/>
          <w:sz w:val="24"/>
          <w:szCs w:val="24"/>
        </w:rPr>
        <w:t>针对本服务项目提供的所有产品质保期内出现任何质量问题（人为破坏或自然灾害等不可抗力除外），由成交供应商负责全免费（免全部工时费、材料费、管理费、财务费等等）更换或维保。质保期满后，无论采购方是否另行选择维保服务商，成交服务商应及时优惠提供所需的同等服务。</w:t>
      </w:r>
    </w:p>
    <w:p w14:paraId="1F4E9871">
      <w:pPr>
        <w:adjustRightInd w:val="0"/>
        <w:snapToGrid w:val="0"/>
        <w:spacing w:line="360" w:lineRule="auto"/>
        <w:rPr>
          <w:rFonts w:hint="eastAsia" w:ascii="宋体" w:hAnsi="宋体" w:eastAsia="宋体" w:cs="宋体"/>
          <w:b/>
          <w:bCs w:val="0"/>
          <w:snapToGrid w:val="0"/>
          <w:sz w:val="24"/>
          <w:szCs w:val="24"/>
          <w:lang w:val="en-US" w:eastAsia="zh-CN"/>
        </w:rPr>
      </w:pPr>
      <w:r>
        <w:rPr>
          <w:rFonts w:hint="eastAsia" w:ascii="宋体" w:hAnsi="宋体" w:cs="宋体"/>
          <w:b/>
          <w:bCs w:val="0"/>
          <w:snapToGrid w:val="0"/>
          <w:sz w:val="24"/>
          <w:szCs w:val="24"/>
          <w:lang w:val="en-US" w:eastAsia="zh-CN"/>
        </w:rPr>
        <w:t>5</w:t>
      </w:r>
      <w:r>
        <w:rPr>
          <w:rFonts w:hint="eastAsia" w:ascii="宋体" w:hAnsi="宋体" w:eastAsia="宋体" w:cs="宋体"/>
          <w:b/>
          <w:bCs w:val="0"/>
          <w:snapToGrid w:val="0"/>
          <w:sz w:val="24"/>
          <w:szCs w:val="24"/>
          <w:lang w:val="en-US" w:eastAsia="zh-CN"/>
        </w:rPr>
        <w:t>、交货时间、地点</w:t>
      </w:r>
    </w:p>
    <w:p w14:paraId="3213CF9A">
      <w:pPr>
        <w:adjustRightInd w:val="0"/>
        <w:snapToGrid w:val="0"/>
        <w:spacing w:line="360" w:lineRule="auto"/>
        <w:ind w:firstLine="480" w:firstLineChars="200"/>
        <w:rPr>
          <w:rFonts w:hint="eastAsia" w:ascii="宋体" w:hAnsi="宋体" w:eastAsia="宋体" w:cs="宋体"/>
          <w:bCs/>
          <w:snapToGrid w:val="0"/>
          <w:sz w:val="24"/>
          <w:szCs w:val="24"/>
          <w:highlight w:val="yellow"/>
          <w:lang w:val="en-US" w:eastAsia="zh-CN"/>
        </w:rPr>
      </w:pPr>
      <w:r>
        <w:rPr>
          <w:rFonts w:hint="eastAsia" w:ascii="宋体" w:hAnsi="宋体" w:eastAsia="宋体" w:cs="宋体"/>
          <w:bCs/>
          <w:snapToGrid w:val="0"/>
          <w:sz w:val="24"/>
          <w:szCs w:val="24"/>
          <w:lang w:val="en-US" w:eastAsia="zh-CN"/>
        </w:rPr>
        <w:t>1</w:t>
      </w:r>
      <w:r>
        <w:rPr>
          <w:rFonts w:hint="eastAsia" w:ascii="宋体" w:hAnsi="宋体" w:cs="宋体"/>
          <w:bCs/>
          <w:snapToGrid w:val="0"/>
          <w:sz w:val="24"/>
          <w:szCs w:val="24"/>
          <w:lang w:val="en-US" w:eastAsia="zh-CN"/>
        </w:rPr>
        <w:t>）</w:t>
      </w:r>
      <w:r>
        <w:rPr>
          <w:rFonts w:hint="eastAsia" w:ascii="宋体" w:hAnsi="宋体" w:eastAsia="宋体" w:cs="宋体"/>
          <w:bCs/>
          <w:snapToGrid w:val="0"/>
          <w:sz w:val="24"/>
          <w:szCs w:val="24"/>
          <w:lang w:val="en-US" w:eastAsia="zh-CN"/>
        </w:rPr>
        <w:t>交货时间</w:t>
      </w:r>
      <w:r>
        <w:rPr>
          <w:rFonts w:hint="eastAsia" w:ascii="宋体" w:hAnsi="宋体" w:eastAsia="宋体" w:cs="宋体"/>
          <w:bCs/>
          <w:snapToGrid w:val="0"/>
          <w:sz w:val="24"/>
          <w:szCs w:val="24"/>
          <w:highlight w:val="none"/>
          <w:lang w:val="en-US" w:eastAsia="zh-CN"/>
        </w:rPr>
        <w:t>：</w:t>
      </w:r>
      <w:r>
        <w:rPr>
          <w:rFonts w:hint="eastAsia" w:ascii="宋体" w:hAnsi="宋体" w:eastAsia="宋体" w:cs="宋体"/>
          <w:bCs/>
          <w:snapToGrid w:val="0"/>
          <w:sz w:val="24"/>
          <w:szCs w:val="24"/>
          <w:highlight w:val="none"/>
        </w:rPr>
        <w:t>签订合同后</w:t>
      </w:r>
      <w:r>
        <w:rPr>
          <w:rFonts w:hint="eastAsia" w:ascii="宋体" w:hAnsi="宋体" w:cs="宋体"/>
          <w:bCs/>
          <w:snapToGrid w:val="0"/>
          <w:sz w:val="24"/>
          <w:szCs w:val="24"/>
          <w:highlight w:val="none"/>
          <w:lang w:val="en-US" w:eastAsia="zh-CN"/>
        </w:rPr>
        <w:t>90天</w:t>
      </w:r>
      <w:r>
        <w:rPr>
          <w:rFonts w:hint="eastAsia" w:ascii="宋体" w:hAnsi="宋体" w:eastAsia="宋体" w:cs="宋体"/>
          <w:bCs/>
          <w:snapToGrid w:val="0"/>
          <w:sz w:val="24"/>
          <w:szCs w:val="24"/>
          <w:highlight w:val="none"/>
        </w:rPr>
        <w:t>内供货安装调试完毕</w:t>
      </w:r>
      <w:r>
        <w:rPr>
          <w:rFonts w:hint="eastAsia" w:ascii="宋体" w:hAnsi="宋体" w:eastAsia="宋体" w:cs="宋体"/>
          <w:bCs/>
          <w:snapToGrid w:val="0"/>
          <w:sz w:val="24"/>
          <w:szCs w:val="24"/>
          <w:highlight w:val="none"/>
          <w:lang w:eastAsia="zh-CN"/>
        </w:rPr>
        <w:t>。</w:t>
      </w:r>
    </w:p>
    <w:p w14:paraId="3D18A95D">
      <w:pPr>
        <w:pStyle w:val="13"/>
        <w:spacing w:line="360" w:lineRule="auto"/>
        <w:ind w:left="0" w:leftChars="0" w:firstLine="480" w:firstLineChars="200"/>
        <w:rPr>
          <w:rFonts w:hint="eastAsia" w:ascii="宋体" w:hAnsi="宋体" w:eastAsia="宋体" w:cs="宋体"/>
          <w:b/>
          <w:bCs w:val="0"/>
          <w:snapToGrid w:val="0"/>
          <w:sz w:val="24"/>
          <w:szCs w:val="24"/>
          <w:lang w:val="en-US" w:eastAsia="zh-CN"/>
        </w:rPr>
      </w:pPr>
      <w:r>
        <w:rPr>
          <w:rStyle w:val="10"/>
          <w:rFonts w:hint="eastAsia" w:ascii="宋体" w:hAnsi="宋体" w:eastAsia="宋体" w:cs="宋体"/>
          <w:b w:val="0"/>
          <w:bCs w:val="0"/>
          <w:sz w:val="24"/>
          <w:szCs w:val="24"/>
          <w:lang w:val="en-US" w:eastAsia="zh-CN"/>
        </w:rPr>
        <w:t>2）交货地点：</w:t>
      </w:r>
      <w:r>
        <w:rPr>
          <w:rFonts w:hint="eastAsia" w:ascii="宋体" w:hAnsi="宋体" w:eastAsia="宋体" w:cs="宋体"/>
          <w:bCs/>
          <w:snapToGrid w:val="0"/>
          <w:sz w:val="24"/>
          <w:szCs w:val="24"/>
          <w:lang w:val="en-US" w:eastAsia="zh-CN"/>
        </w:rPr>
        <w:t>岳阳市人民医院内，</w:t>
      </w:r>
      <w:r>
        <w:rPr>
          <w:rFonts w:hint="eastAsia" w:ascii="宋体" w:hAnsi="宋体" w:eastAsia="宋体" w:cs="宋体"/>
          <w:bCs/>
          <w:snapToGrid w:val="0"/>
          <w:sz w:val="24"/>
          <w:szCs w:val="24"/>
        </w:rPr>
        <w:t>采购人指定</w:t>
      </w:r>
      <w:r>
        <w:rPr>
          <w:rFonts w:hint="eastAsia" w:ascii="宋体" w:hAnsi="宋体" w:eastAsia="宋体" w:cs="宋体"/>
          <w:bCs/>
          <w:snapToGrid w:val="0"/>
          <w:sz w:val="24"/>
          <w:szCs w:val="24"/>
          <w:lang w:eastAsia="zh-CN"/>
        </w:rPr>
        <w:t>科室</w:t>
      </w:r>
      <w:r>
        <w:rPr>
          <w:rFonts w:hint="eastAsia" w:ascii="宋体" w:hAnsi="宋体" w:eastAsia="宋体" w:cs="宋体"/>
          <w:bCs/>
          <w:snapToGrid w:val="0"/>
          <w:sz w:val="24"/>
          <w:szCs w:val="24"/>
        </w:rPr>
        <w:t>。</w:t>
      </w:r>
    </w:p>
    <w:p w14:paraId="20FC67D3">
      <w:pPr>
        <w:pStyle w:val="13"/>
        <w:numPr>
          <w:ilvl w:val="0"/>
          <w:numId w:val="0"/>
        </w:numPr>
        <w:spacing w:line="360" w:lineRule="auto"/>
        <w:ind w:leftChars="0"/>
        <w:rPr>
          <w:rFonts w:hint="eastAsia" w:ascii="宋体" w:hAnsi="宋体" w:eastAsia="宋体" w:cs="宋体"/>
          <w:b/>
          <w:bCs w:val="0"/>
          <w:snapToGrid w:val="0"/>
          <w:sz w:val="24"/>
          <w:szCs w:val="24"/>
          <w:lang w:val="en-US" w:eastAsia="zh-CN"/>
        </w:rPr>
      </w:pPr>
      <w:r>
        <w:rPr>
          <w:rFonts w:hint="eastAsia" w:ascii="宋体" w:hAnsi="宋体" w:eastAsia="宋体" w:cs="宋体"/>
          <w:b/>
          <w:bCs w:val="0"/>
          <w:snapToGrid w:val="0"/>
          <w:sz w:val="24"/>
          <w:szCs w:val="24"/>
          <w:lang w:val="en-US" w:eastAsia="zh-CN"/>
        </w:rPr>
        <w:t>6、结算方法</w:t>
      </w:r>
    </w:p>
    <w:p w14:paraId="66296F5D">
      <w:pPr>
        <w:pStyle w:val="13"/>
        <w:numPr>
          <w:ilvl w:val="0"/>
          <w:numId w:val="0"/>
        </w:numPr>
        <w:spacing w:line="360" w:lineRule="auto"/>
        <w:ind w:leftChars="0" w:firstLine="240" w:firstLineChars="100"/>
        <w:rPr>
          <w:rFonts w:hint="eastAsia" w:ascii="宋体" w:hAnsi="宋体" w:eastAsia="宋体" w:cs="宋体"/>
          <w:bCs/>
          <w:snapToGrid w:val="0"/>
          <w:sz w:val="24"/>
          <w:szCs w:val="24"/>
          <w:lang w:val="en-US" w:eastAsia="zh-CN"/>
        </w:rPr>
      </w:pPr>
      <w:r>
        <w:rPr>
          <w:rFonts w:hint="eastAsia" w:ascii="宋体" w:hAnsi="宋体" w:eastAsia="宋体" w:cs="宋体"/>
          <w:bCs/>
          <w:snapToGrid w:val="0"/>
          <w:sz w:val="24"/>
          <w:szCs w:val="24"/>
          <w:lang w:val="en-US" w:eastAsia="zh-CN"/>
        </w:rPr>
        <w:t>1）付款人：岳阳市人民医院。</w:t>
      </w:r>
    </w:p>
    <w:p w14:paraId="471F56F9">
      <w:pPr>
        <w:pStyle w:val="13"/>
        <w:numPr>
          <w:ilvl w:val="0"/>
          <w:numId w:val="0"/>
        </w:numPr>
        <w:spacing w:line="360" w:lineRule="auto"/>
        <w:ind w:leftChars="0" w:firstLine="240" w:firstLineChars="100"/>
        <w:rPr>
          <w:rFonts w:hint="eastAsia" w:ascii="宋体" w:hAnsi="宋体" w:eastAsia="宋体" w:cs="宋体"/>
          <w:bCs/>
          <w:snapToGrid w:val="0"/>
          <w:sz w:val="24"/>
          <w:szCs w:val="24"/>
          <w:highlight w:val="none"/>
          <w:lang w:val="en-US" w:eastAsia="zh-CN"/>
        </w:rPr>
      </w:pPr>
      <w:r>
        <w:rPr>
          <w:rFonts w:hint="eastAsia" w:ascii="宋体" w:hAnsi="宋体" w:eastAsia="宋体" w:cs="宋体"/>
          <w:bCs/>
          <w:snapToGrid w:val="0"/>
          <w:sz w:val="24"/>
          <w:szCs w:val="24"/>
          <w:highlight w:val="none"/>
          <w:lang w:val="en-US" w:eastAsia="zh-CN"/>
        </w:rPr>
        <w:t>2）付款方式：合同签订后，经甲方验收系列设备合格、设备正常运行15个工作日并设备会计做完付款计划后4个月内首付该设备款项的95% ，如无纠纷余款5%则在三年后一次性无息结清。甲方付款前，乙方应开具相应金额增值税普通发票。</w:t>
      </w:r>
    </w:p>
    <w:p w14:paraId="2DBB7093">
      <w:pPr>
        <w:pStyle w:val="13"/>
        <w:numPr>
          <w:ilvl w:val="0"/>
          <w:numId w:val="0"/>
        </w:numPr>
        <w:ind w:leftChars="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7、其他事宜</w:t>
      </w:r>
    </w:p>
    <w:p w14:paraId="6760B1E8">
      <w:pPr>
        <w:spacing w:line="360" w:lineRule="auto"/>
        <w:rPr>
          <w:rFonts w:hint="eastAsia" w:ascii="宋体" w:hAnsi="宋体"/>
          <w:bCs/>
          <w:kern w:val="0"/>
          <w:sz w:val="24"/>
          <w:szCs w:val="24"/>
        </w:rPr>
      </w:pPr>
      <w:r>
        <w:rPr>
          <w:rFonts w:hint="eastAsia" w:ascii="宋体" w:hAnsi="宋体"/>
          <w:bCs/>
          <w:kern w:val="0"/>
          <w:sz w:val="24"/>
          <w:szCs w:val="24"/>
        </w:rPr>
        <w:t>1</w:t>
      </w:r>
      <w:r>
        <w:rPr>
          <w:rFonts w:hint="eastAsia" w:ascii="宋体" w:hAnsi="宋体"/>
          <w:bCs/>
          <w:kern w:val="0"/>
          <w:sz w:val="24"/>
          <w:szCs w:val="24"/>
          <w:lang w:eastAsia="zh-CN"/>
        </w:rPr>
        <w:t>）</w:t>
      </w:r>
      <w:r>
        <w:rPr>
          <w:rFonts w:hint="eastAsia" w:ascii="宋体" w:hAnsi="宋体"/>
          <w:bCs/>
          <w:kern w:val="0"/>
          <w:sz w:val="24"/>
          <w:szCs w:val="24"/>
        </w:rPr>
        <w:t>本项目采用费用包干方式实施，投标人应根据项目要求和现场情况，详细列明项目所需的货物及材料、备品备件等，以及产品运输、保险保管、产品指导安装调试、验收、质保期内免费保修、</w:t>
      </w:r>
      <w:r>
        <w:rPr>
          <w:rFonts w:hint="eastAsia" w:ascii="宋体" w:hAnsi="宋体"/>
          <w:bCs/>
          <w:kern w:val="0"/>
          <w:sz w:val="24"/>
          <w:szCs w:val="24"/>
          <w:lang w:val="en-US" w:eastAsia="zh-CN"/>
        </w:rPr>
        <w:t>更换</w:t>
      </w:r>
      <w:r>
        <w:rPr>
          <w:rFonts w:hint="eastAsia" w:ascii="宋体" w:hAnsi="宋体"/>
          <w:bCs/>
          <w:kern w:val="0"/>
          <w:sz w:val="24"/>
          <w:szCs w:val="24"/>
        </w:rPr>
        <w:t>等所有人工、管理、财务等相关费用。一旦中标，在项目实施中如出现任何遗漏，均由中标人免费提供，采购人不再支付任何费用。</w:t>
      </w:r>
    </w:p>
    <w:p w14:paraId="507D047C">
      <w:pPr>
        <w:pStyle w:val="13"/>
        <w:numPr>
          <w:ilvl w:val="0"/>
          <w:numId w:val="0"/>
        </w:numPr>
        <w:spacing w:line="360" w:lineRule="auto"/>
        <w:ind w:leftChars="0"/>
        <w:rPr>
          <w:rFonts w:hint="eastAsia" w:ascii="宋体" w:hAnsi="宋体" w:eastAsia="宋体" w:cs="宋体"/>
          <w:sz w:val="24"/>
          <w:szCs w:val="24"/>
          <w:lang w:val="en-US" w:eastAsia="zh-CN"/>
        </w:rPr>
      </w:pPr>
      <w:r>
        <w:rPr>
          <w:rFonts w:hint="eastAsia" w:ascii="宋体" w:hAnsi="宋体"/>
          <w:bCs/>
          <w:kern w:val="0"/>
          <w:sz w:val="24"/>
          <w:szCs w:val="24"/>
          <w:lang w:val="en-US" w:eastAsia="zh-CN"/>
        </w:rPr>
        <w:t>2）</w:t>
      </w:r>
      <w:r>
        <w:rPr>
          <w:rFonts w:hint="eastAsia" w:ascii="宋体" w:hAnsi="宋体" w:eastAsia="宋体" w:cs="宋体"/>
          <w:sz w:val="24"/>
          <w:szCs w:val="24"/>
          <w:lang w:val="en-US" w:eastAsia="zh-CN"/>
        </w:rPr>
        <w:t>其他未尽事宜由采购人和成交人双方在采购合同中详细约定。</w:t>
      </w:r>
    </w:p>
    <w:p w14:paraId="3CAF1BFB">
      <w:pPr>
        <w:pStyle w:val="7"/>
        <w:adjustRightInd w:val="0"/>
        <w:snapToGrid w:val="0"/>
        <w:spacing w:before="156" w:beforeLines="50" w:line="360" w:lineRule="auto"/>
        <w:jc w:val="center"/>
        <w:outlineLvl w:val="0"/>
        <w:rPr>
          <w:rFonts w:hint="eastAsia" w:ascii="宋体" w:hAnsi="宋体" w:eastAsia="宋体" w:cs="宋体"/>
          <w:b/>
          <w:sz w:val="32"/>
          <w:szCs w:val="32"/>
        </w:rPr>
      </w:pPr>
    </w:p>
    <w:p w14:paraId="12B60A67">
      <w:pPr>
        <w:pStyle w:val="7"/>
        <w:adjustRightInd w:val="0"/>
        <w:snapToGrid w:val="0"/>
        <w:spacing w:before="156" w:beforeLines="50" w:line="360" w:lineRule="auto"/>
        <w:jc w:val="center"/>
        <w:outlineLvl w:val="0"/>
        <w:rPr>
          <w:rFonts w:hint="eastAsia" w:hAnsi="宋体" w:cs="宋体"/>
          <w:b/>
          <w:sz w:val="28"/>
          <w:szCs w:val="28"/>
          <w:highlight w:val="none"/>
          <w:lang w:val="en-US" w:eastAsia="zh-CN"/>
        </w:rPr>
      </w:pPr>
      <w:r>
        <w:rPr>
          <w:rFonts w:hint="eastAsia" w:hAnsi="宋体" w:cs="宋体"/>
          <w:b/>
          <w:sz w:val="28"/>
          <w:szCs w:val="28"/>
          <w:highlight w:val="none"/>
          <w:lang w:val="en-US" w:eastAsia="zh-CN"/>
        </w:rPr>
        <w:t>对于上述项目要求，投标人应在投标文件中进行回应，作出承诺及说明。</w:t>
      </w:r>
    </w:p>
    <w:p w14:paraId="54B94CD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7607AC"/>
    <w:multiLevelType w:val="singleLevel"/>
    <w:tmpl w:val="B67607AC"/>
    <w:lvl w:ilvl="0" w:tentative="0">
      <w:start w:val="2"/>
      <w:numFmt w:val="decimal"/>
      <w:suff w:val="space"/>
      <w:lvlText w:val="%1）"/>
      <w:lvlJc w:val="left"/>
    </w:lvl>
  </w:abstractNum>
  <w:abstractNum w:abstractNumId="1">
    <w:nsid w:val="ECAD0A9E"/>
    <w:multiLevelType w:val="singleLevel"/>
    <w:tmpl w:val="ECAD0A9E"/>
    <w:lvl w:ilvl="0" w:tentative="0">
      <w:start w:val="2"/>
      <w:numFmt w:val="chineseCounting"/>
      <w:suff w:val="space"/>
      <w:lvlText w:val="第%1节"/>
      <w:lvlJc w:val="left"/>
      <w:rPr>
        <w:rFonts w:hint="eastAsia"/>
      </w:rPr>
    </w:lvl>
  </w:abstractNum>
  <w:abstractNum w:abstractNumId="2">
    <w:nsid w:val="3B519324"/>
    <w:multiLevelType w:val="multilevel"/>
    <w:tmpl w:val="3B519324"/>
    <w:lvl w:ilvl="0" w:tentative="0">
      <w:start w:val="19"/>
      <w:numFmt w:val="decimal"/>
      <w:lvlText w:val="%1."/>
      <w:lvlJc w:val="left"/>
      <w:pPr>
        <w:tabs>
          <w:tab w:val="left" w:pos="312"/>
        </w:tabs>
      </w:p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3">
    <w:nsid w:val="48FED361"/>
    <w:multiLevelType w:val="singleLevel"/>
    <w:tmpl w:val="48FED361"/>
    <w:lvl w:ilvl="0" w:tentative="0">
      <w:start w:val="7"/>
      <w:numFmt w:val="decimal"/>
      <w:suff w:val="space"/>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0D7043"/>
    <w:rsid w:val="710D7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0"/>
    <w:qFormat/>
    <w:uiPriority w:val="0"/>
    <w:pPr>
      <w:keepNext/>
      <w:jc w:val="center"/>
      <w:outlineLvl w:val="0"/>
    </w:pPr>
    <w:rPr>
      <w:rFonts w:ascii="Calibri" w:hAnsi="Calibri" w:eastAsia="宋体"/>
      <w:b/>
      <w:bCs/>
      <w:kern w:val="0"/>
      <w:sz w:val="36"/>
      <w:szCs w:val="20"/>
    </w:rPr>
  </w:style>
  <w:style w:type="paragraph" w:styleId="3">
    <w:name w:val="heading 2"/>
    <w:basedOn w:val="1"/>
    <w:next w:val="1"/>
    <w:qFormat/>
    <w:uiPriority w:val="0"/>
    <w:pPr>
      <w:keepNext/>
      <w:keepLines/>
      <w:spacing w:line="360" w:lineRule="auto"/>
      <w:outlineLvl w:val="1"/>
    </w:pPr>
    <w:rPr>
      <w:rFonts w:ascii="Arial" w:hAnsi="Arial" w:eastAsia="宋体"/>
      <w:b/>
      <w:bCs/>
      <w:kern w:val="0"/>
      <w:sz w:val="28"/>
      <w:szCs w:val="32"/>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4">
    <w:name w:val="Normal Indent"/>
    <w:basedOn w:val="1"/>
    <w:qFormat/>
    <w:uiPriority w:val="0"/>
    <w:pPr>
      <w:widowControl/>
      <w:ind w:firstLine="420"/>
      <w:jc w:val="left"/>
    </w:pPr>
    <w:rPr>
      <w:kern w:val="0"/>
      <w:sz w:val="20"/>
      <w:szCs w:val="20"/>
    </w:rPr>
  </w:style>
  <w:style w:type="paragraph" w:styleId="5">
    <w:name w:val="Body Text"/>
    <w:basedOn w:val="1"/>
    <w:next w:val="6"/>
    <w:qFormat/>
    <w:uiPriority w:val="0"/>
    <w:pPr>
      <w:spacing w:after="120"/>
    </w:pPr>
    <w:rPr>
      <w:kern w:val="0"/>
      <w:sz w:val="20"/>
      <w:szCs w:val="24"/>
    </w:rPr>
  </w:style>
  <w:style w:type="paragraph" w:styleId="6">
    <w:name w:val="toc 2"/>
    <w:basedOn w:val="1"/>
    <w:next w:val="1"/>
    <w:unhideWhenUsed/>
    <w:qFormat/>
    <w:uiPriority w:val="39"/>
    <w:pPr>
      <w:ind w:left="420" w:leftChars="200"/>
    </w:pPr>
  </w:style>
  <w:style w:type="paragraph" w:styleId="7">
    <w:name w:val="Plain Text"/>
    <w:basedOn w:val="1"/>
    <w:qFormat/>
    <w:uiPriority w:val="0"/>
    <w:rPr>
      <w:rFonts w:ascii="宋体" w:hAnsi="Courier New"/>
      <w:kern w:val="0"/>
      <w:sz w:val="20"/>
      <w:szCs w:val="21"/>
    </w:rPr>
  </w:style>
  <w:style w:type="character" w:customStyle="1" w:styleId="10">
    <w:name w:val="标题 1 Char"/>
    <w:link w:val="2"/>
    <w:qFormat/>
    <w:uiPriority w:val="0"/>
    <w:rPr>
      <w:rFonts w:ascii="Calibri" w:hAnsi="Calibri" w:eastAsia="宋体"/>
      <w:b/>
      <w:bCs/>
      <w:kern w:val="0"/>
      <w:sz w:val="36"/>
      <w:szCs w:val="20"/>
    </w:rPr>
  </w:style>
  <w:style w:type="paragraph" w:styleId="11">
    <w:name w:val="List Paragraph"/>
    <w:basedOn w:val="1"/>
    <w:qFormat/>
    <w:uiPriority w:val="34"/>
    <w:pPr>
      <w:ind w:firstLine="420" w:firstLineChars="200"/>
    </w:pPr>
  </w:style>
  <w:style w:type="paragraph" w:customStyle="1" w:styleId="12">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
    <w:name w:val="列出段落1"/>
    <w:basedOn w:val="1"/>
    <w:qFormat/>
    <w:uiPriority w:val="0"/>
    <w:pPr>
      <w:ind w:firstLine="420" w:firstLineChars="200"/>
    </w:pPr>
    <w:rPr>
      <w:rFonts w:ascii="等线" w:hAnsi="等线" w:eastAsia="等线"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2026-08-25T10:12:00Z</dcterms:created>
  <dc:creator>陈卓</dc:creator>
  <cp:lastModifiedBy>陈卓</cp:lastModifiedBy>
  <dcterms:modified xsi:type="dcterms:W3CDTF">2026-08-25T10:12:51Z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FE5944C71EEE408E874CA6A15B980091_11</vt:lpwstr>
  </property>
  <property fmtid="{D5CDD505-2E9C-101B-9397-08002B2CF9AE}" pid="4" name="KSOTemplateDocerSaveRecord">
    <vt:lpwstr>eyJoZGlkIjoiNjk0ODMxZjdiNjg2YjdlNzVkOGIxZWJkYWY2ZjllYTkiLCJ1c2VySWQiOiI1NDU1NDE5NDgifQ==</vt:lpwstr>
  </property>
</Properties>
</file>