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2B1FC">
      <w:pPr>
        <w:rPr>
          <w:rFonts w:hint="eastAsia" w:eastAsia="黑体"/>
          <w:sz w:val="28"/>
          <w:szCs w:val="28"/>
          <w:lang w:val="en-US" w:eastAsia="zh-CN"/>
        </w:rPr>
      </w:pPr>
      <w:r>
        <w:rPr>
          <w:rFonts w:eastAsia="黑体"/>
          <w:sz w:val="28"/>
          <w:szCs w:val="28"/>
        </w:rPr>
        <w:t>附件</w:t>
      </w:r>
      <w:r>
        <w:rPr>
          <w:rFonts w:hint="eastAsia" w:eastAsia="黑体"/>
          <w:sz w:val="28"/>
          <w:szCs w:val="28"/>
          <w:lang w:val="en-US" w:eastAsia="zh-CN"/>
        </w:rPr>
        <w:t>1</w:t>
      </w:r>
    </w:p>
    <w:p w14:paraId="5D5852A7">
      <w:pPr>
        <w:jc w:val="center"/>
        <w:rPr>
          <w:rFonts w:eastAsia="方正小标宋简体"/>
          <w:sz w:val="44"/>
          <w:szCs w:val="44"/>
          <w:u w:val="single"/>
        </w:rPr>
      </w:pPr>
    </w:p>
    <w:p w14:paraId="51E8A848">
      <w:pPr>
        <w:jc w:val="center"/>
        <w:rPr>
          <w:rFonts w:eastAsia="方正小标宋简体"/>
          <w:b w:val="0"/>
          <w:bCs w:val="0"/>
          <w:sz w:val="72"/>
          <w:szCs w:val="44"/>
        </w:rPr>
      </w:pPr>
      <w:r>
        <w:rPr>
          <w:rFonts w:eastAsia="方正小标宋简体"/>
          <w:b w:val="0"/>
          <w:bCs w:val="0"/>
          <w:sz w:val="72"/>
          <w:szCs w:val="44"/>
        </w:rPr>
        <w:t>衡阳市政府采购</w:t>
      </w:r>
    </w:p>
    <w:p w14:paraId="15FFD150">
      <w:pPr>
        <w:jc w:val="center"/>
        <w:rPr>
          <w:rFonts w:eastAsia="方正小标宋简体"/>
          <w:b w:val="0"/>
          <w:bCs w:val="0"/>
          <w:sz w:val="72"/>
          <w:szCs w:val="44"/>
        </w:rPr>
      </w:pPr>
      <w:r>
        <w:rPr>
          <w:rFonts w:eastAsia="方正小标宋简体"/>
          <w:b w:val="0"/>
          <w:bCs w:val="0"/>
          <w:sz w:val="72"/>
          <w:szCs w:val="44"/>
        </w:rPr>
        <w:t>项目采购需求</w:t>
      </w:r>
    </w:p>
    <w:p w14:paraId="2F3C478B">
      <w:pPr>
        <w:jc w:val="center"/>
        <w:rPr>
          <w:rFonts w:eastAsia="方正小标宋简体"/>
          <w:sz w:val="44"/>
          <w:szCs w:val="44"/>
        </w:rPr>
      </w:pPr>
    </w:p>
    <w:p w14:paraId="376899FD">
      <w:pPr>
        <w:ind w:left="2640" w:leftChars="200" w:hanging="2200" w:hangingChars="500"/>
        <w:rPr>
          <w:rFonts w:eastAsia="方正小标宋简体"/>
          <w:sz w:val="44"/>
          <w:szCs w:val="44"/>
        </w:rPr>
      </w:pPr>
    </w:p>
    <w:p w14:paraId="7658940B">
      <w:pPr>
        <w:ind w:left="2200" w:leftChars="0" w:hanging="2200" w:hangingChars="500"/>
        <w:rPr>
          <w:rFonts w:eastAsia="方正小标宋简体"/>
          <w:sz w:val="44"/>
          <w:szCs w:val="44"/>
          <w:u w:val="single"/>
        </w:rPr>
      </w:pPr>
      <w:r>
        <w:rPr>
          <w:rFonts w:eastAsia="方正小标宋简体"/>
          <w:sz w:val="44"/>
          <w:szCs w:val="44"/>
        </w:rPr>
        <w:t>项目名称：</w:t>
      </w:r>
      <w:r>
        <w:rPr>
          <w:rFonts w:eastAsia="方正小标宋简体"/>
          <w:sz w:val="44"/>
          <w:szCs w:val="44"/>
          <w:u w:val="single"/>
        </w:rPr>
        <w:t xml:space="preserve"> </w:t>
      </w:r>
      <w:r>
        <w:rPr>
          <w:rFonts w:hint="eastAsia" w:eastAsia="方正小标宋简体"/>
          <w:sz w:val="44"/>
          <w:szCs w:val="44"/>
          <w:u w:val="single"/>
          <w:lang w:val="en-US" w:eastAsia="zh-CN"/>
        </w:rPr>
        <w:t xml:space="preserve">衡山县2026年发展冬种生产油菜籽政府采购项目 </w:t>
      </w:r>
      <w:r>
        <w:rPr>
          <w:rFonts w:eastAsia="方正小标宋简体"/>
          <w:sz w:val="44"/>
          <w:szCs w:val="44"/>
          <w:u w:val="single"/>
        </w:rPr>
        <w:t xml:space="preserve">                   </w:t>
      </w:r>
    </w:p>
    <w:p w14:paraId="3ECCDA42">
      <w:pPr>
        <w:rPr>
          <w:rFonts w:eastAsia="方正小标宋简体"/>
          <w:sz w:val="44"/>
          <w:szCs w:val="44"/>
          <w:u w:val="single"/>
        </w:rPr>
      </w:pPr>
      <w:r>
        <w:rPr>
          <w:rFonts w:eastAsia="方正小标宋简体"/>
          <w:sz w:val="44"/>
          <w:szCs w:val="44"/>
        </w:rPr>
        <w:t>采购单位：</w:t>
      </w:r>
      <w:r>
        <w:rPr>
          <w:rFonts w:hint="eastAsia" w:eastAsia="方正小标宋简体"/>
          <w:sz w:val="44"/>
          <w:szCs w:val="44"/>
          <w:u w:val="single"/>
          <w:lang w:val="en-US" w:eastAsia="zh-CN"/>
        </w:rPr>
        <w:t>衡山县农业农村局</w:t>
      </w:r>
      <w:r>
        <w:rPr>
          <w:rFonts w:eastAsia="仿宋"/>
          <w:i/>
          <w:color w:val="953735" w:themeColor="accent2" w:themeShade="BF"/>
          <w:sz w:val="44"/>
          <w:szCs w:val="44"/>
          <w:u w:val="single"/>
        </w:rPr>
        <w:t xml:space="preserve"> </w:t>
      </w:r>
      <w:r>
        <w:rPr>
          <w:rFonts w:eastAsia="方正小标宋简体"/>
          <w:sz w:val="44"/>
          <w:szCs w:val="44"/>
          <w:u w:val="single"/>
        </w:rPr>
        <w:t xml:space="preserve">  </w:t>
      </w:r>
    </w:p>
    <w:p w14:paraId="5524C46A">
      <w:pPr>
        <w:rPr>
          <w:rFonts w:eastAsia="方正小标宋简体"/>
          <w:sz w:val="44"/>
          <w:szCs w:val="44"/>
        </w:rPr>
      </w:pPr>
      <w:r>
        <w:rPr>
          <w:rFonts w:eastAsia="方正小标宋简体"/>
          <w:sz w:val="44"/>
          <w:szCs w:val="44"/>
        </w:rPr>
        <w:t>主管单位：</w:t>
      </w:r>
    </w:p>
    <w:p w14:paraId="7AEC5FCF">
      <w:pPr>
        <w:rPr>
          <w:rFonts w:eastAsia="方正小标宋简体"/>
          <w:sz w:val="44"/>
          <w:szCs w:val="44"/>
          <w:u w:val="single"/>
        </w:rPr>
      </w:pPr>
      <w:r>
        <w:rPr>
          <w:rFonts w:eastAsia="方正小标宋简体"/>
          <w:sz w:val="44"/>
          <w:szCs w:val="44"/>
        </w:rPr>
        <w:t>编制单位：</w:t>
      </w:r>
      <w:r>
        <w:rPr>
          <w:rFonts w:hint="eastAsia" w:eastAsia="方正小标宋简体"/>
          <w:sz w:val="44"/>
          <w:szCs w:val="44"/>
          <w:u w:val="single"/>
          <w:lang w:val="en-US" w:eastAsia="zh-CN"/>
        </w:rPr>
        <w:t xml:space="preserve">衡山县农业农村局 </w:t>
      </w:r>
      <w:r>
        <w:rPr>
          <w:rFonts w:eastAsia="方正小标宋简体"/>
          <w:sz w:val="44"/>
          <w:szCs w:val="44"/>
          <w:u w:val="single"/>
        </w:rPr>
        <w:t xml:space="preserve">             </w:t>
      </w:r>
    </w:p>
    <w:p w14:paraId="5A6023BB">
      <w:pPr>
        <w:rPr>
          <w:rFonts w:eastAsia="方正小标宋简体"/>
          <w:sz w:val="32"/>
          <w:szCs w:val="32"/>
          <w:u w:val="single"/>
        </w:rPr>
      </w:pPr>
      <w:r>
        <w:rPr>
          <w:rFonts w:eastAsia="方正小标宋简体"/>
          <w:sz w:val="44"/>
          <w:szCs w:val="44"/>
        </w:rPr>
        <w:t>编制时间：</w:t>
      </w:r>
      <w:r>
        <w:rPr>
          <w:rFonts w:hint="eastAsia" w:eastAsia="方正小标宋简体"/>
          <w:sz w:val="44"/>
          <w:szCs w:val="44"/>
          <w:u w:val="single"/>
          <w:lang w:val="en-US" w:eastAsia="zh-CN"/>
        </w:rPr>
        <w:t>2026年8月</w:t>
      </w:r>
      <w:r>
        <w:rPr>
          <w:rFonts w:eastAsia="方正小标宋简体"/>
          <w:sz w:val="44"/>
          <w:szCs w:val="44"/>
          <w:u w:val="single"/>
        </w:rPr>
        <w:t xml:space="preserve">                     </w:t>
      </w:r>
    </w:p>
    <w:p w14:paraId="40762483">
      <w:pPr>
        <w:spacing w:line="560" w:lineRule="exact"/>
        <w:rPr>
          <w:rFonts w:eastAsia="黑体"/>
          <w:sz w:val="32"/>
          <w:szCs w:val="32"/>
        </w:rPr>
      </w:pPr>
    </w:p>
    <w:p w14:paraId="4152A9BA">
      <w:pPr>
        <w:spacing w:line="560" w:lineRule="exact"/>
        <w:rPr>
          <w:rFonts w:eastAsia="黑体"/>
          <w:sz w:val="32"/>
          <w:szCs w:val="32"/>
        </w:rPr>
      </w:pPr>
    </w:p>
    <w:p w14:paraId="517C2C16">
      <w:pPr>
        <w:spacing w:line="560" w:lineRule="exact"/>
        <w:rPr>
          <w:rFonts w:eastAsia="黑体"/>
          <w:sz w:val="32"/>
          <w:szCs w:val="32"/>
        </w:rPr>
      </w:pPr>
    </w:p>
    <w:p w14:paraId="02F179CE">
      <w:pPr>
        <w:spacing w:line="560" w:lineRule="exact"/>
        <w:rPr>
          <w:rFonts w:eastAsia="黑体"/>
          <w:sz w:val="32"/>
          <w:szCs w:val="32"/>
        </w:rPr>
      </w:pPr>
    </w:p>
    <w:p w14:paraId="0C88E264">
      <w:pPr>
        <w:spacing w:line="560" w:lineRule="exact"/>
        <w:rPr>
          <w:rFonts w:eastAsia="黑体"/>
          <w:sz w:val="32"/>
          <w:szCs w:val="32"/>
        </w:rPr>
      </w:pPr>
      <w:r>
        <w:rPr>
          <w:rFonts w:eastAsia="黑体"/>
          <w:sz w:val="32"/>
          <w:szCs w:val="32"/>
        </w:rPr>
        <w:t>一、基本信息</w:t>
      </w:r>
    </w:p>
    <w:tbl>
      <w:tblPr>
        <w:tblStyle w:val="6"/>
        <w:tblpPr w:leftFromText="180" w:rightFromText="180" w:vertAnchor="text" w:horzAnchor="page" w:tblpXSpec="center" w:tblpY="294"/>
        <w:tblOverlap w:val="never"/>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019"/>
        <w:gridCol w:w="2220"/>
        <w:gridCol w:w="2474"/>
      </w:tblGrid>
      <w:tr w14:paraId="4571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vAlign w:val="center"/>
          </w:tcPr>
          <w:p w14:paraId="43BE0EC7">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eastAsia="楷体" w:cs="Times New Roman"/>
                <w:kern w:val="2"/>
                <w:sz w:val="32"/>
                <w:szCs w:val="32"/>
              </w:rPr>
            </w:pPr>
            <w:r>
              <w:rPr>
                <w:rFonts w:eastAsia="楷体" w:cs="Times New Roman"/>
                <w:kern w:val="2"/>
                <w:sz w:val="32"/>
                <w:szCs w:val="32"/>
              </w:rPr>
              <w:t>项目名称</w:t>
            </w:r>
          </w:p>
        </w:tc>
        <w:tc>
          <w:tcPr>
            <w:tcW w:w="6713" w:type="dxa"/>
            <w:gridSpan w:val="3"/>
            <w:vAlign w:val="center"/>
          </w:tcPr>
          <w:p w14:paraId="40F913E7">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default" w:ascii="华文楷体" w:hAnsi="华文楷体" w:eastAsia="华文楷体" w:cs="华文楷体"/>
                <w:kern w:val="2"/>
                <w:sz w:val="32"/>
                <w:szCs w:val="32"/>
                <w:u w:val="none"/>
                <w:lang w:val="en-US" w:eastAsia="zh-CN"/>
              </w:rPr>
            </w:pPr>
            <w:r>
              <w:rPr>
                <w:rFonts w:hint="eastAsia" w:ascii="华文楷体" w:hAnsi="华文楷体" w:eastAsia="华文楷体" w:cs="华文楷体"/>
                <w:kern w:val="2"/>
                <w:sz w:val="32"/>
                <w:szCs w:val="32"/>
                <w:u w:val="none"/>
                <w:lang w:val="en-US" w:eastAsia="zh-CN"/>
              </w:rPr>
              <w:t>衡山县2026年发展冬种生产油菜籽政府采购项目</w:t>
            </w:r>
          </w:p>
        </w:tc>
      </w:tr>
      <w:tr w14:paraId="3CFE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2243" w:type="dxa"/>
            <w:vAlign w:val="center"/>
          </w:tcPr>
          <w:p w14:paraId="7FACF760">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eastAsia="楷体" w:cs="Times New Roman"/>
                <w:kern w:val="2"/>
                <w:sz w:val="32"/>
                <w:szCs w:val="32"/>
              </w:rPr>
            </w:pPr>
            <w:r>
              <w:rPr>
                <w:rFonts w:eastAsia="楷体" w:cs="Times New Roman"/>
                <w:kern w:val="2"/>
                <w:sz w:val="32"/>
                <w:szCs w:val="32"/>
              </w:rPr>
              <w:t>采购单位</w:t>
            </w:r>
          </w:p>
        </w:tc>
        <w:tc>
          <w:tcPr>
            <w:tcW w:w="6713" w:type="dxa"/>
            <w:gridSpan w:val="3"/>
            <w:vAlign w:val="center"/>
          </w:tcPr>
          <w:p w14:paraId="6A919164">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u w:val="none"/>
                <w:lang w:val="en-US" w:eastAsia="zh-CN"/>
              </w:rPr>
            </w:pPr>
            <w:r>
              <w:rPr>
                <w:rFonts w:hint="eastAsia" w:ascii="华文楷体" w:hAnsi="华文楷体" w:eastAsia="华文楷体" w:cs="华文楷体"/>
                <w:kern w:val="2"/>
                <w:sz w:val="32"/>
                <w:szCs w:val="32"/>
                <w:u w:val="none"/>
                <w:lang w:val="en-US" w:eastAsia="zh-CN"/>
              </w:rPr>
              <w:t>衡山县农业农村局</w:t>
            </w:r>
          </w:p>
        </w:tc>
      </w:tr>
      <w:tr w14:paraId="2842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243" w:type="dxa"/>
            <w:vMerge w:val="restart"/>
            <w:vAlign w:val="center"/>
          </w:tcPr>
          <w:p w14:paraId="19F4D048">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eastAsia="楷体" w:cs="Times New Roman"/>
                <w:kern w:val="2"/>
                <w:sz w:val="32"/>
                <w:szCs w:val="32"/>
              </w:rPr>
            </w:pPr>
            <w:r>
              <w:rPr>
                <w:rFonts w:hint="eastAsia" w:eastAsia="楷体" w:cs="Times New Roman"/>
                <w:kern w:val="2"/>
                <w:sz w:val="32"/>
                <w:szCs w:val="32"/>
                <w:lang w:eastAsia="zh-CN"/>
              </w:rPr>
              <w:t>☑</w:t>
            </w:r>
            <w:r>
              <w:rPr>
                <w:rFonts w:eastAsia="楷体" w:cs="Times New Roman"/>
                <w:kern w:val="2"/>
                <w:sz w:val="32"/>
                <w:szCs w:val="32"/>
              </w:rPr>
              <w:t>自行组织编制</w:t>
            </w:r>
          </w:p>
        </w:tc>
        <w:tc>
          <w:tcPr>
            <w:tcW w:w="2019" w:type="dxa"/>
            <w:vAlign w:val="center"/>
          </w:tcPr>
          <w:p w14:paraId="0615A424">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rPr>
            </w:pPr>
            <w:r>
              <w:rPr>
                <w:rFonts w:hint="eastAsia" w:ascii="华文楷体" w:hAnsi="华文楷体" w:eastAsia="华文楷体" w:cs="华文楷体"/>
                <w:kern w:val="2"/>
                <w:sz w:val="32"/>
                <w:szCs w:val="32"/>
              </w:rPr>
              <w:t>负责人</w:t>
            </w:r>
          </w:p>
        </w:tc>
        <w:tc>
          <w:tcPr>
            <w:tcW w:w="2220" w:type="dxa"/>
            <w:vAlign w:val="center"/>
          </w:tcPr>
          <w:p w14:paraId="4C77C0A5">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rPr>
            </w:pPr>
            <w:r>
              <w:rPr>
                <w:rFonts w:hint="eastAsia" w:ascii="华文楷体" w:hAnsi="华文楷体" w:eastAsia="华文楷体" w:cs="华文楷体"/>
                <w:kern w:val="2"/>
                <w:sz w:val="32"/>
                <w:szCs w:val="32"/>
              </w:rPr>
              <w:t>联系方式</w:t>
            </w:r>
          </w:p>
        </w:tc>
        <w:tc>
          <w:tcPr>
            <w:tcW w:w="2474" w:type="dxa"/>
            <w:vAlign w:val="center"/>
          </w:tcPr>
          <w:p w14:paraId="39126754">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rPr>
            </w:pPr>
            <w:r>
              <w:rPr>
                <w:rFonts w:hint="eastAsia" w:ascii="华文楷体" w:hAnsi="华文楷体" w:eastAsia="华文楷体" w:cs="华文楷体"/>
                <w:kern w:val="2"/>
                <w:sz w:val="32"/>
                <w:szCs w:val="32"/>
              </w:rPr>
              <w:t>电子邮箱</w:t>
            </w:r>
          </w:p>
        </w:tc>
      </w:tr>
      <w:tr w14:paraId="42A4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243" w:type="dxa"/>
            <w:vMerge w:val="continue"/>
            <w:vAlign w:val="center"/>
          </w:tcPr>
          <w:p w14:paraId="74A853E2">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eastAsia="楷体" w:cs="Times New Roman"/>
                <w:kern w:val="2"/>
                <w:sz w:val="32"/>
                <w:szCs w:val="32"/>
              </w:rPr>
            </w:pPr>
          </w:p>
        </w:tc>
        <w:tc>
          <w:tcPr>
            <w:tcW w:w="2019" w:type="dxa"/>
            <w:vAlign w:val="center"/>
          </w:tcPr>
          <w:p w14:paraId="17EBEE74">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default" w:ascii="华文楷体" w:hAnsi="华文楷体" w:eastAsia="华文楷体" w:cs="华文楷体"/>
                <w:i/>
                <w:color w:val="953735" w:themeColor="accent2" w:themeShade="BF"/>
                <w:kern w:val="2"/>
                <w:sz w:val="24"/>
                <w:lang w:val="en-US" w:eastAsia="zh-CN"/>
              </w:rPr>
            </w:pPr>
            <w:r>
              <w:rPr>
                <w:rFonts w:hint="eastAsia" w:ascii="华文楷体" w:hAnsi="华文楷体" w:eastAsia="华文楷体" w:cs="华文楷体"/>
                <w:kern w:val="2"/>
                <w:sz w:val="32"/>
                <w:szCs w:val="32"/>
                <w:u w:val="none"/>
                <w:lang w:val="en-US" w:eastAsia="zh-CN"/>
              </w:rPr>
              <w:t>于 鹏</w:t>
            </w:r>
          </w:p>
        </w:tc>
        <w:tc>
          <w:tcPr>
            <w:tcW w:w="2220" w:type="dxa"/>
            <w:vAlign w:val="center"/>
          </w:tcPr>
          <w:p w14:paraId="5274F266">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default" w:ascii="华文楷体" w:hAnsi="华文楷体" w:eastAsia="华文楷体" w:cs="华文楷体"/>
                <w:kern w:val="2"/>
                <w:sz w:val="32"/>
                <w:szCs w:val="32"/>
                <w:lang w:val="en-US" w:eastAsia="zh-CN"/>
              </w:rPr>
            </w:pPr>
            <w:r>
              <w:rPr>
                <w:rFonts w:hint="eastAsia" w:ascii="华文楷体" w:hAnsi="华文楷体" w:eastAsia="华文楷体" w:cs="华文楷体"/>
                <w:kern w:val="2"/>
                <w:sz w:val="32"/>
                <w:szCs w:val="32"/>
                <w:lang w:val="en-US" w:eastAsia="zh-CN"/>
              </w:rPr>
              <w:t>15111081016</w:t>
            </w:r>
          </w:p>
        </w:tc>
        <w:tc>
          <w:tcPr>
            <w:tcW w:w="2474" w:type="dxa"/>
            <w:vAlign w:val="center"/>
          </w:tcPr>
          <w:p w14:paraId="0DF14FB5">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rPr>
            </w:pPr>
          </w:p>
        </w:tc>
      </w:tr>
      <w:tr w14:paraId="1B91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243" w:type="dxa"/>
            <w:vMerge w:val="continue"/>
            <w:vAlign w:val="center"/>
          </w:tcPr>
          <w:p w14:paraId="4D4F50B4">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eastAsia="楷体" w:cs="Times New Roman"/>
                <w:kern w:val="2"/>
                <w:sz w:val="32"/>
                <w:szCs w:val="32"/>
              </w:rPr>
            </w:pPr>
          </w:p>
        </w:tc>
        <w:tc>
          <w:tcPr>
            <w:tcW w:w="2019" w:type="dxa"/>
            <w:vAlign w:val="center"/>
          </w:tcPr>
          <w:p w14:paraId="11D0FD8C">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rPr>
            </w:pPr>
            <w:r>
              <w:rPr>
                <w:rFonts w:hint="eastAsia" w:ascii="华文楷体" w:hAnsi="华文楷体" w:eastAsia="华文楷体" w:cs="华文楷体"/>
                <w:kern w:val="2"/>
                <w:sz w:val="32"/>
                <w:szCs w:val="32"/>
              </w:rPr>
              <w:t>其它参与编制人员</w:t>
            </w:r>
          </w:p>
        </w:tc>
        <w:tc>
          <w:tcPr>
            <w:tcW w:w="4694" w:type="dxa"/>
            <w:gridSpan w:val="2"/>
            <w:vAlign w:val="center"/>
          </w:tcPr>
          <w:p w14:paraId="5838A294">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u w:val="none"/>
                <w:lang w:val="en-US" w:eastAsia="zh-CN"/>
              </w:rPr>
            </w:pPr>
            <w:r>
              <w:rPr>
                <w:rFonts w:hint="eastAsia" w:ascii="华文楷体" w:hAnsi="华文楷体" w:eastAsia="华文楷体" w:cs="华文楷体"/>
                <w:kern w:val="2"/>
                <w:sz w:val="32"/>
                <w:szCs w:val="32"/>
                <w:u w:val="none"/>
                <w:lang w:val="en-US" w:eastAsia="zh-CN"/>
              </w:rPr>
              <w:t>胡伟、蒋寨湘</w:t>
            </w:r>
          </w:p>
        </w:tc>
      </w:tr>
      <w:tr w14:paraId="21BF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243" w:type="dxa"/>
            <w:vMerge w:val="restart"/>
            <w:vAlign w:val="center"/>
          </w:tcPr>
          <w:p w14:paraId="560D7A06">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eastAsia="楷体" w:cs="Times New Roman"/>
                <w:kern w:val="2"/>
                <w:sz w:val="32"/>
                <w:szCs w:val="32"/>
              </w:rPr>
            </w:pPr>
            <w:r>
              <w:rPr>
                <w:rFonts w:eastAsia="楷体" w:cs="Times New Roman"/>
                <w:kern w:val="2"/>
                <w:sz w:val="32"/>
                <w:szCs w:val="32"/>
              </w:rPr>
              <w:t>□委托采购代理机构或者其他单位编制</w:t>
            </w:r>
          </w:p>
        </w:tc>
        <w:tc>
          <w:tcPr>
            <w:tcW w:w="2019" w:type="dxa"/>
            <w:vAlign w:val="center"/>
          </w:tcPr>
          <w:p w14:paraId="489A0D04">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rPr>
            </w:pPr>
            <w:r>
              <w:rPr>
                <w:rFonts w:hint="eastAsia" w:ascii="华文楷体" w:hAnsi="华文楷体" w:eastAsia="华文楷体" w:cs="华文楷体"/>
                <w:kern w:val="2"/>
                <w:sz w:val="32"/>
                <w:szCs w:val="32"/>
              </w:rPr>
              <w:t>机构名称</w:t>
            </w:r>
          </w:p>
        </w:tc>
        <w:tc>
          <w:tcPr>
            <w:tcW w:w="4694" w:type="dxa"/>
            <w:gridSpan w:val="2"/>
            <w:vAlign w:val="center"/>
          </w:tcPr>
          <w:p w14:paraId="7FE15D8E">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i/>
                <w:color w:val="953735" w:themeColor="accent2" w:themeShade="BF"/>
                <w:kern w:val="2"/>
                <w:sz w:val="24"/>
                <w:lang w:eastAsia="zh-CN"/>
              </w:rPr>
            </w:pPr>
          </w:p>
        </w:tc>
      </w:tr>
      <w:tr w14:paraId="0C95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243" w:type="dxa"/>
            <w:vMerge w:val="continue"/>
            <w:vAlign w:val="center"/>
          </w:tcPr>
          <w:p w14:paraId="74FD7206">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eastAsia="楷体" w:cs="Times New Roman"/>
                <w:kern w:val="2"/>
                <w:sz w:val="32"/>
                <w:szCs w:val="32"/>
              </w:rPr>
            </w:pPr>
          </w:p>
        </w:tc>
        <w:tc>
          <w:tcPr>
            <w:tcW w:w="2019" w:type="dxa"/>
            <w:vAlign w:val="center"/>
          </w:tcPr>
          <w:p w14:paraId="1FBF6D51">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rPr>
            </w:pPr>
            <w:r>
              <w:rPr>
                <w:rFonts w:hint="eastAsia" w:ascii="华文楷体" w:hAnsi="华文楷体" w:eastAsia="华文楷体" w:cs="华文楷体"/>
                <w:kern w:val="2"/>
                <w:sz w:val="32"/>
                <w:szCs w:val="32"/>
              </w:rPr>
              <w:t>联系人</w:t>
            </w:r>
          </w:p>
        </w:tc>
        <w:tc>
          <w:tcPr>
            <w:tcW w:w="2220" w:type="dxa"/>
            <w:vAlign w:val="center"/>
          </w:tcPr>
          <w:p w14:paraId="45C06CDF">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rPr>
            </w:pPr>
            <w:r>
              <w:rPr>
                <w:rFonts w:hint="eastAsia" w:ascii="华文楷体" w:hAnsi="华文楷体" w:eastAsia="华文楷体" w:cs="华文楷体"/>
                <w:kern w:val="2"/>
                <w:sz w:val="32"/>
                <w:szCs w:val="32"/>
              </w:rPr>
              <w:t>联系方式</w:t>
            </w:r>
          </w:p>
        </w:tc>
        <w:tc>
          <w:tcPr>
            <w:tcW w:w="2474" w:type="dxa"/>
            <w:vAlign w:val="center"/>
          </w:tcPr>
          <w:p w14:paraId="16461CDC">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rPr>
            </w:pPr>
            <w:r>
              <w:rPr>
                <w:rFonts w:hint="eastAsia" w:ascii="华文楷体" w:hAnsi="华文楷体" w:eastAsia="华文楷体" w:cs="华文楷体"/>
                <w:kern w:val="2"/>
                <w:sz w:val="32"/>
                <w:szCs w:val="32"/>
              </w:rPr>
              <w:t>电子邮箱</w:t>
            </w:r>
          </w:p>
        </w:tc>
      </w:tr>
      <w:tr w14:paraId="77506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243" w:type="dxa"/>
            <w:vMerge w:val="continue"/>
            <w:vAlign w:val="center"/>
          </w:tcPr>
          <w:p w14:paraId="2B6A1F77">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eastAsia="楷体" w:cs="Times New Roman"/>
                <w:kern w:val="2"/>
                <w:sz w:val="32"/>
                <w:szCs w:val="32"/>
              </w:rPr>
            </w:pPr>
          </w:p>
        </w:tc>
        <w:tc>
          <w:tcPr>
            <w:tcW w:w="2019" w:type="dxa"/>
            <w:vAlign w:val="center"/>
          </w:tcPr>
          <w:p w14:paraId="47EDC855">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lang w:eastAsia="zh-CN"/>
              </w:rPr>
            </w:pPr>
          </w:p>
        </w:tc>
        <w:tc>
          <w:tcPr>
            <w:tcW w:w="2220" w:type="dxa"/>
            <w:vAlign w:val="center"/>
          </w:tcPr>
          <w:p w14:paraId="1B15BF55">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lang w:val="en-US" w:eastAsia="zh-CN"/>
              </w:rPr>
            </w:pPr>
          </w:p>
        </w:tc>
        <w:tc>
          <w:tcPr>
            <w:tcW w:w="2474" w:type="dxa"/>
            <w:vAlign w:val="center"/>
          </w:tcPr>
          <w:p w14:paraId="2D2E0D84">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hint="eastAsia" w:ascii="华文楷体" w:hAnsi="华文楷体" w:eastAsia="华文楷体" w:cs="华文楷体"/>
                <w:kern w:val="2"/>
                <w:sz w:val="32"/>
                <w:szCs w:val="32"/>
              </w:rPr>
            </w:pPr>
          </w:p>
        </w:tc>
      </w:tr>
      <w:tr w14:paraId="330A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vAlign w:val="center"/>
          </w:tcPr>
          <w:p w14:paraId="171A0E1C">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eastAsia="楷体" w:cs="Times New Roman"/>
                <w:kern w:val="2"/>
                <w:sz w:val="32"/>
                <w:szCs w:val="32"/>
              </w:rPr>
            </w:pPr>
            <w:r>
              <w:rPr>
                <w:rFonts w:eastAsia="楷体" w:cs="Times New Roman"/>
                <w:kern w:val="2"/>
                <w:sz w:val="32"/>
                <w:szCs w:val="32"/>
              </w:rPr>
              <w:t>采购项目类别</w:t>
            </w:r>
          </w:p>
        </w:tc>
        <w:tc>
          <w:tcPr>
            <w:tcW w:w="6713" w:type="dxa"/>
            <w:gridSpan w:val="3"/>
            <w:vAlign w:val="center"/>
          </w:tcPr>
          <w:p w14:paraId="0BE50F56">
            <w:pPr>
              <w:keepNext w:val="0"/>
              <w:keepLines w:val="0"/>
              <w:pageBreakBefore w:val="0"/>
              <w:widowControl/>
              <w:kinsoku/>
              <w:wordWrap/>
              <w:overflowPunct/>
              <w:topLinePunct w:val="0"/>
              <w:autoSpaceDE/>
              <w:autoSpaceDN/>
              <w:bidi w:val="0"/>
              <w:adjustRightInd/>
              <w:snapToGrid/>
              <w:spacing w:after="0" w:line="240" w:lineRule="atLeast"/>
              <w:ind w:firstLine="0" w:firstLineChars="0"/>
              <w:jc w:val="center"/>
              <w:textAlignment w:val="auto"/>
              <w:rPr>
                <w:rFonts w:eastAsia="楷体" w:cs="Times New Roman"/>
                <w:kern w:val="2"/>
                <w:sz w:val="32"/>
                <w:szCs w:val="32"/>
              </w:rPr>
            </w:pPr>
            <w:r>
              <w:rPr>
                <w:rFonts w:hint="eastAsia" w:eastAsia="楷体" w:cs="Times New Roman"/>
                <w:kern w:val="2"/>
                <w:sz w:val="32"/>
                <w:szCs w:val="32"/>
                <w:lang w:eastAsia="zh-CN"/>
              </w:rPr>
              <w:t>☑</w:t>
            </w:r>
            <w:r>
              <w:rPr>
                <w:rFonts w:eastAsia="楷体" w:cs="Times New Roman"/>
                <w:kern w:val="2"/>
                <w:sz w:val="32"/>
                <w:szCs w:val="32"/>
              </w:rPr>
              <w:t>货物     □服务     □工程</w:t>
            </w:r>
          </w:p>
        </w:tc>
      </w:tr>
    </w:tbl>
    <w:p w14:paraId="65B13375">
      <w:pPr>
        <w:spacing w:line="560" w:lineRule="exact"/>
        <w:rPr>
          <w:rFonts w:eastAsia="黑体"/>
          <w:sz w:val="32"/>
          <w:szCs w:val="32"/>
        </w:rPr>
      </w:pPr>
      <w:r>
        <w:rPr>
          <w:rFonts w:eastAsia="黑体"/>
          <w:sz w:val="32"/>
          <w:szCs w:val="32"/>
        </w:rPr>
        <w:t>二、需求调查情况</w:t>
      </w:r>
    </w:p>
    <w:p w14:paraId="23097B42">
      <w:pPr>
        <w:spacing w:line="560" w:lineRule="exact"/>
        <w:ind w:firstLine="320" w:firstLineChars="100"/>
        <w:rPr>
          <w:rFonts w:eastAsia="楷体"/>
          <w:sz w:val="32"/>
          <w:szCs w:val="32"/>
        </w:rPr>
      </w:pPr>
      <w:r>
        <w:rPr>
          <w:rFonts w:eastAsia="楷体"/>
          <w:sz w:val="32"/>
          <w:szCs w:val="32"/>
        </w:rPr>
        <w:t>（一）是否开展需求调查</w:t>
      </w:r>
    </w:p>
    <w:p w14:paraId="7DE44620">
      <w:pPr>
        <w:widowControl w:val="0"/>
        <w:numPr>
          <w:ilvl w:val="0"/>
          <w:numId w:val="0"/>
        </w:numPr>
        <w:adjustRightInd/>
        <w:snapToGrid/>
        <w:spacing w:after="0" w:line="560" w:lineRule="exact"/>
        <w:ind w:left="960" w:hanging="960" w:hangingChars="300"/>
        <w:rPr>
          <w:rFonts w:hint="eastAsia" w:eastAsia="楷体"/>
          <w:sz w:val="32"/>
          <w:szCs w:val="32"/>
          <w:lang w:eastAsia="zh-CN"/>
        </w:rPr>
      </w:pPr>
      <w:r>
        <w:rPr>
          <w:rFonts w:eastAsia="楷体" w:cs="Times New Roman"/>
          <w:kern w:val="2"/>
          <w:sz w:val="32"/>
          <w:szCs w:val="32"/>
        </w:rPr>
        <w:t xml:space="preserve"> </w:t>
      </w:r>
      <w:r>
        <w:rPr>
          <w:rFonts w:hint="eastAsia" w:eastAsia="楷体" w:cs="Times New Roman"/>
          <w:kern w:val="2"/>
          <w:sz w:val="32"/>
          <w:szCs w:val="32"/>
          <w:lang w:eastAsia="zh-CN"/>
        </w:rPr>
        <w:t>☑</w:t>
      </w:r>
      <w:r>
        <w:rPr>
          <w:rFonts w:hint="eastAsia" w:eastAsia="楷体"/>
          <w:sz w:val="32"/>
          <w:szCs w:val="32"/>
          <w:lang w:eastAsia="zh-CN"/>
        </w:rPr>
        <w:t>否，理由：</w:t>
      </w:r>
      <w:r>
        <w:rPr>
          <w:rFonts w:hint="eastAsia" w:eastAsia="楷体"/>
          <w:sz w:val="32"/>
          <w:szCs w:val="32"/>
          <w:u w:val="single"/>
          <w:lang w:eastAsia="zh-CN"/>
        </w:rPr>
        <w:t>本项目不属于《政府采购需求管理办法》第十一条规定的情形</w:t>
      </w:r>
      <w:r>
        <w:rPr>
          <w:rFonts w:hint="eastAsia" w:eastAsia="楷体"/>
          <w:sz w:val="32"/>
          <w:szCs w:val="32"/>
          <w:lang w:eastAsia="zh-CN"/>
        </w:rPr>
        <w:t>。</w:t>
      </w:r>
    </w:p>
    <w:p w14:paraId="6DBEE871">
      <w:pPr>
        <w:spacing w:line="560" w:lineRule="exact"/>
        <w:rPr>
          <w:rFonts w:eastAsia="黑体"/>
          <w:sz w:val="32"/>
          <w:szCs w:val="32"/>
        </w:rPr>
      </w:pPr>
      <w:r>
        <w:rPr>
          <w:rFonts w:eastAsia="黑体"/>
          <w:sz w:val="32"/>
          <w:szCs w:val="32"/>
        </w:rPr>
        <w:t>三、采购需求清单</w:t>
      </w:r>
    </w:p>
    <w:p w14:paraId="4165CC06">
      <w:pPr>
        <w:spacing w:line="560" w:lineRule="exact"/>
        <w:rPr>
          <w:rFonts w:eastAsia="楷体"/>
          <w:sz w:val="32"/>
          <w:szCs w:val="32"/>
        </w:rPr>
      </w:pPr>
      <w:r>
        <w:rPr>
          <w:rFonts w:eastAsia="楷体"/>
          <w:sz w:val="32"/>
          <w:szCs w:val="32"/>
        </w:rPr>
        <w:t>（一）采购项目预（概）算</w:t>
      </w:r>
    </w:p>
    <w:p w14:paraId="55A949A6">
      <w:pPr>
        <w:spacing w:line="560" w:lineRule="exact"/>
        <w:ind w:firstLine="640" w:firstLineChars="200"/>
        <w:rPr>
          <w:rFonts w:eastAsia="楷体"/>
          <w:sz w:val="32"/>
          <w:szCs w:val="32"/>
          <w:u w:val="single"/>
        </w:rPr>
      </w:pPr>
      <w:r>
        <w:rPr>
          <w:rFonts w:eastAsia="楷体"/>
          <w:sz w:val="32"/>
          <w:szCs w:val="32"/>
        </w:rPr>
        <w:t>项目总预算：</w:t>
      </w:r>
      <w:r>
        <w:rPr>
          <w:rFonts w:hint="eastAsia" w:eastAsia="楷体"/>
          <w:sz w:val="32"/>
          <w:szCs w:val="32"/>
          <w:u w:val="single"/>
          <w:lang w:val="en-US" w:eastAsia="zh-CN"/>
        </w:rPr>
        <w:t>110.84万</w:t>
      </w:r>
      <w:r>
        <w:rPr>
          <w:rFonts w:hint="eastAsia" w:eastAsia="楷体"/>
          <w:sz w:val="32"/>
          <w:szCs w:val="32"/>
          <w:u w:val="single"/>
        </w:rPr>
        <w:t>元</w:t>
      </w:r>
      <w:r>
        <w:rPr>
          <w:rFonts w:eastAsia="楷体"/>
          <w:sz w:val="32"/>
          <w:szCs w:val="32"/>
          <w:u w:val="single"/>
        </w:rPr>
        <w:t xml:space="preserve">              </w:t>
      </w:r>
    </w:p>
    <w:p w14:paraId="06CB4CE5">
      <w:pPr>
        <w:widowControl w:val="0"/>
        <w:numPr>
          <w:ilvl w:val="0"/>
          <w:numId w:val="1"/>
        </w:numPr>
        <w:adjustRightInd/>
        <w:snapToGrid/>
        <w:spacing w:after="0" w:line="560" w:lineRule="exact"/>
        <w:rPr>
          <w:rFonts w:eastAsia="楷体"/>
          <w:sz w:val="32"/>
          <w:szCs w:val="32"/>
        </w:rPr>
      </w:pPr>
      <w:r>
        <w:rPr>
          <w:rFonts w:eastAsia="楷体"/>
          <w:sz w:val="32"/>
          <w:szCs w:val="32"/>
        </w:rPr>
        <w:t>采购标的汇总表</w:t>
      </w:r>
    </w:p>
    <w:tbl>
      <w:tblPr>
        <w:tblStyle w:val="5"/>
        <w:tblW w:w="9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2351"/>
        <w:gridCol w:w="1126"/>
        <w:gridCol w:w="940"/>
        <w:gridCol w:w="1235"/>
        <w:gridCol w:w="1235"/>
        <w:gridCol w:w="1235"/>
      </w:tblGrid>
      <w:tr w14:paraId="2DD2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577" w:type="dxa"/>
          <w:cantSplit/>
          <w:trHeight w:val="177" w:hRule="atLeast"/>
          <w:jc w:val="center"/>
        </w:trPr>
        <w:tc>
          <w:tcPr>
            <w:tcW w:w="1016" w:type="dxa"/>
            <w:vAlign w:val="center"/>
          </w:tcPr>
          <w:p w14:paraId="6C2B7782">
            <w:pPr>
              <w:keepNext w:val="0"/>
              <w:keepLines w:val="0"/>
              <w:pageBreakBefore w:val="0"/>
              <w:widowControl/>
              <w:kinsoku/>
              <w:wordWrap/>
              <w:overflowPunct/>
              <w:topLinePunct w:val="0"/>
              <w:autoSpaceDE/>
              <w:autoSpaceDN/>
              <w:bidi w:val="0"/>
              <w:adjustRightInd/>
              <w:snapToGrid/>
              <w:spacing w:after="0"/>
              <w:jc w:val="center"/>
              <w:textAlignment w:val="auto"/>
              <w:rPr>
                <w:rFonts w:eastAsia="仿宋"/>
                <w:bCs/>
                <w:sz w:val="32"/>
                <w:szCs w:val="32"/>
              </w:rPr>
            </w:pPr>
            <w:r>
              <w:rPr>
                <w:rFonts w:eastAsia="仿宋"/>
                <w:bCs/>
                <w:sz w:val="32"/>
                <w:szCs w:val="32"/>
              </w:rPr>
              <w:t>序号</w:t>
            </w:r>
          </w:p>
        </w:tc>
        <w:tc>
          <w:tcPr>
            <w:tcW w:w="2351" w:type="dxa"/>
            <w:vAlign w:val="center"/>
          </w:tcPr>
          <w:p w14:paraId="35ABFC47">
            <w:pPr>
              <w:keepNext w:val="0"/>
              <w:keepLines w:val="0"/>
              <w:pageBreakBefore w:val="0"/>
              <w:widowControl/>
              <w:kinsoku/>
              <w:wordWrap/>
              <w:overflowPunct/>
              <w:topLinePunct w:val="0"/>
              <w:autoSpaceDE/>
              <w:autoSpaceDN/>
              <w:bidi w:val="0"/>
              <w:adjustRightInd/>
              <w:snapToGrid/>
              <w:spacing w:after="0"/>
              <w:jc w:val="center"/>
              <w:textAlignment w:val="auto"/>
              <w:rPr>
                <w:rFonts w:eastAsia="仿宋"/>
                <w:bCs/>
                <w:sz w:val="32"/>
                <w:szCs w:val="32"/>
              </w:rPr>
            </w:pPr>
            <w:r>
              <w:rPr>
                <w:rFonts w:eastAsia="仿宋"/>
                <w:bCs/>
                <w:sz w:val="32"/>
                <w:szCs w:val="32"/>
              </w:rPr>
              <w:t>标的（产品）品目</w:t>
            </w:r>
          </w:p>
        </w:tc>
        <w:tc>
          <w:tcPr>
            <w:tcW w:w="1126" w:type="dxa"/>
            <w:vAlign w:val="center"/>
          </w:tcPr>
          <w:p w14:paraId="6C402B1D">
            <w:pPr>
              <w:keepNext w:val="0"/>
              <w:keepLines w:val="0"/>
              <w:pageBreakBefore w:val="0"/>
              <w:widowControl/>
              <w:kinsoku/>
              <w:wordWrap/>
              <w:overflowPunct/>
              <w:topLinePunct w:val="0"/>
              <w:autoSpaceDE/>
              <w:autoSpaceDN/>
              <w:bidi w:val="0"/>
              <w:adjustRightInd/>
              <w:snapToGrid/>
              <w:spacing w:after="0"/>
              <w:jc w:val="center"/>
              <w:textAlignment w:val="auto"/>
              <w:rPr>
                <w:rFonts w:eastAsia="仿宋"/>
                <w:bCs/>
                <w:sz w:val="32"/>
                <w:szCs w:val="32"/>
              </w:rPr>
            </w:pPr>
            <w:r>
              <w:rPr>
                <w:rFonts w:eastAsia="仿宋"/>
                <w:bCs/>
                <w:sz w:val="32"/>
                <w:szCs w:val="32"/>
              </w:rPr>
              <w:t>计量</w:t>
            </w:r>
          </w:p>
          <w:p w14:paraId="4A6ED746">
            <w:pPr>
              <w:keepNext w:val="0"/>
              <w:keepLines w:val="0"/>
              <w:pageBreakBefore w:val="0"/>
              <w:widowControl/>
              <w:kinsoku/>
              <w:wordWrap/>
              <w:overflowPunct/>
              <w:topLinePunct w:val="0"/>
              <w:autoSpaceDE/>
              <w:autoSpaceDN/>
              <w:bidi w:val="0"/>
              <w:adjustRightInd/>
              <w:snapToGrid/>
              <w:spacing w:after="0"/>
              <w:jc w:val="center"/>
              <w:textAlignment w:val="auto"/>
              <w:rPr>
                <w:rFonts w:eastAsia="仿宋"/>
                <w:bCs/>
                <w:sz w:val="32"/>
                <w:szCs w:val="32"/>
              </w:rPr>
            </w:pPr>
            <w:r>
              <w:rPr>
                <w:rFonts w:eastAsia="仿宋"/>
                <w:bCs/>
                <w:sz w:val="32"/>
                <w:szCs w:val="32"/>
              </w:rPr>
              <w:t>单位</w:t>
            </w:r>
          </w:p>
        </w:tc>
        <w:tc>
          <w:tcPr>
            <w:tcW w:w="940" w:type="dxa"/>
            <w:vAlign w:val="center"/>
          </w:tcPr>
          <w:p w14:paraId="7CA3956A">
            <w:pPr>
              <w:keepNext w:val="0"/>
              <w:keepLines w:val="0"/>
              <w:pageBreakBefore w:val="0"/>
              <w:widowControl/>
              <w:kinsoku/>
              <w:wordWrap/>
              <w:overflowPunct/>
              <w:topLinePunct w:val="0"/>
              <w:autoSpaceDE/>
              <w:autoSpaceDN/>
              <w:bidi w:val="0"/>
              <w:adjustRightInd/>
              <w:snapToGrid/>
              <w:spacing w:after="0"/>
              <w:jc w:val="center"/>
              <w:textAlignment w:val="auto"/>
              <w:rPr>
                <w:rFonts w:eastAsia="仿宋"/>
                <w:bCs/>
                <w:sz w:val="32"/>
                <w:szCs w:val="32"/>
              </w:rPr>
            </w:pPr>
            <w:r>
              <w:rPr>
                <w:rFonts w:eastAsia="仿宋"/>
                <w:bCs/>
                <w:sz w:val="32"/>
                <w:szCs w:val="32"/>
              </w:rPr>
              <w:t>数量</w:t>
            </w:r>
          </w:p>
        </w:tc>
        <w:tc>
          <w:tcPr>
            <w:tcW w:w="1235" w:type="dxa"/>
            <w:vAlign w:val="center"/>
          </w:tcPr>
          <w:p w14:paraId="666F8FBB">
            <w:pPr>
              <w:keepNext w:val="0"/>
              <w:keepLines w:val="0"/>
              <w:pageBreakBefore w:val="0"/>
              <w:widowControl/>
              <w:kinsoku/>
              <w:wordWrap/>
              <w:overflowPunct/>
              <w:topLinePunct w:val="0"/>
              <w:autoSpaceDE/>
              <w:autoSpaceDN/>
              <w:bidi w:val="0"/>
              <w:adjustRightInd/>
              <w:snapToGrid/>
              <w:spacing w:after="0"/>
              <w:jc w:val="center"/>
              <w:textAlignment w:val="auto"/>
              <w:rPr>
                <w:rFonts w:eastAsia="仿宋"/>
                <w:bCs/>
                <w:sz w:val="32"/>
                <w:szCs w:val="32"/>
              </w:rPr>
            </w:pPr>
            <w:r>
              <w:rPr>
                <w:rFonts w:eastAsia="仿宋"/>
                <w:bCs/>
                <w:sz w:val="32"/>
                <w:szCs w:val="32"/>
              </w:rPr>
              <w:t>进口/国产</w:t>
            </w:r>
          </w:p>
        </w:tc>
        <w:tc>
          <w:tcPr>
            <w:tcW w:w="1235" w:type="dxa"/>
            <w:vAlign w:val="center"/>
          </w:tcPr>
          <w:p w14:paraId="5C1F01ED">
            <w:pPr>
              <w:keepNext w:val="0"/>
              <w:keepLines w:val="0"/>
              <w:pageBreakBefore w:val="0"/>
              <w:widowControl/>
              <w:kinsoku/>
              <w:wordWrap/>
              <w:overflowPunct/>
              <w:topLinePunct w:val="0"/>
              <w:autoSpaceDE/>
              <w:autoSpaceDN/>
              <w:bidi w:val="0"/>
              <w:adjustRightInd/>
              <w:snapToGrid/>
              <w:spacing w:after="0"/>
              <w:jc w:val="center"/>
              <w:textAlignment w:val="auto"/>
              <w:rPr>
                <w:rFonts w:eastAsia="仿宋"/>
                <w:bCs/>
                <w:sz w:val="32"/>
                <w:szCs w:val="32"/>
              </w:rPr>
            </w:pPr>
            <w:r>
              <w:rPr>
                <w:rFonts w:eastAsia="仿宋"/>
                <w:bCs/>
                <w:sz w:val="32"/>
                <w:szCs w:val="32"/>
              </w:rPr>
              <w:t>核心</w:t>
            </w:r>
          </w:p>
          <w:p w14:paraId="39DCB457">
            <w:pPr>
              <w:keepNext w:val="0"/>
              <w:keepLines w:val="0"/>
              <w:pageBreakBefore w:val="0"/>
              <w:widowControl/>
              <w:kinsoku/>
              <w:wordWrap/>
              <w:overflowPunct/>
              <w:topLinePunct w:val="0"/>
              <w:autoSpaceDE/>
              <w:autoSpaceDN/>
              <w:bidi w:val="0"/>
              <w:adjustRightInd/>
              <w:snapToGrid/>
              <w:spacing w:after="0"/>
              <w:jc w:val="center"/>
              <w:textAlignment w:val="auto"/>
              <w:rPr>
                <w:rFonts w:eastAsia="仿宋"/>
                <w:bCs/>
                <w:sz w:val="32"/>
                <w:szCs w:val="32"/>
              </w:rPr>
            </w:pPr>
            <w:r>
              <w:rPr>
                <w:rFonts w:eastAsia="仿宋"/>
                <w:bCs/>
                <w:sz w:val="32"/>
                <w:szCs w:val="32"/>
              </w:rPr>
              <w:t>产品</w:t>
            </w:r>
          </w:p>
        </w:tc>
        <w:tc>
          <w:tcPr>
            <w:tcW w:w="1235" w:type="dxa"/>
            <w:vAlign w:val="center"/>
          </w:tcPr>
          <w:p w14:paraId="443D1070">
            <w:pPr>
              <w:keepNext w:val="0"/>
              <w:keepLines w:val="0"/>
              <w:pageBreakBefore w:val="0"/>
              <w:widowControl/>
              <w:kinsoku/>
              <w:wordWrap/>
              <w:overflowPunct/>
              <w:topLinePunct w:val="0"/>
              <w:autoSpaceDE/>
              <w:autoSpaceDN/>
              <w:bidi w:val="0"/>
              <w:adjustRightInd/>
              <w:snapToGrid/>
              <w:spacing w:after="0"/>
              <w:jc w:val="center"/>
              <w:textAlignment w:val="auto"/>
              <w:rPr>
                <w:rFonts w:eastAsia="仿宋"/>
                <w:bCs/>
                <w:sz w:val="32"/>
                <w:szCs w:val="32"/>
              </w:rPr>
            </w:pPr>
            <w:r>
              <w:rPr>
                <w:rFonts w:eastAsia="仿宋"/>
                <w:bCs/>
                <w:sz w:val="32"/>
                <w:szCs w:val="32"/>
              </w:rPr>
              <w:t>备注</w:t>
            </w:r>
          </w:p>
        </w:tc>
      </w:tr>
      <w:tr w14:paraId="1DA1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577" w:type="dxa"/>
          <w:cantSplit/>
          <w:trHeight w:val="209" w:hRule="atLeast"/>
          <w:jc w:val="center"/>
        </w:trPr>
        <w:tc>
          <w:tcPr>
            <w:tcW w:w="1016" w:type="dxa"/>
            <w:vAlign w:val="center"/>
          </w:tcPr>
          <w:p w14:paraId="1749FFAE">
            <w:pPr>
              <w:keepNext w:val="0"/>
              <w:keepLines w:val="0"/>
              <w:pageBreakBefore w:val="0"/>
              <w:widowControl/>
              <w:kinsoku/>
              <w:wordWrap/>
              <w:overflowPunct/>
              <w:topLinePunct w:val="0"/>
              <w:autoSpaceDE/>
              <w:autoSpaceDN/>
              <w:bidi w:val="0"/>
              <w:adjustRightInd/>
              <w:snapToGrid/>
              <w:spacing w:after="0"/>
              <w:jc w:val="center"/>
              <w:textAlignment w:val="auto"/>
              <w:rPr>
                <w:rFonts w:eastAsia="仿宋"/>
                <w:bCs/>
                <w:sz w:val="32"/>
                <w:szCs w:val="32"/>
              </w:rPr>
            </w:pPr>
            <w:r>
              <w:rPr>
                <w:rFonts w:eastAsia="仿宋"/>
                <w:bCs/>
                <w:sz w:val="32"/>
                <w:szCs w:val="32"/>
              </w:rPr>
              <w:t>1</w:t>
            </w:r>
          </w:p>
        </w:tc>
        <w:tc>
          <w:tcPr>
            <w:tcW w:w="2351" w:type="dxa"/>
            <w:vAlign w:val="center"/>
          </w:tcPr>
          <w:p w14:paraId="768D10EA">
            <w:pPr>
              <w:keepNext w:val="0"/>
              <w:keepLines w:val="0"/>
              <w:pageBreakBefore w:val="0"/>
              <w:widowControl/>
              <w:kinsoku/>
              <w:wordWrap/>
              <w:overflowPunct/>
              <w:topLinePunct w:val="0"/>
              <w:autoSpaceDE/>
              <w:autoSpaceDN/>
              <w:bidi w:val="0"/>
              <w:adjustRightInd/>
              <w:snapToGrid/>
              <w:spacing w:after="0"/>
              <w:jc w:val="center"/>
              <w:textAlignment w:val="auto"/>
              <w:rPr>
                <w:rFonts w:eastAsia="仿宋"/>
                <w:bCs/>
                <w:i/>
                <w:sz w:val="32"/>
                <w:szCs w:val="32"/>
                <w:u w:val="single"/>
              </w:rPr>
            </w:pPr>
            <w:r>
              <w:rPr>
                <w:rFonts w:hint="eastAsia" w:eastAsia="仿宋"/>
                <w:sz w:val="32"/>
                <w:szCs w:val="32"/>
                <w:lang w:eastAsia="zh-CN"/>
              </w:rPr>
              <w:t>202</w:t>
            </w:r>
            <w:r>
              <w:rPr>
                <w:rFonts w:hint="eastAsia" w:eastAsia="仿宋"/>
                <w:sz w:val="32"/>
                <w:szCs w:val="32"/>
                <w:lang w:val="en-US" w:eastAsia="zh-CN"/>
              </w:rPr>
              <w:t>6年</w:t>
            </w:r>
            <w:r>
              <w:rPr>
                <w:rFonts w:hint="eastAsia" w:eastAsia="仿宋"/>
                <w:sz w:val="32"/>
                <w:szCs w:val="32"/>
              </w:rPr>
              <w:t>衡山县</w:t>
            </w:r>
            <w:r>
              <w:rPr>
                <w:rFonts w:hint="eastAsia" w:eastAsia="仿宋"/>
                <w:sz w:val="32"/>
                <w:szCs w:val="32"/>
                <w:lang w:val="en-US" w:eastAsia="zh-CN"/>
              </w:rPr>
              <w:t>油菜生产</w:t>
            </w:r>
            <w:r>
              <w:rPr>
                <w:rFonts w:hint="eastAsia" w:eastAsia="仿宋"/>
                <w:sz w:val="32"/>
                <w:szCs w:val="32"/>
              </w:rPr>
              <w:t>项目</w:t>
            </w:r>
          </w:p>
        </w:tc>
        <w:tc>
          <w:tcPr>
            <w:tcW w:w="1126" w:type="dxa"/>
            <w:vAlign w:val="center"/>
          </w:tcPr>
          <w:p w14:paraId="7CE809EB">
            <w:pPr>
              <w:keepNext w:val="0"/>
              <w:keepLines w:val="0"/>
              <w:pageBreakBefore w:val="0"/>
              <w:widowControl/>
              <w:kinsoku/>
              <w:wordWrap/>
              <w:overflowPunct/>
              <w:topLinePunct w:val="0"/>
              <w:autoSpaceDE/>
              <w:autoSpaceDN/>
              <w:bidi w:val="0"/>
              <w:adjustRightInd/>
              <w:snapToGrid/>
              <w:spacing w:after="0"/>
              <w:jc w:val="center"/>
              <w:textAlignment w:val="auto"/>
              <w:rPr>
                <w:rFonts w:hint="eastAsia" w:eastAsia="仿宋"/>
                <w:bCs/>
                <w:sz w:val="32"/>
                <w:szCs w:val="32"/>
                <w:lang w:val="en-US" w:eastAsia="zh-CN"/>
              </w:rPr>
            </w:pPr>
            <w:r>
              <w:rPr>
                <w:rFonts w:hint="eastAsia" w:eastAsia="仿宋"/>
                <w:bCs/>
                <w:sz w:val="32"/>
                <w:szCs w:val="32"/>
                <w:lang w:val="en-US" w:eastAsia="zh-CN"/>
              </w:rPr>
              <w:t>1</w:t>
            </w:r>
          </w:p>
        </w:tc>
        <w:tc>
          <w:tcPr>
            <w:tcW w:w="940" w:type="dxa"/>
            <w:vAlign w:val="center"/>
          </w:tcPr>
          <w:p w14:paraId="37CB673E">
            <w:pPr>
              <w:keepNext w:val="0"/>
              <w:keepLines w:val="0"/>
              <w:pageBreakBefore w:val="0"/>
              <w:widowControl/>
              <w:kinsoku/>
              <w:wordWrap/>
              <w:overflowPunct/>
              <w:topLinePunct w:val="0"/>
              <w:autoSpaceDE/>
              <w:autoSpaceDN/>
              <w:bidi w:val="0"/>
              <w:adjustRightInd/>
              <w:snapToGrid/>
              <w:spacing w:after="0"/>
              <w:jc w:val="center"/>
              <w:textAlignment w:val="auto"/>
              <w:rPr>
                <w:rFonts w:hint="eastAsia" w:eastAsia="仿宋"/>
                <w:bCs/>
                <w:sz w:val="32"/>
                <w:szCs w:val="32"/>
                <w:lang w:val="en-US" w:eastAsia="zh-CN"/>
              </w:rPr>
            </w:pPr>
            <w:r>
              <w:rPr>
                <w:rFonts w:hint="eastAsia" w:eastAsia="仿宋"/>
                <w:bCs/>
                <w:sz w:val="32"/>
                <w:szCs w:val="32"/>
                <w:lang w:val="en-US" w:eastAsia="zh-CN"/>
              </w:rPr>
              <w:t>批</w:t>
            </w:r>
          </w:p>
        </w:tc>
        <w:tc>
          <w:tcPr>
            <w:tcW w:w="1235" w:type="dxa"/>
            <w:vAlign w:val="center"/>
          </w:tcPr>
          <w:p w14:paraId="46D41460">
            <w:pPr>
              <w:keepNext w:val="0"/>
              <w:keepLines w:val="0"/>
              <w:pageBreakBefore w:val="0"/>
              <w:widowControl/>
              <w:kinsoku/>
              <w:wordWrap/>
              <w:overflowPunct/>
              <w:topLinePunct w:val="0"/>
              <w:autoSpaceDE/>
              <w:autoSpaceDN/>
              <w:bidi w:val="0"/>
              <w:adjustRightInd/>
              <w:snapToGrid/>
              <w:spacing w:after="0"/>
              <w:jc w:val="center"/>
              <w:textAlignment w:val="auto"/>
              <w:rPr>
                <w:rFonts w:hint="default" w:eastAsia="仿宋"/>
                <w:bCs/>
                <w:sz w:val="32"/>
                <w:szCs w:val="32"/>
                <w:lang w:val="en-US" w:eastAsia="zh-CN"/>
              </w:rPr>
            </w:pPr>
            <w:r>
              <w:rPr>
                <w:rFonts w:hint="eastAsia" w:eastAsia="仿宋"/>
                <w:bCs/>
                <w:sz w:val="32"/>
                <w:szCs w:val="32"/>
                <w:lang w:val="en-US" w:eastAsia="zh-CN"/>
              </w:rPr>
              <w:t>/</w:t>
            </w:r>
          </w:p>
        </w:tc>
        <w:tc>
          <w:tcPr>
            <w:tcW w:w="1235" w:type="dxa"/>
            <w:vAlign w:val="center"/>
          </w:tcPr>
          <w:p w14:paraId="3285E55D">
            <w:pPr>
              <w:keepNext w:val="0"/>
              <w:keepLines w:val="0"/>
              <w:pageBreakBefore w:val="0"/>
              <w:widowControl/>
              <w:kinsoku/>
              <w:wordWrap/>
              <w:overflowPunct/>
              <w:topLinePunct w:val="0"/>
              <w:autoSpaceDE/>
              <w:autoSpaceDN/>
              <w:bidi w:val="0"/>
              <w:adjustRightInd/>
              <w:snapToGrid/>
              <w:spacing w:after="0"/>
              <w:jc w:val="center"/>
              <w:textAlignment w:val="auto"/>
              <w:rPr>
                <w:rFonts w:hint="eastAsia" w:eastAsia="仿宋"/>
                <w:bCs/>
                <w:sz w:val="32"/>
                <w:szCs w:val="32"/>
                <w:lang w:val="en-US" w:eastAsia="zh-CN"/>
              </w:rPr>
            </w:pPr>
            <w:r>
              <w:rPr>
                <w:rFonts w:hint="eastAsia" w:eastAsia="仿宋"/>
                <w:bCs/>
                <w:sz w:val="32"/>
                <w:szCs w:val="32"/>
                <w:lang w:val="en-US" w:eastAsia="zh-CN"/>
              </w:rPr>
              <w:t>/</w:t>
            </w:r>
          </w:p>
        </w:tc>
        <w:tc>
          <w:tcPr>
            <w:tcW w:w="1235" w:type="dxa"/>
            <w:vAlign w:val="center"/>
          </w:tcPr>
          <w:p w14:paraId="2309C938">
            <w:pPr>
              <w:keepNext w:val="0"/>
              <w:keepLines w:val="0"/>
              <w:pageBreakBefore w:val="0"/>
              <w:widowControl/>
              <w:kinsoku/>
              <w:wordWrap/>
              <w:overflowPunct/>
              <w:topLinePunct w:val="0"/>
              <w:autoSpaceDE/>
              <w:autoSpaceDN/>
              <w:bidi w:val="0"/>
              <w:adjustRightInd/>
              <w:snapToGrid/>
              <w:spacing w:after="0"/>
              <w:jc w:val="center"/>
              <w:textAlignment w:val="auto"/>
              <w:rPr>
                <w:rFonts w:hint="eastAsia" w:eastAsia="仿宋"/>
                <w:bCs/>
                <w:i/>
                <w:iCs/>
                <w:sz w:val="32"/>
                <w:szCs w:val="32"/>
                <w:lang w:val="en-US" w:eastAsia="zh-CN"/>
              </w:rPr>
            </w:pPr>
            <w:r>
              <w:rPr>
                <w:rFonts w:hint="eastAsia" w:eastAsia="仿宋"/>
                <w:bCs/>
                <w:i/>
                <w:iCs/>
                <w:sz w:val="32"/>
                <w:szCs w:val="32"/>
                <w:lang w:val="en-US" w:eastAsia="zh-CN"/>
              </w:rPr>
              <w:t>/</w:t>
            </w:r>
          </w:p>
        </w:tc>
      </w:tr>
    </w:tbl>
    <w:p w14:paraId="359B57B5">
      <w:pPr>
        <w:pStyle w:val="15"/>
        <w:widowControl/>
        <w:spacing w:before="120" w:beforeLines="50" w:after="120" w:afterLines="50" w:line="360" w:lineRule="auto"/>
        <w:jc w:val="center"/>
        <w:rPr>
          <w:rStyle w:val="7"/>
          <w:rFonts w:hint="eastAsia" w:ascii="宋体" w:hAnsi="宋体" w:eastAsia="宋体" w:cs="宋体"/>
          <w:b/>
          <w:bCs/>
          <w:color w:val="auto"/>
          <w:spacing w:val="30"/>
          <w:kern w:val="0"/>
          <w:sz w:val="24"/>
          <w:szCs w:val="24"/>
          <w:lang w:val="en-US" w:eastAsia="zh-CN" w:bidi="ar-SA"/>
        </w:rPr>
      </w:pPr>
      <w:bookmarkStart w:id="0" w:name="EB469f22d861c64ce29b6fd03a79836fb8_0"/>
      <w:r>
        <w:rPr>
          <w:rStyle w:val="7"/>
          <w:rFonts w:hint="eastAsia" w:ascii="宋体" w:hAnsi="宋体" w:eastAsia="宋体" w:cs="宋体"/>
          <w:b/>
          <w:bCs/>
          <w:color w:val="auto"/>
          <w:spacing w:val="30"/>
          <w:kern w:val="0"/>
          <w:sz w:val="24"/>
          <w:szCs w:val="24"/>
          <w:lang w:val="en-US" w:eastAsia="zh-CN" w:bidi="ar-SA"/>
        </w:rPr>
        <w:t>第一节 技术要求</w:t>
      </w:r>
    </w:p>
    <w:p w14:paraId="1405FB76">
      <w:pPr>
        <w:pStyle w:val="15"/>
        <w:widowControl/>
        <w:spacing w:before="120" w:beforeLines="50" w:after="120" w:afterLines="50" w:line="360" w:lineRule="auto"/>
        <w:ind w:firstLine="602" w:firstLineChars="200"/>
        <w:jc w:val="left"/>
        <w:rPr>
          <w:rStyle w:val="7"/>
          <w:rFonts w:hint="eastAsia" w:ascii="宋体" w:hAnsi="宋体" w:eastAsia="宋体" w:cs="宋体"/>
          <w:b/>
          <w:bCs/>
          <w:color w:val="auto"/>
          <w:spacing w:val="30"/>
          <w:kern w:val="0"/>
          <w:sz w:val="24"/>
          <w:szCs w:val="24"/>
          <w:lang w:val="en-US" w:eastAsia="zh-CN" w:bidi="ar-SA"/>
        </w:rPr>
      </w:pPr>
      <w:bookmarkStart w:id="1" w:name="_GoBack"/>
      <w:r>
        <w:rPr>
          <w:rStyle w:val="7"/>
          <w:rFonts w:hint="eastAsia" w:ascii="宋体" w:hAnsi="宋体" w:eastAsia="宋体" w:cs="宋体"/>
          <w:b/>
          <w:bCs/>
          <w:color w:val="auto"/>
          <w:spacing w:val="30"/>
          <w:kern w:val="0"/>
          <w:sz w:val="24"/>
          <w:szCs w:val="24"/>
          <w:lang w:val="en-US" w:eastAsia="zh-CN" w:bidi="ar-SA"/>
        </w:rPr>
        <w:t>★本项目设置了采购单价及总价限价，投标人所投报价应体现单价和总价，单价及总价均不得高于最高限价。否则，投标无效。</w:t>
      </w:r>
    </w:p>
    <w:bookmarkEnd w:id="1"/>
    <w:p w14:paraId="1FA06C58">
      <w:pPr>
        <w:pStyle w:val="16"/>
        <w:spacing w:line="360" w:lineRule="auto"/>
        <w:ind w:firstLine="420"/>
        <w:rPr>
          <w:rStyle w:val="7"/>
          <w:rFonts w:hint="eastAsia" w:ascii="宋体" w:hAnsi="宋体" w:eastAsia="宋体" w:cs="宋体"/>
          <w:b/>
          <w:bCs/>
          <w:color w:val="auto"/>
          <w:spacing w:val="30"/>
          <w:kern w:val="0"/>
          <w:sz w:val="24"/>
          <w:szCs w:val="24"/>
          <w:lang w:val="en-US" w:eastAsia="zh-CN" w:bidi="ar-SA"/>
        </w:rPr>
      </w:pPr>
      <w:r>
        <w:rPr>
          <w:rStyle w:val="7"/>
          <w:rFonts w:hint="eastAsia" w:ascii="宋体" w:hAnsi="宋体" w:eastAsia="宋体" w:cs="宋体"/>
          <w:b/>
          <w:bCs/>
          <w:color w:val="000000"/>
          <w:sz w:val="24"/>
          <w:szCs w:val="24"/>
          <w:highlight w:val="white"/>
        </w:rPr>
        <w:t>一、采购内容及数量</w:t>
      </w:r>
    </w:p>
    <w:tbl>
      <w:tblPr>
        <w:tblStyle w:val="5"/>
        <w:tblW w:w="97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55"/>
        <w:gridCol w:w="2525"/>
        <w:gridCol w:w="2305"/>
        <w:gridCol w:w="2422"/>
        <w:gridCol w:w="808"/>
      </w:tblGrid>
      <w:tr w14:paraId="1F181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715" w:type="dxa"/>
            <w:gridSpan w:val="5"/>
            <w:tcBorders>
              <w:top w:val="nil"/>
              <w:left w:val="nil"/>
              <w:bottom w:val="nil"/>
              <w:right w:val="nil"/>
            </w:tcBorders>
            <w:noWrap/>
            <w:vAlign w:val="center"/>
          </w:tcPr>
          <w:p w14:paraId="70928FC6">
            <w:pPr>
              <w:pStyle w:val="15"/>
              <w:keepNext w:val="0"/>
              <w:keepLines w:val="0"/>
              <w:widowControl/>
              <w:suppressLineNumbers w:val="0"/>
              <w:tabs>
                <w:tab w:val="left" w:pos="4083"/>
              </w:tabs>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b/>
                <w:bCs/>
                <w:i w:val="0"/>
                <w:iCs w:val="0"/>
                <w:color w:val="000000"/>
                <w:kern w:val="0"/>
                <w:sz w:val="24"/>
                <w:szCs w:val="24"/>
                <w:u w:val="none"/>
                <w:lang w:val="en-US" w:eastAsia="zh-CN" w:bidi="ar"/>
              </w:rPr>
              <w:t>2026年油菜籽采购明细表</w:t>
            </w:r>
          </w:p>
        </w:tc>
      </w:tr>
      <w:tr w14:paraId="0877F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1DF99DDE">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rPr>
            </w:pPr>
            <w:r>
              <w:rPr>
                <w:rStyle w:val="7"/>
                <w:rFonts w:hint="eastAsia" w:ascii="宋体" w:hAnsi="宋体" w:eastAsia="宋体" w:cs="宋体"/>
                <w:i w:val="0"/>
                <w:iCs w:val="0"/>
                <w:color w:val="000000"/>
                <w:kern w:val="0"/>
                <w:sz w:val="24"/>
                <w:szCs w:val="24"/>
                <w:u w:val="none"/>
                <w:lang w:val="en-US" w:eastAsia="zh-CN" w:bidi="ar"/>
              </w:rPr>
              <w:t>品种名称</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1009E109">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rPr>
            </w:pPr>
            <w:r>
              <w:rPr>
                <w:rStyle w:val="7"/>
                <w:rFonts w:hint="eastAsia" w:ascii="宋体" w:hAnsi="宋体" w:eastAsia="宋体" w:cs="宋体"/>
                <w:i w:val="0"/>
                <w:iCs w:val="0"/>
                <w:color w:val="000000"/>
                <w:kern w:val="0"/>
                <w:sz w:val="24"/>
                <w:szCs w:val="24"/>
                <w:u w:val="none"/>
                <w:lang w:val="en-US" w:eastAsia="zh-CN" w:bidi="ar"/>
              </w:rPr>
              <w:t>数量（单位：万包）</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62DD1F16">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rPr>
            </w:pPr>
            <w:r>
              <w:rPr>
                <w:rStyle w:val="7"/>
                <w:rFonts w:hint="eastAsia" w:ascii="宋体" w:hAnsi="宋体" w:eastAsia="宋体" w:cs="宋体"/>
                <w:i w:val="0"/>
                <w:iCs w:val="0"/>
                <w:color w:val="000000"/>
                <w:kern w:val="0"/>
                <w:sz w:val="24"/>
                <w:szCs w:val="24"/>
                <w:u w:val="none"/>
                <w:lang w:val="en-US" w:eastAsia="zh-CN" w:bidi="ar"/>
              </w:rPr>
              <w:t>单价（单位元/包）</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2E61D718">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rPr>
            </w:pPr>
            <w:r>
              <w:rPr>
                <w:rStyle w:val="7"/>
                <w:rFonts w:hint="eastAsia" w:ascii="宋体" w:hAnsi="宋体" w:eastAsia="宋体" w:cs="宋体"/>
                <w:i w:val="0"/>
                <w:iCs w:val="0"/>
                <w:color w:val="000000"/>
                <w:kern w:val="0"/>
                <w:sz w:val="24"/>
                <w:szCs w:val="24"/>
                <w:u w:val="none"/>
                <w:lang w:val="en-US" w:eastAsia="zh-CN" w:bidi="ar"/>
              </w:rPr>
              <w:t>金额（单位：万元）</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4F0F3C33">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备注</w:t>
            </w:r>
          </w:p>
        </w:tc>
      </w:tr>
      <w:tr w14:paraId="42E6C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11A774E7">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highlight w:val="none"/>
                <w:u w:val="none"/>
                <w:lang w:val="en-US" w:eastAsia="zh-CN"/>
              </w:rPr>
            </w:pPr>
            <w:r>
              <w:rPr>
                <w:rStyle w:val="7"/>
                <w:rFonts w:hint="eastAsia" w:ascii="宋体" w:hAnsi="宋体" w:eastAsia="宋体" w:cs="宋体"/>
                <w:i w:val="0"/>
                <w:iCs w:val="0"/>
                <w:color w:val="000000"/>
                <w:kern w:val="0"/>
                <w:sz w:val="24"/>
                <w:szCs w:val="24"/>
                <w:u w:val="none"/>
                <w:lang w:val="en-US" w:eastAsia="zh-CN" w:bidi="ar"/>
              </w:rPr>
              <w:t>沣油789</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591D2BA4">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rPr>
            </w:pPr>
            <w:r>
              <w:rPr>
                <w:rStyle w:val="7"/>
                <w:rFonts w:hint="eastAsia" w:ascii="宋体" w:hAnsi="宋体" w:eastAsia="宋体" w:cs="宋体"/>
                <w:i w:val="0"/>
                <w:iCs w:val="0"/>
                <w:color w:val="000000"/>
                <w:kern w:val="0"/>
                <w:sz w:val="24"/>
                <w:szCs w:val="24"/>
                <w:u w:val="none"/>
                <w:lang w:val="en-US" w:eastAsia="zh-CN" w:bidi="ar"/>
              </w:rPr>
              <w:t>2</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78C6D4EF">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4.41</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6AC5678F">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8.82</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1B302469">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r>
      <w:tr w14:paraId="2C804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742738EA">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bidi="ar"/>
              </w:rPr>
              <w:t>常香油919</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3C02BC78">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bidi="ar"/>
              </w:rPr>
              <w:t>1.5</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753B7F6D">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4.46</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737998D7">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6.69</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488DB6DD">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r>
      <w:tr w14:paraId="36AB7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2587F5B7">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highlight w:val="none"/>
                <w:u w:val="none"/>
              </w:rPr>
            </w:pPr>
            <w:r>
              <w:rPr>
                <w:rStyle w:val="7"/>
                <w:rFonts w:hint="eastAsia" w:ascii="宋体" w:hAnsi="宋体" w:eastAsia="宋体" w:cs="宋体"/>
                <w:i w:val="0"/>
                <w:iCs w:val="0"/>
                <w:color w:val="000000"/>
                <w:kern w:val="0"/>
                <w:sz w:val="24"/>
                <w:szCs w:val="24"/>
                <w:u w:val="none"/>
                <w:lang w:val="en-US" w:eastAsia="zh-CN" w:bidi="ar"/>
              </w:rPr>
              <w:t>庆油3号</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1DBEB4F4">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bidi="ar"/>
              </w:rPr>
              <w:t>1.5</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6E7C606E">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7.5</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7DE6D6D1">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11.25</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5DF02A2A">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r>
      <w:tr w14:paraId="62DD2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40C4467B">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kern w:val="0"/>
                <w:sz w:val="24"/>
                <w:szCs w:val="24"/>
                <w:highlight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常香油3号</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06EC8537">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bidi="ar"/>
              </w:rPr>
              <w:t>3</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2CE1C05F">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4.21</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15D440A6">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12.63</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316A553C">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r>
      <w:tr w14:paraId="757DF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7ED25558">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highlight w:val="none"/>
                <w:u w:val="none"/>
              </w:rPr>
            </w:pPr>
            <w:r>
              <w:rPr>
                <w:rStyle w:val="7"/>
                <w:rFonts w:hint="eastAsia" w:ascii="宋体" w:hAnsi="宋体" w:eastAsia="宋体" w:cs="宋体"/>
                <w:i w:val="0"/>
                <w:iCs w:val="0"/>
                <w:color w:val="000000"/>
                <w:kern w:val="0"/>
                <w:sz w:val="24"/>
                <w:szCs w:val="24"/>
                <w:u w:val="none"/>
                <w:lang w:val="en-US" w:eastAsia="zh-CN" w:bidi="ar"/>
              </w:rPr>
              <w:t>沣油2118</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6D58F424">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bidi="ar"/>
              </w:rPr>
              <w:t>1.5</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18BF1684">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4.35</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51BC27E7">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6.53</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78E3CDD2">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r>
      <w:tr w14:paraId="7BD1A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7CF93CAD">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highlight w:val="none"/>
                <w:u w:val="none"/>
              </w:rPr>
            </w:pPr>
            <w:r>
              <w:rPr>
                <w:rStyle w:val="7"/>
                <w:rFonts w:hint="eastAsia" w:ascii="宋体" w:hAnsi="宋体" w:eastAsia="宋体" w:cs="宋体"/>
                <w:i w:val="0"/>
                <w:iCs w:val="0"/>
                <w:color w:val="000000"/>
                <w:kern w:val="0"/>
                <w:sz w:val="24"/>
                <w:szCs w:val="24"/>
                <w:u w:val="none"/>
                <w:lang w:val="en-US" w:eastAsia="zh-CN" w:bidi="ar"/>
              </w:rPr>
              <w:t>常杂油9号</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39871A60">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bidi="ar"/>
              </w:rPr>
              <w:t>2</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2A2D2CA4">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4.5</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50A55CF3">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9.00</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5B8B769F">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r>
      <w:tr w14:paraId="6CB04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7EBB4E79">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highlight w:val="none"/>
                <w:u w:val="none"/>
              </w:rPr>
            </w:pPr>
            <w:r>
              <w:rPr>
                <w:rStyle w:val="7"/>
                <w:rFonts w:hint="eastAsia" w:ascii="宋体" w:hAnsi="宋体" w:eastAsia="宋体" w:cs="宋体"/>
                <w:i w:val="0"/>
                <w:iCs w:val="0"/>
                <w:color w:val="000000"/>
                <w:kern w:val="0"/>
                <w:sz w:val="24"/>
                <w:szCs w:val="24"/>
                <w:u w:val="none"/>
                <w:lang w:val="en-US" w:eastAsia="zh-CN" w:bidi="ar"/>
              </w:rPr>
              <w:t>晟湘油191</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544FCA6E">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bidi="ar"/>
              </w:rPr>
              <w:t>1.5</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256A02B8">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4.5</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61031A88">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6.75</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5638B3F2">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r>
      <w:tr w14:paraId="7A4E8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58CF1826">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bidi="ar"/>
              </w:rPr>
              <w:t>绵新167</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4724AA1A">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bidi="ar"/>
              </w:rPr>
              <w:t>1</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722AFD6F">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4.75</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0C08AA6F">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4.75</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593B0B07">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r>
      <w:tr w14:paraId="3ECB8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474FBA13">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春云2号</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7963538C">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bidi="ar"/>
              </w:rPr>
              <w:t>2</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677E9114">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4.21</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76B23AAE">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8.42</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049BFD41">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r>
      <w:tr w14:paraId="41AF7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023E947D">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油菜籽小计</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25DA13BE">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bidi="ar"/>
              </w:rPr>
              <w:t>16</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57B4521E">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5C7522FC">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74.84</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352304E8">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r>
    </w:tbl>
    <w:p w14:paraId="15DDB74E">
      <w:pPr>
        <w:pStyle w:val="15"/>
        <w:widowControl/>
        <w:adjustRightInd w:val="0"/>
        <w:snapToGrid w:val="0"/>
        <w:spacing w:after="200" w:line="560" w:lineRule="exact"/>
        <w:jc w:val="left"/>
        <w:rPr>
          <w:rStyle w:val="7"/>
          <w:rFonts w:hint="eastAsia" w:ascii="宋体" w:hAnsi="宋体" w:eastAsia="宋体" w:cs="宋体"/>
          <w:kern w:val="0"/>
          <w:sz w:val="24"/>
          <w:szCs w:val="24"/>
        </w:rPr>
      </w:pPr>
    </w:p>
    <w:tbl>
      <w:tblPr>
        <w:tblStyle w:val="5"/>
        <w:tblW w:w="97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55"/>
        <w:gridCol w:w="2525"/>
        <w:gridCol w:w="2305"/>
        <w:gridCol w:w="2422"/>
        <w:gridCol w:w="808"/>
      </w:tblGrid>
      <w:tr w14:paraId="7EF16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715" w:type="dxa"/>
            <w:gridSpan w:val="5"/>
            <w:tcBorders>
              <w:top w:val="nil"/>
              <w:left w:val="nil"/>
              <w:bottom w:val="nil"/>
              <w:right w:val="nil"/>
            </w:tcBorders>
            <w:noWrap/>
            <w:vAlign w:val="center"/>
          </w:tcPr>
          <w:p w14:paraId="0654FCF9">
            <w:pPr>
              <w:pStyle w:val="15"/>
              <w:keepNext w:val="0"/>
              <w:keepLines w:val="0"/>
              <w:widowControl/>
              <w:suppressLineNumbers w:val="0"/>
              <w:tabs>
                <w:tab w:val="left" w:pos="4083"/>
              </w:tabs>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b/>
                <w:bCs/>
                <w:i w:val="0"/>
                <w:iCs w:val="0"/>
                <w:color w:val="000000"/>
                <w:kern w:val="0"/>
                <w:sz w:val="24"/>
                <w:szCs w:val="24"/>
                <w:u w:val="none"/>
                <w:lang w:val="en-US" w:eastAsia="zh-CN" w:bidi="ar"/>
              </w:rPr>
              <w:t>硼肥采购明细表</w:t>
            </w:r>
          </w:p>
        </w:tc>
      </w:tr>
      <w:tr w14:paraId="779AF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3C0CA2F2">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rPr>
            </w:pPr>
            <w:r>
              <w:rPr>
                <w:rStyle w:val="7"/>
                <w:rFonts w:hint="eastAsia" w:ascii="宋体" w:hAnsi="宋体" w:eastAsia="宋体" w:cs="宋体"/>
                <w:i w:val="0"/>
                <w:iCs w:val="0"/>
                <w:color w:val="000000"/>
                <w:kern w:val="0"/>
                <w:sz w:val="24"/>
                <w:szCs w:val="24"/>
                <w:u w:val="none"/>
                <w:lang w:val="en-US" w:eastAsia="zh-CN" w:bidi="ar"/>
              </w:rPr>
              <w:t>品种名称</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6914C142">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rPr>
            </w:pPr>
            <w:r>
              <w:rPr>
                <w:rStyle w:val="7"/>
                <w:rFonts w:hint="eastAsia" w:ascii="宋体" w:hAnsi="宋体" w:eastAsia="宋体" w:cs="宋体"/>
                <w:i w:val="0"/>
                <w:iCs w:val="0"/>
                <w:color w:val="000000"/>
                <w:kern w:val="0"/>
                <w:sz w:val="24"/>
                <w:szCs w:val="24"/>
                <w:u w:val="none"/>
                <w:lang w:val="en-US" w:eastAsia="zh-CN" w:bidi="ar"/>
              </w:rPr>
              <w:t>数量（单位：万包）</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2CC71FD4">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rPr>
            </w:pPr>
            <w:r>
              <w:rPr>
                <w:rStyle w:val="7"/>
                <w:rFonts w:hint="eastAsia" w:ascii="宋体" w:hAnsi="宋体" w:eastAsia="宋体" w:cs="宋体"/>
                <w:i w:val="0"/>
                <w:iCs w:val="0"/>
                <w:color w:val="000000"/>
                <w:kern w:val="0"/>
                <w:sz w:val="24"/>
                <w:szCs w:val="24"/>
                <w:u w:val="none"/>
                <w:lang w:val="en-US" w:eastAsia="zh-CN" w:bidi="ar"/>
              </w:rPr>
              <w:t>单价（单位元/包）</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2F773C22">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rPr>
            </w:pPr>
            <w:r>
              <w:rPr>
                <w:rStyle w:val="7"/>
                <w:rFonts w:hint="eastAsia" w:ascii="宋体" w:hAnsi="宋体" w:eastAsia="宋体" w:cs="宋体"/>
                <w:i w:val="0"/>
                <w:iCs w:val="0"/>
                <w:color w:val="000000"/>
                <w:kern w:val="0"/>
                <w:sz w:val="24"/>
                <w:szCs w:val="24"/>
                <w:u w:val="none"/>
                <w:lang w:val="en-US" w:eastAsia="zh-CN" w:bidi="ar"/>
              </w:rPr>
              <w:t>金额（单位：万元）</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1605980C">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备注</w:t>
            </w:r>
          </w:p>
        </w:tc>
      </w:tr>
      <w:tr w14:paraId="1D217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55" w:type="dxa"/>
            <w:tcBorders>
              <w:top w:val="single" w:color="000000" w:sz="4" w:space="0"/>
              <w:left w:val="single" w:color="000000" w:sz="4" w:space="0"/>
              <w:bottom w:val="single" w:color="000000" w:sz="4" w:space="0"/>
              <w:right w:val="single" w:color="000000" w:sz="4" w:space="0"/>
            </w:tcBorders>
            <w:noWrap/>
            <w:vAlign w:val="center"/>
          </w:tcPr>
          <w:p w14:paraId="20D9A9F8">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kern w:val="0"/>
                <w:sz w:val="24"/>
                <w:szCs w:val="24"/>
              </w:rPr>
              <w:t>硼</w:t>
            </w:r>
            <w:r>
              <w:rPr>
                <w:rStyle w:val="7"/>
                <w:rFonts w:hint="eastAsia" w:ascii="宋体" w:hAnsi="宋体" w:eastAsia="宋体" w:cs="宋体"/>
                <w:kern w:val="0"/>
                <w:sz w:val="24"/>
                <w:szCs w:val="24"/>
                <w:lang w:val="en-US" w:eastAsia="zh-CN"/>
              </w:rPr>
              <w:t xml:space="preserve">  肥</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604F7829">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rPr>
            </w:pPr>
            <w:r>
              <w:rPr>
                <w:rStyle w:val="7"/>
                <w:rFonts w:hint="eastAsia" w:ascii="宋体" w:hAnsi="宋体" w:eastAsia="宋体" w:cs="宋体"/>
                <w:i w:val="0"/>
                <w:iCs w:val="0"/>
                <w:color w:val="000000"/>
                <w:kern w:val="0"/>
                <w:sz w:val="24"/>
                <w:szCs w:val="24"/>
                <w:u w:val="none"/>
                <w:lang w:val="en-US" w:eastAsia="zh-CN"/>
              </w:rPr>
              <w:t>8</w:t>
            </w:r>
          </w:p>
        </w:tc>
        <w:tc>
          <w:tcPr>
            <w:tcW w:w="2305" w:type="dxa"/>
            <w:tcBorders>
              <w:top w:val="single" w:color="000000" w:sz="4" w:space="0"/>
              <w:left w:val="single" w:color="000000" w:sz="4" w:space="0"/>
              <w:bottom w:val="single" w:color="000000" w:sz="4" w:space="0"/>
              <w:right w:val="single" w:color="000000" w:sz="4" w:space="0"/>
            </w:tcBorders>
            <w:noWrap/>
            <w:vAlign w:val="center"/>
          </w:tcPr>
          <w:p w14:paraId="76CA6324">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4.5</w:t>
            </w:r>
          </w:p>
        </w:tc>
        <w:tc>
          <w:tcPr>
            <w:tcW w:w="2422" w:type="dxa"/>
            <w:tcBorders>
              <w:top w:val="single" w:color="000000" w:sz="4" w:space="0"/>
              <w:left w:val="single" w:color="000000" w:sz="4" w:space="0"/>
              <w:bottom w:val="single" w:color="000000" w:sz="4" w:space="0"/>
              <w:right w:val="single" w:color="000000" w:sz="4" w:space="0"/>
            </w:tcBorders>
            <w:noWrap/>
            <w:vAlign w:val="center"/>
          </w:tcPr>
          <w:p w14:paraId="001ADB53">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r>
              <w:rPr>
                <w:rStyle w:val="7"/>
                <w:rFonts w:hint="eastAsia" w:ascii="宋体" w:hAnsi="宋体" w:eastAsia="宋体" w:cs="宋体"/>
                <w:i w:val="0"/>
                <w:iCs w:val="0"/>
                <w:color w:val="000000"/>
                <w:kern w:val="0"/>
                <w:sz w:val="24"/>
                <w:szCs w:val="24"/>
                <w:u w:val="none"/>
                <w:lang w:val="en-US" w:eastAsia="zh-CN" w:bidi="ar"/>
              </w:rPr>
              <w:t>36.00</w:t>
            </w:r>
          </w:p>
        </w:tc>
        <w:tc>
          <w:tcPr>
            <w:tcW w:w="808" w:type="dxa"/>
            <w:tcBorders>
              <w:top w:val="single" w:color="000000" w:sz="4" w:space="0"/>
              <w:left w:val="single" w:color="000000" w:sz="4" w:space="0"/>
              <w:bottom w:val="single" w:color="000000" w:sz="4" w:space="0"/>
              <w:right w:val="single" w:color="000000" w:sz="4" w:space="0"/>
            </w:tcBorders>
            <w:noWrap/>
            <w:vAlign w:val="center"/>
          </w:tcPr>
          <w:p w14:paraId="18C587E3">
            <w:pPr>
              <w:pStyle w:val="15"/>
              <w:keepNext w:val="0"/>
              <w:keepLines w:val="0"/>
              <w:widowControl/>
              <w:suppressLineNumbers w:val="0"/>
              <w:adjustRightInd w:val="0"/>
              <w:snapToGrid w:val="0"/>
              <w:spacing w:after="200" w:line="240" w:lineRule="auto"/>
              <w:jc w:val="center"/>
              <w:textAlignment w:val="center"/>
              <w:rPr>
                <w:rStyle w:val="7"/>
                <w:rFonts w:hint="eastAsia" w:ascii="宋体" w:hAnsi="宋体" w:eastAsia="宋体" w:cs="宋体"/>
                <w:i w:val="0"/>
                <w:iCs w:val="0"/>
                <w:color w:val="000000"/>
                <w:kern w:val="0"/>
                <w:sz w:val="24"/>
                <w:szCs w:val="24"/>
                <w:u w:val="none"/>
                <w:lang w:val="en-US" w:eastAsia="zh-CN" w:bidi="ar"/>
              </w:rPr>
            </w:pPr>
          </w:p>
        </w:tc>
      </w:tr>
    </w:tbl>
    <w:p w14:paraId="769AD947">
      <w:pPr>
        <w:pStyle w:val="15"/>
        <w:keepNext w:val="0"/>
        <w:keepLines w:val="0"/>
        <w:pageBreakBefore w:val="0"/>
        <w:widowControl/>
        <w:numPr>
          <w:ilvl w:val="0"/>
          <w:numId w:val="2"/>
        </w:numPr>
        <w:kinsoku/>
        <w:wordWrap/>
        <w:overflowPunct/>
        <w:topLinePunct w:val="0"/>
        <w:autoSpaceDE/>
        <w:autoSpaceDN/>
        <w:bidi w:val="0"/>
        <w:adjustRightInd/>
        <w:snapToGrid/>
        <w:spacing w:after="0" w:line="590" w:lineRule="exact"/>
        <w:ind w:left="982" w:leftChars="0" w:right="0" w:hanging="500" w:firstLineChars="0"/>
        <w:jc w:val="both"/>
        <w:textAlignment w:val="auto"/>
        <w:rPr>
          <w:rStyle w:val="7"/>
          <w:rFonts w:hint="eastAsia" w:ascii="宋体" w:hAnsi="宋体" w:eastAsia="宋体" w:cs="宋体"/>
          <w:spacing w:val="0"/>
          <w:kern w:val="21"/>
          <w:sz w:val="24"/>
          <w:szCs w:val="24"/>
          <w:lang w:eastAsia="zh-CN"/>
        </w:rPr>
      </w:pPr>
      <w:r>
        <w:rPr>
          <w:rStyle w:val="7"/>
          <w:rFonts w:hint="eastAsia" w:ascii="宋体" w:hAnsi="宋体" w:eastAsia="宋体" w:cs="宋体"/>
          <w:spacing w:val="0"/>
          <w:kern w:val="21"/>
          <w:sz w:val="24"/>
          <w:szCs w:val="24"/>
          <w:lang w:eastAsia="zh-CN"/>
        </w:rPr>
        <w:t>技术规格、参数与要求</w:t>
      </w:r>
    </w:p>
    <w:p w14:paraId="58A13BDE">
      <w:pPr>
        <w:pStyle w:val="15"/>
        <w:keepNext w:val="0"/>
        <w:keepLines w:val="0"/>
        <w:pageBreakBefore w:val="0"/>
        <w:widowControl/>
        <w:numPr>
          <w:ilvl w:val="0"/>
          <w:numId w:val="0"/>
        </w:numPr>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rPr>
      </w:pPr>
      <w:r>
        <w:rPr>
          <w:rStyle w:val="7"/>
          <w:rFonts w:hint="eastAsia" w:ascii="宋体" w:hAnsi="宋体" w:eastAsia="宋体" w:cs="宋体"/>
          <w:spacing w:val="0"/>
          <w:kern w:val="21"/>
          <w:sz w:val="24"/>
          <w:szCs w:val="24"/>
          <w:lang w:val="en-US" w:eastAsia="zh-CN"/>
        </w:rPr>
        <w:t>1.种子要求：通过品种审定的非转基因种子；</w:t>
      </w:r>
      <w:r>
        <w:rPr>
          <w:rStyle w:val="7"/>
          <w:rFonts w:hint="eastAsia" w:ascii="宋体" w:hAnsi="宋体" w:eastAsia="宋体" w:cs="宋体"/>
          <w:spacing w:val="9"/>
          <w:kern w:val="2"/>
          <w:sz w:val="24"/>
          <w:szCs w:val="24"/>
          <w:highlight w:val="none"/>
          <w:lang w:val="en-US" w:eastAsia="zh-CN" w:bidi="ar-SA"/>
        </w:rPr>
        <w:t>（GB4407.2-2024《经济作物种子第2部分：油料类》杂交油菜大田用种标准：种子纯度不低于86%，净度不低于98%，发芽率不低于82%，水分不高于9%）</w:t>
      </w:r>
      <w:r>
        <w:rPr>
          <w:rStyle w:val="7"/>
          <w:rFonts w:hint="eastAsia" w:ascii="宋体" w:hAnsi="宋体" w:eastAsia="宋体" w:cs="宋体"/>
          <w:spacing w:val="0"/>
          <w:kern w:val="21"/>
          <w:sz w:val="24"/>
          <w:szCs w:val="24"/>
          <w:lang w:val="en-US" w:eastAsia="zh-CN"/>
        </w:rPr>
        <w:t>(纯度以投标人出具的承诺书为准，其他指标须提供具备法定检测资质的检验检测机构于本年度出具的产品检验合格报告。）</w:t>
      </w:r>
    </w:p>
    <w:p w14:paraId="4640F938">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lang w:val="en-US" w:eastAsia="zh-CN"/>
        </w:rPr>
      </w:pPr>
      <w:r>
        <w:rPr>
          <w:rStyle w:val="7"/>
          <w:rFonts w:hint="eastAsia" w:ascii="宋体" w:hAnsi="宋体" w:eastAsia="宋体" w:cs="宋体"/>
          <w:spacing w:val="0"/>
          <w:kern w:val="21"/>
          <w:sz w:val="24"/>
          <w:szCs w:val="24"/>
          <w:u w:val="none" w:color="auto"/>
          <w:lang w:val="en-US" w:eastAsia="zh-CN"/>
        </w:rPr>
        <w:t>2.硼肥要求：颗粒硼肥（基肥专用，不采购速溶叶面硼），纯硼含量&gt;15%,符合GB/T34764-2017国家质量标准，须提供具备法定检测资质的检验检测机构于本年度出具的产品检验合格报告。</w:t>
      </w:r>
    </w:p>
    <w:p w14:paraId="22C0FA9A">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lang w:eastAsia="zh-CN"/>
        </w:rPr>
      </w:pPr>
      <w:r>
        <w:rPr>
          <w:rStyle w:val="7"/>
          <w:rFonts w:hint="eastAsia" w:ascii="宋体" w:hAnsi="宋体" w:eastAsia="宋体" w:cs="宋体"/>
          <w:spacing w:val="0"/>
          <w:kern w:val="21"/>
          <w:sz w:val="24"/>
          <w:szCs w:val="24"/>
          <w:u w:val="none" w:color="auto"/>
          <w:lang w:val="en-US" w:eastAsia="zh-CN"/>
        </w:rPr>
        <w:t>3.</w:t>
      </w:r>
      <w:r>
        <w:rPr>
          <w:rStyle w:val="7"/>
          <w:rFonts w:hint="eastAsia" w:ascii="宋体" w:hAnsi="宋体" w:eastAsia="宋体" w:cs="宋体"/>
          <w:spacing w:val="0"/>
          <w:kern w:val="21"/>
          <w:sz w:val="24"/>
          <w:szCs w:val="24"/>
          <w:u w:val="none" w:color="auto"/>
          <w:lang w:eastAsia="zh-CN"/>
        </w:rPr>
        <w:t>供应商除提供货物外，必须配合采购方市种子管理部门所开展的杂交油菜种子扦样检测，必须提出详细的、操作性强的技术服务到农户到田的方案。即对所用货物的使用人员提供售后服务承诺，并进行宣传和技术培训，主要包括产品贮存与使用方法等方面培训。</w:t>
      </w:r>
    </w:p>
    <w:p w14:paraId="749E0786">
      <w:pPr>
        <w:pStyle w:val="15"/>
        <w:keepNext w:val="0"/>
        <w:keepLines w:val="0"/>
        <w:pageBreakBefore w:val="0"/>
        <w:widowControl/>
        <w:kinsoku/>
        <w:wordWrap/>
        <w:overflowPunct/>
        <w:topLinePunct w:val="0"/>
        <w:autoSpaceDE/>
        <w:autoSpaceDN/>
        <w:bidi w:val="0"/>
        <w:adjustRightInd/>
        <w:snapToGrid/>
        <w:spacing w:after="0" w:line="590" w:lineRule="exact"/>
        <w:ind w:right="0" w:firstLine="480" w:firstLineChars="200"/>
        <w:jc w:val="both"/>
        <w:textAlignment w:val="auto"/>
        <w:rPr>
          <w:rStyle w:val="7"/>
          <w:rFonts w:hint="eastAsia" w:ascii="宋体" w:hAnsi="宋体" w:eastAsia="宋体" w:cs="宋体"/>
          <w:spacing w:val="0"/>
          <w:kern w:val="21"/>
          <w:sz w:val="24"/>
          <w:szCs w:val="24"/>
          <w:u w:val="none" w:color="auto"/>
        </w:rPr>
      </w:pPr>
      <w:r>
        <w:rPr>
          <w:rStyle w:val="7"/>
          <w:rFonts w:hint="eastAsia" w:ascii="宋体" w:hAnsi="宋体" w:eastAsia="宋体" w:cs="宋体"/>
          <w:spacing w:val="0"/>
          <w:kern w:val="21"/>
          <w:sz w:val="24"/>
          <w:szCs w:val="24"/>
          <w:u w:val="none" w:color="auto"/>
          <w:lang w:val="en-US" w:eastAsia="zh-CN"/>
        </w:rPr>
        <w:t>4.</w:t>
      </w:r>
      <w:r>
        <w:rPr>
          <w:rStyle w:val="7"/>
          <w:rFonts w:hint="eastAsia" w:ascii="宋体" w:hAnsi="宋体" w:eastAsia="宋体" w:cs="宋体"/>
          <w:spacing w:val="0"/>
          <w:kern w:val="21"/>
          <w:sz w:val="24"/>
          <w:szCs w:val="24"/>
          <w:u w:val="none" w:color="auto"/>
        </w:rPr>
        <w:t xml:space="preserve">包装要求：由于不适当的包装和运输造成的任何损失均由中标人负责。 </w:t>
      </w:r>
    </w:p>
    <w:p w14:paraId="6E2459EE">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rPr>
      </w:pPr>
      <w:r>
        <w:rPr>
          <w:rStyle w:val="7"/>
          <w:rFonts w:hint="eastAsia" w:ascii="宋体" w:hAnsi="宋体" w:eastAsia="宋体" w:cs="宋体"/>
          <w:spacing w:val="0"/>
          <w:kern w:val="21"/>
          <w:sz w:val="24"/>
          <w:szCs w:val="24"/>
          <w:u w:val="none" w:color="auto"/>
          <w:lang w:val="en-US" w:eastAsia="zh-CN"/>
        </w:rPr>
        <w:t>5.</w:t>
      </w:r>
      <w:r>
        <w:rPr>
          <w:rStyle w:val="7"/>
          <w:rFonts w:hint="eastAsia" w:ascii="宋体" w:hAnsi="宋体" w:eastAsia="宋体" w:cs="宋体"/>
          <w:spacing w:val="0"/>
          <w:kern w:val="21"/>
          <w:sz w:val="24"/>
          <w:szCs w:val="24"/>
          <w:u w:val="none" w:color="auto"/>
        </w:rPr>
        <w:t xml:space="preserve">种子的适应性，以提供近三年在湖南境内种植情况证明文件为准。 </w:t>
      </w:r>
    </w:p>
    <w:p w14:paraId="21625FEC">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rPr>
      </w:pPr>
      <w:r>
        <w:rPr>
          <w:rStyle w:val="7"/>
          <w:rFonts w:hint="eastAsia" w:ascii="宋体" w:hAnsi="宋体" w:eastAsia="宋体" w:cs="宋体"/>
          <w:spacing w:val="0"/>
          <w:kern w:val="21"/>
          <w:sz w:val="24"/>
          <w:szCs w:val="24"/>
          <w:u w:val="none" w:color="auto"/>
          <w:lang w:val="en-US" w:eastAsia="zh-CN"/>
        </w:rPr>
        <w:t>三、</w:t>
      </w:r>
      <w:r>
        <w:rPr>
          <w:rStyle w:val="7"/>
          <w:rFonts w:hint="eastAsia" w:ascii="宋体" w:hAnsi="宋体" w:eastAsia="宋体" w:cs="宋体"/>
          <w:spacing w:val="0"/>
          <w:kern w:val="21"/>
          <w:sz w:val="24"/>
          <w:szCs w:val="24"/>
          <w:u w:val="none" w:color="auto"/>
        </w:rPr>
        <w:t>项目要求</w:t>
      </w:r>
    </w:p>
    <w:p w14:paraId="54A43014">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rPr>
      </w:pPr>
      <w:r>
        <w:rPr>
          <w:rStyle w:val="7"/>
          <w:rFonts w:hint="eastAsia" w:ascii="宋体" w:hAnsi="宋体" w:eastAsia="宋体" w:cs="宋体"/>
          <w:spacing w:val="0"/>
          <w:kern w:val="21"/>
          <w:sz w:val="24"/>
          <w:szCs w:val="24"/>
          <w:u w:val="none" w:color="auto"/>
          <w:lang w:val="en-US" w:eastAsia="zh-CN"/>
        </w:rPr>
        <w:t>1.</w:t>
      </w:r>
      <w:r>
        <w:rPr>
          <w:rStyle w:val="7"/>
          <w:rFonts w:hint="eastAsia" w:ascii="宋体" w:hAnsi="宋体" w:eastAsia="宋体" w:cs="宋体"/>
          <w:spacing w:val="0"/>
          <w:kern w:val="21"/>
          <w:sz w:val="24"/>
          <w:szCs w:val="24"/>
          <w:u w:val="none" w:color="auto"/>
        </w:rPr>
        <w:t>本项目投标总报价应包括：种子成本费、履行合同所有相关项目所需的费用、投标人用于本项目的投标、管理、生产、利润及税金等一切费用。在实际供应过程</w:t>
      </w:r>
      <w:r>
        <w:rPr>
          <w:rStyle w:val="7"/>
          <w:rFonts w:hint="eastAsia" w:ascii="宋体" w:hAnsi="宋体" w:eastAsia="宋体" w:cs="宋体"/>
          <w:spacing w:val="0"/>
          <w:kern w:val="21"/>
          <w:sz w:val="24"/>
          <w:szCs w:val="24"/>
          <w:u w:val="none" w:color="auto"/>
          <w:lang w:val="en-US" w:eastAsia="zh-CN"/>
        </w:rPr>
        <w:t>中</w:t>
      </w:r>
      <w:r>
        <w:rPr>
          <w:rStyle w:val="7"/>
          <w:rFonts w:hint="eastAsia" w:ascii="宋体" w:hAnsi="宋体" w:eastAsia="宋体" w:cs="宋体"/>
          <w:spacing w:val="0"/>
          <w:kern w:val="21"/>
          <w:sz w:val="24"/>
          <w:szCs w:val="24"/>
          <w:u w:val="none" w:color="auto"/>
        </w:rPr>
        <w:t xml:space="preserve">中标企业不得以任何理由向上调整中标价格，投标人应充分考虑在采购期内由于市场物价变动而导致的风险。  </w:t>
      </w:r>
    </w:p>
    <w:p w14:paraId="731D85F9">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rPr>
      </w:pPr>
      <w:r>
        <w:rPr>
          <w:rStyle w:val="7"/>
          <w:rFonts w:hint="eastAsia" w:ascii="宋体" w:hAnsi="宋体" w:eastAsia="宋体" w:cs="宋体"/>
          <w:spacing w:val="0"/>
          <w:kern w:val="21"/>
          <w:sz w:val="24"/>
          <w:szCs w:val="24"/>
          <w:u w:val="none" w:color="auto"/>
          <w:lang w:val="en-US" w:eastAsia="zh-CN"/>
        </w:rPr>
        <w:t>2.</w:t>
      </w:r>
      <w:r>
        <w:rPr>
          <w:rStyle w:val="7"/>
          <w:rFonts w:hint="eastAsia" w:ascii="宋体" w:hAnsi="宋体" w:eastAsia="宋体" w:cs="宋体"/>
          <w:spacing w:val="0"/>
          <w:kern w:val="21"/>
          <w:sz w:val="24"/>
          <w:szCs w:val="24"/>
          <w:u w:val="none" w:color="auto"/>
        </w:rPr>
        <w:t xml:space="preserve">投标人所投报价应体现单价和总价，其中各品种投标单价不得高于各品种的上限单价。否则，投标无效。 </w:t>
      </w:r>
    </w:p>
    <w:p w14:paraId="29611556">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rPr>
      </w:pPr>
      <w:r>
        <w:rPr>
          <w:rStyle w:val="7"/>
          <w:rFonts w:hint="eastAsia" w:ascii="宋体" w:hAnsi="宋体" w:eastAsia="宋体" w:cs="宋体"/>
          <w:spacing w:val="0"/>
          <w:kern w:val="21"/>
          <w:sz w:val="24"/>
          <w:szCs w:val="24"/>
          <w:u w:val="none" w:color="auto"/>
          <w:lang w:val="en-US" w:eastAsia="zh-CN"/>
        </w:rPr>
        <w:t>3.</w:t>
      </w:r>
      <w:r>
        <w:rPr>
          <w:rStyle w:val="7"/>
          <w:rFonts w:hint="eastAsia" w:ascii="宋体" w:hAnsi="宋体" w:eastAsia="宋体" w:cs="宋体"/>
          <w:spacing w:val="0"/>
          <w:kern w:val="21"/>
          <w:sz w:val="24"/>
          <w:szCs w:val="24"/>
          <w:u w:val="none" w:color="auto"/>
        </w:rPr>
        <w:t>产品质量保证</w:t>
      </w:r>
    </w:p>
    <w:p w14:paraId="55260FAF">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rPr>
      </w:pPr>
      <w:r>
        <w:rPr>
          <w:rStyle w:val="7"/>
          <w:rFonts w:hint="eastAsia" w:ascii="宋体" w:hAnsi="宋体" w:eastAsia="宋体" w:cs="宋体"/>
          <w:spacing w:val="0"/>
          <w:kern w:val="21"/>
          <w:sz w:val="24"/>
          <w:szCs w:val="24"/>
          <w:u w:val="none" w:color="auto"/>
        </w:rPr>
        <w:t>供货物必须是包装完整、标识标签规范、未过期并且提供植物检疫合格证明的产品，并且符合国家检测标准及货物出厂标准，在规定的保质期内，供货方应对由于种子质量问题导致作物受害承担责任。</w:t>
      </w:r>
    </w:p>
    <w:p w14:paraId="187A991C">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rPr>
      </w:pPr>
      <w:r>
        <w:rPr>
          <w:rStyle w:val="7"/>
          <w:rFonts w:hint="eastAsia" w:ascii="宋体" w:hAnsi="宋体" w:eastAsia="宋体" w:cs="宋体"/>
          <w:spacing w:val="0"/>
          <w:kern w:val="21"/>
          <w:sz w:val="24"/>
          <w:szCs w:val="24"/>
          <w:u w:val="none" w:color="auto"/>
        </w:rPr>
        <w:t xml:space="preserve"> </w:t>
      </w:r>
    </w:p>
    <w:p w14:paraId="2C51350D">
      <w:pPr>
        <w:pStyle w:val="15"/>
        <w:widowControl/>
        <w:spacing w:before="120" w:beforeLines="50" w:after="120" w:afterLines="50" w:line="360" w:lineRule="auto"/>
        <w:jc w:val="center"/>
        <w:rPr>
          <w:rStyle w:val="7"/>
          <w:rFonts w:hint="eastAsia" w:ascii="宋体" w:hAnsi="宋体" w:eastAsia="宋体" w:cs="宋体"/>
          <w:b/>
          <w:bCs/>
          <w:color w:val="auto"/>
          <w:spacing w:val="30"/>
          <w:kern w:val="0"/>
          <w:sz w:val="24"/>
          <w:szCs w:val="24"/>
          <w:lang w:val="en-US" w:eastAsia="zh-CN" w:bidi="ar-SA"/>
        </w:rPr>
      </w:pPr>
      <w:r>
        <w:rPr>
          <w:rStyle w:val="7"/>
          <w:rFonts w:hint="eastAsia" w:ascii="宋体" w:hAnsi="宋体" w:eastAsia="宋体" w:cs="宋体"/>
          <w:b/>
          <w:bCs/>
          <w:color w:val="auto"/>
          <w:spacing w:val="30"/>
          <w:kern w:val="0"/>
          <w:sz w:val="24"/>
          <w:szCs w:val="24"/>
          <w:lang w:val="en-US" w:eastAsia="zh-CN" w:bidi="ar-SA"/>
        </w:rPr>
        <w:t>第二节 商务要求</w:t>
      </w:r>
    </w:p>
    <w:p w14:paraId="660702B4">
      <w:pPr>
        <w:pStyle w:val="16"/>
        <w:widowControl/>
        <w:spacing w:line="360" w:lineRule="auto"/>
        <w:ind w:firstLine="602" w:firstLineChars="200"/>
        <w:jc w:val="left"/>
        <w:rPr>
          <w:rStyle w:val="7"/>
          <w:rFonts w:hint="eastAsia" w:ascii="宋体" w:hAnsi="宋体" w:eastAsia="宋体" w:cs="宋体"/>
          <w:kern w:val="0"/>
          <w:sz w:val="24"/>
          <w:szCs w:val="24"/>
        </w:rPr>
      </w:pPr>
      <w:r>
        <w:rPr>
          <w:rStyle w:val="7"/>
          <w:rFonts w:hint="eastAsia" w:ascii="宋体" w:hAnsi="宋体" w:eastAsia="宋体" w:cs="宋体"/>
          <w:b/>
          <w:bCs/>
          <w:color w:val="000000"/>
          <w:spacing w:val="30"/>
          <w:kern w:val="0"/>
          <w:sz w:val="24"/>
          <w:szCs w:val="24"/>
        </w:rPr>
        <w:t>一、主要商务要求</w:t>
      </w:r>
    </w:p>
    <w:tbl>
      <w:tblPr>
        <w:tblStyle w:val="13"/>
        <w:tblW w:w="92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7"/>
        <w:gridCol w:w="6822"/>
      </w:tblGrid>
      <w:tr w14:paraId="47C63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9" w:hRule="atLeast"/>
          <w:jc w:val="center"/>
        </w:trPr>
        <w:tc>
          <w:tcPr>
            <w:tcW w:w="2477" w:type="dxa"/>
            <w:noWrap w:val="0"/>
            <w:vAlign w:val="center"/>
          </w:tcPr>
          <w:p w14:paraId="1E61342E">
            <w:pPr>
              <w:pStyle w:val="15"/>
              <w:keepNext w:val="0"/>
              <w:keepLines w:val="0"/>
              <w:pageBreakBefore w:val="0"/>
              <w:widowControl/>
              <w:kinsoku/>
              <w:wordWrap/>
              <w:overflowPunct/>
              <w:topLinePunct w:val="0"/>
              <w:autoSpaceDE/>
              <w:autoSpaceDN/>
              <w:bidi w:val="0"/>
              <w:adjustRightInd/>
              <w:snapToGrid/>
              <w:spacing w:after="0" w:line="240" w:lineRule="atLeast"/>
              <w:ind w:left="0" w:right="0" w:firstLine="0"/>
              <w:jc w:val="center"/>
              <w:textAlignment w:val="auto"/>
              <w:rPr>
                <w:rStyle w:val="7"/>
                <w:rFonts w:hint="eastAsia" w:ascii="宋体" w:hAnsi="宋体" w:eastAsia="宋体" w:cs="宋体"/>
                <w:kern w:val="0"/>
                <w:sz w:val="24"/>
                <w:szCs w:val="24"/>
              </w:rPr>
            </w:pPr>
          </w:p>
          <w:p w14:paraId="2529B816">
            <w:pPr>
              <w:pStyle w:val="15"/>
              <w:keepNext w:val="0"/>
              <w:keepLines w:val="0"/>
              <w:pageBreakBefore w:val="0"/>
              <w:widowControl/>
              <w:kinsoku/>
              <w:wordWrap/>
              <w:overflowPunct/>
              <w:topLinePunct w:val="0"/>
              <w:autoSpaceDE/>
              <w:autoSpaceDN/>
              <w:bidi w:val="0"/>
              <w:adjustRightInd/>
              <w:snapToGrid/>
              <w:spacing w:after="0" w:line="240" w:lineRule="atLeast"/>
              <w:ind w:left="0" w:right="0" w:firstLine="0"/>
              <w:jc w:val="center"/>
              <w:textAlignment w:val="auto"/>
              <w:rPr>
                <w:rStyle w:val="7"/>
                <w:rFonts w:hint="eastAsia" w:ascii="宋体" w:hAnsi="宋体" w:eastAsia="宋体" w:cs="宋体"/>
                <w:sz w:val="24"/>
                <w:szCs w:val="24"/>
                <w:lang w:val="en-US" w:eastAsia="en-US" w:bidi="ar-SA"/>
              </w:rPr>
            </w:pPr>
            <w:r>
              <w:rPr>
                <w:rStyle w:val="7"/>
                <w:rFonts w:hint="eastAsia" w:ascii="宋体" w:hAnsi="宋体" w:eastAsia="宋体" w:cs="宋体"/>
                <w:sz w:val="24"/>
                <w:szCs w:val="24"/>
                <w:lang w:val="en-US" w:eastAsia="en-US" w:bidi="ar-SA"/>
              </w:rPr>
              <w:t>履行合同的时间、地点及方式</w:t>
            </w:r>
          </w:p>
        </w:tc>
        <w:tc>
          <w:tcPr>
            <w:tcW w:w="6822" w:type="dxa"/>
            <w:noWrap w:val="0"/>
            <w:vAlign w:val="center"/>
          </w:tcPr>
          <w:p w14:paraId="2617B1FD">
            <w:pPr>
              <w:pStyle w:val="15"/>
              <w:keepNext w:val="0"/>
              <w:keepLines w:val="0"/>
              <w:pageBreakBefore w:val="0"/>
              <w:widowControl/>
              <w:kinsoku/>
              <w:wordWrap/>
              <w:overflowPunct/>
              <w:topLinePunct w:val="0"/>
              <w:autoSpaceDE/>
              <w:autoSpaceDN/>
              <w:bidi w:val="0"/>
              <w:adjustRightInd/>
              <w:snapToGrid/>
              <w:spacing w:after="0" w:line="590" w:lineRule="exact"/>
              <w:ind w:left="229" w:leftChars="104" w:right="0" w:firstLine="0" w:firstLineChars="0"/>
              <w:jc w:val="both"/>
              <w:textAlignment w:val="auto"/>
              <w:rPr>
                <w:rStyle w:val="7"/>
                <w:rFonts w:hint="eastAsia" w:ascii="宋体" w:hAnsi="宋体" w:eastAsia="宋体" w:cs="宋体"/>
                <w:spacing w:val="0"/>
                <w:kern w:val="21"/>
                <w:sz w:val="24"/>
                <w:szCs w:val="24"/>
                <w:u w:val="none" w:color="auto"/>
                <w:lang w:val="en-US" w:eastAsia="en-US"/>
              </w:rPr>
            </w:pPr>
            <w:r>
              <w:rPr>
                <w:rStyle w:val="7"/>
                <w:rFonts w:hint="eastAsia" w:ascii="宋体" w:hAnsi="宋体" w:eastAsia="宋体" w:cs="宋体"/>
                <w:spacing w:val="0"/>
                <w:kern w:val="21"/>
                <w:sz w:val="24"/>
                <w:szCs w:val="24"/>
                <w:u w:val="none" w:color="auto"/>
                <w:lang w:val="en-US" w:eastAsia="en-US"/>
              </w:rPr>
              <w:t>交货时间：202</w:t>
            </w:r>
            <w:r>
              <w:rPr>
                <w:rStyle w:val="7"/>
                <w:rFonts w:hint="eastAsia" w:ascii="宋体" w:hAnsi="宋体" w:eastAsia="宋体" w:cs="宋体"/>
                <w:spacing w:val="0"/>
                <w:kern w:val="21"/>
                <w:sz w:val="24"/>
                <w:szCs w:val="24"/>
                <w:u w:val="none" w:color="auto"/>
                <w:lang w:val="en-US" w:eastAsia="zh-CN"/>
              </w:rPr>
              <w:t>6</w:t>
            </w:r>
            <w:r>
              <w:rPr>
                <w:rStyle w:val="7"/>
                <w:rFonts w:hint="eastAsia" w:ascii="宋体" w:hAnsi="宋体" w:eastAsia="宋体" w:cs="宋体"/>
                <w:spacing w:val="0"/>
                <w:kern w:val="21"/>
                <w:sz w:val="24"/>
                <w:szCs w:val="24"/>
                <w:u w:val="none" w:color="auto"/>
                <w:lang w:val="en-US" w:eastAsia="en-US"/>
              </w:rPr>
              <w:t>年</w:t>
            </w:r>
            <w:r>
              <w:rPr>
                <w:rStyle w:val="7"/>
                <w:rFonts w:hint="eastAsia" w:ascii="宋体" w:hAnsi="宋体" w:eastAsia="宋体" w:cs="宋体"/>
                <w:spacing w:val="0"/>
                <w:kern w:val="21"/>
                <w:sz w:val="24"/>
                <w:szCs w:val="24"/>
                <w:u w:val="none" w:color="auto"/>
                <w:lang w:val="en-US" w:eastAsia="zh-CN"/>
              </w:rPr>
              <w:t>10</w:t>
            </w:r>
            <w:r>
              <w:rPr>
                <w:rStyle w:val="7"/>
                <w:rFonts w:hint="eastAsia" w:ascii="宋体" w:hAnsi="宋体" w:eastAsia="宋体" w:cs="宋体"/>
                <w:spacing w:val="0"/>
                <w:kern w:val="21"/>
                <w:sz w:val="24"/>
                <w:szCs w:val="24"/>
                <w:u w:val="none" w:color="auto"/>
                <w:lang w:val="en-US" w:eastAsia="en-US"/>
              </w:rPr>
              <w:t>月底前所采购的种子按采购单位要求送到指定的乡镇。</w:t>
            </w:r>
          </w:p>
          <w:p w14:paraId="168A1D72">
            <w:pPr>
              <w:pStyle w:val="15"/>
              <w:keepNext w:val="0"/>
              <w:keepLines w:val="0"/>
              <w:pageBreakBefore w:val="0"/>
              <w:widowControl/>
              <w:kinsoku/>
              <w:wordWrap/>
              <w:overflowPunct/>
              <w:topLinePunct w:val="0"/>
              <w:autoSpaceDE/>
              <w:autoSpaceDN/>
              <w:bidi w:val="0"/>
              <w:adjustRightInd/>
              <w:snapToGrid/>
              <w:spacing w:after="0" w:line="590" w:lineRule="exact"/>
              <w:ind w:left="229" w:leftChars="104" w:right="0" w:firstLine="0" w:firstLineChars="0"/>
              <w:jc w:val="both"/>
              <w:textAlignment w:val="auto"/>
              <w:rPr>
                <w:rStyle w:val="7"/>
                <w:rFonts w:hint="eastAsia" w:ascii="宋体" w:hAnsi="宋体" w:eastAsia="宋体" w:cs="宋体"/>
                <w:spacing w:val="0"/>
                <w:kern w:val="21"/>
                <w:sz w:val="24"/>
                <w:szCs w:val="24"/>
                <w:u w:val="none" w:color="auto"/>
                <w:lang w:val="en-US" w:eastAsia="en-US"/>
              </w:rPr>
            </w:pPr>
            <w:r>
              <w:rPr>
                <w:rStyle w:val="7"/>
                <w:rFonts w:hint="eastAsia" w:ascii="宋体" w:hAnsi="宋体" w:eastAsia="宋体" w:cs="宋体"/>
                <w:spacing w:val="0"/>
                <w:kern w:val="21"/>
                <w:sz w:val="24"/>
                <w:szCs w:val="24"/>
                <w:u w:val="none" w:color="auto"/>
                <w:lang w:val="en-US" w:eastAsia="en-US"/>
              </w:rPr>
              <w:t>交货地点</w:t>
            </w:r>
            <w:r>
              <w:rPr>
                <w:rStyle w:val="7"/>
                <w:rFonts w:hint="eastAsia" w:ascii="宋体" w:hAnsi="宋体" w:eastAsia="宋体" w:cs="宋体"/>
                <w:spacing w:val="0"/>
                <w:kern w:val="21"/>
                <w:sz w:val="24"/>
                <w:szCs w:val="24"/>
                <w:u w:val="none" w:color="auto"/>
                <w:lang w:val="en-US" w:eastAsia="zh-CN"/>
              </w:rPr>
              <w:t>：</w:t>
            </w:r>
            <w:r>
              <w:rPr>
                <w:rStyle w:val="7"/>
                <w:rFonts w:hint="eastAsia" w:ascii="宋体" w:hAnsi="宋体" w:eastAsia="宋体" w:cs="宋体"/>
                <w:spacing w:val="0"/>
                <w:kern w:val="21"/>
                <w:sz w:val="24"/>
                <w:szCs w:val="24"/>
                <w:u w:val="none" w:color="auto"/>
                <w:lang w:val="en-US" w:eastAsia="en-US"/>
              </w:rPr>
              <w:t>乙方将种子运送到甲方指定地点，由甲方组织验收并交付使用。</w:t>
            </w:r>
          </w:p>
          <w:p w14:paraId="53F980BB">
            <w:pPr>
              <w:pStyle w:val="15"/>
              <w:keepNext w:val="0"/>
              <w:keepLines w:val="0"/>
              <w:pageBreakBefore w:val="0"/>
              <w:widowControl/>
              <w:kinsoku/>
              <w:wordWrap/>
              <w:overflowPunct/>
              <w:topLinePunct w:val="0"/>
              <w:autoSpaceDE/>
              <w:autoSpaceDN/>
              <w:bidi w:val="0"/>
              <w:adjustRightInd/>
              <w:snapToGrid/>
              <w:spacing w:after="0" w:line="590" w:lineRule="exact"/>
              <w:ind w:left="229" w:leftChars="104" w:right="0" w:firstLine="0" w:firstLineChars="0"/>
              <w:jc w:val="both"/>
              <w:textAlignment w:val="auto"/>
              <w:rPr>
                <w:rStyle w:val="7"/>
                <w:rFonts w:hint="eastAsia" w:ascii="宋体" w:hAnsi="宋体" w:eastAsia="宋体" w:cs="宋体"/>
                <w:spacing w:val="0"/>
                <w:kern w:val="21"/>
                <w:sz w:val="24"/>
                <w:szCs w:val="24"/>
                <w:u w:val="none" w:color="auto"/>
                <w:lang w:val="en-US" w:eastAsia="en-US"/>
              </w:rPr>
            </w:pPr>
            <w:r>
              <w:rPr>
                <w:rStyle w:val="7"/>
                <w:rFonts w:hint="eastAsia" w:ascii="宋体" w:hAnsi="宋体" w:eastAsia="宋体" w:cs="宋体"/>
                <w:spacing w:val="0"/>
                <w:kern w:val="21"/>
                <w:sz w:val="24"/>
                <w:szCs w:val="24"/>
                <w:u w:val="none" w:color="auto"/>
                <w:lang w:val="en-US" w:eastAsia="en-US"/>
              </w:rPr>
              <w:t>交货方式：现场交货</w:t>
            </w:r>
          </w:p>
        </w:tc>
      </w:tr>
      <w:tr w14:paraId="7307E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jc w:val="center"/>
        </w:trPr>
        <w:tc>
          <w:tcPr>
            <w:tcW w:w="2477" w:type="dxa"/>
            <w:noWrap w:val="0"/>
            <w:vAlign w:val="center"/>
          </w:tcPr>
          <w:p w14:paraId="67A29982">
            <w:pPr>
              <w:pStyle w:val="15"/>
              <w:keepNext w:val="0"/>
              <w:keepLines w:val="0"/>
              <w:pageBreakBefore w:val="0"/>
              <w:widowControl/>
              <w:kinsoku/>
              <w:wordWrap/>
              <w:overflowPunct/>
              <w:topLinePunct w:val="0"/>
              <w:autoSpaceDE/>
              <w:autoSpaceDN/>
              <w:bidi w:val="0"/>
              <w:adjustRightInd/>
              <w:snapToGrid/>
              <w:spacing w:after="0" w:line="240" w:lineRule="atLeast"/>
              <w:ind w:left="0" w:right="0" w:firstLine="0"/>
              <w:jc w:val="center"/>
              <w:textAlignment w:val="auto"/>
              <w:rPr>
                <w:rStyle w:val="7"/>
                <w:rFonts w:hint="eastAsia" w:ascii="宋体" w:hAnsi="宋体" w:eastAsia="宋体" w:cs="宋体"/>
                <w:sz w:val="24"/>
                <w:szCs w:val="24"/>
                <w:lang w:val="en-US" w:eastAsia="en-US" w:bidi="ar-SA"/>
              </w:rPr>
            </w:pPr>
            <w:r>
              <w:rPr>
                <w:rStyle w:val="7"/>
                <w:rFonts w:hint="eastAsia" w:ascii="宋体" w:hAnsi="宋体" w:eastAsia="宋体" w:cs="宋体"/>
                <w:spacing w:val="3"/>
                <w:sz w:val="24"/>
                <w:szCs w:val="24"/>
                <w:lang w:val="en-US" w:eastAsia="en-US" w:bidi="ar-SA"/>
              </w:rPr>
              <w:t>质量保证期</w:t>
            </w:r>
          </w:p>
        </w:tc>
        <w:tc>
          <w:tcPr>
            <w:tcW w:w="6822" w:type="dxa"/>
            <w:noWrap w:val="0"/>
            <w:vAlign w:val="center"/>
          </w:tcPr>
          <w:p w14:paraId="7340F26A">
            <w:pPr>
              <w:pStyle w:val="15"/>
              <w:keepNext w:val="0"/>
              <w:keepLines w:val="0"/>
              <w:pageBreakBefore w:val="0"/>
              <w:widowControl/>
              <w:kinsoku/>
              <w:wordWrap/>
              <w:overflowPunct/>
              <w:topLinePunct w:val="0"/>
              <w:autoSpaceDE/>
              <w:autoSpaceDN/>
              <w:bidi w:val="0"/>
              <w:adjustRightInd/>
              <w:snapToGrid/>
              <w:spacing w:after="0" w:line="590" w:lineRule="exact"/>
              <w:ind w:left="229" w:leftChars="104" w:right="0" w:firstLine="0" w:firstLineChars="0"/>
              <w:jc w:val="both"/>
              <w:textAlignment w:val="auto"/>
              <w:rPr>
                <w:rStyle w:val="7"/>
                <w:rFonts w:hint="eastAsia" w:ascii="宋体" w:hAnsi="宋体" w:eastAsia="宋体" w:cs="宋体"/>
                <w:spacing w:val="0"/>
                <w:kern w:val="21"/>
                <w:sz w:val="24"/>
                <w:szCs w:val="24"/>
                <w:u w:val="none" w:color="auto"/>
                <w:lang w:val="en-US" w:eastAsia="en-US"/>
              </w:rPr>
            </w:pPr>
            <w:r>
              <w:rPr>
                <w:rStyle w:val="7"/>
                <w:rFonts w:hint="eastAsia" w:ascii="宋体" w:hAnsi="宋体" w:eastAsia="宋体" w:cs="宋体"/>
                <w:spacing w:val="0"/>
                <w:kern w:val="21"/>
                <w:sz w:val="24"/>
                <w:szCs w:val="24"/>
                <w:u w:val="none" w:color="auto"/>
                <w:lang w:val="en-US" w:eastAsia="en-US"/>
              </w:rPr>
              <w:t>按国家标准。</w:t>
            </w:r>
          </w:p>
        </w:tc>
      </w:tr>
      <w:tr w14:paraId="24E2A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1" w:hRule="atLeast"/>
          <w:jc w:val="center"/>
        </w:trPr>
        <w:tc>
          <w:tcPr>
            <w:tcW w:w="2477" w:type="dxa"/>
            <w:noWrap w:val="0"/>
            <w:vAlign w:val="center"/>
          </w:tcPr>
          <w:p w14:paraId="2FFA584C">
            <w:pPr>
              <w:pStyle w:val="15"/>
              <w:keepNext w:val="0"/>
              <w:keepLines w:val="0"/>
              <w:pageBreakBefore w:val="0"/>
              <w:widowControl/>
              <w:kinsoku/>
              <w:wordWrap/>
              <w:overflowPunct/>
              <w:topLinePunct w:val="0"/>
              <w:autoSpaceDE/>
              <w:autoSpaceDN/>
              <w:bidi w:val="0"/>
              <w:adjustRightInd/>
              <w:snapToGrid/>
              <w:spacing w:after="0" w:line="240" w:lineRule="atLeast"/>
              <w:ind w:left="0" w:right="0" w:firstLine="0"/>
              <w:jc w:val="center"/>
              <w:textAlignment w:val="auto"/>
              <w:rPr>
                <w:rStyle w:val="7"/>
                <w:rFonts w:hint="eastAsia" w:ascii="宋体" w:hAnsi="宋体" w:eastAsia="宋体" w:cs="宋体"/>
                <w:sz w:val="24"/>
                <w:szCs w:val="24"/>
                <w:lang w:val="en-US" w:eastAsia="en-US" w:bidi="ar-SA"/>
              </w:rPr>
            </w:pPr>
            <w:r>
              <w:rPr>
                <w:rStyle w:val="7"/>
                <w:rFonts w:hint="eastAsia" w:ascii="宋体" w:hAnsi="宋体" w:eastAsia="宋体" w:cs="宋体"/>
                <w:spacing w:val="1"/>
                <w:sz w:val="24"/>
                <w:szCs w:val="24"/>
                <w:lang w:val="en-US" w:eastAsia="en-US" w:bidi="ar-SA"/>
              </w:rPr>
              <w:t>合同价款支付方式和条件</w:t>
            </w:r>
          </w:p>
        </w:tc>
        <w:tc>
          <w:tcPr>
            <w:tcW w:w="6822" w:type="dxa"/>
            <w:noWrap w:val="0"/>
            <w:vAlign w:val="center"/>
          </w:tcPr>
          <w:p w14:paraId="459B3C91">
            <w:pPr>
              <w:pStyle w:val="15"/>
              <w:keepNext w:val="0"/>
              <w:keepLines w:val="0"/>
              <w:pageBreakBefore w:val="0"/>
              <w:widowControl/>
              <w:kinsoku/>
              <w:wordWrap/>
              <w:overflowPunct/>
              <w:topLinePunct w:val="0"/>
              <w:autoSpaceDE/>
              <w:autoSpaceDN/>
              <w:bidi w:val="0"/>
              <w:adjustRightInd/>
              <w:snapToGrid/>
              <w:spacing w:after="0" w:line="590" w:lineRule="exact"/>
              <w:ind w:left="229" w:leftChars="104" w:right="0" w:firstLine="0" w:firstLineChars="0"/>
              <w:jc w:val="both"/>
              <w:textAlignment w:val="auto"/>
              <w:rPr>
                <w:rStyle w:val="7"/>
                <w:rFonts w:hint="eastAsia" w:ascii="宋体" w:hAnsi="宋体" w:eastAsia="宋体" w:cs="宋体"/>
                <w:spacing w:val="0"/>
                <w:kern w:val="21"/>
                <w:sz w:val="24"/>
                <w:szCs w:val="24"/>
                <w:u w:val="none" w:color="auto"/>
                <w:lang w:val="en-US" w:eastAsia="en-US"/>
              </w:rPr>
            </w:pPr>
            <w:r>
              <w:rPr>
                <w:rStyle w:val="7"/>
                <w:rFonts w:hint="eastAsia" w:ascii="宋体" w:hAnsi="宋体" w:eastAsia="宋体" w:cs="宋体"/>
                <w:spacing w:val="0"/>
                <w:kern w:val="21"/>
                <w:sz w:val="24"/>
                <w:szCs w:val="24"/>
                <w:u w:val="none" w:color="auto"/>
                <w:lang w:val="en-US" w:eastAsia="en-US"/>
              </w:rPr>
              <w:t>付款人：衡山县农业农村局(通过国库集中支付)</w:t>
            </w:r>
          </w:p>
          <w:p w14:paraId="7229D8BF">
            <w:pPr>
              <w:pStyle w:val="15"/>
              <w:keepNext w:val="0"/>
              <w:keepLines w:val="0"/>
              <w:pageBreakBefore w:val="0"/>
              <w:widowControl/>
              <w:kinsoku/>
              <w:wordWrap/>
              <w:overflowPunct/>
              <w:topLinePunct w:val="0"/>
              <w:autoSpaceDE/>
              <w:autoSpaceDN/>
              <w:bidi w:val="0"/>
              <w:adjustRightInd/>
              <w:snapToGrid/>
              <w:spacing w:after="0" w:line="590" w:lineRule="exact"/>
              <w:ind w:left="229" w:leftChars="104" w:right="0" w:firstLine="0" w:firstLineChars="0"/>
              <w:jc w:val="both"/>
              <w:textAlignment w:val="auto"/>
              <w:rPr>
                <w:rStyle w:val="7"/>
                <w:rFonts w:hint="eastAsia" w:ascii="宋体" w:hAnsi="宋体" w:eastAsia="宋体" w:cs="宋体"/>
                <w:spacing w:val="0"/>
                <w:kern w:val="21"/>
                <w:sz w:val="24"/>
                <w:szCs w:val="24"/>
                <w:u w:val="none" w:color="auto"/>
                <w:lang w:val="en-US" w:eastAsia="en-US"/>
              </w:rPr>
            </w:pPr>
            <w:r>
              <w:rPr>
                <w:rStyle w:val="7"/>
                <w:rFonts w:hint="eastAsia" w:ascii="宋体" w:hAnsi="宋体" w:eastAsia="宋体" w:cs="宋体"/>
                <w:spacing w:val="0"/>
                <w:kern w:val="21"/>
                <w:sz w:val="24"/>
                <w:szCs w:val="24"/>
                <w:u w:val="none" w:color="auto"/>
                <w:lang w:val="en-US" w:eastAsia="en-US"/>
              </w:rPr>
              <w:t>付款方式：经甲方对该批种子、硼肥抽样验收无误后，由甲方向衡山县财政局申请拨付种子款项，待款项到位后一次性付清种子款给乙方。</w:t>
            </w:r>
          </w:p>
        </w:tc>
      </w:tr>
      <w:tr w14:paraId="54E67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jc w:val="center"/>
        </w:trPr>
        <w:tc>
          <w:tcPr>
            <w:tcW w:w="2477" w:type="dxa"/>
            <w:noWrap w:val="0"/>
            <w:vAlign w:val="center"/>
          </w:tcPr>
          <w:p w14:paraId="0EA213C8">
            <w:pPr>
              <w:pStyle w:val="15"/>
              <w:keepNext w:val="0"/>
              <w:keepLines w:val="0"/>
              <w:pageBreakBefore w:val="0"/>
              <w:widowControl/>
              <w:kinsoku/>
              <w:wordWrap/>
              <w:overflowPunct/>
              <w:topLinePunct w:val="0"/>
              <w:autoSpaceDE/>
              <w:autoSpaceDN/>
              <w:bidi w:val="0"/>
              <w:adjustRightInd/>
              <w:snapToGrid/>
              <w:spacing w:after="0" w:line="240" w:lineRule="atLeast"/>
              <w:ind w:left="0" w:right="0" w:firstLine="0"/>
              <w:jc w:val="center"/>
              <w:textAlignment w:val="auto"/>
              <w:rPr>
                <w:rStyle w:val="7"/>
                <w:rFonts w:hint="eastAsia" w:ascii="宋体" w:hAnsi="宋体" w:eastAsia="宋体" w:cs="宋体"/>
                <w:sz w:val="24"/>
                <w:szCs w:val="24"/>
                <w:lang w:val="en-US" w:eastAsia="en-US" w:bidi="ar-SA"/>
              </w:rPr>
            </w:pPr>
            <w:r>
              <w:rPr>
                <w:rStyle w:val="7"/>
                <w:rFonts w:hint="eastAsia" w:ascii="宋体" w:hAnsi="宋体" w:eastAsia="宋体" w:cs="宋体"/>
                <w:spacing w:val="1"/>
                <w:sz w:val="24"/>
                <w:szCs w:val="24"/>
                <w:lang w:val="en-US" w:eastAsia="en-US" w:bidi="ar-SA"/>
              </w:rPr>
              <w:t>解决争议的方式</w:t>
            </w:r>
          </w:p>
        </w:tc>
        <w:tc>
          <w:tcPr>
            <w:tcW w:w="6822" w:type="dxa"/>
            <w:noWrap w:val="0"/>
            <w:vAlign w:val="center"/>
          </w:tcPr>
          <w:p w14:paraId="65EA6FC5">
            <w:pPr>
              <w:pStyle w:val="15"/>
              <w:keepNext w:val="0"/>
              <w:keepLines w:val="0"/>
              <w:pageBreakBefore w:val="0"/>
              <w:widowControl/>
              <w:kinsoku/>
              <w:wordWrap/>
              <w:overflowPunct/>
              <w:topLinePunct w:val="0"/>
              <w:autoSpaceDE/>
              <w:autoSpaceDN/>
              <w:bidi w:val="0"/>
              <w:adjustRightInd/>
              <w:snapToGrid/>
              <w:spacing w:after="0" w:line="590" w:lineRule="exact"/>
              <w:ind w:left="229" w:leftChars="104" w:right="0" w:firstLine="0" w:firstLineChars="0"/>
              <w:jc w:val="both"/>
              <w:textAlignment w:val="auto"/>
              <w:rPr>
                <w:rStyle w:val="7"/>
                <w:rFonts w:hint="eastAsia" w:ascii="宋体" w:hAnsi="宋体" w:eastAsia="宋体" w:cs="宋体"/>
                <w:spacing w:val="0"/>
                <w:kern w:val="21"/>
                <w:sz w:val="24"/>
                <w:szCs w:val="24"/>
                <w:u w:val="none" w:color="auto"/>
                <w:lang w:val="en-US" w:eastAsia="en-US"/>
              </w:rPr>
            </w:pPr>
            <w:r>
              <w:rPr>
                <w:rStyle w:val="7"/>
                <w:rFonts w:hint="eastAsia" w:ascii="宋体" w:hAnsi="宋体" w:eastAsia="宋体" w:cs="宋体"/>
                <w:spacing w:val="0"/>
                <w:kern w:val="21"/>
                <w:sz w:val="24"/>
                <w:szCs w:val="24"/>
                <w:u w:val="none" w:color="auto"/>
                <w:lang w:val="en-US" w:eastAsia="en-US"/>
              </w:rPr>
              <w:t>在签订合同时进行约定</w:t>
            </w:r>
          </w:p>
        </w:tc>
      </w:tr>
      <w:tr w14:paraId="1B530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jc w:val="center"/>
        </w:trPr>
        <w:tc>
          <w:tcPr>
            <w:tcW w:w="2477" w:type="dxa"/>
            <w:noWrap w:val="0"/>
            <w:vAlign w:val="center"/>
          </w:tcPr>
          <w:p w14:paraId="31DEB983">
            <w:pPr>
              <w:pStyle w:val="15"/>
              <w:keepNext w:val="0"/>
              <w:keepLines w:val="0"/>
              <w:pageBreakBefore w:val="0"/>
              <w:widowControl/>
              <w:kinsoku/>
              <w:wordWrap/>
              <w:overflowPunct/>
              <w:topLinePunct w:val="0"/>
              <w:autoSpaceDE/>
              <w:autoSpaceDN/>
              <w:bidi w:val="0"/>
              <w:adjustRightInd/>
              <w:snapToGrid/>
              <w:spacing w:after="0" w:line="240" w:lineRule="atLeast"/>
              <w:ind w:left="0" w:right="0" w:firstLine="0"/>
              <w:jc w:val="center"/>
              <w:textAlignment w:val="auto"/>
              <w:rPr>
                <w:rStyle w:val="7"/>
                <w:rFonts w:hint="eastAsia" w:ascii="宋体" w:hAnsi="宋体" w:eastAsia="宋体" w:cs="宋体"/>
                <w:sz w:val="24"/>
                <w:szCs w:val="24"/>
                <w:lang w:val="en-US" w:eastAsia="en-US" w:bidi="ar-SA"/>
              </w:rPr>
            </w:pPr>
            <w:r>
              <w:rPr>
                <w:rStyle w:val="7"/>
                <w:rFonts w:hint="eastAsia" w:ascii="宋体" w:hAnsi="宋体" w:eastAsia="宋体" w:cs="宋体"/>
                <w:spacing w:val="2"/>
                <w:sz w:val="24"/>
                <w:szCs w:val="24"/>
                <w:lang w:val="en-US" w:eastAsia="en-US" w:bidi="ar-SA"/>
              </w:rPr>
              <w:t>合同未尽事项</w:t>
            </w:r>
          </w:p>
        </w:tc>
        <w:tc>
          <w:tcPr>
            <w:tcW w:w="6822" w:type="dxa"/>
            <w:noWrap w:val="0"/>
            <w:vAlign w:val="center"/>
          </w:tcPr>
          <w:p w14:paraId="4238137D">
            <w:pPr>
              <w:pStyle w:val="15"/>
              <w:keepNext w:val="0"/>
              <w:keepLines w:val="0"/>
              <w:pageBreakBefore w:val="0"/>
              <w:widowControl/>
              <w:kinsoku/>
              <w:wordWrap/>
              <w:overflowPunct/>
              <w:topLinePunct w:val="0"/>
              <w:autoSpaceDE/>
              <w:autoSpaceDN/>
              <w:bidi w:val="0"/>
              <w:adjustRightInd/>
              <w:snapToGrid/>
              <w:spacing w:after="0" w:line="590" w:lineRule="exact"/>
              <w:ind w:left="229" w:leftChars="104" w:right="0" w:firstLine="0" w:firstLineChars="0"/>
              <w:jc w:val="both"/>
              <w:textAlignment w:val="auto"/>
              <w:rPr>
                <w:rStyle w:val="7"/>
                <w:rFonts w:hint="eastAsia" w:ascii="宋体" w:hAnsi="宋体" w:eastAsia="宋体" w:cs="宋体"/>
                <w:spacing w:val="0"/>
                <w:kern w:val="21"/>
                <w:sz w:val="24"/>
                <w:szCs w:val="24"/>
                <w:u w:val="none" w:color="auto"/>
                <w:lang w:val="en-US" w:eastAsia="en-US"/>
              </w:rPr>
            </w:pPr>
            <w:r>
              <w:rPr>
                <w:rStyle w:val="7"/>
                <w:rFonts w:hint="eastAsia" w:ascii="宋体" w:hAnsi="宋体" w:eastAsia="宋体" w:cs="宋体"/>
                <w:spacing w:val="0"/>
                <w:kern w:val="21"/>
                <w:sz w:val="24"/>
                <w:szCs w:val="24"/>
                <w:u w:val="none" w:color="auto"/>
                <w:lang w:val="en-US" w:eastAsia="en-US"/>
              </w:rPr>
              <w:t>在签订合同时进行约定</w:t>
            </w:r>
          </w:p>
        </w:tc>
      </w:tr>
    </w:tbl>
    <w:p w14:paraId="3E2D4D0F">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rPr>
      </w:pPr>
      <w:r>
        <w:rPr>
          <w:rStyle w:val="7"/>
          <w:rFonts w:hint="eastAsia" w:ascii="宋体" w:hAnsi="宋体" w:eastAsia="宋体" w:cs="宋体"/>
          <w:spacing w:val="0"/>
          <w:kern w:val="21"/>
          <w:sz w:val="24"/>
          <w:szCs w:val="24"/>
          <w:u w:val="none" w:color="auto"/>
        </w:rPr>
        <w:t>二、其他要求</w:t>
      </w:r>
    </w:p>
    <w:p w14:paraId="5C017A3D">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lang w:val="en-US" w:eastAsia="zh-CN"/>
        </w:rPr>
      </w:pPr>
      <w:r>
        <w:rPr>
          <w:rStyle w:val="7"/>
          <w:rFonts w:hint="eastAsia" w:ascii="宋体" w:hAnsi="宋体" w:eastAsia="宋体" w:cs="宋体"/>
          <w:spacing w:val="0"/>
          <w:kern w:val="21"/>
          <w:sz w:val="24"/>
          <w:szCs w:val="24"/>
          <w:u w:val="none" w:color="auto"/>
          <w:lang w:val="en-US" w:eastAsia="zh-CN"/>
        </w:rPr>
        <w:t>1.</w:t>
      </w:r>
      <w:r>
        <w:rPr>
          <w:rStyle w:val="7"/>
          <w:rFonts w:hint="eastAsia" w:ascii="宋体" w:hAnsi="宋体" w:eastAsia="宋体" w:cs="宋体"/>
          <w:spacing w:val="0"/>
          <w:kern w:val="21"/>
          <w:sz w:val="24"/>
          <w:szCs w:val="24"/>
          <w:u w:val="none" w:color="auto"/>
        </w:rPr>
        <w:t>包装和发运：(1)包装的产品必须经产品检验合格；</w:t>
      </w:r>
      <w:r>
        <w:rPr>
          <w:rStyle w:val="7"/>
          <w:rFonts w:hint="eastAsia" w:ascii="宋体" w:hAnsi="宋体" w:eastAsia="宋体" w:cs="宋体"/>
          <w:spacing w:val="0"/>
          <w:kern w:val="21"/>
          <w:sz w:val="24"/>
          <w:szCs w:val="24"/>
          <w:u w:val="none" w:color="auto"/>
          <w:lang w:val="en-US" w:eastAsia="zh-CN"/>
        </w:rPr>
        <w:t>(2)包装、运输过程必须保证产品质量与数量；(3)包装、运输过程要保证安全，避免发生意外事故；(4)包装、运输过 程要远离有毒有害物质，防止产品污染。(5)所供货物必须是完整、原装、未过期的正规合格产品，符合国家检测标准及货物出厂标准。在规定的保质期内，供货方对由于工艺或材料缺陷等质量问题导致作物受害承担赔偿责任。</w:t>
      </w:r>
    </w:p>
    <w:p w14:paraId="5295EF0F">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lang w:val="en-US" w:eastAsia="zh-CN"/>
        </w:rPr>
      </w:pPr>
      <w:r>
        <w:rPr>
          <w:rStyle w:val="7"/>
          <w:rFonts w:hint="eastAsia" w:ascii="宋体" w:hAnsi="宋体" w:eastAsia="宋体" w:cs="宋体"/>
          <w:spacing w:val="0"/>
          <w:kern w:val="21"/>
          <w:sz w:val="24"/>
          <w:szCs w:val="24"/>
          <w:u w:val="none" w:color="auto"/>
          <w:lang w:val="en-US" w:eastAsia="zh-CN"/>
        </w:rPr>
        <w:t>2.检验与验收：货物验收按照招标文件要求及投标文件承诺的有关规定执行，并经采购单位技术专家组验收。种子质量不符合要求，采购人有权拒绝接收，并拒绝付款。</w:t>
      </w:r>
    </w:p>
    <w:bookmarkEnd w:id="0"/>
    <w:p w14:paraId="19D3E434">
      <w:pPr>
        <w:pStyle w:val="15"/>
        <w:keepNext w:val="0"/>
        <w:keepLines w:val="0"/>
        <w:pageBreakBefore w:val="0"/>
        <w:widowControl/>
        <w:kinsoku/>
        <w:wordWrap/>
        <w:overflowPunct/>
        <w:topLinePunct w:val="0"/>
        <w:autoSpaceDE/>
        <w:autoSpaceDN/>
        <w:bidi w:val="0"/>
        <w:adjustRightInd/>
        <w:snapToGrid/>
        <w:spacing w:after="0" w:line="590" w:lineRule="exact"/>
        <w:ind w:left="0" w:right="0" w:firstLine="480" w:firstLineChars="200"/>
        <w:jc w:val="both"/>
        <w:textAlignment w:val="auto"/>
        <w:rPr>
          <w:rStyle w:val="7"/>
          <w:rFonts w:hint="eastAsia" w:ascii="宋体" w:hAnsi="宋体" w:eastAsia="宋体" w:cs="宋体"/>
          <w:spacing w:val="0"/>
          <w:kern w:val="21"/>
          <w:sz w:val="24"/>
          <w:szCs w:val="24"/>
          <w:u w:val="none" w:color="auto"/>
          <w:lang w:val="en-US" w:eastAsia="zh-CN"/>
        </w:rPr>
      </w:pPr>
      <w:r>
        <w:rPr>
          <w:rStyle w:val="7"/>
          <w:rFonts w:hint="eastAsia" w:ascii="宋体" w:hAnsi="宋体" w:eastAsia="宋体" w:cs="宋体"/>
          <w:spacing w:val="0"/>
          <w:kern w:val="21"/>
          <w:sz w:val="24"/>
          <w:szCs w:val="24"/>
          <w:u w:val="none" w:color="auto"/>
          <w:lang w:val="en-US" w:eastAsia="zh-CN"/>
        </w:rPr>
        <w:t>3.</w:t>
      </w:r>
      <w:r>
        <w:rPr>
          <w:rStyle w:val="7"/>
          <w:rFonts w:hint="eastAsia" w:ascii="宋体" w:hAnsi="宋体" w:eastAsia="宋体" w:cs="宋体"/>
          <w:spacing w:val="0"/>
          <w:kern w:val="21"/>
          <w:sz w:val="24"/>
          <w:szCs w:val="24"/>
          <w:u w:val="none" w:color="auto"/>
          <w:lang w:val="en-US" w:eastAsia="en-US"/>
        </w:rPr>
        <w:t>其他未尽事宜由采购人和中标人在采购合同中详细约定</w:t>
      </w:r>
      <w:r>
        <w:rPr>
          <w:rStyle w:val="7"/>
          <w:rFonts w:hint="eastAsia" w:ascii="宋体" w:hAnsi="宋体" w:eastAsia="宋体" w:cs="宋体"/>
          <w:spacing w:val="0"/>
          <w:kern w:val="21"/>
          <w:sz w:val="24"/>
          <w:szCs w:val="24"/>
          <w:u w:val="none" w:color="auto"/>
          <w:lang w:val="en-US" w:eastAsia="zh-CN"/>
        </w:rPr>
        <w:t>。</w:t>
      </w:r>
    </w:p>
    <w:p w14:paraId="313A4D89">
      <w:pPr>
        <w:keepNext w:val="0"/>
        <w:keepLines w:val="0"/>
        <w:pageBreakBefore w:val="0"/>
        <w:widowControl w:val="0"/>
        <w:kinsoku/>
        <w:wordWrap/>
        <w:overflowPunct/>
        <w:topLinePunct w:val="0"/>
        <w:autoSpaceDE/>
        <w:autoSpaceDN/>
        <w:bidi w:val="0"/>
        <w:adjustRightInd/>
        <w:snapToGrid/>
        <w:spacing w:after="0" w:line="590" w:lineRule="exact"/>
        <w:ind w:left="0" w:right="0" w:firstLine="660" w:firstLineChars="200"/>
        <w:jc w:val="both"/>
        <w:textAlignment w:val="auto"/>
        <w:rPr>
          <w:rFonts w:hint="eastAsia" w:ascii="楷体" w:hAnsi="楷体" w:eastAsia="楷体" w:cs="楷体"/>
          <w:spacing w:val="0"/>
          <w:kern w:val="21"/>
          <w:sz w:val="33"/>
          <w:szCs w:val="33"/>
          <w:u w:val="none" w:color="auto"/>
        </w:rPr>
      </w:pPr>
    </w:p>
    <w:p w14:paraId="17A64EDA">
      <w:pPr>
        <w:keepNext w:val="0"/>
        <w:keepLines w:val="0"/>
        <w:pageBreakBefore w:val="0"/>
        <w:widowControl w:val="0"/>
        <w:kinsoku/>
        <w:wordWrap/>
        <w:overflowPunct/>
        <w:topLinePunct w:val="0"/>
        <w:autoSpaceDE/>
        <w:autoSpaceDN/>
        <w:bidi w:val="0"/>
        <w:adjustRightInd/>
        <w:snapToGrid/>
        <w:spacing w:after="0" w:line="590" w:lineRule="exact"/>
        <w:ind w:left="0" w:right="0" w:firstLine="660" w:firstLineChars="200"/>
        <w:jc w:val="both"/>
        <w:textAlignment w:val="auto"/>
        <w:rPr>
          <w:rFonts w:hint="eastAsia" w:ascii="楷体" w:hAnsi="楷体" w:eastAsia="楷体" w:cs="楷体"/>
          <w:spacing w:val="0"/>
          <w:kern w:val="21"/>
          <w:sz w:val="33"/>
          <w:szCs w:val="33"/>
          <w:u w:val="none" w:color="auto"/>
        </w:rPr>
      </w:pPr>
    </w:p>
    <w:p w14:paraId="4A36A5D0">
      <w:pPr>
        <w:pStyle w:val="10"/>
        <w:keepNext w:val="0"/>
        <w:keepLines w:val="0"/>
        <w:pageBreakBefore w:val="0"/>
        <w:widowControl w:val="0"/>
        <w:numPr>
          <w:ilvl w:val="0"/>
          <w:numId w:val="3"/>
        </w:numPr>
        <w:kinsoku/>
        <w:wordWrap/>
        <w:overflowPunct/>
        <w:topLinePunct w:val="0"/>
        <w:autoSpaceDE/>
        <w:autoSpaceDN/>
        <w:bidi w:val="0"/>
        <w:adjustRightInd/>
        <w:snapToGrid/>
        <w:ind w:left="0" w:firstLine="640" w:firstLineChars="200"/>
        <w:textAlignment w:val="auto"/>
        <w:rPr>
          <w:rFonts w:eastAsia="黑体"/>
          <w:sz w:val="32"/>
          <w:szCs w:val="32"/>
        </w:rPr>
      </w:pPr>
      <w:r>
        <w:rPr>
          <w:rFonts w:eastAsia="黑体"/>
          <w:sz w:val="32"/>
          <w:szCs w:val="32"/>
        </w:rPr>
        <w:t>本项目需要提交的附件（请按章节顺序列明）</w:t>
      </w:r>
      <w:r>
        <w:rPr>
          <w:rFonts w:hint="eastAsia" w:eastAsia="黑体"/>
          <w:sz w:val="32"/>
          <w:szCs w:val="32"/>
          <w:lang w:eastAsia="zh-CN"/>
        </w:rPr>
        <w:t>。</w:t>
      </w:r>
    </w:p>
    <w:sectPr>
      <w:footerReference r:id="rId5" w:type="default"/>
      <w:pgSz w:w="12058" w:h="16940"/>
      <w:pgMar w:top="1440" w:right="1803" w:bottom="1440" w:left="1803" w:header="0" w:footer="1230" w:gutter="0"/>
      <w:pgNumType w:fmt="numberInDash"/>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A00002BF" w:usb1="78CF7CFB" w:usb2="00000016" w:usb3="00000000" w:csb0="6006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37F0A">
    <w:pPr>
      <w:pStyle w:val="3"/>
      <w:jc w:val="right"/>
      <w:rPr>
        <w:rFonts w:ascii="宋体" w:hAnsi="宋体"/>
        <w:sz w:val="28"/>
        <w:szCs w:val="28"/>
      </w:rPr>
    </w:pPr>
    <w:r>
      <w:rPr>
        <w:rFonts w:ascii="Times New Roman" w:hAnsi="Times New Roman"/>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5534C28">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- 7 -</w:t>
                          </w:r>
                          <w:r>
                            <w:rPr>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45534C28">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- 7 -</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36FE42"/>
    <w:multiLevelType w:val="singleLevel"/>
    <w:tmpl w:val="1836FE42"/>
    <w:lvl w:ilvl="0" w:tentative="0">
      <w:start w:val="2"/>
      <w:numFmt w:val="chineseCounting"/>
      <w:suff w:val="nothing"/>
      <w:lvlText w:val="（%1）"/>
      <w:lvlJc w:val="left"/>
      <w:rPr>
        <w:rFonts w:hint="eastAsia"/>
      </w:rPr>
    </w:lvl>
  </w:abstractNum>
  <w:abstractNum w:abstractNumId="1">
    <w:nsid w:val="326768A9"/>
    <w:multiLevelType w:val="multilevel"/>
    <w:tmpl w:val="326768A9"/>
    <w:lvl w:ilvl="0" w:tentative="0">
      <w:start w:val="1"/>
      <w:numFmt w:val="japaneseCounting"/>
      <w:lvlText w:val="%1、"/>
      <w:lvlJc w:val="left"/>
      <w:pPr>
        <w:ind w:left="982" w:hanging="50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54A80602"/>
    <w:multiLevelType w:val="multilevel"/>
    <w:tmpl w:val="54A80602"/>
    <w:lvl w:ilvl="0" w:tentative="0">
      <w:start w:val="4"/>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720"/>
  <w:drawingGridHorizontalSpacing w:val="220"/>
  <w:drawingGridVerticalSpacing w:val="99999990"/>
  <w:displayHorizontalDrawingGridEvery w:val="1"/>
  <w:characterSpacingControl w:val="doNotCompress"/>
  <w:hdrShapeDefaults>
    <o:shapelayout v:ext="edit">
      <o:idmap v:ext="edit" data="5"/>
    </o:shapelayout>
  </w:hdrShapeDefault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jN2MxYThkYjdkYzhkYmI1MDVlMDIwYWU0YmU3ZjgifQ=="/>
  </w:docVars>
  <w:rsids>
    <w:rsidRoot w:val="00D31D50"/>
    <w:rsid w:val="00251569"/>
    <w:rsid w:val="002712CC"/>
    <w:rsid w:val="00323B43"/>
    <w:rsid w:val="00347AB5"/>
    <w:rsid w:val="003C2E57"/>
    <w:rsid w:val="003D37D8"/>
    <w:rsid w:val="003D55A5"/>
    <w:rsid w:val="00426133"/>
    <w:rsid w:val="004358AB"/>
    <w:rsid w:val="006E709C"/>
    <w:rsid w:val="006F4CA5"/>
    <w:rsid w:val="00764CFE"/>
    <w:rsid w:val="008B7726"/>
    <w:rsid w:val="00C66019"/>
    <w:rsid w:val="00D31D50"/>
    <w:rsid w:val="00DD3B75"/>
    <w:rsid w:val="00F2750E"/>
    <w:rsid w:val="02D768EE"/>
    <w:rsid w:val="03C2759E"/>
    <w:rsid w:val="0596316B"/>
    <w:rsid w:val="08F301FA"/>
    <w:rsid w:val="0C2B6BAB"/>
    <w:rsid w:val="0C4F3C8F"/>
    <w:rsid w:val="0CE40585"/>
    <w:rsid w:val="0F9A317D"/>
    <w:rsid w:val="152D7065"/>
    <w:rsid w:val="17FF0A32"/>
    <w:rsid w:val="1A905159"/>
    <w:rsid w:val="1BB455C7"/>
    <w:rsid w:val="1C46716A"/>
    <w:rsid w:val="22E60FE8"/>
    <w:rsid w:val="24FD1D8D"/>
    <w:rsid w:val="25036599"/>
    <w:rsid w:val="27131E79"/>
    <w:rsid w:val="27CD1E67"/>
    <w:rsid w:val="2A384250"/>
    <w:rsid w:val="2F950D3A"/>
    <w:rsid w:val="35386ADF"/>
    <w:rsid w:val="38ED1FAB"/>
    <w:rsid w:val="39B76F32"/>
    <w:rsid w:val="3BBF7944"/>
    <w:rsid w:val="3C834E15"/>
    <w:rsid w:val="44032835"/>
    <w:rsid w:val="4FCE5F50"/>
    <w:rsid w:val="4FEE03A0"/>
    <w:rsid w:val="50A6096B"/>
    <w:rsid w:val="510D4286"/>
    <w:rsid w:val="55401F29"/>
    <w:rsid w:val="59DE3FBD"/>
    <w:rsid w:val="5BDF0899"/>
    <w:rsid w:val="5F68604E"/>
    <w:rsid w:val="5F9738B8"/>
    <w:rsid w:val="63110AF7"/>
    <w:rsid w:val="644313BE"/>
    <w:rsid w:val="68520FA2"/>
    <w:rsid w:val="6A345F72"/>
    <w:rsid w:val="6F77537E"/>
    <w:rsid w:val="711B45D3"/>
    <w:rsid w:val="72C24664"/>
    <w:rsid w:val="7727E80B"/>
    <w:rsid w:val="7CF16C10"/>
    <w:rsid w:val="7E7A7E4D"/>
    <w:rsid w:val="7EDB08B3"/>
    <w:rsid w:val="F8ED9B5F"/>
    <w:rsid w:val="FFBFB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52"/>
      <w:szCs w:val="52"/>
      <w:lang w:val="en-US" w:eastAsia="en-US" w:bidi="ar-SA"/>
    </w:rPr>
  </w:style>
  <w:style w:type="paragraph" w:styleId="3">
    <w:name w:val="footer"/>
    <w:basedOn w:val="1"/>
    <w:link w:val="9"/>
    <w:unhideWhenUsed/>
    <w:qFormat/>
    <w:uiPriority w:val="0"/>
    <w:pPr>
      <w:tabs>
        <w:tab w:val="center" w:pos="4153"/>
        <w:tab w:val="right" w:pos="8306"/>
      </w:tabs>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jc w:val="center"/>
    </w:pPr>
    <w:rPr>
      <w:sz w:val="18"/>
      <w:szCs w:val="18"/>
    </w:rPr>
  </w:style>
  <w:style w:type="table" w:styleId="6">
    <w:name w:val="Table Grid"/>
    <w:basedOn w:val="5"/>
    <w:qFormat/>
    <w:uiPriority w:val="59"/>
    <w:pPr>
      <w:spacing w:after="0" w:line="240" w:lineRule="auto"/>
    </w:pPr>
    <w:rPr>
      <w:rFonts w:ascii="Calibri" w:hAnsi="Calibri" w:eastAsia="宋体" w:cs="Times New Roman"/>
      <w:kern w:val="2"/>
      <w:sz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8">
    <w:name w:val="页眉 Char"/>
    <w:basedOn w:val="7"/>
    <w:link w:val="4"/>
    <w:semiHidden/>
    <w:qFormat/>
    <w:uiPriority w:val="99"/>
    <w:rPr>
      <w:rFonts w:ascii="Tahoma" w:hAnsi="Tahoma"/>
      <w:sz w:val="18"/>
      <w:szCs w:val="18"/>
    </w:rPr>
  </w:style>
  <w:style w:type="character" w:customStyle="1" w:styleId="9">
    <w:name w:val="页脚 Char"/>
    <w:basedOn w:val="7"/>
    <w:link w:val="3"/>
    <w:qFormat/>
    <w:uiPriority w:val="0"/>
    <w:rPr>
      <w:rFonts w:ascii="Tahoma" w:hAnsi="Tahoma"/>
      <w:sz w:val="18"/>
      <w:szCs w:val="18"/>
    </w:rPr>
  </w:style>
  <w:style w:type="paragraph" w:styleId="10">
    <w:name w:val="List Paragraph"/>
    <w:basedOn w:val="1"/>
    <w:unhideWhenUsed/>
    <w:qFormat/>
    <w:uiPriority w:val="99"/>
    <w:pPr>
      <w:widowControl w:val="0"/>
      <w:adjustRightInd/>
      <w:snapToGrid/>
      <w:spacing w:after="0"/>
      <w:ind w:firstLine="420" w:firstLineChars="200"/>
      <w:jc w:val="both"/>
    </w:pPr>
    <w:rPr>
      <w:rFonts w:ascii="Times New Roman" w:hAnsi="Times New Roman" w:eastAsia="宋体" w:cs="Times New Roman"/>
      <w:kern w:val="2"/>
      <w:sz w:val="21"/>
      <w:szCs w:val="24"/>
    </w:rPr>
  </w:style>
  <w:style w:type="character" w:customStyle="1" w:styleId="11">
    <w:name w:val="font01"/>
    <w:basedOn w:val="7"/>
    <w:qFormat/>
    <w:uiPriority w:val="0"/>
    <w:rPr>
      <w:rFonts w:ascii="Calibri" w:hAnsi="Calibri" w:cs="Calibri"/>
      <w:color w:val="000000"/>
      <w:sz w:val="44"/>
      <w:szCs w:val="44"/>
      <w:u w:val="none"/>
    </w:rPr>
  </w:style>
  <w:style w:type="character" w:customStyle="1" w:styleId="12">
    <w:name w:val="font21"/>
    <w:basedOn w:val="7"/>
    <w:qFormat/>
    <w:uiPriority w:val="0"/>
    <w:rPr>
      <w:rFonts w:hint="eastAsia" w:ascii="宋体" w:hAnsi="宋体" w:eastAsia="宋体" w:cs="宋体"/>
      <w:color w:val="000000"/>
      <w:sz w:val="44"/>
      <w:szCs w:val="44"/>
      <w:u w:val="none"/>
    </w:rPr>
  </w:style>
  <w:style w:type="table" w:customStyle="1" w:styleId="13">
    <w:name w:val="Table Normal"/>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宋体" w:hAnsi="宋体" w:eastAsia="宋体" w:cs="宋体"/>
      <w:sz w:val="23"/>
      <w:szCs w:val="23"/>
      <w:lang w:val="en-US" w:eastAsia="en-US" w:bidi="ar-SA"/>
    </w:rPr>
  </w:style>
  <w:style w:type="paragraph" w:customStyle="1" w:styleId="15">
    <w:name w:val="正文_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正文_21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1674</Words>
  <Characters>1880</Characters>
  <Lines>16</Lines>
  <Paragraphs>4</Paragraphs>
  <TotalTime>0</TotalTime>
  <ScaleCrop>false</ScaleCrop>
  <LinksUpToDate>false</LinksUpToDate>
  <CharactersWithSpaces>1992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2008-09-12T09:20:00Z</dcterms:created>
  <dc:creator>Administrator</dc:creator>
  <cp:lastModifiedBy>Administrator</cp:lastModifiedBy>
  <cp:lastPrinted>2026-09-15T09:41:00Z</cp:lastPrinted>
  <dcterms:modified xsi:type="dcterms:W3CDTF">2026-09-18T05:19:37Z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BCCEBBA6FC37423B90F765130D181FEC_13</vt:lpwstr>
  </property>
  <property fmtid="{D5CDD505-2E9C-101B-9397-08002B2CF9AE}" pid="4" name="KSOTemplateDocerSaveRecord">
    <vt:lpwstr>eyJoZGlkIjoiMmQyMzBlOTg4YTNiZDI3NDc5MmVhMjAxNjY1NTg2MmMiLCJ1c2VySWQiOiIzNzQyMDgwODIifQ==</vt:lpwstr>
  </property>
</Properties>
</file>