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9A134">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lang w:eastAsia="zh-CN"/>
        </w:rPr>
        <w:t>醴陵经济开发区管理委员会职工食堂食材供应采购项目竞争性</w:t>
      </w:r>
      <w:r>
        <w:rPr>
          <w:rFonts w:hint="eastAsia" w:ascii="宋体" w:hAnsi="宋体" w:eastAsia="宋体" w:cs="宋体"/>
          <w:b/>
          <w:bCs/>
          <w:sz w:val="24"/>
          <w:szCs w:val="24"/>
        </w:rPr>
        <w:t>谈判</w:t>
      </w:r>
      <w:r>
        <w:rPr>
          <w:rFonts w:hint="eastAsia" w:ascii="宋体" w:hAnsi="宋体" w:eastAsia="宋体" w:cs="宋体"/>
          <w:b/>
          <w:bCs/>
          <w:sz w:val="24"/>
          <w:szCs w:val="24"/>
          <w:lang w:eastAsia="zh-CN"/>
        </w:rPr>
        <w:t>邀请</w:t>
      </w:r>
      <w:r>
        <w:rPr>
          <w:rFonts w:hint="eastAsia" w:ascii="宋体" w:hAnsi="宋体" w:eastAsia="宋体" w:cs="宋体"/>
          <w:b/>
          <w:bCs/>
          <w:sz w:val="24"/>
          <w:szCs w:val="24"/>
        </w:rPr>
        <w:t>公告</w:t>
      </w:r>
    </w:p>
    <w:p w14:paraId="41CF2D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醴陵经济开发区管理委员会</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醴陵经济开发区管理委员会职工食堂食材供应采购项目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468070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41C2B95E">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醴陵经济开发区管理委员会职工食堂食材供应采购项目</w:t>
      </w:r>
    </w:p>
    <w:p w14:paraId="420D1F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醴财采计【2026】00149号</w:t>
      </w:r>
    </w:p>
    <w:p w14:paraId="60BAE22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 xml:space="preserve">HNXL-2026-036 </w:t>
      </w:r>
      <w:r>
        <w:rPr>
          <w:rFonts w:hint="eastAsia" w:ascii="宋体" w:hAnsi="宋体" w:eastAsia="宋体" w:cs="宋体"/>
          <w:sz w:val="21"/>
          <w:szCs w:val="21"/>
        </w:rPr>
        <w:t> </w:t>
      </w:r>
    </w:p>
    <w:p w14:paraId="194A5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1800000</w:t>
      </w:r>
      <w:r>
        <w:rPr>
          <w:rFonts w:hint="eastAsia" w:ascii="宋体" w:hAnsi="宋体" w:eastAsia="宋体" w:cs="宋体"/>
          <w:i w:val="0"/>
          <w:iCs w:val="0"/>
          <w:caps w:val="0"/>
          <w:color w:val="000000"/>
          <w:spacing w:val="0"/>
          <w:kern w:val="0"/>
          <w:sz w:val="21"/>
          <w:szCs w:val="21"/>
          <w:lang w:val="en-US" w:eastAsia="zh-CN" w:bidi="ar"/>
        </w:rPr>
        <w:t>元</w:t>
      </w:r>
    </w:p>
    <w:p w14:paraId="214C436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4587B83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w:t>
      </w:r>
      <w:r>
        <w:rPr>
          <w:rFonts w:hint="eastAsia" w:ascii="宋体" w:hAnsi="宋体" w:eastAsia="宋体" w:cs="宋体"/>
          <w:i w:val="0"/>
          <w:iCs w:val="0"/>
          <w:caps w:val="0"/>
          <w:color w:val="000000"/>
          <w:spacing w:val="0"/>
          <w:kern w:val="0"/>
          <w:sz w:val="21"/>
          <w:szCs w:val="21"/>
          <w:u w:val="single"/>
          <w:lang w:val="en-US" w:eastAsia="zh-CN" w:bidi="ar"/>
        </w:rPr>
        <w:t xml:space="preserve">农林牧渔业  </w:t>
      </w:r>
    </w:p>
    <w:p w14:paraId="520D3BB7">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■固定费率 口成本补偿 口绩效激励</w:t>
      </w:r>
    </w:p>
    <w:p w14:paraId="397AA5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7、合同履行期限：二年，提供合同履行期限承诺书</w:t>
      </w:r>
    </w:p>
    <w:p w14:paraId="2B0B9CC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301062E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5C42504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2142D98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65A4E4B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1DE55DA">
      <w:pPr>
        <w:pStyle w:val="3"/>
        <w:adjustRightInd w:val="0"/>
        <w:snapToGrid w:val="0"/>
        <w:spacing w:before="156" w:beforeLines="50"/>
        <w:rPr>
          <w:rFonts w:ascii="黑体" w:hAnsi="黑体" w:eastAsia="黑体"/>
        </w:rPr>
      </w:pPr>
      <w:bookmarkStart w:id="0" w:name="_Toc34637753"/>
      <w:bookmarkStart w:id="1" w:name="_Toc22201056"/>
      <w:r>
        <w:rPr>
          <w:rFonts w:hint="eastAsia" w:ascii="黑体" w:hAnsi="黑体" w:eastAsia="黑体"/>
        </w:rPr>
        <w:t>二、采购人的采购需求</w:t>
      </w:r>
      <w:bookmarkEnd w:id="0"/>
      <w:bookmarkEnd w:id="1"/>
    </w:p>
    <w:tbl>
      <w:tblPr>
        <w:tblStyle w:val="11"/>
        <w:tblW w:w="8377"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14"/>
        <w:gridCol w:w="2580"/>
        <w:gridCol w:w="1969"/>
        <w:gridCol w:w="877"/>
        <w:gridCol w:w="2237"/>
      </w:tblGrid>
      <w:tr w14:paraId="54591CF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714" w:type="dxa"/>
            <w:tcBorders>
              <w:right w:val="single" w:color="auto" w:sz="4" w:space="0"/>
            </w:tcBorders>
            <w:shd w:val="clear" w:color="auto" w:fill="auto"/>
            <w:vAlign w:val="center"/>
          </w:tcPr>
          <w:p w14:paraId="13DB488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序号</w:t>
            </w:r>
          </w:p>
        </w:tc>
        <w:tc>
          <w:tcPr>
            <w:tcW w:w="2580" w:type="dxa"/>
            <w:tcBorders>
              <w:left w:val="single" w:color="auto" w:sz="4" w:space="0"/>
            </w:tcBorders>
            <w:shd w:val="clear" w:color="auto" w:fill="auto"/>
            <w:vAlign w:val="center"/>
          </w:tcPr>
          <w:p w14:paraId="1AB53411">
            <w:pPr>
              <w:widowControl/>
              <w:adjustRightInd w:val="0"/>
              <w:snapToGrid w:val="0"/>
              <w:spacing w:before="156" w:beforeLines="50" w:line="240" w:lineRule="auto"/>
              <w:jc w:val="center"/>
              <w:rPr>
                <w:rFonts w:ascii="宋体" w:hAnsi="宋体" w:cs="宋体"/>
                <w:kern w:val="0"/>
                <w:szCs w:val="21"/>
              </w:rPr>
            </w:pPr>
            <w:r>
              <w:rPr>
                <w:rFonts w:hint="eastAsia" w:ascii="宋体" w:hAnsi="宋体"/>
                <w:kern w:val="0"/>
              </w:rPr>
              <w:t>包名称</w:t>
            </w:r>
          </w:p>
        </w:tc>
        <w:tc>
          <w:tcPr>
            <w:tcW w:w="1969" w:type="dxa"/>
            <w:tcBorders>
              <w:right w:val="single" w:color="auto" w:sz="4" w:space="0"/>
            </w:tcBorders>
            <w:shd w:val="clear" w:color="auto" w:fill="auto"/>
            <w:vAlign w:val="center"/>
          </w:tcPr>
          <w:p w14:paraId="788720C3">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简要技术要求</w:t>
            </w:r>
          </w:p>
        </w:tc>
        <w:tc>
          <w:tcPr>
            <w:tcW w:w="877" w:type="dxa"/>
            <w:tcBorders>
              <w:left w:val="single" w:color="auto" w:sz="4" w:space="0"/>
              <w:right w:val="single" w:color="auto" w:sz="4" w:space="0"/>
            </w:tcBorders>
            <w:shd w:val="clear" w:color="auto" w:fill="auto"/>
            <w:vAlign w:val="center"/>
          </w:tcPr>
          <w:p w14:paraId="2D1966D0">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数量</w:t>
            </w:r>
          </w:p>
        </w:tc>
        <w:tc>
          <w:tcPr>
            <w:tcW w:w="2237" w:type="dxa"/>
            <w:tcBorders>
              <w:left w:val="single" w:color="auto" w:sz="4" w:space="0"/>
              <w:right w:val="single" w:color="auto" w:sz="4" w:space="0"/>
            </w:tcBorders>
            <w:shd w:val="clear" w:color="auto" w:fill="auto"/>
            <w:vAlign w:val="center"/>
          </w:tcPr>
          <w:p w14:paraId="1AD92EB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采购项目预算</w:t>
            </w:r>
          </w:p>
          <w:p w14:paraId="0A6D2D04">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（元人民币）</w:t>
            </w:r>
          </w:p>
        </w:tc>
      </w:tr>
      <w:tr w14:paraId="5DCFB8D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714" w:type="dxa"/>
            <w:tcBorders>
              <w:right w:val="single" w:color="auto" w:sz="4" w:space="0"/>
            </w:tcBorders>
            <w:shd w:val="clear" w:color="auto" w:fill="auto"/>
            <w:vAlign w:val="center"/>
          </w:tcPr>
          <w:p w14:paraId="303E6059">
            <w:pPr>
              <w:pStyle w:val="8"/>
              <w:adjustRightInd w:val="0"/>
              <w:snapToGrid w:val="0"/>
              <w:spacing w:before="156" w:beforeLines="50" w:line="240" w:lineRule="auto"/>
              <w:jc w:val="center"/>
              <w:rPr>
                <w:rFonts w:hAnsi="宋体"/>
                <w:kern w:val="0"/>
              </w:rPr>
            </w:pPr>
            <w:r>
              <w:rPr>
                <w:rFonts w:hint="eastAsia" w:hAnsi="宋体"/>
                <w:kern w:val="0"/>
              </w:rPr>
              <w:t>01</w:t>
            </w:r>
          </w:p>
        </w:tc>
        <w:tc>
          <w:tcPr>
            <w:tcW w:w="2580" w:type="dxa"/>
            <w:tcBorders>
              <w:left w:val="single" w:color="auto" w:sz="4" w:space="0"/>
            </w:tcBorders>
            <w:shd w:val="clear" w:color="auto" w:fill="auto"/>
            <w:vAlign w:val="center"/>
          </w:tcPr>
          <w:p w14:paraId="17049106">
            <w:pPr>
              <w:pStyle w:val="8"/>
              <w:adjustRightInd w:val="0"/>
              <w:snapToGrid w:val="0"/>
              <w:spacing w:before="156" w:beforeLines="50" w:line="240" w:lineRule="auto"/>
              <w:jc w:val="center"/>
              <w:rPr>
                <w:rFonts w:hAnsi="宋体"/>
                <w:kern w:val="0"/>
              </w:rPr>
            </w:pPr>
            <w:r>
              <w:rPr>
                <w:rFonts w:hint="eastAsia" w:hAnsi="宋体" w:cs="Times New Roman"/>
                <w:kern w:val="0"/>
                <w:sz w:val="21"/>
                <w:szCs w:val="24"/>
                <w:lang w:val="en-US" w:eastAsia="zh-CN" w:bidi="ar-SA"/>
              </w:rPr>
              <w:t>醴陵经济开发区管理委员会职工食堂食材供应采购项目</w:t>
            </w:r>
          </w:p>
        </w:tc>
        <w:tc>
          <w:tcPr>
            <w:tcW w:w="1969" w:type="dxa"/>
            <w:tcBorders>
              <w:right w:val="single" w:color="auto" w:sz="4" w:space="0"/>
            </w:tcBorders>
            <w:shd w:val="clear" w:color="auto" w:fill="auto"/>
            <w:vAlign w:val="center"/>
          </w:tcPr>
          <w:p w14:paraId="106396E3">
            <w:pPr>
              <w:pStyle w:val="8"/>
              <w:adjustRightInd w:val="0"/>
              <w:snapToGrid w:val="0"/>
              <w:spacing w:before="156" w:beforeLines="50" w:line="240" w:lineRule="auto"/>
              <w:jc w:val="center"/>
              <w:rPr>
                <w:rFonts w:hAnsi="宋体"/>
                <w:kern w:val="0"/>
              </w:rPr>
            </w:pPr>
            <w:r>
              <w:rPr>
                <w:rFonts w:hint="eastAsia" w:hAnsi="宋体"/>
                <w:kern w:val="0"/>
                <w:lang w:eastAsia="zh-CN"/>
              </w:rPr>
              <w:t>详见第三章采购需求</w:t>
            </w:r>
          </w:p>
        </w:tc>
        <w:tc>
          <w:tcPr>
            <w:tcW w:w="877" w:type="dxa"/>
            <w:tcBorders>
              <w:left w:val="single" w:color="auto" w:sz="4" w:space="0"/>
              <w:right w:val="single" w:color="auto" w:sz="4" w:space="0"/>
            </w:tcBorders>
            <w:shd w:val="clear" w:color="auto" w:fill="auto"/>
            <w:vAlign w:val="center"/>
          </w:tcPr>
          <w:p w14:paraId="22124C5D">
            <w:pPr>
              <w:pStyle w:val="8"/>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二年</w:t>
            </w:r>
          </w:p>
        </w:tc>
        <w:tc>
          <w:tcPr>
            <w:tcW w:w="2237" w:type="dxa"/>
            <w:tcBorders>
              <w:left w:val="single" w:color="auto" w:sz="4" w:space="0"/>
              <w:right w:val="single" w:color="auto" w:sz="4" w:space="0"/>
            </w:tcBorders>
            <w:shd w:val="clear" w:color="auto" w:fill="auto"/>
            <w:vAlign w:val="center"/>
          </w:tcPr>
          <w:p w14:paraId="13679838">
            <w:pPr>
              <w:pStyle w:val="8"/>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1800000元</w:t>
            </w:r>
          </w:p>
        </w:tc>
      </w:tr>
    </w:tbl>
    <w:p w14:paraId="4BE1A5B5">
      <w:pPr>
        <w:pStyle w:val="3"/>
        <w:adjustRightInd w:val="0"/>
        <w:snapToGrid w:val="0"/>
        <w:spacing w:before="156" w:beforeLines="50"/>
        <w:rPr>
          <w:rFonts w:ascii="黑体" w:hAnsi="黑体" w:eastAsia="黑体"/>
        </w:rPr>
      </w:pPr>
      <w:bookmarkStart w:id="2" w:name="_Toc22201057"/>
      <w:bookmarkStart w:id="3" w:name="_Toc34637754"/>
      <w:r>
        <w:rPr>
          <w:rFonts w:hint="eastAsia" w:ascii="黑体" w:hAnsi="黑体" w:eastAsia="黑体"/>
        </w:rPr>
        <w:t>三、供应商的资格要求</w:t>
      </w:r>
      <w:bookmarkEnd w:id="2"/>
      <w:bookmarkEnd w:id="3"/>
    </w:p>
    <w:p w14:paraId="455D8570">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282F782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（1）具有独立承担民事责任的能力；</w:t>
      </w:r>
    </w:p>
    <w:p w14:paraId="135A853E">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（2）具有良好的商业信誉和健全的财务会计制度；</w:t>
      </w:r>
    </w:p>
    <w:p w14:paraId="0E575867">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（3）具有履行合同所必需的设备和专业技术能力；</w:t>
      </w:r>
    </w:p>
    <w:p w14:paraId="7CE2B41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420" w:lineRule="atLeast"/>
        <w:ind w:left="710" w:right="0" w:hanging="420" w:hangingChars="200"/>
        <w:jc w:val="both"/>
        <w:rPr>
          <w:sz w:val="21"/>
          <w:szCs w:val="21"/>
        </w:rPr>
      </w:pPr>
      <w:r>
        <w:rPr>
          <w:rFonts w:hint="eastAsia" w:ascii="宋体" w:hAnsi="宋体" w:eastAsia="宋体" w:cs="宋体"/>
          <w:i w:val="0"/>
          <w:iCs w:val="0"/>
          <w:caps w:val="0"/>
          <w:color w:val="000000"/>
          <w:spacing w:val="0"/>
          <w:kern w:val="0"/>
          <w:sz w:val="21"/>
          <w:szCs w:val="21"/>
          <w:lang w:val="en-US" w:eastAsia="zh-CN" w:bidi="ar"/>
        </w:rPr>
        <w:t>（4）有依法缴纳税收和社会保障资金的良好记录；</w:t>
      </w:r>
    </w:p>
    <w:p w14:paraId="5E5652A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（5）参加政府采购活动前三年内，在经营活动中没有重大违法记录；</w:t>
      </w:r>
    </w:p>
    <w:p w14:paraId="78B047DD">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（6）法律、行政法规规定的其他条件。</w:t>
      </w:r>
    </w:p>
    <w:p w14:paraId="149C6392">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43FA1157">
      <w:pPr>
        <w:pStyle w:val="9"/>
        <w:keepNext w:val="0"/>
        <w:keepLines w:val="0"/>
        <w:widowControl/>
        <w:suppressLineNumbers w:val="0"/>
        <w:spacing w:before="76" w:beforeAutospacing="0" w:after="0" w:afterAutospacing="0" w:line="315" w:lineRule="atLeast"/>
        <w:ind w:right="0" w:firstLine="210" w:firstLineChars="100"/>
        <w:jc w:val="left"/>
        <w:rPr>
          <w:rFonts w:hint="eastAsia" w:ascii="宋体" w:hAnsi="宋体" w:eastAsia="宋体" w:cs="宋体"/>
          <w:sz w:val="22"/>
          <w:szCs w:val="22"/>
        </w:rPr>
      </w:pPr>
      <w:r>
        <w:rPr>
          <w:rFonts w:hint="eastAsia" w:ascii="宋体" w:hAnsi="宋体" w:eastAsia="宋体" w:cs="宋体"/>
          <w:i w:val="0"/>
          <w:iCs w:val="0"/>
          <w:caps w:val="0"/>
          <w:color w:val="000000"/>
          <w:spacing w:val="0"/>
          <w:sz w:val="21"/>
          <w:szCs w:val="21"/>
        </w:rPr>
        <w:t>专门面向：</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中小企业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r>
        <w:rPr>
          <w:rFonts w:hint="eastAsia" w:ascii="宋体" w:hAnsi="宋体" w:eastAsia="宋体" w:cs="宋体"/>
          <w:i w:val="0"/>
          <w:iCs w:val="0"/>
          <w:caps w:val="0"/>
          <w:color w:val="000000"/>
          <w:spacing w:val="0"/>
          <w:sz w:val="22"/>
          <w:szCs w:val="22"/>
        </w:rPr>
        <w:t>。</w:t>
      </w:r>
    </w:p>
    <w:p w14:paraId="24ADCA5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right="0" w:firstLine="210" w:firstLineChars="1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AE525F2">
      <w:pPr>
        <w:pStyle w:val="9"/>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eastAsia" w:ascii="宋体" w:hAnsi="宋体" w:eastAsia="宋体" w:cs="宋体"/>
          <w:b w:val="0"/>
          <w:bCs w:val="0"/>
          <w:i w:val="0"/>
          <w:iCs w:val="0"/>
          <w:caps w:val="0"/>
          <w:color w:val="000000"/>
          <w:spacing w:val="0"/>
          <w:sz w:val="21"/>
          <w:szCs w:val="21"/>
          <w:shd w:val="clear" w:fill="FFFFFF"/>
        </w:rPr>
      </w:pPr>
      <w:r>
        <w:rPr>
          <w:rFonts w:hint="eastAsia" w:ascii="宋体" w:hAnsi="宋体" w:eastAsia="宋体" w:cs="宋体"/>
          <w:b w:val="0"/>
          <w:bCs w:val="0"/>
          <w:i w:val="0"/>
          <w:iCs w:val="0"/>
          <w:caps w:val="0"/>
          <w:color w:val="000000"/>
          <w:spacing w:val="0"/>
          <w:sz w:val="21"/>
          <w:szCs w:val="21"/>
          <w:shd w:val="clear" w:fill="FFFFFF"/>
        </w:rPr>
        <w:t>采购项目的特定资格条件：投标人须具有政府行政主管部门发颁发的食品经营许可证，且证书处于有效期内</w:t>
      </w:r>
      <w:r>
        <w:rPr>
          <w:rFonts w:hint="eastAsia" w:ascii="宋体" w:hAnsi="宋体" w:eastAsia="宋体" w:cs="宋体"/>
          <w:b w:val="0"/>
          <w:bCs w:val="0"/>
          <w:i w:val="0"/>
          <w:iCs w:val="0"/>
          <w:caps w:val="0"/>
          <w:color w:val="000000"/>
          <w:spacing w:val="0"/>
          <w:sz w:val="21"/>
          <w:szCs w:val="21"/>
          <w:shd w:val="clear" w:fill="FFFFFF"/>
          <w:lang w:eastAsia="zh-CN"/>
        </w:rPr>
        <w:t>。</w:t>
      </w:r>
    </w:p>
    <w:p w14:paraId="11DFEBC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1FD794D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0D31F91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cs="宋体"/>
          <w:i w:val="0"/>
          <w:iCs w:val="0"/>
          <w:caps w:val="0"/>
          <w:color w:val="000000"/>
          <w:spacing w:val="0"/>
          <w:kern w:val="0"/>
          <w:sz w:val="21"/>
          <w:szCs w:val="21"/>
          <w:lang w:val="en-US" w:eastAsia="zh-CN" w:bidi="ar"/>
        </w:rPr>
        <w:t>6、被列入失信被执行人、或重大税收违法案件当事人名单、或政府采购严重违法失信行为记录名单的，在处罚期内拒绝其参与本项目政府采购活动。</w:t>
      </w:r>
    </w:p>
    <w:p w14:paraId="281656C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不接受</w:t>
      </w:r>
      <w:r>
        <w:rPr>
          <w:rFonts w:hint="eastAsia" w:ascii="宋体" w:hAnsi="宋体" w:eastAsia="宋体" w:cs="宋体"/>
          <w:i w:val="0"/>
          <w:iCs w:val="0"/>
          <w:caps w:val="0"/>
          <w:color w:val="000000"/>
          <w:spacing w:val="0"/>
          <w:kern w:val="0"/>
          <w:sz w:val="21"/>
          <w:szCs w:val="21"/>
          <w:lang w:val="en-US" w:eastAsia="zh-CN" w:bidi="ar"/>
        </w:rPr>
        <w:t>联合体响应</w:t>
      </w:r>
    </w:p>
    <w:p w14:paraId="4A3DCDF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right="0" w:firstLine="420" w:firstLineChars="20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8、中小微企业参加政府采购活动，应当出具政府采购促进中小企业发展管理办法中规定的《中小企业声明函》。</w:t>
      </w:r>
    </w:p>
    <w:p w14:paraId="266DB505">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四、供应商应提交的证明材料及说明</w:t>
      </w:r>
    </w:p>
    <w:p w14:paraId="6D98170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689595F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02BE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法人提交法定代表人资格证明书复印件或者法定代表人授权委托书原件；自然人提交身份证明复印件。</w:t>
      </w:r>
    </w:p>
    <w:p w14:paraId="74B9D55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4269E09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sz w:val="21"/>
          <w:szCs w:val="21"/>
        </w:rPr>
        <w:t>湖南省政府采购供应商资格承诺函原件(格式见附件)</w:t>
      </w:r>
      <w:r>
        <w:rPr>
          <w:rFonts w:hint="eastAsia" w:ascii="宋体" w:hAnsi="宋体" w:eastAsia="宋体" w:cs="宋体"/>
          <w:kern w:val="2"/>
          <w:sz w:val="21"/>
          <w:szCs w:val="21"/>
          <w:lang w:val="en-US" w:eastAsia="zh-CN" w:bidi="ar-SA"/>
        </w:rPr>
        <w:t>；</w:t>
      </w:r>
    </w:p>
    <w:p w14:paraId="495C53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b w:val="0"/>
          <w:bCs w:val="0"/>
          <w:i w:val="0"/>
          <w:iCs w:val="0"/>
          <w:caps w:val="0"/>
          <w:color w:val="000000"/>
          <w:spacing w:val="0"/>
          <w:kern w:val="0"/>
          <w:sz w:val="21"/>
          <w:szCs w:val="21"/>
          <w:lang w:val="en-US" w:eastAsia="zh-CN" w:bidi="ar"/>
        </w:rPr>
        <w:t>符合特定资格条件证明材料复印件或者情况说明原件；</w:t>
      </w:r>
    </w:p>
    <w:p w14:paraId="7836B93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（6）其他说明；</w:t>
      </w:r>
    </w:p>
    <w:p w14:paraId="17D0EA70">
      <w:pPr>
        <w:pStyle w:val="9"/>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5"/>
          <w:sz w:val="21"/>
          <w:szCs w:val="21"/>
        </w:rPr>
        <w:t>供应商的资格证明文件均应为有效文件并加盖供应商单位公章，并法定代表人签字和印章。本项目递交纸质资格审查材料，纸质文件不接受电子打印章、电子签名直接打印输出，法定代表人及授权代表签字须为亲笔手写签名，加盖鲜公章；未按要求签署盖章视为资格审查不合格。</w:t>
      </w:r>
    </w:p>
    <w:p w14:paraId="5FE30772">
      <w:pPr>
        <w:pStyle w:val="9"/>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■其他说明；承诺函均需法定代表人签字盖章。</w:t>
      </w:r>
    </w:p>
    <w:p w14:paraId="3BA1754E">
      <w:pPr>
        <w:pStyle w:val="4"/>
        <w:keepNext w:val="0"/>
        <w:keepLines w:val="0"/>
        <w:widowControl/>
        <w:numPr>
          <w:ilvl w:val="0"/>
          <w:numId w:val="1"/>
        </w:numPr>
        <w:suppressLineNumbers w:val="0"/>
        <w:spacing w:before="0" w:beforeAutospacing="0" w:line="420" w:lineRule="atLeast"/>
        <w:ind w:left="0" w:leftChars="0" w:firstLine="420" w:firstLineChars="200"/>
        <w:jc w:val="both"/>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根据《中华人民共和国政府采购法》第二十三条规定，为保证供应商履约质量，提供履约承诺书。</w:t>
      </w:r>
    </w:p>
    <w:p w14:paraId="6DFF3843">
      <w:pPr>
        <w:numPr>
          <w:ilvl w:val="0"/>
          <w:numId w:val="1"/>
        </w:numPr>
        <w:ind w:left="0" w:leftChars="0" w:firstLine="420" w:firstLineChars="200"/>
      </w:pPr>
      <w:r>
        <w:rPr>
          <w:rFonts w:hint="eastAsia" w:ascii="宋体" w:hAnsi="宋体" w:eastAsia="宋体" w:cs="宋体"/>
          <w:i w:val="0"/>
          <w:iCs w:val="0"/>
          <w:caps w:val="0"/>
          <w:color w:val="000000"/>
          <w:spacing w:val="0"/>
          <w:kern w:val="0"/>
          <w:sz w:val="21"/>
          <w:szCs w:val="21"/>
          <w:lang w:val="en-US" w:eastAsia="zh-CN" w:bidi="ar"/>
        </w:rPr>
        <w:t>提供参加政府采购活动前三年内，在经营活动中没有不良记录承诺函。</w:t>
      </w:r>
    </w:p>
    <w:p w14:paraId="3FEB6AD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五、资格审查证明材料的递交</w:t>
      </w:r>
    </w:p>
    <w:p w14:paraId="3872F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1、按本邀请公告第三、四条规定提交的证明材料及说明应胶装成册及按顺序编制页码，并提供资质证明文件一式贰份加盖供应商单位公章</w:t>
      </w:r>
      <w:r>
        <w:rPr>
          <w:rFonts w:hint="eastAsia" w:ascii="宋体" w:hAnsi="宋体" w:eastAsia="宋体" w:cs="宋体"/>
          <w:sz w:val="21"/>
          <w:szCs w:val="21"/>
          <w:lang w:val="en-US" w:eastAsia="zh-CN"/>
        </w:rPr>
        <w:t>，原件报名现场查验</w:t>
      </w:r>
      <w:r>
        <w:rPr>
          <w:rFonts w:hint="eastAsia" w:ascii="宋体" w:hAnsi="宋体" w:eastAsia="宋体" w:cs="宋体"/>
          <w:b w:val="0"/>
          <w:bCs w:val="0"/>
          <w:i w:val="0"/>
          <w:iCs w:val="0"/>
          <w:caps w:val="0"/>
          <w:color w:val="000000"/>
          <w:spacing w:val="0"/>
          <w:kern w:val="0"/>
          <w:sz w:val="21"/>
          <w:szCs w:val="21"/>
          <w:lang w:val="en-US" w:eastAsia="zh-CN" w:bidi="ar"/>
        </w:rPr>
        <w:t>。</w:t>
      </w:r>
    </w:p>
    <w:p w14:paraId="085D89B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09</w:t>
      </w:r>
      <w:r>
        <w:rPr>
          <w:rFonts w:hint="eastAsia" w:ascii="宋体" w:hAnsi="宋体" w:eastAsia="宋体" w:cs="宋体"/>
          <w:sz w:val="21"/>
          <w:szCs w:val="21"/>
        </w:rPr>
        <w:t>月</w:t>
      </w:r>
      <w:r>
        <w:rPr>
          <w:rFonts w:hint="eastAsia" w:ascii="宋体" w:hAnsi="宋体" w:eastAsia="宋体" w:cs="宋体"/>
          <w:sz w:val="21"/>
          <w:szCs w:val="21"/>
          <w:lang w:val="en-US" w:eastAsia="zh-CN"/>
        </w:rPr>
        <w:t>18</w:t>
      </w:r>
      <w:r>
        <w:rPr>
          <w:rFonts w:hint="eastAsia" w:ascii="宋体" w:hAnsi="宋体" w:eastAsia="宋体" w:cs="宋体"/>
          <w:sz w:val="21"/>
          <w:szCs w:val="21"/>
        </w:rPr>
        <w:t>日</w:t>
      </w:r>
      <w:r>
        <w:rPr>
          <w:rFonts w:hint="eastAsia" w:ascii="宋体" w:hAnsi="宋体" w:eastAsia="宋体" w:cs="宋体"/>
          <w:sz w:val="21"/>
          <w:szCs w:val="21"/>
          <w:lang w:val="en-US" w:eastAsia="zh-CN"/>
        </w:rPr>
        <w:t>16</w:t>
      </w:r>
      <w:r>
        <w:rPr>
          <w:rFonts w:hint="eastAsia" w:ascii="宋体" w:hAnsi="宋体" w:eastAsia="宋体" w:cs="宋体"/>
          <w:sz w:val="21"/>
          <w:szCs w:val="21"/>
        </w:rPr>
        <w:t>时</w:t>
      </w:r>
      <w:r>
        <w:rPr>
          <w:rFonts w:hint="eastAsia" w:ascii="宋体" w:hAnsi="宋体" w:eastAsia="宋体" w:cs="宋体"/>
          <w:sz w:val="21"/>
          <w:szCs w:val="21"/>
          <w:lang w:val="en-US" w:eastAsia="zh-CN"/>
        </w:rPr>
        <w:t>3</w:t>
      </w:r>
      <w:r>
        <w:rPr>
          <w:rFonts w:hint="eastAsia" w:ascii="宋体" w:hAnsi="宋体" w:eastAsia="宋体" w:cs="宋体"/>
          <w:sz w:val="21"/>
          <w:szCs w:val="21"/>
        </w:rPr>
        <w:t>0分（北京时间），地点为</w:t>
      </w:r>
      <w:r>
        <w:rPr>
          <w:rFonts w:hint="eastAsia" w:ascii="宋体" w:hAnsi="宋体" w:eastAsia="宋体" w:cs="宋体"/>
          <w:color w:val="000000"/>
          <w:kern w:val="0"/>
          <w:sz w:val="21"/>
          <w:szCs w:val="21"/>
          <w:u w:val="single"/>
          <w:lang w:eastAsia="zh-CN"/>
        </w:rPr>
        <w:t>湖南湘渌项目管理有限公司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1336EFE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六、资格审查方法及标准</w:t>
      </w:r>
    </w:p>
    <w:p w14:paraId="42FB19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1、谈判小组按本邀请公告第三、四条规定，采用合格制方法进行资格审查。</w:t>
      </w:r>
    </w:p>
    <w:p w14:paraId="0F46036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0E9C43D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294446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七、确定邀请供应商</w:t>
      </w:r>
    </w:p>
    <w:p w14:paraId="4A7CE24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476364D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32069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八、公告期限</w:t>
      </w:r>
    </w:p>
    <w:p w14:paraId="040B72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7865178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1F1955B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九、疑问及质疑</w:t>
      </w:r>
    </w:p>
    <w:p w14:paraId="0F427A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731B25B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r>
        <w:rPr>
          <w:rFonts w:hint="eastAsia" w:ascii="宋体" w:hAnsi="宋体" w:eastAsia="宋体" w:cs="宋体"/>
          <w:b w:val="0"/>
          <w:bCs w:val="0"/>
          <w:i w:val="0"/>
          <w:iCs w:val="0"/>
          <w:caps w:val="0"/>
          <w:color w:val="000000"/>
          <w:spacing w:val="0"/>
          <w:kern w:val="0"/>
          <w:sz w:val="21"/>
          <w:szCs w:val="21"/>
          <w:lang w:val="en-US" w:eastAsia="zh-CN" w:bidi="ar"/>
        </w:rPr>
        <w:t> </w:t>
      </w:r>
    </w:p>
    <w:p w14:paraId="3A78D7B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十、采购人和采购代理机构名称、联系人和联系方式</w:t>
      </w:r>
    </w:p>
    <w:p w14:paraId="7D228F8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eastAsia="宋体" w:cs="宋体"/>
          <w:sz w:val="21"/>
          <w:szCs w:val="21"/>
          <w:lang w:eastAsia="zh-CN"/>
        </w:rPr>
        <w:t>：醴陵经济开发区管理委员会</w:t>
      </w:r>
    </w:p>
    <w:p w14:paraId="61E26491">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联 系 人：</w:t>
      </w:r>
      <w:r>
        <w:rPr>
          <w:rFonts w:hint="eastAsia" w:ascii="宋体" w:hAnsi="宋体" w:eastAsia="宋体" w:cs="宋体"/>
          <w:sz w:val="21"/>
          <w:szCs w:val="21"/>
          <w:lang w:val="en-US" w:eastAsia="zh-CN"/>
        </w:rPr>
        <w:t>文强</w:t>
      </w:r>
    </w:p>
    <w:p w14:paraId="6C594F1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电  话：</w:t>
      </w:r>
      <w:r>
        <w:rPr>
          <w:rFonts w:hint="eastAsia" w:ascii="宋体" w:hAnsi="宋体" w:eastAsia="宋体" w:cs="宋体"/>
          <w:sz w:val="21"/>
          <w:szCs w:val="21"/>
          <w:lang w:val="en-US" w:eastAsia="zh-CN"/>
        </w:rPr>
        <w:t>0731-23252798</w:t>
      </w:r>
    </w:p>
    <w:p w14:paraId="686ADEE7">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eastAsia="宋体" w:cs="宋体"/>
          <w:sz w:val="21"/>
          <w:szCs w:val="21"/>
          <w:lang w:eastAsia="zh-CN"/>
        </w:rPr>
        <w:t>湖南湘渌项目管理有限公司</w:t>
      </w:r>
    </w:p>
    <w:p w14:paraId="021C9181">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eastAsia="zh-CN"/>
        </w:rPr>
        <w:t>钟城</w:t>
      </w:r>
      <w:r>
        <w:rPr>
          <w:rFonts w:hint="eastAsia" w:ascii="宋体" w:hAnsi="宋体" w:eastAsia="宋体" w:cs="宋体"/>
          <w:sz w:val="21"/>
          <w:szCs w:val="21"/>
        </w:rPr>
        <w:t>      </w:t>
      </w:r>
    </w:p>
    <w:p w14:paraId="6EC2250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电 话：</w:t>
      </w:r>
      <w:r>
        <w:rPr>
          <w:rFonts w:hint="eastAsia" w:ascii="宋体" w:hAnsi="宋体" w:eastAsia="宋体" w:cs="宋体"/>
          <w:sz w:val="21"/>
          <w:szCs w:val="21"/>
          <w:lang w:eastAsia="zh-CN"/>
        </w:rPr>
        <w:t xml:space="preserve"> 0731-23255471</w:t>
      </w:r>
    </w:p>
    <w:p w14:paraId="064EC51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lang w:eastAsia="zh-CN"/>
        </w:rPr>
        <w:t>醴陵市国瓷大道柳家湾小区2栋1单元203室</w:t>
      </w:r>
      <w:r>
        <w:rPr>
          <w:rFonts w:hint="eastAsia" w:ascii="宋体" w:hAnsi="宋体" w:eastAsia="宋体" w:cs="宋体"/>
          <w:sz w:val="21"/>
          <w:szCs w:val="21"/>
        </w:rPr>
        <w:t> </w:t>
      </w:r>
    </w:p>
    <w:p w14:paraId="0236EE34">
      <w:pPr>
        <w:pStyle w:val="5"/>
        <w:rPr>
          <w:rFonts w:hint="eastAsia" w:ascii="宋体" w:hAnsi="宋体" w:eastAsia="宋体" w:cs="宋体"/>
          <w:sz w:val="21"/>
          <w:szCs w:val="21"/>
        </w:rPr>
      </w:pPr>
    </w:p>
    <w:p w14:paraId="27EF4F96">
      <w:pPr>
        <w:rPr>
          <w:rFonts w:hint="eastAsia" w:ascii="宋体" w:hAnsi="宋体" w:eastAsia="宋体" w:cs="宋体"/>
          <w:sz w:val="21"/>
          <w:szCs w:val="21"/>
        </w:rPr>
      </w:pPr>
    </w:p>
    <w:p w14:paraId="2C3F34B6">
      <w:pPr>
        <w:pStyle w:val="5"/>
        <w:rPr>
          <w:rFonts w:hint="eastAsia" w:ascii="宋体" w:hAnsi="宋体" w:eastAsia="宋体" w:cs="宋体"/>
          <w:sz w:val="21"/>
          <w:szCs w:val="21"/>
        </w:rPr>
      </w:pPr>
    </w:p>
    <w:p w14:paraId="284338E2">
      <w:pPr>
        <w:rPr>
          <w:rFonts w:hint="eastAsia" w:ascii="宋体" w:hAnsi="宋体" w:eastAsia="宋体" w:cs="宋体"/>
          <w:sz w:val="21"/>
          <w:szCs w:val="21"/>
        </w:rPr>
      </w:pPr>
    </w:p>
    <w:p w14:paraId="25866BFD">
      <w:pPr>
        <w:pStyle w:val="5"/>
        <w:rPr>
          <w:rFonts w:hint="eastAsia" w:ascii="宋体" w:hAnsi="宋体" w:eastAsia="宋体" w:cs="宋体"/>
          <w:sz w:val="21"/>
          <w:szCs w:val="21"/>
        </w:rPr>
      </w:pPr>
    </w:p>
    <w:p w14:paraId="7E1A2AD4">
      <w:pPr>
        <w:rPr>
          <w:rFonts w:hint="eastAsia" w:ascii="宋体" w:hAnsi="宋体" w:eastAsia="宋体" w:cs="宋体"/>
          <w:sz w:val="21"/>
          <w:szCs w:val="21"/>
        </w:rPr>
      </w:pPr>
    </w:p>
    <w:p w14:paraId="37E06A54">
      <w:pPr>
        <w:pStyle w:val="5"/>
        <w:rPr>
          <w:rFonts w:hint="eastAsia" w:ascii="宋体" w:hAnsi="宋体" w:eastAsia="宋体" w:cs="宋体"/>
          <w:sz w:val="21"/>
          <w:szCs w:val="21"/>
        </w:rPr>
      </w:pPr>
    </w:p>
    <w:p w14:paraId="6E8A7965">
      <w:pPr>
        <w:rPr>
          <w:rFonts w:hint="eastAsia" w:ascii="宋体" w:hAnsi="宋体" w:eastAsia="宋体" w:cs="宋体"/>
          <w:sz w:val="21"/>
          <w:szCs w:val="21"/>
        </w:rPr>
      </w:pPr>
    </w:p>
    <w:p w14:paraId="3BBD4437">
      <w:pPr>
        <w:pStyle w:val="5"/>
        <w:rPr>
          <w:rFonts w:hint="eastAsia"/>
        </w:rPr>
      </w:pPr>
    </w:p>
    <w:p w14:paraId="49E92BE4">
      <w:pPr>
        <w:rPr>
          <w:rFonts w:hint="eastAsia" w:ascii="宋体" w:hAnsi="宋体" w:eastAsia="宋体" w:cs="宋体"/>
          <w:sz w:val="21"/>
          <w:szCs w:val="21"/>
        </w:rPr>
      </w:pPr>
    </w:p>
    <w:p w14:paraId="2B13BE05">
      <w:pPr>
        <w:pStyle w:val="5"/>
        <w:rPr>
          <w:rFonts w:hint="eastAsia" w:ascii="宋体" w:hAnsi="宋体" w:eastAsia="宋体" w:cs="宋体"/>
          <w:sz w:val="21"/>
          <w:szCs w:val="21"/>
        </w:rPr>
      </w:pPr>
    </w:p>
    <w:p w14:paraId="7325070D">
      <w:pPr>
        <w:rPr>
          <w:rFonts w:hint="eastAsia" w:ascii="宋体" w:hAnsi="宋体" w:eastAsia="宋体" w:cs="宋体"/>
          <w:sz w:val="21"/>
          <w:szCs w:val="21"/>
        </w:rPr>
      </w:pPr>
    </w:p>
    <w:p w14:paraId="5EAF60CF">
      <w:pPr>
        <w:pStyle w:val="5"/>
        <w:rPr>
          <w:rFonts w:hint="eastAsia" w:ascii="宋体" w:hAnsi="宋体" w:eastAsia="宋体" w:cs="宋体"/>
          <w:sz w:val="21"/>
          <w:szCs w:val="21"/>
        </w:rPr>
      </w:pPr>
    </w:p>
    <w:p w14:paraId="7DD75BF0">
      <w:pPr>
        <w:rPr>
          <w:rFonts w:hint="eastAsia" w:ascii="宋体" w:hAnsi="宋体" w:eastAsia="宋体" w:cs="宋体"/>
          <w:sz w:val="21"/>
          <w:szCs w:val="21"/>
        </w:rPr>
      </w:pPr>
    </w:p>
    <w:p w14:paraId="41AC4EFD">
      <w:pPr>
        <w:pStyle w:val="5"/>
        <w:rPr>
          <w:rFonts w:hint="eastAsia"/>
        </w:rPr>
      </w:pPr>
    </w:p>
    <w:p w14:paraId="73152AB2">
      <w:pPr>
        <w:rPr>
          <w:rFonts w:hint="eastAsia" w:ascii="宋体" w:hAnsi="宋体" w:eastAsia="宋体" w:cs="宋体"/>
          <w:sz w:val="21"/>
          <w:szCs w:val="21"/>
        </w:rPr>
      </w:pPr>
    </w:p>
    <w:p w14:paraId="38D61868">
      <w:pPr>
        <w:pStyle w:val="5"/>
        <w:rPr>
          <w:rFonts w:hint="eastAsia" w:ascii="宋体" w:hAnsi="宋体" w:eastAsia="宋体" w:cs="宋体"/>
          <w:sz w:val="21"/>
          <w:szCs w:val="21"/>
        </w:rPr>
      </w:pPr>
    </w:p>
    <w:p w14:paraId="0083E4B3">
      <w:pPr>
        <w:adjustRightInd w:val="0"/>
        <w:snapToGrid w:val="0"/>
        <w:spacing w:line="360" w:lineRule="auto"/>
        <w:jc w:val="both"/>
        <w:rPr>
          <w:rFonts w:hint="eastAsia" w:ascii="宋体" w:hAnsi="宋体" w:cs="宋体"/>
          <w:b/>
          <w:color w:val="auto"/>
          <w:sz w:val="24"/>
          <w:szCs w:val="24"/>
          <w:lang w:val="en-US" w:eastAsia="zh-CN"/>
        </w:rPr>
      </w:pPr>
      <w:bookmarkStart w:id="4" w:name="_Toc22657530"/>
      <w:bookmarkStart w:id="5" w:name="_Toc34637823"/>
      <w:r>
        <w:rPr>
          <w:rFonts w:hint="eastAsia" w:ascii="宋体" w:hAnsi="宋体" w:cs="宋体"/>
          <w:b/>
          <w:color w:val="auto"/>
          <w:sz w:val="24"/>
          <w:szCs w:val="24"/>
          <w:lang w:val="en-US" w:eastAsia="zh-CN"/>
        </w:rPr>
        <w:t xml:space="preserve">附：                      </w:t>
      </w:r>
    </w:p>
    <w:p w14:paraId="3ADC9C53">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0DDEA778">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320929D0">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11"/>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66D8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D4396E">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noWrap w:val="0"/>
            <w:vAlign w:val="center"/>
          </w:tcPr>
          <w:p w14:paraId="3ABE4EFA">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noWrap w:val="0"/>
            <w:vAlign w:val="center"/>
          </w:tcPr>
          <w:p w14:paraId="245CFEA0">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noWrap w:val="0"/>
            <w:vAlign w:val="center"/>
          </w:tcPr>
          <w:p w14:paraId="5EA36D74">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37D5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50CE018">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28369F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51ABB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C5A00C8">
            <w:pPr>
              <w:adjustRightInd w:val="0"/>
              <w:snapToGrid w:val="0"/>
              <w:jc w:val="center"/>
              <w:rPr>
                <w:rFonts w:hint="eastAsia" w:ascii="宋体" w:hAnsi="宋体" w:eastAsia="宋体" w:cs="宋体"/>
                <w:color w:val="auto"/>
                <w:sz w:val="24"/>
                <w:szCs w:val="24"/>
              </w:rPr>
            </w:pPr>
          </w:p>
        </w:tc>
      </w:tr>
      <w:tr w14:paraId="5C5F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311DB5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973BFF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E286F9D">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C8E1F0B">
            <w:pPr>
              <w:adjustRightInd w:val="0"/>
              <w:snapToGrid w:val="0"/>
              <w:jc w:val="center"/>
              <w:rPr>
                <w:rFonts w:hint="eastAsia" w:ascii="宋体" w:hAnsi="宋体" w:eastAsia="宋体" w:cs="宋体"/>
                <w:color w:val="auto"/>
                <w:sz w:val="24"/>
                <w:szCs w:val="24"/>
              </w:rPr>
            </w:pPr>
          </w:p>
        </w:tc>
      </w:tr>
      <w:tr w14:paraId="1A78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37807F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B529B3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DF0ED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9EFB68">
            <w:pPr>
              <w:adjustRightInd w:val="0"/>
              <w:snapToGrid w:val="0"/>
              <w:jc w:val="center"/>
              <w:rPr>
                <w:rFonts w:hint="eastAsia" w:ascii="宋体" w:hAnsi="宋体" w:eastAsia="宋体" w:cs="宋体"/>
                <w:color w:val="auto"/>
                <w:sz w:val="24"/>
                <w:szCs w:val="24"/>
              </w:rPr>
            </w:pPr>
          </w:p>
        </w:tc>
      </w:tr>
      <w:tr w14:paraId="3CD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B6F19F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0A2165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023D63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2624859">
            <w:pPr>
              <w:adjustRightInd w:val="0"/>
              <w:snapToGrid w:val="0"/>
              <w:jc w:val="center"/>
              <w:rPr>
                <w:rFonts w:hint="eastAsia" w:ascii="宋体" w:hAnsi="宋体" w:eastAsia="宋体" w:cs="宋体"/>
                <w:color w:val="auto"/>
                <w:sz w:val="24"/>
                <w:szCs w:val="24"/>
              </w:rPr>
            </w:pPr>
          </w:p>
        </w:tc>
      </w:tr>
      <w:tr w14:paraId="3BB5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3F9024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1233994">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AEACD3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326A438">
            <w:pPr>
              <w:adjustRightInd w:val="0"/>
              <w:snapToGrid w:val="0"/>
              <w:jc w:val="center"/>
              <w:rPr>
                <w:rFonts w:hint="eastAsia" w:ascii="宋体" w:hAnsi="宋体" w:eastAsia="宋体" w:cs="宋体"/>
                <w:color w:val="auto"/>
                <w:sz w:val="24"/>
                <w:szCs w:val="24"/>
              </w:rPr>
            </w:pPr>
          </w:p>
        </w:tc>
      </w:tr>
      <w:tr w14:paraId="49B6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C4F3A28">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60B3C9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E4CD9D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8FC131F">
            <w:pPr>
              <w:adjustRightInd w:val="0"/>
              <w:snapToGrid w:val="0"/>
              <w:jc w:val="center"/>
              <w:rPr>
                <w:rFonts w:hint="eastAsia" w:ascii="宋体" w:hAnsi="宋体" w:eastAsia="宋体" w:cs="宋体"/>
                <w:color w:val="auto"/>
                <w:sz w:val="24"/>
                <w:szCs w:val="24"/>
              </w:rPr>
            </w:pPr>
          </w:p>
        </w:tc>
      </w:tr>
      <w:tr w14:paraId="2F41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90B0E7D">
            <w:pPr>
              <w:adjustRightInd w:val="0"/>
              <w:snapToGrid w:val="0"/>
              <w:jc w:val="center"/>
              <w:rPr>
                <w:rFonts w:hint="eastAsia" w:ascii="宋体" w:hAnsi="宋体" w:eastAsia="宋体" w:cs="宋体"/>
                <w:color w:val="auto"/>
                <w:sz w:val="24"/>
                <w:szCs w:val="24"/>
              </w:rPr>
            </w:pPr>
          </w:p>
        </w:tc>
        <w:tc>
          <w:tcPr>
            <w:tcW w:w="4407" w:type="dxa"/>
            <w:noWrap w:val="0"/>
            <w:vAlign w:val="center"/>
          </w:tcPr>
          <w:p w14:paraId="5D4BE2F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65038A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0F2C5B1">
            <w:pPr>
              <w:adjustRightInd w:val="0"/>
              <w:snapToGrid w:val="0"/>
              <w:jc w:val="center"/>
              <w:rPr>
                <w:rFonts w:hint="eastAsia" w:ascii="宋体" w:hAnsi="宋体" w:eastAsia="宋体" w:cs="宋体"/>
                <w:color w:val="auto"/>
                <w:sz w:val="24"/>
                <w:szCs w:val="24"/>
              </w:rPr>
            </w:pPr>
          </w:p>
        </w:tc>
      </w:tr>
      <w:tr w14:paraId="5E83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00360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548FB5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9F37D4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8B6E717">
            <w:pPr>
              <w:adjustRightInd w:val="0"/>
              <w:snapToGrid w:val="0"/>
              <w:jc w:val="center"/>
              <w:rPr>
                <w:rFonts w:hint="eastAsia" w:ascii="宋体" w:hAnsi="宋体" w:eastAsia="宋体" w:cs="宋体"/>
                <w:color w:val="auto"/>
                <w:sz w:val="24"/>
                <w:szCs w:val="24"/>
              </w:rPr>
            </w:pPr>
          </w:p>
        </w:tc>
      </w:tr>
      <w:tr w14:paraId="546D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EC243B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9BE2FA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035AEC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B278A5B">
            <w:pPr>
              <w:adjustRightInd w:val="0"/>
              <w:snapToGrid w:val="0"/>
              <w:jc w:val="center"/>
              <w:rPr>
                <w:rFonts w:hint="eastAsia" w:ascii="宋体" w:hAnsi="宋体" w:eastAsia="宋体" w:cs="宋体"/>
                <w:color w:val="auto"/>
                <w:sz w:val="24"/>
                <w:szCs w:val="24"/>
              </w:rPr>
            </w:pPr>
          </w:p>
        </w:tc>
      </w:tr>
      <w:tr w14:paraId="5C70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1DB52BD">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85AFE9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597F5A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F250CAA">
            <w:pPr>
              <w:adjustRightInd w:val="0"/>
              <w:snapToGrid w:val="0"/>
              <w:jc w:val="center"/>
              <w:rPr>
                <w:rFonts w:hint="eastAsia" w:ascii="宋体" w:hAnsi="宋体" w:eastAsia="宋体" w:cs="宋体"/>
                <w:color w:val="auto"/>
                <w:sz w:val="24"/>
                <w:szCs w:val="24"/>
              </w:rPr>
            </w:pPr>
          </w:p>
        </w:tc>
      </w:tr>
      <w:tr w14:paraId="773E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512E514">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0CA982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706392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566B221">
            <w:pPr>
              <w:adjustRightInd w:val="0"/>
              <w:snapToGrid w:val="0"/>
              <w:jc w:val="center"/>
              <w:rPr>
                <w:rFonts w:hint="eastAsia" w:ascii="宋体" w:hAnsi="宋体" w:eastAsia="宋体" w:cs="宋体"/>
                <w:color w:val="auto"/>
                <w:sz w:val="24"/>
                <w:szCs w:val="24"/>
              </w:rPr>
            </w:pPr>
          </w:p>
        </w:tc>
      </w:tr>
      <w:tr w14:paraId="7FC6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B9C75AC">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F8DEFD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A72F91C">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22CEA88">
            <w:pPr>
              <w:adjustRightInd w:val="0"/>
              <w:snapToGrid w:val="0"/>
              <w:jc w:val="center"/>
              <w:rPr>
                <w:rFonts w:hint="eastAsia" w:ascii="宋体" w:hAnsi="宋体" w:eastAsia="宋体" w:cs="宋体"/>
                <w:color w:val="auto"/>
                <w:sz w:val="24"/>
                <w:szCs w:val="24"/>
              </w:rPr>
            </w:pPr>
          </w:p>
        </w:tc>
      </w:tr>
      <w:tr w14:paraId="02CF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BB71AC1">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0D76C2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3F3796F">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5FB288F">
            <w:pPr>
              <w:adjustRightInd w:val="0"/>
              <w:snapToGrid w:val="0"/>
              <w:jc w:val="center"/>
              <w:rPr>
                <w:rFonts w:hint="eastAsia" w:ascii="宋体" w:hAnsi="宋体" w:eastAsia="宋体" w:cs="宋体"/>
                <w:color w:val="auto"/>
                <w:sz w:val="24"/>
                <w:szCs w:val="24"/>
              </w:rPr>
            </w:pPr>
          </w:p>
        </w:tc>
      </w:tr>
    </w:tbl>
    <w:p w14:paraId="5A6B274C">
      <w:pPr>
        <w:widowControl/>
        <w:spacing w:line="400" w:lineRule="exact"/>
        <w:ind w:firstLine="420"/>
        <w:jc w:val="left"/>
        <w:rPr>
          <w:rFonts w:hint="eastAsia" w:ascii="宋体" w:hAnsi="宋体" w:eastAsia="宋体" w:cs="宋体"/>
          <w:color w:val="auto"/>
          <w:kern w:val="0"/>
          <w:sz w:val="24"/>
          <w:szCs w:val="24"/>
        </w:rPr>
      </w:pPr>
    </w:p>
    <w:p w14:paraId="2F678E56">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48078847">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1F6E4120">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4102522B">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4842450C">
      <w:pPr>
        <w:widowControl/>
        <w:spacing w:before="100" w:beforeAutospacing="1" w:after="100" w:afterAutospacing="1" w:line="408" w:lineRule="auto"/>
      </w:pPr>
    </w:p>
    <w:p w14:paraId="4D1B2C54">
      <w:pPr>
        <w:rPr>
          <w:rFonts w:hint="eastAsia" w:ascii="宋体" w:hAnsi="宋体"/>
          <w:b w:val="0"/>
          <w:sz w:val="21"/>
          <w:szCs w:val="21"/>
        </w:rPr>
      </w:pPr>
      <w:r>
        <w:rPr>
          <w:rFonts w:hint="eastAsia" w:ascii="宋体" w:hAnsi="宋体"/>
          <w:b w:val="0"/>
          <w:sz w:val="21"/>
          <w:szCs w:val="21"/>
        </w:rPr>
        <w:br w:type="page"/>
      </w:r>
      <w:r>
        <w:rPr>
          <w:rFonts w:hint="eastAsia" w:ascii="宋体" w:hAnsi="宋体"/>
          <w:b w:val="0"/>
          <w:sz w:val="21"/>
          <w:szCs w:val="21"/>
        </w:rPr>
        <w:t xml:space="preserve">附件一 </w:t>
      </w:r>
      <w:bookmarkEnd w:id="4"/>
      <w:bookmarkEnd w:id="5"/>
      <w:r>
        <w:rPr>
          <w:rFonts w:hint="eastAsia"/>
          <w:b w:val="0"/>
          <w:sz w:val="21"/>
          <w:szCs w:val="21"/>
        </w:rPr>
        <w:t xml:space="preserve"> 供应商资格声明(格式)、湖南省政府采购供应商资格承诺函（格式）</w:t>
      </w:r>
    </w:p>
    <w:p w14:paraId="7D73CAD6">
      <w:pPr>
        <w:pageBreakBefore w:val="0"/>
        <w:kinsoku/>
        <w:wordWrap/>
        <w:overflowPunct/>
        <w:topLinePunct w:val="0"/>
        <w:autoSpaceDE/>
        <w:autoSpaceDN/>
        <w:bidi w:val="0"/>
        <w:adjustRightInd w:val="0"/>
        <w:snapToGrid w:val="0"/>
        <w:spacing w:line="400" w:lineRule="exact"/>
        <w:ind w:firstLine="562" w:firstLineChars="200"/>
        <w:jc w:val="center"/>
        <w:textAlignment w:val="auto"/>
        <w:rPr>
          <w:rFonts w:ascii="黑体" w:hAnsi="黑体" w:eastAsia="黑体"/>
          <w:b/>
          <w:sz w:val="28"/>
          <w:szCs w:val="28"/>
        </w:rPr>
      </w:pPr>
      <w:r>
        <w:rPr>
          <w:rFonts w:hint="eastAsia" w:ascii="黑体" w:hAnsi="黑体" w:eastAsia="黑体"/>
          <w:b/>
          <w:sz w:val="28"/>
          <w:szCs w:val="28"/>
        </w:rPr>
        <w:t>供应商资格声明(格式)</w:t>
      </w:r>
    </w:p>
    <w:p w14:paraId="2E596D8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004F2E20">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rPr>
        <w:t>(项目名称)邀请公告的规定，我单位郑重声明如下：</w:t>
      </w:r>
    </w:p>
    <w:p w14:paraId="622610B5">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4FFC00F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二、我单位具有良好的商业信誉和健全的财务会计制度。</w:t>
      </w:r>
    </w:p>
    <w:p w14:paraId="49326447">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8ECD75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099E55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607941B">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23B9C30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六、我单位具备法律、行政法规规定的其他条件。</w:t>
      </w:r>
    </w:p>
    <w:p w14:paraId="2C42EBE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4359154A">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61039C79">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0047CCB3">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537D8DE7">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77E7C7BC">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hint="eastAsia" w:ascii="宋体" w:hAnsi="宋体"/>
          <w:szCs w:val="21"/>
        </w:rPr>
        <w:t>九、</w:t>
      </w:r>
      <w:r>
        <w:rPr>
          <w:rFonts w:ascii="宋体" w:hAnsi="宋体"/>
          <w:szCs w:val="21"/>
        </w:rPr>
        <w:t>我单位无以下不良信用记录情形：</w:t>
      </w:r>
    </w:p>
    <w:p w14:paraId="3A404AF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35B7713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0BDA3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47B029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35BE8DF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注：第</w:t>
      </w:r>
      <w:r>
        <w:rPr>
          <w:rFonts w:hint="eastAsia" w:ascii="宋体" w:hAnsi="宋体" w:cs="宋体"/>
          <w:szCs w:val="21"/>
          <w:lang w:eastAsia="zh-CN"/>
        </w:rPr>
        <w:t>二</w:t>
      </w:r>
      <w:r>
        <w:rPr>
          <w:rFonts w:hint="eastAsia" w:ascii="宋体" w:hAnsi="宋体" w:cs="宋体"/>
          <w:szCs w:val="21"/>
        </w:rPr>
        <w:t>条“良好的商业信誉”是指供应商经营状况良好，无本</w:t>
      </w:r>
      <w:r>
        <w:rPr>
          <w:rFonts w:hint="eastAsia" w:ascii="宋体" w:hAnsi="宋体" w:eastAsia="宋体"/>
          <w:szCs w:val="21"/>
        </w:rPr>
        <w:t>承诺函</w:t>
      </w:r>
      <w:r>
        <w:rPr>
          <w:rFonts w:hint="eastAsia" w:ascii="宋体" w:hAnsi="宋体" w:eastAsia="宋体" w:cs="宋体"/>
          <w:szCs w:val="21"/>
        </w:rPr>
        <w:t>第</w:t>
      </w:r>
      <w:r>
        <w:rPr>
          <w:rFonts w:hint="eastAsia" w:ascii="宋体" w:hAnsi="宋体" w:cs="宋体"/>
          <w:szCs w:val="21"/>
        </w:rPr>
        <w:t>九条情形。</w:t>
      </w:r>
    </w:p>
    <w:p w14:paraId="2C0F3C5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供应商名称（盖单位公章）：</w:t>
      </w:r>
    </w:p>
    <w:p w14:paraId="05BF3740">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FBBE06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D386C9">
      <w:pPr>
        <w:adjustRightInd w:val="0"/>
        <w:snapToGrid w:val="0"/>
        <w:spacing w:line="360" w:lineRule="auto"/>
        <w:jc w:val="center"/>
        <w:rPr>
          <w:rFonts w:hint="default" w:ascii="黑体" w:hAnsi="黑体" w:eastAsia="黑体"/>
          <w:b/>
          <w:color w:val="auto"/>
          <w:sz w:val="28"/>
          <w:szCs w:val="28"/>
        </w:rPr>
      </w:pPr>
      <w:r>
        <w:rPr>
          <w:rFonts w:hint="eastAsia" w:ascii="黑体" w:hAnsi="黑体" w:eastAsia="黑体"/>
          <w:b/>
          <w:color w:val="auto"/>
          <w:sz w:val="28"/>
          <w:szCs w:val="28"/>
          <w:lang w:eastAsia="zh-CN"/>
        </w:rPr>
        <w:br w:type="page"/>
      </w:r>
      <w:r>
        <w:rPr>
          <w:rFonts w:hint="eastAsia" w:ascii="黑体" w:hAnsi="黑体" w:eastAsia="黑体"/>
          <w:b/>
          <w:color w:val="auto"/>
          <w:sz w:val="28"/>
          <w:szCs w:val="28"/>
          <w:lang w:eastAsia="zh-CN"/>
        </w:rPr>
        <w:t>湖南</w:t>
      </w:r>
      <w:r>
        <w:rPr>
          <w:rFonts w:hint="eastAsia" w:ascii="黑体" w:hAnsi="黑体" w:eastAsia="黑体"/>
          <w:b/>
          <w:color w:val="auto"/>
          <w:sz w:val="28"/>
          <w:szCs w:val="28"/>
          <w:lang w:val="en-US" w:eastAsia="zh-CN"/>
        </w:rPr>
        <w:t>省政府采购供应商资格承诺函</w:t>
      </w:r>
      <w:r>
        <w:rPr>
          <w:rFonts w:hint="eastAsia" w:ascii="黑体" w:hAnsi="黑体" w:eastAsia="黑体"/>
          <w:b/>
          <w:color w:val="auto"/>
          <w:sz w:val="28"/>
          <w:szCs w:val="28"/>
        </w:rPr>
        <w:t>(格式)</w:t>
      </w:r>
    </w:p>
    <w:p w14:paraId="59BA873C">
      <w:pPr>
        <w:pStyle w:val="9"/>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DBD1934">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按照《政府采购促进中小企业发展管理办法》（财库〔2020〕46号），本公司企业规模为：大型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中型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小型</w:t>
      </w:r>
      <w:r>
        <w:rPr>
          <w:rFonts w:hint="eastAsia" w:ascii="宋体" w:hAnsi="宋体" w:eastAsia="宋体" w:cs="宋体"/>
          <w:color w:val="auto"/>
          <w:kern w:val="2"/>
          <w:sz w:val="24"/>
          <w:szCs w:val="24"/>
          <w:highlight w:val="none"/>
          <w:lang w:val="en-US" w:eastAsia="zh-CN" w:bidi="ar-SA"/>
        </w:rPr>
        <w:sym w:font="Wingdings" w:char="00A8"/>
      </w:r>
      <w:r>
        <w:rPr>
          <w:rFonts w:hint="eastAsia" w:ascii="宋体" w:hAnsi="宋体" w:eastAsia="宋体" w:cs="宋体"/>
          <w:color w:val="auto"/>
          <w:kern w:val="2"/>
          <w:sz w:val="24"/>
          <w:szCs w:val="24"/>
          <w:highlight w:val="none"/>
          <w:lang w:val="en-US" w:eastAsia="zh-CN" w:bidi="ar-SA"/>
        </w:rPr>
        <w:t> 微型</w:t>
      </w:r>
      <w:r>
        <w:rPr>
          <w:rFonts w:hint="eastAsia" w:ascii="宋体" w:hAnsi="宋体" w:eastAsia="宋体" w:cs="宋体"/>
          <w:color w:val="auto"/>
          <w:kern w:val="2"/>
          <w:sz w:val="24"/>
          <w:szCs w:val="24"/>
          <w:highlight w:val="none"/>
          <w:lang w:val="en-US" w:eastAsia="zh-CN" w:bidi="ar-SA"/>
        </w:rPr>
        <w:sym w:font="Wingdings" w:char="00A8"/>
      </w:r>
    </w:p>
    <w:p w14:paraId="343F7F33">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27951182">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35DE7089">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color w:val="auto"/>
          <w:kern w:val="2"/>
          <w:sz w:val="24"/>
          <w:szCs w:val="24"/>
          <w:highlight w:val="none"/>
          <w:lang w:val="en-US" w:eastAsia="zh-CN" w:bidi="ar-SA"/>
        </w:rPr>
      </w:pPr>
    </w:p>
    <w:p w14:paraId="4C3B7EEE">
      <w:pPr>
        <w:pStyle w:val="9"/>
        <w:keepNext w:val="0"/>
        <w:keepLines w:val="0"/>
        <w:widowControl/>
        <w:suppressLineNumbers w:val="0"/>
        <w:spacing w:before="0" w:beforeAutospacing="0" w:after="0" w:afterAutospacing="0" w:line="560" w:lineRule="atLeast"/>
        <w:ind w:right="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公司（单位）名称（盖章）</w:t>
      </w:r>
    </w:p>
    <w:p w14:paraId="5A3DC0A8">
      <w:pPr>
        <w:pStyle w:val="9"/>
        <w:keepNext w:val="0"/>
        <w:keepLines w:val="0"/>
        <w:widowControl/>
        <w:suppressLineNumbers w:val="0"/>
        <w:spacing w:before="0" w:beforeAutospacing="0" w:after="0" w:afterAutospacing="0" w:line="560" w:lineRule="atLeast"/>
        <w:ind w:left="0" w:right="0" w:firstLine="4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w:t>
      </w:r>
    </w:p>
    <w:p w14:paraId="3FFA87CE">
      <w:pPr>
        <w:pStyle w:val="9"/>
        <w:keepNext w:val="0"/>
        <w:keepLines w:val="0"/>
        <w:widowControl/>
        <w:suppressLineNumbers w:val="0"/>
        <w:spacing w:before="0" w:beforeAutospacing="0" w:after="0" w:afterAutospacing="0" w:line="560" w:lineRule="atLeast"/>
        <w:ind w:left="0" w:right="0" w:firstLine="4800"/>
        <w:jc w:val="righ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4"/>
          <w:szCs w:val="24"/>
          <w:highlight w:val="none"/>
          <w:lang w:val="en-US" w:eastAsia="zh-CN" w:bidi="ar-SA"/>
        </w:rPr>
        <w:t>   年   月   日</w:t>
      </w:r>
      <w:r>
        <w:rPr>
          <w:rFonts w:hint="eastAsia" w:ascii="宋体" w:hAnsi="宋体" w:eastAsia="宋体" w:cs="宋体"/>
          <w:color w:val="auto"/>
          <w:kern w:val="2"/>
          <w:sz w:val="21"/>
          <w:szCs w:val="21"/>
          <w:highlight w:val="none"/>
          <w:lang w:val="en-US" w:eastAsia="zh-CN" w:bidi="ar-SA"/>
        </w:rPr>
        <w:t>                 </w:t>
      </w:r>
    </w:p>
    <w:p w14:paraId="0D9FF4FE">
      <w:pPr>
        <w:pStyle w:val="9"/>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w:t>
      </w:r>
    </w:p>
    <w:p w14:paraId="4751E336">
      <w:pPr>
        <w:pStyle w:val="9"/>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机构代码</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、注册登记机构</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、日期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、有效期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、注册资本</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、地址</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、经济行业</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、经济性质</w:t>
      </w:r>
      <w:r>
        <w:rPr>
          <w:rFonts w:hint="eastAsia" w:ascii="宋体" w:hAnsi="宋体" w:eastAsia="宋体" w:cs="宋体"/>
          <w:color w:val="auto"/>
          <w:kern w:val="2"/>
          <w:sz w:val="21"/>
          <w:szCs w:val="21"/>
          <w:highlight w:val="none"/>
          <w:u w:val="single"/>
          <w:lang w:val="en-US" w:eastAsia="zh-CN" w:bidi="ar-SA"/>
        </w:rPr>
        <w:t xml:space="preserve">     </w:t>
      </w:r>
    </w:p>
    <w:p w14:paraId="6F151BD0">
      <w:pPr>
        <w:pStyle w:val="9"/>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法定代表人（负责人）姓名（签字）</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、手机号：</w:t>
      </w:r>
      <w:r>
        <w:rPr>
          <w:rFonts w:hint="eastAsia" w:ascii="宋体" w:hAnsi="宋体" w:eastAsia="宋体" w:cs="宋体"/>
          <w:color w:val="auto"/>
          <w:kern w:val="2"/>
          <w:sz w:val="21"/>
          <w:szCs w:val="21"/>
          <w:highlight w:val="none"/>
          <w:u w:val="single"/>
          <w:lang w:val="en-US" w:eastAsia="zh-CN" w:bidi="ar-SA"/>
        </w:rPr>
        <w:t xml:space="preserve">      </w:t>
      </w:r>
    </w:p>
    <w:p w14:paraId="43E16487">
      <w:pPr>
        <w:pStyle w:val="9"/>
        <w:keepNext w:val="0"/>
        <w:keepLines w:val="0"/>
        <w:widowControl/>
        <w:suppressLineNumbers w:val="0"/>
        <w:spacing w:before="0" w:beforeAutospacing="0" w:after="0" w:afterAutospacing="0" w:line="560" w:lineRule="atLeast"/>
        <w:ind w:left="0" w:right="0" w:firstLine="0"/>
        <w:jc w:val="both"/>
        <w:rPr>
          <w:rFonts w:hint="default"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授权代表人姓名（签字）</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、身份证号</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、手机号：</w:t>
      </w:r>
      <w:r>
        <w:rPr>
          <w:rFonts w:hint="eastAsia" w:ascii="宋体" w:hAnsi="宋体" w:eastAsia="宋体" w:cs="宋体"/>
          <w:color w:val="auto"/>
          <w:kern w:val="2"/>
          <w:sz w:val="21"/>
          <w:szCs w:val="21"/>
          <w:highlight w:val="none"/>
          <w:u w:val="single"/>
          <w:lang w:val="en-US" w:eastAsia="zh-CN" w:bidi="ar-SA"/>
        </w:rPr>
        <w:t xml:space="preserve">      </w:t>
      </w:r>
    </w:p>
    <w:p w14:paraId="3541E809">
      <w:pPr>
        <w:adjustRightInd w:val="0"/>
        <w:snapToGrid w:val="0"/>
        <w:spacing w:line="360" w:lineRule="auto"/>
        <w:ind w:firstLine="420" w:firstLineChars="200"/>
        <w:rPr>
          <w:rFonts w:hint="eastAsia" w:ascii="宋体" w:hAnsi="宋体" w:eastAsia="宋体" w:cs="宋体"/>
          <w:color w:val="auto"/>
          <w:szCs w:val="21"/>
          <w:highlight w:val="none"/>
        </w:rPr>
      </w:pPr>
    </w:p>
    <w:p w14:paraId="4E354A70"/>
    <w:p w14:paraId="4C56229F">
      <w:pPr>
        <w:rPr>
          <w:rFonts w:hint="eastAsia"/>
          <w:lang w:val="en-US" w:eastAsia="zh-CN"/>
        </w:rPr>
      </w:pPr>
    </w:p>
    <w:p w14:paraId="643DF497">
      <w:pPr>
        <w:rPr>
          <w:rFonts w:hint="eastAsia"/>
          <w:lang w:val="en-US" w:eastAsia="zh-CN"/>
        </w:rPr>
      </w:pPr>
    </w:p>
    <w:p w14:paraId="7A397CE5">
      <w:pPr>
        <w:rPr>
          <w:rFonts w:hint="eastAsia"/>
          <w:lang w:val="en-US" w:eastAsia="zh-CN"/>
        </w:rPr>
      </w:pPr>
    </w:p>
    <w:p w14:paraId="1E6D3084">
      <w:pPr>
        <w:rPr>
          <w:rFonts w:hint="eastAsia"/>
          <w:lang w:val="en-US" w:eastAsia="zh-CN"/>
        </w:rPr>
      </w:pPr>
    </w:p>
    <w:p w14:paraId="62BB67FD">
      <w:pPr>
        <w:rPr>
          <w:rFonts w:hint="eastAsia"/>
          <w:lang w:val="en-US" w:eastAsia="zh-CN"/>
        </w:rPr>
      </w:pPr>
    </w:p>
    <w:p w14:paraId="0C16D736">
      <w:pPr>
        <w:rPr>
          <w:rFonts w:hint="eastAsia"/>
          <w:lang w:val="en-US" w:eastAsia="zh-CN"/>
        </w:rPr>
      </w:pPr>
    </w:p>
    <w:p w14:paraId="0A00811D">
      <w:pPr>
        <w:rPr>
          <w:rFonts w:hint="eastAsia"/>
          <w:lang w:val="en-US" w:eastAsia="zh-CN"/>
        </w:rPr>
      </w:pPr>
    </w:p>
    <w:p w14:paraId="42FE9504">
      <w:pPr>
        <w:rPr>
          <w:rFonts w:hint="eastAsia"/>
          <w:lang w:val="en-US" w:eastAsia="zh-CN"/>
        </w:rPr>
      </w:pPr>
    </w:p>
    <w:p w14:paraId="2D802D3F">
      <w:pPr>
        <w:rPr>
          <w:rFonts w:hint="eastAsia"/>
          <w:lang w:val="en-US" w:eastAsia="zh-CN"/>
        </w:rPr>
      </w:pPr>
    </w:p>
    <w:p w14:paraId="3955DB3D">
      <w:pPr>
        <w:rPr>
          <w:rFonts w:hint="eastAsia"/>
          <w:lang w:val="en-US" w:eastAsia="zh-CN"/>
        </w:rPr>
      </w:pPr>
    </w:p>
    <w:p w14:paraId="7B1218E3">
      <w:pPr>
        <w:pStyle w:val="2"/>
        <w:rPr>
          <w:rFonts w:ascii="黑体" w:hAnsi="黑体" w:eastAsia="黑体"/>
          <w:sz w:val="32"/>
          <w:szCs w:val="32"/>
        </w:rPr>
      </w:pPr>
      <w:r>
        <w:rPr>
          <w:rFonts w:hint="eastAsia" w:ascii="黑体" w:hAnsi="黑体" w:eastAsia="黑体"/>
          <w:sz w:val="32"/>
          <w:szCs w:val="32"/>
        </w:rPr>
        <w:t>采购需求</w:t>
      </w:r>
    </w:p>
    <w:p w14:paraId="5B5CDB5C">
      <w:pPr>
        <w:pStyle w:val="3"/>
        <w:adjustRightInd w:val="0"/>
        <w:snapToGrid w:val="0"/>
        <w:spacing w:before="156" w:beforeLines="50"/>
        <w:jc w:val="center"/>
        <w:rPr>
          <w:rFonts w:ascii="黑体" w:hAnsi="黑体" w:eastAsia="黑体"/>
          <w:sz w:val="24"/>
          <w:szCs w:val="24"/>
        </w:rPr>
      </w:pPr>
      <w:bookmarkStart w:id="6" w:name="_Toc34637774"/>
      <w:bookmarkStart w:id="7" w:name="OLE_LINK8"/>
      <w:r>
        <w:rPr>
          <w:rFonts w:hint="eastAsia" w:ascii="黑体" w:hAnsi="黑体" w:eastAsia="黑体"/>
          <w:sz w:val="24"/>
          <w:szCs w:val="24"/>
        </w:rPr>
        <w:t>第一节 采购清单一览表</w:t>
      </w:r>
      <w:bookmarkEnd w:id="6"/>
    </w:p>
    <w:tbl>
      <w:tblPr>
        <w:tblStyle w:val="11"/>
        <w:tblW w:w="957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35"/>
        <w:gridCol w:w="1761"/>
        <w:gridCol w:w="2675"/>
        <w:gridCol w:w="1249"/>
        <w:gridCol w:w="1059"/>
        <w:gridCol w:w="1062"/>
        <w:gridCol w:w="1237"/>
      </w:tblGrid>
      <w:tr w14:paraId="49CCF3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535" w:type="dxa"/>
            <w:vMerge w:val="restart"/>
            <w:vAlign w:val="center"/>
          </w:tcPr>
          <w:p w14:paraId="7311A163">
            <w:pPr>
              <w:adjustRightInd w:val="0"/>
              <w:snapToGrid w:val="0"/>
              <w:spacing w:line="360" w:lineRule="auto"/>
              <w:jc w:val="center"/>
              <w:rPr>
                <w:sz w:val="22"/>
                <w:szCs w:val="22"/>
              </w:rPr>
            </w:pPr>
            <w:r>
              <w:rPr>
                <w:rFonts w:hint="eastAsia"/>
                <w:sz w:val="22"/>
                <w:szCs w:val="22"/>
              </w:rPr>
              <w:t xml:space="preserve">序号 </w:t>
            </w:r>
          </w:p>
        </w:tc>
        <w:tc>
          <w:tcPr>
            <w:tcW w:w="1761" w:type="dxa"/>
            <w:vMerge w:val="restart"/>
            <w:vAlign w:val="center"/>
          </w:tcPr>
          <w:p w14:paraId="318EECFD">
            <w:pPr>
              <w:adjustRightInd w:val="0"/>
              <w:snapToGrid w:val="0"/>
              <w:spacing w:line="360" w:lineRule="auto"/>
              <w:jc w:val="center"/>
              <w:rPr>
                <w:sz w:val="22"/>
                <w:szCs w:val="22"/>
              </w:rPr>
            </w:pPr>
            <w:r>
              <w:rPr>
                <w:rFonts w:hint="eastAsia"/>
                <w:sz w:val="22"/>
                <w:szCs w:val="22"/>
              </w:rPr>
              <w:t>包名称</w:t>
            </w:r>
          </w:p>
        </w:tc>
        <w:tc>
          <w:tcPr>
            <w:tcW w:w="2675" w:type="dxa"/>
            <w:vMerge w:val="restart"/>
            <w:vAlign w:val="center"/>
          </w:tcPr>
          <w:p w14:paraId="1CB9454A">
            <w:pPr>
              <w:adjustRightInd w:val="0"/>
              <w:snapToGrid w:val="0"/>
              <w:spacing w:line="360" w:lineRule="auto"/>
              <w:jc w:val="center"/>
              <w:rPr>
                <w:sz w:val="22"/>
                <w:szCs w:val="22"/>
              </w:rPr>
            </w:pPr>
            <w:r>
              <w:rPr>
                <w:rFonts w:hint="eastAsia"/>
                <w:sz w:val="22"/>
                <w:szCs w:val="22"/>
              </w:rPr>
              <w:t>分项项目名称</w:t>
            </w:r>
          </w:p>
          <w:p w14:paraId="65634346">
            <w:pPr>
              <w:adjustRightInd w:val="0"/>
              <w:snapToGrid w:val="0"/>
              <w:spacing w:line="360" w:lineRule="auto"/>
              <w:jc w:val="center"/>
              <w:rPr>
                <w:sz w:val="22"/>
                <w:szCs w:val="22"/>
              </w:rPr>
            </w:pPr>
            <w:r>
              <w:rPr>
                <w:rFonts w:hint="eastAsia"/>
                <w:sz w:val="22"/>
                <w:szCs w:val="22"/>
              </w:rPr>
              <w:t>（条目号/品目名称）</w:t>
            </w:r>
          </w:p>
        </w:tc>
        <w:tc>
          <w:tcPr>
            <w:tcW w:w="1249" w:type="dxa"/>
            <w:vMerge w:val="restart"/>
            <w:vAlign w:val="center"/>
          </w:tcPr>
          <w:p w14:paraId="4066B102">
            <w:pPr>
              <w:adjustRightInd w:val="0"/>
              <w:snapToGrid w:val="0"/>
              <w:spacing w:line="360" w:lineRule="auto"/>
              <w:jc w:val="center"/>
              <w:rPr>
                <w:sz w:val="22"/>
                <w:szCs w:val="22"/>
              </w:rPr>
            </w:pPr>
            <w:r>
              <w:rPr>
                <w:rFonts w:hint="eastAsia"/>
                <w:sz w:val="22"/>
                <w:szCs w:val="22"/>
              </w:rPr>
              <w:t>数量（台套）</w:t>
            </w:r>
          </w:p>
        </w:tc>
        <w:tc>
          <w:tcPr>
            <w:tcW w:w="2121" w:type="dxa"/>
            <w:gridSpan w:val="2"/>
            <w:vAlign w:val="center"/>
          </w:tcPr>
          <w:p w14:paraId="6D6E0089">
            <w:pPr>
              <w:adjustRightInd w:val="0"/>
              <w:snapToGrid w:val="0"/>
              <w:spacing w:line="360" w:lineRule="auto"/>
              <w:jc w:val="center"/>
              <w:rPr>
                <w:sz w:val="22"/>
                <w:szCs w:val="22"/>
              </w:rPr>
            </w:pPr>
            <w:r>
              <w:rPr>
                <w:rFonts w:hint="eastAsia"/>
                <w:sz w:val="22"/>
                <w:szCs w:val="22"/>
              </w:rPr>
              <w:t>交货要求</w:t>
            </w:r>
          </w:p>
        </w:tc>
        <w:tc>
          <w:tcPr>
            <w:tcW w:w="1237" w:type="dxa"/>
            <w:vMerge w:val="restart"/>
            <w:vAlign w:val="center"/>
          </w:tcPr>
          <w:p w14:paraId="4DDA85E8">
            <w:pPr>
              <w:adjustRightInd w:val="0"/>
              <w:snapToGrid w:val="0"/>
              <w:spacing w:line="360" w:lineRule="auto"/>
              <w:jc w:val="center"/>
              <w:rPr>
                <w:sz w:val="22"/>
                <w:szCs w:val="22"/>
              </w:rPr>
            </w:pPr>
            <w:r>
              <w:rPr>
                <w:rFonts w:hint="eastAsia"/>
                <w:sz w:val="22"/>
                <w:szCs w:val="22"/>
              </w:rPr>
              <w:t>备注</w:t>
            </w:r>
          </w:p>
        </w:tc>
      </w:tr>
      <w:tr w14:paraId="197F9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3" w:hRule="atLeast"/>
        </w:trPr>
        <w:tc>
          <w:tcPr>
            <w:tcW w:w="535" w:type="dxa"/>
            <w:vMerge w:val="continue"/>
            <w:vAlign w:val="center"/>
          </w:tcPr>
          <w:p w14:paraId="29733E9E">
            <w:pPr>
              <w:adjustRightInd w:val="0"/>
              <w:snapToGrid w:val="0"/>
              <w:spacing w:before="156" w:beforeLines="50" w:line="360" w:lineRule="auto"/>
              <w:jc w:val="center"/>
              <w:rPr>
                <w:sz w:val="22"/>
                <w:szCs w:val="22"/>
              </w:rPr>
            </w:pPr>
          </w:p>
        </w:tc>
        <w:tc>
          <w:tcPr>
            <w:tcW w:w="1761" w:type="dxa"/>
            <w:vMerge w:val="continue"/>
            <w:vAlign w:val="center"/>
          </w:tcPr>
          <w:p w14:paraId="46CF6A7E">
            <w:pPr>
              <w:adjustRightInd w:val="0"/>
              <w:snapToGrid w:val="0"/>
              <w:spacing w:before="156" w:beforeLines="50" w:line="360" w:lineRule="auto"/>
              <w:jc w:val="center"/>
              <w:rPr>
                <w:sz w:val="22"/>
                <w:szCs w:val="22"/>
              </w:rPr>
            </w:pPr>
          </w:p>
        </w:tc>
        <w:tc>
          <w:tcPr>
            <w:tcW w:w="2675" w:type="dxa"/>
            <w:vMerge w:val="continue"/>
            <w:vAlign w:val="center"/>
          </w:tcPr>
          <w:p w14:paraId="4F998163">
            <w:pPr>
              <w:adjustRightInd w:val="0"/>
              <w:snapToGrid w:val="0"/>
              <w:spacing w:before="156" w:beforeLines="50" w:line="360" w:lineRule="auto"/>
              <w:jc w:val="center"/>
              <w:rPr>
                <w:sz w:val="22"/>
                <w:szCs w:val="22"/>
              </w:rPr>
            </w:pPr>
          </w:p>
        </w:tc>
        <w:tc>
          <w:tcPr>
            <w:tcW w:w="1249" w:type="dxa"/>
            <w:vMerge w:val="continue"/>
            <w:vAlign w:val="center"/>
          </w:tcPr>
          <w:p w14:paraId="25ADC925">
            <w:pPr>
              <w:adjustRightInd w:val="0"/>
              <w:snapToGrid w:val="0"/>
              <w:spacing w:before="156" w:beforeLines="50" w:line="360" w:lineRule="auto"/>
              <w:jc w:val="center"/>
              <w:rPr>
                <w:sz w:val="22"/>
                <w:szCs w:val="22"/>
              </w:rPr>
            </w:pPr>
          </w:p>
        </w:tc>
        <w:tc>
          <w:tcPr>
            <w:tcW w:w="1059" w:type="dxa"/>
            <w:vAlign w:val="center"/>
          </w:tcPr>
          <w:p w14:paraId="2D07E550">
            <w:pPr>
              <w:adjustRightInd w:val="0"/>
              <w:snapToGrid w:val="0"/>
              <w:spacing w:before="156" w:beforeLines="50" w:line="360" w:lineRule="auto"/>
              <w:jc w:val="center"/>
              <w:rPr>
                <w:sz w:val="22"/>
                <w:szCs w:val="22"/>
              </w:rPr>
            </w:pPr>
            <w:r>
              <w:rPr>
                <w:rFonts w:hint="eastAsia"/>
                <w:sz w:val="22"/>
                <w:szCs w:val="22"/>
              </w:rPr>
              <w:t>时间</w:t>
            </w:r>
          </w:p>
        </w:tc>
        <w:tc>
          <w:tcPr>
            <w:tcW w:w="1062" w:type="dxa"/>
            <w:vAlign w:val="center"/>
          </w:tcPr>
          <w:p w14:paraId="60F5EBCF">
            <w:pPr>
              <w:adjustRightInd w:val="0"/>
              <w:snapToGrid w:val="0"/>
              <w:spacing w:before="156" w:beforeLines="50" w:line="360" w:lineRule="auto"/>
              <w:jc w:val="center"/>
              <w:rPr>
                <w:sz w:val="22"/>
                <w:szCs w:val="22"/>
              </w:rPr>
            </w:pPr>
            <w:r>
              <w:rPr>
                <w:rFonts w:hint="eastAsia"/>
                <w:sz w:val="22"/>
                <w:szCs w:val="22"/>
              </w:rPr>
              <w:t>地点</w:t>
            </w:r>
          </w:p>
        </w:tc>
        <w:tc>
          <w:tcPr>
            <w:tcW w:w="1237" w:type="dxa"/>
            <w:vMerge w:val="continue"/>
          </w:tcPr>
          <w:p w14:paraId="7D0FE2A8">
            <w:pPr>
              <w:adjustRightInd w:val="0"/>
              <w:snapToGrid w:val="0"/>
              <w:spacing w:before="156" w:beforeLines="50" w:line="360" w:lineRule="auto"/>
              <w:rPr>
                <w:sz w:val="22"/>
                <w:szCs w:val="22"/>
              </w:rPr>
            </w:pPr>
          </w:p>
        </w:tc>
      </w:tr>
      <w:tr w14:paraId="5F27EE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16" w:hRule="atLeast"/>
        </w:trPr>
        <w:tc>
          <w:tcPr>
            <w:tcW w:w="535" w:type="dxa"/>
            <w:vAlign w:val="center"/>
          </w:tcPr>
          <w:p w14:paraId="00458100">
            <w:pPr>
              <w:adjustRightInd w:val="0"/>
              <w:snapToGrid w:val="0"/>
              <w:spacing w:before="156" w:beforeLines="50" w:line="360" w:lineRule="auto"/>
              <w:jc w:val="center"/>
              <w:rPr>
                <w:sz w:val="22"/>
                <w:szCs w:val="22"/>
              </w:rPr>
            </w:pPr>
            <w:r>
              <w:rPr>
                <w:rFonts w:hint="eastAsia" w:ascii="Times New Roman" w:hAnsi="Times New Roman" w:eastAsia="宋体" w:cs="Times New Roman"/>
                <w:sz w:val="22"/>
                <w:szCs w:val="22"/>
                <w:lang w:val="en-US" w:eastAsia="zh-CN"/>
              </w:rPr>
              <w:t>1</w:t>
            </w:r>
          </w:p>
        </w:tc>
        <w:tc>
          <w:tcPr>
            <w:tcW w:w="1761" w:type="dxa"/>
            <w:vAlign w:val="center"/>
          </w:tcPr>
          <w:p w14:paraId="1E871104">
            <w:pPr>
              <w:adjustRightInd w:val="0"/>
              <w:snapToGrid w:val="0"/>
              <w:spacing w:before="156" w:beforeLines="50" w:line="360" w:lineRule="auto"/>
              <w:jc w:val="center"/>
              <w:rPr>
                <w:sz w:val="22"/>
                <w:szCs w:val="22"/>
              </w:rPr>
            </w:pPr>
            <w:r>
              <w:rPr>
                <w:rFonts w:hint="eastAsia" w:cs="Times New Roman"/>
                <w:color w:val="auto"/>
                <w:sz w:val="22"/>
                <w:szCs w:val="22"/>
                <w:highlight w:val="none"/>
                <w:lang w:val="en-US" w:eastAsia="zh-CN"/>
              </w:rPr>
              <w:t>湖南醴陵经济开发区管理委员会职工食堂食材供应采购项目</w:t>
            </w:r>
          </w:p>
        </w:tc>
        <w:tc>
          <w:tcPr>
            <w:tcW w:w="2675" w:type="dxa"/>
            <w:vAlign w:val="center"/>
          </w:tcPr>
          <w:p w14:paraId="05EA0695">
            <w:pPr>
              <w:adjustRightInd w:val="0"/>
              <w:snapToGrid w:val="0"/>
              <w:spacing w:before="156" w:beforeLines="50" w:line="360" w:lineRule="auto"/>
              <w:jc w:val="center"/>
              <w:rPr>
                <w:rFonts w:hint="default" w:ascii="Times New Roman" w:hAnsi="Times New Roman" w:eastAsia="宋体" w:cs="Times New Roman"/>
                <w:color w:val="auto"/>
                <w:sz w:val="22"/>
                <w:szCs w:val="22"/>
                <w:highlight w:val="none"/>
                <w:lang w:val="en-US" w:eastAsia="zh-CN"/>
              </w:rPr>
            </w:pPr>
            <w:bookmarkStart w:id="8" w:name="OLE_LINK5"/>
            <w:r>
              <w:rPr>
                <w:rFonts w:hint="eastAsia" w:cs="Times New Roman"/>
                <w:color w:val="auto"/>
                <w:sz w:val="22"/>
                <w:szCs w:val="22"/>
                <w:highlight w:val="none"/>
                <w:lang w:val="en-US" w:eastAsia="zh-CN"/>
              </w:rPr>
              <w:t>湖南醴陵经济开发区管理委员会职工食堂食材供应采购</w:t>
            </w:r>
            <w:bookmarkEnd w:id="8"/>
            <w:r>
              <w:rPr>
                <w:rFonts w:hint="eastAsia" w:cs="Times New Roman"/>
                <w:color w:val="auto"/>
                <w:sz w:val="22"/>
                <w:szCs w:val="22"/>
                <w:highlight w:val="none"/>
                <w:lang w:val="en-US" w:eastAsia="zh-CN"/>
              </w:rPr>
              <w:t>项目</w:t>
            </w:r>
          </w:p>
        </w:tc>
        <w:tc>
          <w:tcPr>
            <w:tcW w:w="1249" w:type="dxa"/>
            <w:vAlign w:val="center"/>
          </w:tcPr>
          <w:p w14:paraId="232F4B3F">
            <w:pPr>
              <w:adjustRightInd w:val="0"/>
              <w:snapToGrid w:val="0"/>
              <w:spacing w:before="156" w:beforeLines="50" w:line="360" w:lineRule="auto"/>
              <w:jc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 xml:space="preserve">二年 </w:t>
            </w:r>
          </w:p>
        </w:tc>
        <w:tc>
          <w:tcPr>
            <w:tcW w:w="1059" w:type="dxa"/>
            <w:vAlign w:val="center"/>
          </w:tcPr>
          <w:p w14:paraId="556C6481">
            <w:pPr>
              <w:adjustRightInd w:val="0"/>
              <w:snapToGrid w:val="0"/>
              <w:spacing w:before="156" w:beforeLines="50" w:line="360" w:lineRule="auto"/>
              <w:jc w:val="center"/>
              <w:rPr>
                <w:rFonts w:ascii="Times New Roman" w:hAnsi="Times New Roman" w:eastAsia="宋体" w:cs="Times New Roman"/>
                <w:kern w:val="2"/>
                <w:sz w:val="22"/>
                <w:szCs w:val="22"/>
                <w:lang w:val="en-US" w:eastAsia="zh-CN" w:bidi="ar-SA"/>
              </w:rPr>
            </w:pPr>
            <w:r>
              <w:rPr>
                <w:rFonts w:hint="default" w:eastAsia="宋体"/>
                <w:color w:val="auto"/>
                <w:sz w:val="22"/>
                <w:szCs w:val="22"/>
                <w:highlight w:val="none"/>
                <w:lang w:val="en-US" w:eastAsia="zh-CN"/>
              </w:rPr>
              <w:t>采购人指定时间</w:t>
            </w:r>
          </w:p>
        </w:tc>
        <w:tc>
          <w:tcPr>
            <w:tcW w:w="1062" w:type="dxa"/>
            <w:vAlign w:val="center"/>
          </w:tcPr>
          <w:p w14:paraId="35EDC612">
            <w:pPr>
              <w:adjustRightInd w:val="0"/>
              <w:snapToGrid w:val="0"/>
              <w:spacing w:before="156" w:beforeLines="50" w:line="360" w:lineRule="auto"/>
              <w:jc w:val="center"/>
              <w:rPr>
                <w:rFonts w:ascii="Times New Roman" w:hAnsi="Times New Roman" w:eastAsia="宋体" w:cs="Times New Roman"/>
                <w:kern w:val="2"/>
                <w:sz w:val="22"/>
                <w:szCs w:val="22"/>
                <w:lang w:val="en-US" w:eastAsia="zh-CN" w:bidi="ar-SA"/>
              </w:rPr>
            </w:pPr>
            <w:r>
              <w:rPr>
                <w:rFonts w:hint="eastAsia"/>
                <w:color w:val="auto"/>
                <w:sz w:val="22"/>
                <w:szCs w:val="22"/>
                <w:highlight w:val="none"/>
                <w:lang w:eastAsia="zh-CN"/>
              </w:rPr>
              <w:t>采购人指定地点</w:t>
            </w:r>
          </w:p>
        </w:tc>
        <w:tc>
          <w:tcPr>
            <w:tcW w:w="1237" w:type="dxa"/>
          </w:tcPr>
          <w:p w14:paraId="72C6B5BA">
            <w:pPr>
              <w:adjustRightInd w:val="0"/>
              <w:snapToGrid w:val="0"/>
              <w:spacing w:before="156" w:beforeLines="50" w:line="360" w:lineRule="auto"/>
              <w:rPr>
                <w:sz w:val="22"/>
                <w:szCs w:val="22"/>
              </w:rPr>
            </w:pPr>
          </w:p>
        </w:tc>
      </w:tr>
    </w:tbl>
    <w:p w14:paraId="63068FF9">
      <w:pPr>
        <w:adjustRightInd w:val="0"/>
        <w:snapToGrid w:val="0"/>
        <w:spacing w:before="156" w:beforeLines="50" w:line="360" w:lineRule="auto"/>
        <w:rPr>
          <w:rFonts w:ascii="宋体" w:hAnsi="宋体"/>
          <w:sz w:val="22"/>
          <w:szCs w:val="22"/>
        </w:rPr>
      </w:pPr>
      <w:r>
        <w:rPr>
          <w:rFonts w:hint="eastAsia" w:ascii="宋体" w:hAnsi="宋体"/>
          <w:sz w:val="22"/>
          <w:szCs w:val="22"/>
        </w:rPr>
        <w:t>注：1、“包”为最小合同单位。每“包”内容应细化到“品目”（如果分品目的）。</w:t>
      </w:r>
    </w:p>
    <w:p w14:paraId="4D9B41EF">
      <w:pPr>
        <w:adjustRightInd w:val="0"/>
        <w:snapToGrid w:val="0"/>
        <w:spacing w:before="156" w:beforeLines="50" w:line="360" w:lineRule="auto"/>
        <w:ind w:firstLine="440" w:firstLineChars="200"/>
        <w:rPr>
          <w:rFonts w:ascii="宋体" w:hAnsi="宋体" w:cs="宋体"/>
          <w:color w:val="000000"/>
          <w:kern w:val="0"/>
          <w:sz w:val="22"/>
          <w:szCs w:val="22"/>
        </w:rPr>
      </w:pPr>
      <w:r>
        <w:rPr>
          <w:rFonts w:hint="eastAsia" w:ascii="宋体" w:hAnsi="宋体"/>
          <w:sz w:val="22"/>
          <w:szCs w:val="22"/>
        </w:rPr>
        <w:t>2、货物的主要技术参数或规格：</w:t>
      </w:r>
      <w:r>
        <w:rPr>
          <w:rFonts w:ascii="宋体" w:hAnsi="宋体" w:cs="宋体"/>
          <w:color w:val="000000"/>
          <w:kern w:val="0"/>
          <w:sz w:val="22"/>
          <w:szCs w:val="22"/>
        </w:rPr>
        <w:t>详见“技术要求”中的具体技术参数</w:t>
      </w:r>
      <w:r>
        <w:rPr>
          <w:rFonts w:hint="eastAsia" w:ascii="宋体" w:hAnsi="宋体" w:cs="宋体"/>
          <w:color w:val="000000"/>
          <w:kern w:val="0"/>
          <w:sz w:val="22"/>
          <w:szCs w:val="22"/>
        </w:rPr>
        <w:t>。</w:t>
      </w:r>
    </w:p>
    <w:p w14:paraId="37590A27">
      <w:pPr>
        <w:adjustRightInd w:val="0"/>
        <w:snapToGrid w:val="0"/>
        <w:spacing w:before="156" w:beforeLines="50" w:line="360" w:lineRule="auto"/>
        <w:ind w:firstLine="440" w:firstLineChars="200"/>
        <w:rPr>
          <w:rFonts w:ascii="宋体" w:hAnsi="宋体" w:cs="宋体"/>
          <w:kern w:val="0"/>
          <w:sz w:val="22"/>
          <w:szCs w:val="22"/>
        </w:rPr>
      </w:pPr>
      <w:r>
        <w:rPr>
          <w:rFonts w:hint="eastAsia" w:ascii="宋体" w:hAnsi="宋体" w:cs="宋体"/>
          <w:bCs/>
          <w:kern w:val="0"/>
          <w:sz w:val="22"/>
          <w:szCs w:val="22"/>
        </w:rPr>
        <w:t>3、供应商应</w:t>
      </w:r>
      <w:r>
        <w:rPr>
          <w:rFonts w:hint="eastAsia" w:ascii="宋体" w:hAnsi="宋体" w:cs="宋体"/>
          <w:kern w:val="0"/>
          <w:sz w:val="22"/>
          <w:szCs w:val="22"/>
        </w:rPr>
        <w:t>在响应文件</w:t>
      </w:r>
      <w:r>
        <w:rPr>
          <w:rFonts w:hint="eastAsia" w:ascii="华文中宋" w:hAnsi="华文中宋" w:eastAsia="华文中宋" w:cs="宋体"/>
          <w:kern w:val="0"/>
          <w:sz w:val="22"/>
          <w:szCs w:val="22"/>
        </w:rPr>
        <w:t>“</w:t>
      </w:r>
      <w:r>
        <w:rPr>
          <w:rFonts w:hint="eastAsia" w:ascii="宋体" w:hAnsi="宋体" w:cs="宋体"/>
          <w:kern w:val="0"/>
          <w:sz w:val="22"/>
          <w:szCs w:val="22"/>
        </w:rPr>
        <w:t>分项报价明细表</w:t>
      </w:r>
      <w:r>
        <w:rPr>
          <w:rFonts w:hint="eastAsia" w:ascii="华文中宋" w:hAnsi="华文中宋" w:eastAsia="华文中宋" w:cs="宋体"/>
          <w:kern w:val="0"/>
          <w:sz w:val="22"/>
          <w:szCs w:val="22"/>
        </w:rPr>
        <w:t>”</w:t>
      </w:r>
      <w:r>
        <w:rPr>
          <w:rFonts w:hint="eastAsia" w:ascii="宋体" w:hAnsi="宋体" w:cs="宋体"/>
          <w:kern w:val="0"/>
          <w:sz w:val="22"/>
          <w:szCs w:val="22"/>
        </w:rPr>
        <w:t>中按</w:t>
      </w:r>
      <w:r>
        <w:rPr>
          <w:rFonts w:hint="eastAsia" w:ascii="宋体" w:hAnsi="宋体"/>
          <w:color w:val="000000"/>
          <w:sz w:val="22"/>
          <w:szCs w:val="22"/>
        </w:rPr>
        <w:t>分项项目名称（包括</w:t>
      </w:r>
      <w:r>
        <w:rPr>
          <w:rFonts w:hint="eastAsia" w:ascii="宋体" w:hAnsi="宋体" w:cs="宋体"/>
          <w:kern w:val="0"/>
          <w:sz w:val="22"/>
          <w:szCs w:val="22"/>
        </w:rPr>
        <w:t>条目号/品目名称）顺序逐项填写，且每个品目中的条目均需按谈判文件规定报价。如有缺项、漏项，其</w:t>
      </w:r>
      <w:r>
        <w:rPr>
          <w:rFonts w:hint="eastAsia" w:ascii="宋体" w:hAnsi="宋体" w:cs="宋体"/>
          <w:b/>
          <w:kern w:val="0"/>
          <w:sz w:val="22"/>
          <w:szCs w:val="22"/>
        </w:rPr>
        <w:t>响应无效</w:t>
      </w:r>
      <w:r>
        <w:rPr>
          <w:rFonts w:hint="eastAsia" w:ascii="宋体" w:hAnsi="宋体" w:cs="宋体"/>
          <w:kern w:val="0"/>
          <w:sz w:val="22"/>
          <w:szCs w:val="22"/>
        </w:rPr>
        <w:t>。</w:t>
      </w:r>
    </w:p>
    <w:p w14:paraId="04DD3473">
      <w:pPr>
        <w:pStyle w:val="3"/>
        <w:adjustRightInd w:val="0"/>
        <w:snapToGrid w:val="0"/>
        <w:spacing w:before="156" w:beforeLines="50"/>
        <w:jc w:val="center"/>
        <w:rPr>
          <w:rFonts w:ascii="黑体" w:hAnsi="黑体" w:eastAsia="黑体"/>
          <w:sz w:val="24"/>
          <w:szCs w:val="24"/>
        </w:rPr>
      </w:pPr>
      <w:bookmarkStart w:id="9" w:name="_Toc34637775"/>
      <w:r>
        <w:rPr>
          <w:rFonts w:hint="eastAsia" w:ascii="黑体" w:hAnsi="黑体" w:eastAsia="黑体"/>
          <w:sz w:val="24"/>
          <w:szCs w:val="24"/>
        </w:rPr>
        <w:t xml:space="preserve">第二节 </w:t>
      </w:r>
      <w:r>
        <w:rPr>
          <w:rFonts w:ascii="黑体" w:hAnsi="黑体" w:eastAsia="黑体"/>
          <w:sz w:val="24"/>
          <w:szCs w:val="24"/>
        </w:rPr>
        <w:t>技术要求</w:t>
      </w:r>
      <w:bookmarkEnd w:id="9"/>
    </w:p>
    <w:p w14:paraId="13BC1CED">
      <w:pPr>
        <w:adjustRightInd w:val="0"/>
        <w:snapToGrid w:val="0"/>
        <w:spacing w:before="156" w:beforeLines="50" w:line="360" w:lineRule="auto"/>
        <w:rPr>
          <w:rFonts w:hint="eastAsia" w:ascii="宋体" w:hAnsi="宋体" w:cs="宋体"/>
          <w:kern w:val="0"/>
          <w:sz w:val="22"/>
          <w:szCs w:val="22"/>
        </w:rPr>
      </w:pPr>
      <w:bookmarkStart w:id="10" w:name="OLE_LINK3"/>
      <w:r>
        <w:rPr>
          <w:rFonts w:hint="eastAsia" w:ascii="宋体" w:hAnsi="宋体" w:cs="宋体"/>
          <w:b/>
          <w:bCs/>
          <w:kern w:val="0"/>
          <w:sz w:val="22"/>
          <w:szCs w:val="22"/>
        </w:rPr>
        <w:t>一、采购项目名称：</w:t>
      </w:r>
      <w:bookmarkStart w:id="11" w:name="OLE_LINK4"/>
      <w:bookmarkStart w:id="12" w:name="OLE_LINK7"/>
      <w:r>
        <w:rPr>
          <w:rFonts w:hint="eastAsia" w:ascii="宋体" w:hAnsi="宋体" w:cs="宋体"/>
          <w:kern w:val="0"/>
          <w:sz w:val="22"/>
          <w:szCs w:val="22"/>
          <w:lang w:val="en-US" w:eastAsia="zh-CN"/>
        </w:rPr>
        <w:t>湖南醴陵经济开发区管理委员会</w:t>
      </w:r>
      <w:bookmarkEnd w:id="11"/>
      <w:r>
        <w:rPr>
          <w:rFonts w:hint="eastAsia" w:ascii="宋体" w:hAnsi="宋体" w:cs="宋体"/>
          <w:kern w:val="0"/>
          <w:sz w:val="22"/>
          <w:szCs w:val="22"/>
          <w:lang w:val="en-US" w:eastAsia="zh-CN"/>
        </w:rPr>
        <w:t>职工食堂食材供应采购项目</w:t>
      </w:r>
      <w:bookmarkEnd w:id="12"/>
    </w:p>
    <w:p w14:paraId="64171885">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sz w:val="22"/>
          <w:szCs w:val="22"/>
        </w:rPr>
      </w:pPr>
      <w:r>
        <w:rPr>
          <w:rFonts w:hint="eastAsia" w:ascii="宋体" w:hAnsi="宋体" w:cs="宋体"/>
          <w:kern w:val="0"/>
          <w:sz w:val="22"/>
          <w:szCs w:val="22"/>
        </w:rPr>
        <w:t>采购预算</w:t>
      </w:r>
      <w:r>
        <w:rPr>
          <w:rFonts w:hint="eastAsia" w:ascii="宋体" w:hAnsi="宋体" w:cs="宋体"/>
          <w:kern w:val="0"/>
          <w:sz w:val="22"/>
          <w:szCs w:val="22"/>
          <w:lang w:eastAsia="zh-CN"/>
        </w:rPr>
        <w:t>：</w:t>
      </w:r>
      <w:r>
        <w:rPr>
          <w:rFonts w:hint="eastAsia" w:ascii="宋体" w:hAnsi="宋体" w:cs="宋体"/>
          <w:kern w:val="0"/>
          <w:sz w:val="22"/>
          <w:szCs w:val="22"/>
          <w:lang w:val="en-US" w:eastAsia="zh-CN"/>
        </w:rPr>
        <w:t>1800000</w:t>
      </w:r>
      <w:r>
        <w:rPr>
          <w:rFonts w:hint="eastAsia" w:ascii="宋体" w:hAnsi="宋体" w:cs="宋体"/>
          <w:kern w:val="0"/>
          <w:sz w:val="22"/>
          <w:szCs w:val="22"/>
          <w:lang w:eastAsia="zh-CN"/>
        </w:rPr>
        <w:t>元（</w:t>
      </w:r>
      <w:r>
        <w:rPr>
          <w:rFonts w:hint="eastAsia" w:ascii="宋体" w:hAnsi="宋体" w:eastAsia="宋体" w:cs="宋体"/>
          <w:b/>
          <w:bCs/>
          <w:sz w:val="22"/>
          <w:szCs w:val="22"/>
          <w:lang w:val="en-US" w:eastAsia="zh-CN"/>
        </w:rPr>
        <w:t>结算金额根据按实际供货数量结算）</w:t>
      </w:r>
    </w:p>
    <w:p w14:paraId="64602F0D">
      <w:pPr>
        <w:pStyle w:val="13"/>
        <w:widowControl w:val="0"/>
        <w:numPr>
          <w:ilvl w:val="0"/>
          <w:numId w:val="0"/>
        </w:numPr>
        <w:autoSpaceDE w:val="0"/>
        <w:autoSpaceDN w:val="0"/>
        <w:adjustRightInd w:val="0"/>
        <w:rPr>
          <w:rFonts w:hint="eastAsia"/>
          <w:sz w:val="22"/>
          <w:szCs w:val="22"/>
        </w:rPr>
      </w:pPr>
    </w:p>
    <w:p w14:paraId="0451277A">
      <w:pPr>
        <w:spacing w:line="360" w:lineRule="auto"/>
        <w:rPr>
          <w:rFonts w:ascii="宋体" w:hAnsi="宋体"/>
          <w:b/>
          <w:sz w:val="22"/>
          <w:szCs w:val="22"/>
        </w:rPr>
      </w:pPr>
      <w:r>
        <w:rPr>
          <w:rFonts w:hint="eastAsia" w:ascii="宋体" w:hAnsi="宋体"/>
          <w:color w:val="000000"/>
          <w:sz w:val="22"/>
          <w:szCs w:val="22"/>
        </w:rPr>
        <w:t>二、</w:t>
      </w:r>
      <w:bookmarkStart w:id="13" w:name="_Toc301171640"/>
      <w:bookmarkStart w:id="14" w:name="_Toc373759097"/>
      <w:r>
        <w:rPr>
          <w:rFonts w:hint="eastAsia" w:ascii="宋体" w:hAnsi="宋体"/>
          <w:b/>
          <w:sz w:val="22"/>
          <w:szCs w:val="22"/>
          <w:lang w:eastAsia="zh-CN"/>
        </w:rPr>
        <w:t>质量</w:t>
      </w:r>
      <w:r>
        <w:rPr>
          <w:rFonts w:hint="eastAsia" w:ascii="宋体" w:hAnsi="宋体"/>
          <w:b/>
          <w:sz w:val="22"/>
          <w:szCs w:val="22"/>
        </w:rPr>
        <w:t>要求：</w:t>
      </w:r>
    </w:p>
    <w:bookmarkEnd w:id="13"/>
    <w:bookmarkEnd w:id="14"/>
    <w:p w14:paraId="599AA6AF">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1、</w:t>
      </w:r>
      <w:r>
        <w:rPr>
          <w:rFonts w:hint="eastAsia" w:ascii="宋体" w:hAnsi="宋体" w:eastAsia="宋体" w:cs="宋体"/>
          <w:kern w:val="0"/>
          <w:sz w:val="22"/>
          <w:szCs w:val="22"/>
          <w:lang w:eastAsia="zh-CN"/>
        </w:rPr>
        <w:t>食品质量标准所供产品必须符合《食品安全法》中关于“食品安全标准”的规定和国家相关标准，对实行食品生产许可证管理的产品，供应商必须提供相应的食品生产许可证复印件（加盖公章），提供所供产品质量检验合格证或鉴定报告。必须符合《食品安全法》中关于“食品安全标准”的规定。</w:t>
      </w:r>
    </w:p>
    <w:p w14:paraId="45F7D136">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2、中标供应商必须保证所配送的食材等是全新、未使用过，可以上市销售的，原产地、原包装、手续合法完整、渠道正规的产品，符合规格、参数与质量要求。中标供应商提供的食材等必须符合国家相应食品标准，必须从正规渠道、正规厂家采购。</w:t>
      </w:r>
    </w:p>
    <w:p w14:paraId="768E80F3">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3、保证保质期在有效范围内。</w:t>
      </w:r>
    </w:p>
    <w:p w14:paraId="781309FB">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4、中标供应商必须严格遵守《中华人民共和国食品安全法》等食品领域法律、法规，并完整地履行质保期内的免费更换和配送服务承诺。</w:t>
      </w:r>
    </w:p>
    <w:p w14:paraId="66A444F3">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5、中标供应商对当天配送的所有食材等均应做好采购台账，以便出现问题后进行溯源。</w:t>
      </w:r>
    </w:p>
    <w:p w14:paraId="0E96D910">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6、每配送一批产品均应提供产品合格证或质检合格证，并承诺向采购人配送的食材等新鲜和卫生，不过期、不变质、不变味、无杂质、无毒无害，按采购人的通知按时、按量配送。</w:t>
      </w:r>
    </w:p>
    <w:p w14:paraId="27A3071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7、食材符合国家颁布的适用于该产品的相关质量、卫生标准：有中文标明的食品名称、生产厂名和厂址；有清晰标明的食品生产日期和保质期；有中文标明的食品规格、等级、所含主要成份的名称和含量；需要事先让消费者知晓的，要在外包装上标明等。</w:t>
      </w:r>
    </w:p>
    <w:p w14:paraId="42257B6B">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8、具有食品安全管理制度并上墙公示。食品安全自查制度、采购索证索票制度、仓库储存清查制度、不合格食品处置制度、从业人员健康管理制度、食品安全突发事件应急预案。</w:t>
      </w:r>
    </w:p>
    <w:p w14:paraId="0DC24316">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9、购销过程控制标准</w:t>
      </w:r>
    </w:p>
    <w:p w14:paraId="23A5E603">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供应商应查验食品供货者的资质（食品生产/经营许可证、营业执照、生猪定点屠宰证、法人身份证）。索取并留存每批次食材的供货清单或购物凭证，确保票据真实有效（时间、品种、批次、 数量等对应关系准确）。索取并留存每批次食材的产品合格证明，包含动物检疫合格证明、肉类品质合格证明、出 厂检验报告、第三方检验报告、食用农产品合格证明、产品合格证等，确保合格证明真实有效（时间、 品种、批次、数量等对应关系准确）。应对每批次初级农产品（果蔬、干货）开展快检。无自检能力的应委托有检测能力的第三方，并能提供委托协议或合同。具有食品进货查验记录、食品销售记录。记录和凭证保存期限不得少于产品保质期满后六个月；没有明确保质期的，保存期限不得少于二年。</w:t>
      </w:r>
    </w:p>
    <w:p w14:paraId="1BF1037E">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建立客户管理制度并建立客户档案，一户一档。</w:t>
      </w:r>
    </w:p>
    <w:p w14:paraId="12222D90">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销售的散装食品，在容器、外包装上标明食品的名称、成分或配料表、生产日期或者生产批号、保质期以及生产经营者名称、地址、联系方式等内容。包装或分装食品的包装材料和容器无毒、无害、无异味，并符合国家相关法律法规及标准的要求。临近保质期的食品分类管理，作特别标示。</w:t>
      </w:r>
    </w:p>
    <w:p w14:paraId="4EF6EC43">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10、贮存过程控制标准</w:t>
      </w:r>
    </w:p>
    <w:p w14:paraId="7783B621">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default" w:ascii="宋体" w:hAnsi="宋体" w:eastAsia="宋体" w:cs="宋体"/>
          <w:kern w:val="0"/>
          <w:sz w:val="22"/>
          <w:szCs w:val="22"/>
          <w:lang w:val="en-US" w:eastAsia="zh-CN"/>
        </w:rPr>
        <w:t>经营场所外设置仓库（包括自有和租赁）。贮存食品的容器、工具和设备安全、无害，保持清洁，防止食品污染，并符合保证食品安全所需的温度、湿度等特殊要求。</w:t>
      </w:r>
    </w:p>
    <w:p w14:paraId="7AC14A86">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default" w:ascii="宋体" w:hAnsi="宋体" w:eastAsia="宋体" w:cs="宋体"/>
          <w:kern w:val="0"/>
          <w:sz w:val="22"/>
          <w:szCs w:val="22"/>
          <w:lang w:val="en-US" w:eastAsia="zh-CN"/>
        </w:rPr>
        <w:t>在散装食品贮存位置标明食品的名称、生产日期或者生产批号、保质期、生产者名称及联系方式等内容。仓库有自然通风或机械排风设施，有足够的食品容器或货架储存食品，所有的食品存放必须隔墙离地10cm以上，做到一物一标签。定期检查库存食品，及时清理变质或者超过保质期的食品。有清查记录。未发现食品与有毒、有害物品一同贮存。</w:t>
      </w:r>
    </w:p>
    <w:p w14:paraId="48211CCF">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运输过程控制标准</w:t>
      </w:r>
    </w:p>
    <w:p w14:paraId="7F558F34">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default" w:ascii="宋体" w:hAnsi="宋体" w:eastAsia="宋体" w:cs="宋体"/>
          <w:kern w:val="0"/>
          <w:sz w:val="22"/>
          <w:szCs w:val="22"/>
          <w:lang w:val="en-US" w:eastAsia="zh-CN"/>
        </w:rPr>
        <w:t>运输和装卸食品的容器、工具和设备安全、无害、保持清洁，防止食品污染。配送冻品和农产品有专用的冷链车。未发现食品与有毒、有害物品一同运输。</w:t>
      </w:r>
    </w:p>
    <w:p w14:paraId="1936BAAF">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12、对召回的食品的处理措施</w:t>
      </w:r>
    </w:p>
    <w:p w14:paraId="0A973EBD">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对召回的食品采取无害化处理、销毁等措施，防止其再次流入市场。</w:t>
      </w:r>
    </w:p>
    <w:p w14:paraId="0EBFF6C9">
      <w:pPr>
        <w:adjustRightInd w:val="0"/>
        <w:snapToGrid w:val="0"/>
        <w:spacing w:before="156" w:beforeLines="50" w:line="360" w:lineRule="auto"/>
        <w:ind w:firstLine="442" w:firstLineChars="200"/>
        <w:rPr>
          <w:rFonts w:hint="eastAsia" w:ascii="宋体" w:hAnsi="宋体" w:eastAsia="宋体" w:cs="宋体"/>
          <w:b/>
          <w:bCs/>
          <w:kern w:val="0"/>
          <w:sz w:val="22"/>
          <w:szCs w:val="22"/>
          <w:lang w:eastAsia="zh-CN"/>
        </w:rPr>
      </w:pPr>
      <w:r>
        <w:rPr>
          <w:rFonts w:hint="eastAsia" w:ascii="宋体" w:hAnsi="宋体" w:eastAsia="宋体" w:cs="宋体"/>
          <w:b/>
          <w:bCs/>
          <w:kern w:val="0"/>
          <w:sz w:val="22"/>
          <w:szCs w:val="22"/>
          <w:lang w:eastAsia="zh-CN"/>
        </w:rPr>
        <w:t>三、配送服务要求</w:t>
      </w:r>
    </w:p>
    <w:p w14:paraId="003F290F">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1、中标供应商在执行配送的同时，必须严格遵守采购人的各项规章制度，以不影响采购人业务工作为原则，文明操作。</w:t>
      </w:r>
    </w:p>
    <w:p w14:paraId="7D098A57">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2、中标供应商必须提供优质、高效的服务，供应商派驻现场人员仅限完成本单位食材卸货、清点、搬运，不承担食堂后厨切配、烹饪等食堂内部初加工工作。并提供7×24小时的售后服务受理。如遇采购人重要配送任务，中标人需随时提供车辆、人员按采购人要求及时配送到指定地点。配备食品安全管理人员，对其开展每年40个学时的培训。食品安全管理人员具备食品安全管理能力从事接触直接入口食品工作的人员应当每年进行健康体检，取得健康证明后方可上岗工作。以上服务均计入报价成本中，采购人不另行支付费用。</w:t>
      </w:r>
    </w:p>
    <w:p w14:paraId="5F99AA72">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3、配送服务期内，如更换同一产品包装规格的，经采购人确认后，按照不高于原价规则替换。</w:t>
      </w:r>
    </w:p>
    <w:p w14:paraId="0ED70554">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4</w:t>
      </w:r>
      <w:r>
        <w:rPr>
          <w:rFonts w:hint="eastAsia" w:ascii="宋体" w:hAnsi="宋体" w:eastAsia="宋体" w:cs="宋体"/>
          <w:kern w:val="0"/>
          <w:sz w:val="22"/>
          <w:szCs w:val="22"/>
          <w:lang w:eastAsia="zh-CN"/>
        </w:rPr>
        <w:t>、中标供应商所配送的食材等应符合招标文件中列明的供货范围及相关质量要求，具体品类以采购人发出的配送要求为准，不得以供货价格低，采购、配送能力不足等理由拒绝或推延配送。</w:t>
      </w:r>
    </w:p>
    <w:p w14:paraId="3A95E2F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5</w:t>
      </w:r>
      <w:r>
        <w:rPr>
          <w:rFonts w:hint="eastAsia" w:ascii="宋体" w:hAnsi="宋体" w:eastAsia="宋体" w:cs="宋体"/>
          <w:kern w:val="0"/>
          <w:sz w:val="22"/>
          <w:szCs w:val="22"/>
          <w:lang w:eastAsia="zh-CN"/>
        </w:rPr>
        <w:t>、食材等价格如有波动或调整按市场同期价格提供相应的证明或依据，及时准确的报送至采购人，复核无误后协商调整。</w:t>
      </w:r>
    </w:p>
    <w:p w14:paraId="55ADB11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6</w:t>
      </w:r>
      <w:r>
        <w:rPr>
          <w:rFonts w:hint="eastAsia" w:ascii="宋体" w:hAnsi="宋体" w:eastAsia="宋体" w:cs="宋体"/>
          <w:kern w:val="0"/>
          <w:sz w:val="22"/>
          <w:szCs w:val="22"/>
          <w:lang w:eastAsia="zh-CN"/>
        </w:rPr>
        <w:t>、所配送的蛋、肉蛋豆制品等超过保质期内2/3时限的由中标供应商自行免费回收。</w:t>
      </w:r>
    </w:p>
    <w:p w14:paraId="42C07D0B">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7、</w:t>
      </w:r>
      <w:r>
        <w:rPr>
          <w:rFonts w:hint="eastAsia" w:ascii="宋体" w:hAnsi="宋体" w:eastAsia="宋体" w:cs="宋体"/>
          <w:kern w:val="0"/>
          <w:sz w:val="22"/>
          <w:szCs w:val="22"/>
          <w:lang w:eastAsia="zh-CN"/>
        </w:rPr>
        <w:t>特殊情况下，中标供应商免费提供食品短期冷藏服务。</w:t>
      </w:r>
    </w:p>
    <w:p w14:paraId="1CE144BD">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8</w:t>
      </w:r>
      <w:r>
        <w:rPr>
          <w:rFonts w:hint="eastAsia" w:ascii="宋体" w:hAnsi="宋体" w:eastAsia="宋体" w:cs="宋体"/>
          <w:kern w:val="0"/>
          <w:sz w:val="22"/>
          <w:szCs w:val="22"/>
          <w:lang w:eastAsia="zh-CN"/>
        </w:rPr>
        <w:t>、其他服务要求：除以上重要条款外，其他关于本次项目采购的约定以双方合同签订时共同协商约定。</w:t>
      </w:r>
    </w:p>
    <w:p w14:paraId="19504085">
      <w:pPr>
        <w:adjustRightInd w:val="0"/>
        <w:snapToGrid w:val="0"/>
        <w:spacing w:before="156" w:beforeLines="50" w:line="360" w:lineRule="auto"/>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注：对于上述项目要求，投标人应在投标文件中进行回应，作出承诺及说明。</w:t>
      </w:r>
    </w:p>
    <w:p w14:paraId="5D3C7FA5">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p w14:paraId="0711B4BE">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p w14:paraId="7CB4A500">
      <w:pPr>
        <w:widowControl/>
        <w:kinsoku w:val="0"/>
        <w:autoSpaceDE w:val="0"/>
        <w:autoSpaceDN w:val="0"/>
        <w:adjustRightInd w:val="0"/>
        <w:snapToGrid w:val="0"/>
        <w:spacing w:before="91" w:line="219" w:lineRule="auto"/>
        <w:ind w:left="3407"/>
        <w:jc w:val="left"/>
        <w:textAlignment w:val="baseline"/>
        <w:outlineLvl w:val="1"/>
        <w:rPr>
          <w:rFonts w:ascii="黑体" w:hAnsi="黑体" w:eastAsia="黑体" w:cs="黑体"/>
          <w:snapToGrid w:val="0"/>
          <w:color w:val="000000"/>
          <w:kern w:val="0"/>
          <w:sz w:val="24"/>
          <w:szCs w:val="24"/>
          <w:lang w:eastAsia="en-US"/>
        </w:rPr>
      </w:pPr>
      <w:bookmarkStart w:id="15" w:name="_Toc18132"/>
      <w:r>
        <w:rPr>
          <w:rFonts w:ascii="黑体" w:hAnsi="黑体" w:eastAsia="黑体" w:cs="黑体"/>
          <w:b/>
          <w:bCs/>
          <w:snapToGrid w:val="0"/>
          <w:color w:val="000000"/>
          <w:spacing w:val="-7"/>
          <w:kern w:val="0"/>
          <w:sz w:val="24"/>
          <w:szCs w:val="24"/>
          <w:lang w:eastAsia="en-US"/>
        </w:rPr>
        <w:t>第三节</w:t>
      </w:r>
      <w:r>
        <w:rPr>
          <w:rFonts w:hint="eastAsia" w:ascii="黑体" w:hAnsi="黑体" w:eastAsia="黑体" w:cs="黑体"/>
          <w:b/>
          <w:bCs/>
          <w:snapToGrid w:val="0"/>
          <w:color w:val="000000"/>
          <w:spacing w:val="-7"/>
          <w:kern w:val="0"/>
          <w:sz w:val="24"/>
          <w:szCs w:val="24"/>
          <w:lang w:eastAsia="zh-CN"/>
        </w:rPr>
        <w:t>、</w:t>
      </w:r>
      <w:r>
        <w:rPr>
          <w:rFonts w:ascii="黑体" w:hAnsi="黑体" w:eastAsia="黑体" w:cs="黑体"/>
          <w:b/>
          <w:bCs/>
          <w:snapToGrid w:val="0"/>
          <w:color w:val="000000"/>
          <w:spacing w:val="-7"/>
          <w:kern w:val="0"/>
          <w:sz w:val="24"/>
          <w:szCs w:val="24"/>
          <w:lang w:eastAsia="en-US"/>
        </w:rPr>
        <w:t>商务要求</w:t>
      </w:r>
      <w:bookmarkEnd w:id="15"/>
    </w:p>
    <w:p w14:paraId="3353B499">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一、供货时间和地点</w:t>
      </w:r>
    </w:p>
    <w:p w14:paraId="57C481A9">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1、配送时间：根据采购人需求据实配送，按质、按量将所订购物资分别送至指定区域，如遇临时订购物资，中标供货商须在接到采购计划后1个小时内将所订购物资送达指定地点。</w:t>
      </w:r>
    </w:p>
    <w:p w14:paraId="432E75D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2、供货方式、供货地点：按采购人订单要求供货。</w:t>
      </w:r>
    </w:p>
    <w:p w14:paraId="28FB366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二、服务要求</w:t>
      </w:r>
    </w:p>
    <w:p w14:paraId="65D8ACE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1、配送能力</w:t>
      </w:r>
    </w:p>
    <w:p w14:paraId="18DE9F4E">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 有稳定的供货渠道。</w:t>
      </w:r>
    </w:p>
    <w:p w14:paraId="59127A3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 有固定的分拣中心、仓储场所，有专用配送车辆。</w:t>
      </w:r>
    </w:p>
    <w:p w14:paraId="0C8DACF7">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 食品配送应按生熟、荤素、干湿进行分类。</w:t>
      </w:r>
    </w:p>
    <w:p w14:paraId="5CF8F51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2、配送要求</w:t>
      </w:r>
    </w:p>
    <w:p w14:paraId="63B97CF2">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 仓库环境整洁，卫生状况良好，并在醒目位置悬挂操作规程和卫生制度。</w:t>
      </w:r>
    </w:p>
    <w:p w14:paraId="1773554F">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 食材仓库应定期消毒清理。</w:t>
      </w:r>
    </w:p>
    <w:p w14:paraId="4AD83BFB">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2.3 应配备专门的农残检测设备。</w:t>
      </w:r>
    </w:p>
    <w:p w14:paraId="1EC8A57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 从业人员身体状况须符合卫生部门规定的食品行业健康标准，并定期进行体检，办理健 康证，建立健康档案。</w:t>
      </w:r>
    </w:p>
    <w:p w14:paraId="30E68E37">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2.5 送货所用车辆应保持整洁且定期消毒。在采购方场内行驶时，应遵守采购方行车制度。</w:t>
      </w:r>
    </w:p>
    <w:p w14:paraId="76599205">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 仓储能力</w:t>
      </w:r>
    </w:p>
    <w:p w14:paraId="69DC06F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投标人应结合本项目的实际情况在投标文件中承诺：配备相应的仓储设备、设施，防蚊虫、 防鼠、防潮、防尘和防火等“五防”设施健全。制定合理的运输线路，运送过程中要注意防雨，防晒，防止与其它有毒、有害物品接触，车内温度控制在标准范围，并按期对车辆进行清毒处理。在规定的时间内，中标人须将所供货物配送到采购人指定地点，确保采购人在规定的时间内食用。</w:t>
      </w:r>
    </w:p>
    <w:p w14:paraId="10FD0F72">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 配送过程中如采购人验收质量不合格的，供应商必须于一个小时内重新送货上门。</w:t>
      </w:r>
    </w:p>
    <w:p w14:paraId="5715077D">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2.8 建立货物交接制度。送交产品时，中标人与采购人办理《交货验收单》手续。交接人员 签名， 以示负责。验收单一式两份，中标人、采购人各一份。 内容需包含产品名称、产品重量、 产品单价及总价等内容，由采购人根据 “送货清单 ”核准称重或计量。</w:t>
      </w:r>
    </w:p>
    <w:p w14:paraId="0A3FB1F8">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 供应商负责将物资运送到采购方指定位置，将物资交由采购方验收并经采购方签字确认前所发生的一切风险由中标人承担。</w:t>
      </w:r>
    </w:p>
    <w:p w14:paraId="6F6CA33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2.10 增值服务：根据采购人要求配送的食材提供营养搭配建议方案。</w:t>
      </w:r>
    </w:p>
    <w:p w14:paraId="67D749D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3、退换货处理</w:t>
      </w:r>
    </w:p>
    <w:p w14:paraId="2ECE726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对于货不对版或质量达不到要求的品种，采购人要求退换货，供应商应保证在采购人指定的 时间内送到。</w:t>
      </w:r>
    </w:p>
    <w:p w14:paraId="5BC8A20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4、采购人临时加货处理</w:t>
      </w:r>
    </w:p>
    <w:p w14:paraId="65726C5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当采购人临时增加用餐人数或有客餐任务时，供应商要尽力确保供货， 以使采购人能准时开餐。临时加货如是在采购人附近市场购买，补货的货品价格按实际零售价执行。</w:t>
      </w:r>
    </w:p>
    <w:p w14:paraId="3C6ED4A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5、接到采购人的订菜通知后，个别品种因缺货而不能按时送到，供应商应及时知会采购人并 协商好解决方法以确保采购人所需货物能按时送到。</w:t>
      </w:r>
    </w:p>
    <w:p w14:paraId="0F66BB2C">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6、在供货过程中，对采购人提出的各种合理要求和建议应诚恳接受并切实作出改进。</w:t>
      </w:r>
    </w:p>
    <w:p w14:paraId="6A673F15">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7、供应商必须向采购人提供各类产品按批次的检测报告。</w:t>
      </w:r>
    </w:p>
    <w:p w14:paraId="618A95F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三、验收标准</w:t>
      </w:r>
    </w:p>
    <w:p w14:paraId="622FE23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1、本项目所指的产品及服务应符合谈判文件的所述的标准；如果没有提及适用标准，则应符 合中华人民共和国国家标准或行业标准；所有标准应是有关机构发布的最新版本的标准。</w:t>
      </w:r>
    </w:p>
    <w:p w14:paraId="6237A72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2、产品有包装的，产品的包装应完整清洁（无损、无污、无皱），有注册商标、成分、生产 日期、生产厂家和保质期等。采购人有权拒收包装不整齐、已拆封的产品。</w:t>
      </w:r>
    </w:p>
    <w:p w14:paraId="6E22519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3、采购人发现产品出现损坏（包括表面损坏），或出现水渍、串味、受潮等导致产品性质改 变的，供应商应无条件退货或更换产品。</w:t>
      </w:r>
    </w:p>
    <w:p w14:paraId="4340A4D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4、所供物资按净含量计算，最终交易重量以双方确认的为准。</w:t>
      </w:r>
    </w:p>
    <w:p w14:paraId="7F58A1ED">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5、供应商所供物资超出“送货清单 ”明细的采购人将按退货，不再接收。</w:t>
      </w:r>
    </w:p>
    <w:p w14:paraId="29BC963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6、中标人应配合采购人或相关职能部门定期和不定期就中标人仓储的或送至采购人指定现场 的任一批食材根据国家相关标准进行抽样送检，检测部门应具备相应资质。</w:t>
      </w:r>
    </w:p>
    <w:p w14:paraId="411002E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（1）取样送检的一切费用由中标人承担。</w:t>
      </w:r>
    </w:p>
    <w:p w14:paraId="5158C0DB">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（2）如检测结果不合格，采购人有权进行退货，由此造成的各种费用均由中标人承担。</w:t>
      </w:r>
    </w:p>
    <w:p w14:paraId="17BAD127">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四、违约责任</w:t>
      </w:r>
    </w:p>
    <w:p w14:paraId="7E3E2A3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1、因供应商原因未按时提供“送货清单 ”中需交货的数量、质量等不符合合同约定，使征集 人遭受损失或因此扰乱正常管理秩序的，供应商承担相应的违约责任。</w:t>
      </w:r>
    </w:p>
    <w:p w14:paraId="19D94AD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2、供应商如送货迟到超过 1 小时以上一次提出口头警告，二次要求作出书面保证 ，三次以 上，采购人将视情况对供应商进行罚款处理，且由此造成的所有损失由供应商自行承担。</w:t>
      </w:r>
    </w:p>
    <w:p w14:paraId="769C097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3、供应商出现供货能力不足的现象以至采购人有证据证明供应商无继续履约能力，或供应商 擅自将与采购人签订的供货项目提供给其他供应商的，采购人有权终止合同。并要求供应商对其 违约行为给采购人造成的损失进行赔偿。</w:t>
      </w:r>
    </w:p>
    <w:p w14:paraId="4BB5DC7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4、供应商提供物资的规格、卫生质量标准与订单规定不符时，采购人可以拒收。</w:t>
      </w:r>
    </w:p>
    <w:p w14:paraId="1F3DA2EC">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5、供应商如经有关部门证明确因不可抗力无法按时交货，采购人仍然需要供应商交货的，供 应商可以迟延交货，不按违约处理。</w:t>
      </w:r>
    </w:p>
    <w:p w14:paraId="6EBC783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6、供应商提供假冒伪劣、过期、变质的、有毒食品的，一经发现，除无条件退货或换货外， 还将受到如下处罚：</w:t>
      </w:r>
    </w:p>
    <w:p w14:paraId="6526DD1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 供应商提供假冒伪劣、过期变质食材，除无条件退换货外，应向采购人支付当次供应物资货款 2 倍的违约金，采购人有权在当月结算货款中直接抵扣。</w:t>
      </w:r>
    </w:p>
    <w:p w14:paraId="404CA9AB">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 供应商提供的食材，造成食品安全事故的，经有关单位鉴定原因后，如确实因供应商提 供物资的问题，供应商除需负担全数医药费及相关费用，采购人无条件取消供应商供货资格，供 应商同时承担相应的法律责任。</w:t>
      </w:r>
    </w:p>
    <w:p w14:paraId="1BE631AE">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7、供应商所供物资若为国家公布的伪劣产品，供应商须无条件更换，并承担全部费用及法律 责任。</w:t>
      </w:r>
    </w:p>
    <w:p w14:paraId="27A2F2E5">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8、采购人考核评分不达标的。</w:t>
      </w:r>
    </w:p>
    <w:p w14:paraId="0161AF7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五、其他要求</w:t>
      </w:r>
    </w:p>
    <w:p w14:paraId="6322ED4F">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1、付款方式（具体以签订合同为准）：采购人在收到合法发票、完整结算验收资料无异议后10 个工作日内通过对公账户支付上月货款。采购人需在供货商提供发票及结算单据三日内提出是否有异议，如未提出异议视为对供应商递交的请款资料认同，并在供应商递交资料后的十日内付款。</w:t>
      </w:r>
    </w:p>
    <w:p w14:paraId="44212D8D">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2、结算价格：预算为预估价，因本项目食堂物资供应人数和市场价格的不确定性，实际金额按二次竞价低的供应商供货结算。</w:t>
      </w:r>
    </w:p>
    <w:p w14:paraId="1A61F242">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3、谈判过程中 / 评审结束确定成交候选人阶段，采购人有权对成交候选人开展现场实地核查，核查发现存在虚假承诺、虚假响应，谈判小组应当判定其响应无效，取消其候选人资格。</w:t>
      </w:r>
    </w:p>
    <w:p w14:paraId="3D788578">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4、采购人每月结合台账和现场检查对供应商进行一次考核，考核结果存档备查。</w:t>
      </w:r>
    </w:p>
    <w:bookmarkEnd w:id="10"/>
    <w:p w14:paraId="53F2E90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p w14:paraId="143D6D63">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bookmarkEnd w:id="7"/>
    <w:p w14:paraId="27E2F4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A66A6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bookmarkStart w:id="16" w:name="_GoBack"/>
      <w:bookmarkEnd w:id="16"/>
    </w:p>
    <w:p w14:paraId="3907E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6F6047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EEE863F">
      <w:pPr>
        <w:pStyle w:val="5"/>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BFC58"/>
    <w:multiLevelType w:val="singleLevel"/>
    <w:tmpl w:val="7BBBFC5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392938A9"/>
    <w:rsid w:val="00664B83"/>
    <w:rsid w:val="04BD79DF"/>
    <w:rsid w:val="0503230C"/>
    <w:rsid w:val="05502AFF"/>
    <w:rsid w:val="058E026B"/>
    <w:rsid w:val="06F71B2F"/>
    <w:rsid w:val="085F3ADD"/>
    <w:rsid w:val="0CD443CB"/>
    <w:rsid w:val="0DC84247"/>
    <w:rsid w:val="11515FFD"/>
    <w:rsid w:val="11DB5CFB"/>
    <w:rsid w:val="12E017EF"/>
    <w:rsid w:val="16A72F83"/>
    <w:rsid w:val="182876FD"/>
    <w:rsid w:val="18DB41EE"/>
    <w:rsid w:val="1B8465F5"/>
    <w:rsid w:val="1BAC1F24"/>
    <w:rsid w:val="1BD276B4"/>
    <w:rsid w:val="1BD928F1"/>
    <w:rsid w:val="1BDA65BC"/>
    <w:rsid w:val="1CBC053C"/>
    <w:rsid w:val="1F841754"/>
    <w:rsid w:val="20E63BA6"/>
    <w:rsid w:val="20FA2BB9"/>
    <w:rsid w:val="21BE7401"/>
    <w:rsid w:val="22193302"/>
    <w:rsid w:val="22AF59F3"/>
    <w:rsid w:val="22F21544"/>
    <w:rsid w:val="23227293"/>
    <w:rsid w:val="255D0A7D"/>
    <w:rsid w:val="27226506"/>
    <w:rsid w:val="29AB046F"/>
    <w:rsid w:val="2A583806"/>
    <w:rsid w:val="2C7F022C"/>
    <w:rsid w:val="2DE36B8F"/>
    <w:rsid w:val="320A0600"/>
    <w:rsid w:val="327C0F63"/>
    <w:rsid w:val="36946B19"/>
    <w:rsid w:val="392938A9"/>
    <w:rsid w:val="3ADA7F13"/>
    <w:rsid w:val="3B6212E4"/>
    <w:rsid w:val="3E3767B4"/>
    <w:rsid w:val="41BD297B"/>
    <w:rsid w:val="4269213F"/>
    <w:rsid w:val="44FD7731"/>
    <w:rsid w:val="487835F2"/>
    <w:rsid w:val="49DF78A5"/>
    <w:rsid w:val="4A9D3546"/>
    <w:rsid w:val="4BF95162"/>
    <w:rsid w:val="4DFD5223"/>
    <w:rsid w:val="4F9C77F0"/>
    <w:rsid w:val="503767CB"/>
    <w:rsid w:val="58887251"/>
    <w:rsid w:val="590E452F"/>
    <w:rsid w:val="5CBC3D00"/>
    <w:rsid w:val="5F120F09"/>
    <w:rsid w:val="6121405B"/>
    <w:rsid w:val="629B7F14"/>
    <w:rsid w:val="62DF3642"/>
    <w:rsid w:val="6322148D"/>
    <w:rsid w:val="638773F8"/>
    <w:rsid w:val="667E5B82"/>
    <w:rsid w:val="6703315F"/>
    <w:rsid w:val="6B721162"/>
    <w:rsid w:val="720900EC"/>
    <w:rsid w:val="72FC167C"/>
    <w:rsid w:val="761A519B"/>
    <w:rsid w:val="76DE48C7"/>
    <w:rsid w:val="7B561C30"/>
    <w:rsid w:val="7C777B41"/>
    <w:rsid w:val="7CD35329"/>
    <w:rsid w:val="7F3D7927"/>
    <w:rsid w:val="7F55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after="120"/>
    </w:pPr>
    <w:rPr>
      <w:lang w:val="zh-CN" w:eastAsia="zh-CN"/>
    </w:rPr>
  </w:style>
  <w:style w:type="paragraph" w:styleId="6">
    <w:name w:val="Body Text Indent"/>
    <w:basedOn w:val="1"/>
    <w:next w:val="7"/>
    <w:qFormat/>
    <w:uiPriority w:val="0"/>
    <w:pPr>
      <w:spacing w:after="120"/>
      <w:ind w:left="420" w:leftChars="200"/>
    </w:pPr>
  </w:style>
  <w:style w:type="paragraph" w:styleId="7">
    <w:name w:val="Body Text Indent 2"/>
    <w:basedOn w:val="1"/>
    <w:qFormat/>
    <w:uiPriority w:val="0"/>
    <w:pPr>
      <w:spacing w:after="120" w:line="480" w:lineRule="auto"/>
      <w:ind w:left="420" w:leftChars="200"/>
    </w:pPr>
    <w:rPr>
      <w:lang w:val="zh-CN" w:eastAsia="zh-CN"/>
    </w:rPr>
  </w:style>
  <w:style w:type="paragraph" w:styleId="8">
    <w:name w:val="Plain Text"/>
    <w:basedOn w:val="1"/>
    <w:qFormat/>
    <w:uiPriority w:val="0"/>
    <w:rPr>
      <w:rFonts w:ascii="宋体" w:hAnsi="Courier New" w:cs="Courier New"/>
      <w:szCs w:val="21"/>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3651</Words>
  <Characters>3747</Characters>
  <Lines>0</Lines>
  <Paragraphs>0</Paragraphs>
  <TotalTime>1</TotalTime>
  <ScaleCrop>false</ScaleCrop>
  <LinksUpToDate>false</LinksUpToDate>
  <CharactersWithSpaces>4198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2022-11-25T07:19:00Z</dcterms:created>
  <dc:creator>WPS_1657870300</dc:creator>
  <cp:lastModifiedBy>lenovo</cp:lastModifiedBy>
  <dcterms:modified xsi:type="dcterms:W3CDTF">2026-09-13T14:08:54Z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3E62E34DFD194996A573EF537BB19444_13</vt:lpwstr>
  </property>
  <property fmtid="{D5CDD505-2E9C-101B-9397-08002B2CF9AE}" pid="4" name="KSOTemplateDocerSaveRecord">
    <vt:lpwstr>eyJoZGlkIjoiZDYwZjk0YmMxOGI4ZWE3MWJhZTAzMWViYjZiZjYxOGMiLCJ1c2VySWQiOiI5MTUyNTQ3NDMifQ==</vt:lpwstr>
  </property>
</Properties>
</file>