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46EA5">
      <w:pPr>
        <w:widowControl w:val="0"/>
        <w:spacing w:afterLines="50" w:line="360" w:lineRule="exact"/>
        <w:ind w:firstLine="0" w:firstLineChars="0"/>
        <w:jc w:val="center"/>
        <w:outlineLvl w:val="0"/>
        <w:rPr>
          <w:rFonts w:ascii="宋体" w:hAnsi="宋体" w:eastAsia="宋体" w:cs="Courier New"/>
          <w:b/>
          <w:kern w:val="0"/>
          <w:sz w:val="32"/>
          <w:szCs w:val="32"/>
          <w:lang w:val="en-US" w:eastAsia="zh-CN" w:bidi="ar-SA"/>
        </w:rPr>
      </w:pPr>
      <w:r>
        <w:rPr>
          <w:rFonts w:hint="eastAsia" w:ascii="宋体" w:hAnsi="宋体" w:eastAsia="宋体" w:cs="Courier New"/>
          <w:b/>
          <w:kern w:val="0"/>
          <w:sz w:val="32"/>
          <w:szCs w:val="32"/>
          <w:lang w:val="en-US" w:eastAsia="zh-CN" w:bidi="ar-SA"/>
        </w:rPr>
        <w:t>采购需求</w:t>
      </w:r>
    </w:p>
    <w:p w14:paraId="0CCD2CEB">
      <w:pPr>
        <w:adjustRightInd w:val="0"/>
        <w:snapToGrid w:val="0"/>
        <w:spacing w:line="360" w:lineRule="auto"/>
        <w:ind w:firstLine="422" w:firstLineChars="200"/>
        <w:rPr>
          <w:rFonts w:ascii="宋体" w:hAnsi="宋体" w:eastAsia="宋体" w:cs="宋体"/>
          <w:b/>
          <w:bCs/>
          <w:szCs w:val="21"/>
        </w:rPr>
      </w:pPr>
    </w:p>
    <w:p w14:paraId="6C1EF9E3">
      <w:pPr>
        <w:adjustRightInd w:val="0"/>
        <w:snapToGrid w:val="0"/>
        <w:spacing w:line="360" w:lineRule="auto"/>
        <w:ind w:firstLine="422" w:firstLineChars="200"/>
        <w:rPr>
          <w:rFonts w:ascii="宋体" w:hAnsi="宋体" w:eastAsia="宋体" w:cs="宋体"/>
          <w:szCs w:val="21"/>
        </w:rPr>
      </w:pPr>
      <w:r>
        <w:rPr>
          <w:rFonts w:hint="eastAsia" w:ascii="宋体" w:hAnsi="宋体" w:eastAsia="宋体" w:cs="宋体"/>
          <w:b/>
          <w:bCs/>
          <w:szCs w:val="21"/>
        </w:rPr>
        <w:t>一、项目名称：</w:t>
      </w:r>
      <w:r>
        <w:rPr>
          <w:rFonts w:hint="eastAsia" w:ascii="宋体" w:hAnsi="宋体" w:eastAsia="宋体" w:cs="宋体"/>
          <w:color w:val="4BACC6"/>
          <w:szCs w:val="21"/>
        </w:rPr>
        <w:t>2026年</w:t>
      </w:r>
      <w:r>
        <w:rPr>
          <w:rFonts w:hint="eastAsia" w:ascii="宋体" w:hAnsi="宋体" w:eastAsia="宋体" w:cs="宋体"/>
          <w:szCs w:val="21"/>
        </w:rPr>
        <w:t>新化县高素质农民培育项目</w:t>
      </w:r>
    </w:p>
    <w:p w14:paraId="6E997FB2">
      <w:pPr>
        <w:adjustRightInd w:val="0"/>
        <w:snapToGrid w:val="0"/>
        <w:spacing w:line="360" w:lineRule="auto"/>
        <w:ind w:firstLine="410" w:firstLineChars="200"/>
        <w:rPr>
          <w:rFonts w:ascii="宋体" w:hAnsi="宋体" w:eastAsia="宋体" w:cs="宋体"/>
          <w:b/>
          <w:bCs/>
          <w:spacing w:val="-3"/>
          <w:szCs w:val="21"/>
        </w:rPr>
      </w:pPr>
      <w:r>
        <w:rPr>
          <w:rFonts w:hint="eastAsia" w:ascii="宋体" w:hAnsi="宋体" w:eastAsia="宋体" w:cs="宋体"/>
          <w:b/>
          <w:bCs/>
          <w:spacing w:val="-3"/>
          <w:szCs w:val="21"/>
        </w:rPr>
        <w:t>二、分包情况</w:t>
      </w:r>
    </w:p>
    <w:tbl>
      <w:tblPr>
        <w:tblStyle w:val="4"/>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8"/>
        <w:gridCol w:w="4174"/>
        <w:gridCol w:w="2268"/>
        <w:gridCol w:w="1502"/>
      </w:tblGrid>
      <w:tr w14:paraId="1549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0" w:type="auto"/>
            <w:vAlign w:val="center"/>
          </w:tcPr>
          <w:p w14:paraId="43A4E796">
            <w:pPr>
              <w:widowControl/>
              <w:jc w:val="center"/>
              <w:textAlignment w:val="baseline"/>
              <w:rPr>
                <w:rFonts w:hint="eastAsia" w:ascii="宋体" w:hAnsi="宋体" w:eastAsia="宋体" w:cs="宋体"/>
                <w:szCs w:val="21"/>
              </w:rPr>
            </w:pPr>
            <w:r>
              <w:rPr>
                <w:rFonts w:hint="eastAsia" w:ascii="宋体" w:hAnsi="宋体" w:eastAsia="宋体" w:cs="宋体"/>
                <w:szCs w:val="21"/>
              </w:rPr>
              <w:t>包号</w:t>
            </w:r>
          </w:p>
        </w:tc>
        <w:tc>
          <w:tcPr>
            <w:tcW w:w="4174" w:type="dxa"/>
            <w:vAlign w:val="center"/>
          </w:tcPr>
          <w:p w14:paraId="0621684B">
            <w:pPr>
              <w:widowControl/>
              <w:jc w:val="center"/>
              <w:textAlignment w:val="baseline"/>
              <w:rPr>
                <w:rFonts w:hint="eastAsia" w:ascii="宋体" w:hAnsi="宋体" w:eastAsia="宋体" w:cs="宋体"/>
                <w:szCs w:val="21"/>
              </w:rPr>
            </w:pPr>
            <w:r>
              <w:rPr>
                <w:rFonts w:hint="eastAsia" w:ascii="宋体" w:hAnsi="宋体" w:eastAsia="宋体" w:cs="宋体"/>
                <w:szCs w:val="21"/>
              </w:rPr>
              <w:t>培训内容</w:t>
            </w:r>
          </w:p>
        </w:tc>
        <w:tc>
          <w:tcPr>
            <w:tcW w:w="2268" w:type="dxa"/>
            <w:vAlign w:val="center"/>
          </w:tcPr>
          <w:p w14:paraId="190EB2B1">
            <w:pPr>
              <w:widowControl/>
              <w:jc w:val="center"/>
              <w:textAlignment w:val="baseline"/>
              <w:rPr>
                <w:rFonts w:hint="eastAsia" w:ascii="宋体" w:hAnsi="宋体" w:eastAsia="宋体" w:cs="宋体"/>
                <w:szCs w:val="21"/>
              </w:rPr>
            </w:pPr>
            <w:r>
              <w:rPr>
                <w:rFonts w:hint="eastAsia" w:ascii="宋体" w:hAnsi="宋体" w:eastAsia="宋体" w:cs="宋体"/>
                <w:szCs w:val="21"/>
              </w:rPr>
              <w:t>数量</w:t>
            </w:r>
          </w:p>
        </w:tc>
        <w:tc>
          <w:tcPr>
            <w:tcW w:w="1502" w:type="dxa"/>
            <w:vAlign w:val="center"/>
          </w:tcPr>
          <w:p w14:paraId="3DE9AAEF">
            <w:pPr>
              <w:widowControl/>
              <w:jc w:val="center"/>
              <w:textAlignment w:val="baseline"/>
              <w:rPr>
                <w:rFonts w:hint="eastAsia" w:ascii="宋体" w:hAnsi="宋体" w:eastAsia="宋体" w:cs="宋体"/>
                <w:szCs w:val="21"/>
              </w:rPr>
            </w:pPr>
            <w:r>
              <w:rPr>
                <w:rFonts w:hint="eastAsia" w:ascii="宋体" w:hAnsi="宋体" w:eastAsia="宋体" w:cs="宋体"/>
                <w:szCs w:val="21"/>
              </w:rPr>
              <w:t>采购预算（元）</w:t>
            </w:r>
          </w:p>
        </w:tc>
      </w:tr>
      <w:tr w14:paraId="341B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0" w:type="auto"/>
            <w:vMerge w:val="restart"/>
            <w:vAlign w:val="center"/>
          </w:tcPr>
          <w:p w14:paraId="1F4A39B6">
            <w:pPr>
              <w:widowControl/>
              <w:jc w:val="center"/>
              <w:textAlignment w:val="baseline"/>
              <w:rPr>
                <w:rFonts w:hint="eastAsia" w:ascii="宋体" w:hAnsi="宋体" w:eastAsia="宋体" w:cs="宋体"/>
                <w:szCs w:val="21"/>
              </w:rPr>
            </w:pPr>
            <w:r>
              <w:rPr>
                <w:rFonts w:hint="eastAsia" w:ascii="宋体" w:hAnsi="宋体" w:eastAsia="宋体" w:cs="宋体"/>
                <w:szCs w:val="21"/>
              </w:rPr>
              <w:t>01</w:t>
            </w:r>
          </w:p>
        </w:tc>
        <w:tc>
          <w:tcPr>
            <w:tcW w:w="4174" w:type="dxa"/>
            <w:tcBorders>
              <w:bottom w:val="single" w:color="auto" w:sz="4" w:space="0"/>
            </w:tcBorders>
            <w:vAlign w:val="center"/>
          </w:tcPr>
          <w:p w14:paraId="4CE02F71">
            <w:pPr>
              <w:widowControl/>
              <w:jc w:val="center"/>
              <w:textAlignment w:val="baseline"/>
              <w:rPr>
                <w:rFonts w:hint="eastAsia" w:ascii="宋体" w:hAnsi="宋体" w:eastAsia="宋体" w:cs="宋体"/>
                <w:szCs w:val="21"/>
              </w:rPr>
            </w:pPr>
            <w:r>
              <w:rPr>
                <w:rFonts w:hint="eastAsia" w:ascii="宋体" w:hAnsi="宋体" w:eastAsia="宋体" w:cs="宋体"/>
                <w:szCs w:val="21"/>
              </w:rPr>
              <w:t>重要农产品（小水果）经营管理能力提升</w:t>
            </w:r>
          </w:p>
        </w:tc>
        <w:tc>
          <w:tcPr>
            <w:tcW w:w="2268" w:type="dxa"/>
            <w:tcBorders>
              <w:bottom w:val="single" w:color="auto" w:sz="4" w:space="0"/>
            </w:tcBorders>
            <w:vAlign w:val="center"/>
          </w:tcPr>
          <w:p w14:paraId="548DB118">
            <w:pPr>
              <w:widowControl/>
              <w:jc w:val="center"/>
              <w:textAlignment w:val="baseline"/>
              <w:rPr>
                <w:rFonts w:hint="eastAsia" w:ascii="宋体" w:hAnsi="宋体" w:eastAsia="宋体" w:cs="宋体"/>
                <w:szCs w:val="21"/>
              </w:rPr>
            </w:pPr>
            <w:r>
              <w:rPr>
                <w:rFonts w:hint="eastAsia" w:ascii="宋体" w:hAnsi="宋体" w:eastAsia="宋体" w:cs="宋体"/>
                <w:szCs w:val="21"/>
              </w:rPr>
              <w:t>50人</w:t>
            </w:r>
            <w:r>
              <w:rPr>
                <w:rFonts w:ascii="宋体" w:hAnsi="宋体" w:eastAsia="宋体" w:cs="宋体"/>
                <w:szCs w:val="21"/>
              </w:rPr>
              <w:t>×</w:t>
            </w:r>
            <w:r>
              <w:rPr>
                <w:rFonts w:hint="eastAsia" w:ascii="宋体" w:hAnsi="宋体" w:eastAsia="宋体" w:cs="宋体"/>
                <w:szCs w:val="21"/>
              </w:rPr>
              <w:t>2800元/人</w:t>
            </w:r>
          </w:p>
        </w:tc>
        <w:tc>
          <w:tcPr>
            <w:tcW w:w="1502" w:type="dxa"/>
            <w:vMerge w:val="restart"/>
            <w:vAlign w:val="center"/>
          </w:tcPr>
          <w:p w14:paraId="2F73C9AC">
            <w:pPr>
              <w:widowControl/>
              <w:jc w:val="center"/>
              <w:textAlignment w:val="baseline"/>
              <w:rPr>
                <w:rFonts w:hint="eastAsia" w:ascii="宋体" w:hAnsi="宋体" w:eastAsia="宋体" w:cs="宋体"/>
                <w:szCs w:val="21"/>
                <w:lang w:val="en-US" w:eastAsia="zh-CN"/>
              </w:rPr>
            </w:pPr>
          </w:p>
          <w:p w14:paraId="4A52916E">
            <w:pPr>
              <w:widowControl/>
              <w:jc w:val="center"/>
              <w:textAlignment w:val="baseline"/>
              <w:rPr>
                <w:rFonts w:hint="eastAsia" w:ascii="宋体" w:hAnsi="宋体" w:eastAsia="宋体" w:cs="宋体"/>
                <w:szCs w:val="21"/>
              </w:rPr>
            </w:pPr>
            <w:r>
              <w:rPr>
                <w:rFonts w:hint="eastAsia" w:ascii="宋体" w:hAnsi="宋体" w:eastAsia="宋体" w:cs="宋体"/>
                <w:szCs w:val="21"/>
                <w:lang w:val="en-US" w:eastAsia="zh-CN"/>
              </w:rPr>
              <w:t>28</w:t>
            </w:r>
            <w:r>
              <w:rPr>
                <w:rFonts w:hint="eastAsia" w:ascii="宋体" w:hAnsi="宋体" w:eastAsia="宋体" w:cs="宋体"/>
                <w:szCs w:val="21"/>
              </w:rPr>
              <w:t>0000.00</w:t>
            </w:r>
          </w:p>
          <w:p w14:paraId="77D9EBFF">
            <w:pPr>
              <w:jc w:val="center"/>
              <w:textAlignment w:val="baseline"/>
              <w:rPr>
                <w:rFonts w:hint="eastAsia" w:ascii="宋体" w:hAnsi="宋体" w:eastAsia="宋体" w:cs="宋体"/>
                <w:szCs w:val="21"/>
              </w:rPr>
            </w:pPr>
          </w:p>
        </w:tc>
      </w:tr>
      <w:tr w14:paraId="13464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0" w:type="auto"/>
            <w:vMerge w:val="continue"/>
            <w:vAlign w:val="center"/>
          </w:tcPr>
          <w:p w14:paraId="34C3828C">
            <w:pPr>
              <w:widowControl/>
              <w:jc w:val="center"/>
              <w:textAlignment w:val="baseline"/>
              <w:rPr>
                <w:rFonts w:hint="eastAsia" w:ascii="宋体" w:hAnsi="宋体" w:eastAsia="宋体" w:cs="宋体"/>
                <w:szCs w:val="21"/>
              </w:rPr>
            </w:pPr>
          </w:p>
        </w:tc>
        <w:tc>
          <w:tcPr>
            <w:tcW w:w="4174" w:type="dxa"/>
            <w:tcBorders>
              <w:top w:val="single" w:color="auto" w:sz="4" w:space="0"/>
            </w:tcBorders>
            <w:vAlign w:val="center"/>
          </w:tcPr>
          <w:p w14:paraId="37290F56">
            <w:pPr>
              <w:jc w:val="center"/>
              <w:textAlignment w:val="baseline"/>
              <w:rPr>
                <w:rFonts w:hint="eastAsia" w:ascii="宋体" w:hAnsi="宋体" w:eastAsia="宋体" w:cs="宋体"/>
                <w:szCs w:val="21"/>
              </w:rPr>
            </w:pPr>
            <w:r>
              <w:rPr>
                <w:rFonts w:hint="eastAsia" w:ascii="宋体" w:hAnsi="宋体" w:eastAsia="宋体" w:cs="宋体"/>
                <w:szCs w:val="21"/>
              </w:rPr>
              <w:t>农村集体经济组织带头人培训</w:t>
            </w:r>
          </w:p>
        </w:tc>
        <w:tc>
          <w:tcPr>
            <w:tcW w:w="2268" w:type="dxa"/>
            <w:tcBorders>
              <w:top w:val="single" w:color="auto" w:sz="4" w:space="0"/>
            </w:tcBorders>
            <w:vAlign w:val="center"/>
          </w:tcPr>
          <w:p w14:paraId="2ECA3942">
            <w:pPr>
              <w:widowControl/>
              <w:jc w:val="center"/>
              <w:textAlignment w:val="baseline"/>
              <w:rPr>
                <w:rFonts w:hint="eastAsia" w:ascii="宋体" w:hAnsi="宋体" w:eastAsia="宋体" w:cs="宋体"/>
                <w:szCs w:val="21"/>
              </w:rPr>
            </w:pPr>
            <w:r>
              <w:rPr>
                <w:rFonts w:hint="eastAsia" w:ascii="宋体" w:hAnsi="宋体" w:eastAsia="宋体" w:cs="宋体"/>
                <w:szCs w:val="21"/>
              </w:rPr>
              <w:t>50人</w:t>
            </w:r>
            <w:r>
              <w:rPr>
                <w:rFonts w:ascii="宋体" w:hAnsi="宋体" w:eastAsia="宋体" w:cs="宋体"/>
                <w:szCs w:val="21"/>
              </w:rPr>
              <w:t>×</w:t>
            </w:r>
            <w:r>
              <w:rPr>
                <w:rFonts w:hint="eastAsia" w:ascii="宋体" w:hAnsi="宋体" w:eastAsia="宋体" w:cs="宋体"/>
                <w:szCs w:val="21"/>
              </w:rPr>
              <w:t>2800元/人</w:t>
            </w:r>
          </w:p>
        </w:tc>
        <w:tc>
          <w:tcPr>
            <w:tcW w:w="1502" w:type="dxa"/>
            <w:vMerge w:val="continue"/>
            <w:vAlign w:val="center"/>
          </w:tcPr>
          <w:p w14:paraId="61582C09">
            <w:pPr>
              <w:jc w:val="center"/>
              <w:textAlignment w:val="baseline"/>
              <w:rPr>
                <w:rFonts w:hint="eastAsia" w:ascii="宋体" w:hAnsi="宋体" w:eastAsia="宋体" w:cs="宋体"/>
                <w:szCs w:val="21"/>
              </w:rPr>
            </w:pPr>
          </w:p>
        </w:tc>
      </w:tr>
      <w:tr w14:paraId="21802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0" w:type="auto"/>
            <w:vAlign w:val="center"/>
          </w:tcPr>
          <w:p w14:paraId="44CB4693">
            <w:pPr>
              <w:widowControl/>
              <w:jc w:val="center"/>
              <w:textAlignment w:val="baseline"/>
              <w:rPr>
                <w:rFonts w:ascii="宋体" w:hAnsi="宋体" w:eastAsia="宋体" w:cs="宋体"/>
                <w:szCs w:val="21"/>
              </w:rPr>
            </w:pPr>
            <w:r>
              <w:rPr>
                <w:rFonts w:hint="eastAsia" w:ascii="宋体" w:hAnsi="宋体" w:eastAsia="宋体" w:cs="宋体"/>
                <w:szCs w:val="21"/>
              </w:rPr>
              <w:t>02</w:t>
            </w:r>
          </w:p>
        </w:tc>
        <w:tc>
          <w:tcPr>
            <w:tcW w:w="4174" w:type="dxa"/>
            <w:vAlign w:val="center"/>
          </w:tcPr>
          <w:p w14:paraId="3AF8D242">
            <w:pPr>
              <w:widowControl/>
              <w:jc w:val="center"/>
              <w:textAlignment w:val="baseline"/>
              <w:rPr>
                <w:rFonts w:hint="eastAsia" w:ascii="宋体" w:hAnsi="宋体" w:eastAsia="宋体" w:cs="宋体"/>
                <w:szCs w:val="21"/>
                <w:lang w:eastAsia="zh-CN"/>
              </w:rPr>
            </w:pPr>
            <w:r>
              <w:rPr>
                <w:rFonts w:hint="eastAsia" w:ascii="宋体" w:hAnsi="宋体" w:eastAsia="宋体" w:cs="宋体"/>
                <w:szCs w:val="21"/>
              </w:rPr>
              <w:t>农机手（无人机）技能提升</w:t>
            </w:r>
            <w:r>
              <w:rPr>
                <w:rFonts w:hint="eastAsia" w:ascii="宋体" w:hAnsi="宋体" w:eastAsia="宋体" w:cs="宋体"/>
                <w:color w:val="FF0000"/>
                <w:szCs w:val="21"/>
                <w:lang w:eastAsia="zh-CN"/>
              </w:rPr>
              <w:t>（</w:t>
            </w:r>
            <w:r>
              <w:rPr>
                <w:rFonts w:hint="eastAsia" w:ascii="宋体" w:hAnsi="宋体" w:eastAsia="宋体" w:cs="宋体"/>
                <w:color w:val="FF0000"/>
                <w:szCs w:val="21"/>
                <w:lang w:val="en-US" w:eastAsia="zh-CN"/>
              </w:rPr>
              <w:t>分2个</w:t>
            </w:r>
            <w:r>
              <w:rPr>
                <w:rFonts w:hint="eastAsia" w:ascii="宋体" w:hAnsi="宋体" w:eastAsia="宋体" w:cs="宋体"/>
                <w:color w:val="0000FF"/>
                <w:szCs w:val="21"/>
                <w:lang w:val="en-US" w:eastAsia="zh-CN"/>
              </w:rPr>
              <w:t>班</w:t>
            </w:r>
            <w:r>
              <w:rPr>
                <w:rFonts w:hint="eastAsia" w:ascii="宋体" w:hAnsi="宋体" w:eastAsia="宋体" w:cs="宋体"/>
                <w:color w:val="FF0000"/>
                <w:szCs w:val="21"/>
                <w:lang w:val="en-US" w:eastAsia="zh-CN"/>
              </w:rPr>
              <w:t>实施</w:t>
            </w:r>
            <w:r>
              <w:rPr>
                <w:rFonts w:hint="eastAsia" w:ascii="宋体" w:hAnsi="宋体" w:eastAsia="宋体" w:cs="宋体"/>
                <w:color w:val="FF0000"/>
                <w:szCs w:val="21"/>
                <w:lang w:eastAsia="zh-CN"/>
              </w:rPr>
              <w:t>）</w:t>
            </w:r>
          </w:p>
        </w:tc>
        <w:tc>
          <w:tcPr>
            <w:tcW w:w="2268" w:type="dxa"/>
            <w:vAlign w:val="center"/>
          </w:tcPr>
          <w:p w14:paraId="722EE00E">
            <w:pPr>
              <w:jc w:val="center"/>
              <w:textAlignment w:val="baseline"/>
              <w:rPr>
                <w:rFonts w:ascii="宋体" w:hAnsi="宋体" w:eastAsia="宋体" w:cs="宋体"/>
                <w:szCs w:val="21"/>
              </w:rPr>
            </w:pPr>
            <w:r>
              <w:rPr>
                <w:rFonts w:hint="eastAsia" w:ascii="宋体" w:hAnsi="宋体" w:eastAsia="宋体" w:cs="宋体"/>
                <w:szCs w:val="21"/>
              </w:rPr>
              <w:t>100人</w:t>
            </w:r>
            <w:r>
              <w:rPr>
                <w:rFonts w:ascii="宋体" w:hAnsi="宋体" w:eastAsia="宋体" w:cs="宋体"/>
                <w:szCs w:val="21"/>
              </w:rPr>
              <w:t>×</w:t>
            </w:r>
            <w:r>
              <w:rPr>
                <w:rFonts w:hint="eastAsia" w:ascii="宋体" w:hAnsi="宋体" w:eastAsia="宋体" w:cs="宋体"/>
                <w:szCs w:val="21"/>
              </w:rPr>
              <w:t>2800元/人</w:t>
            </w:r>
          </w:p>
        </w:tc>
        <w:tc>
          <w:tcPr>
            <w:tcW w:w="1502" w:type="dxa"/>
            <w:vAlign w:val="center"/>
          </w:tcPr>
          <w:p w14:paraId="19BE764F">
            <w:pPr>
              <w:widowControl/>
              <w:jc w:val="center"/>
              <w:textAlignment w:val="baseline"/>
              <w:rPr>
                <w:rFonts w:ascii="宋体" w:hAnsi="宋体" w:eastAsia="宋体" w:cs="宋体"/>
                <w:szCs w:val="21"/>
              </w:rPr>
            </w:pPr>
            <w:r>
              <w:rPr>
                <w:rFonts w:hint="eastAsia" w:ascii="宋体" w:hAnsi="宋体" w:eastAsia="宋体" w:cs="宋体"/>
                <w:szCs w:val="21"/>
              </w:rPr>
              <w:t>280000.00</w:t>
            </w:r>
          </w:p>
        </w:tc>
      </w:tr>
      <w:tr w14:paraId="0DD80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0" w:type="auto"/>
            <w:vMerge w:val="restart"/>
            <w:vAlign w:val="center"/>
          </w:tcPr>
          <w:p w14:paraId="3E581911">
            <w:pPr>
              <w:widowControl/>
              <w:jc w:val="center"/>
              <w:textAlignment w:val="baseline"/>
              <w:rPr>
                <w:rFonts w:ascii="宋体" w:hAnsi="宋体" w:eastAsia="宋体" w:cs="宋体"/>
                <w:szCs w:val="21"/>
              </w:rPr>
            </w:pPr>
            <w:r>
              <w:rPr>
                <w:rFonts w:hint="eastAsia" w:ascii="宋体" w:hAnsi="宋体" w:eastAsia="宋体" w:cs="宋体"/>
                <w:szCs w:val="21"/>
              </w:rPr>
              <w:t>03</w:t>
            </w:r>
          </w:p>
        </w:tc>
        <w:tc>
          <w:tcPr>
            <w:tcW w:w="4174" w:type="dxa"/>
            <w:tcBorders>
              <w:bottom w:val="single" w:color="auto" w:sz="4" w:space="0"/>
            </w:tcBorders>
            <w:vAlign w:val="center"/>
          </w:tcPr>
          <w:p w14:paraId="3FB7B070">
            <w:pPr>
              <w:widowControl/>
              <w:jc w:val="center"/>
              <w:textAlignment w:val="baseline"/>
              <w:rPr>
                <w:rFonts w:ascii="宋体" w:hAnsi="宋体" w:eastAsia="宋体" w:cs="宋体"/>
                <w:szCs w:val="21"/>
              </w:rPr>
            </w:pPr>
            <w:r>
              <w:rPr>
                <w:rFonts w:hint="eastAsia" w:ascii="宋体" w:hAnsi="宋体" w:eastAsia="宋体" w:cs="宋体"/>
                <w:szCs w:val="21"/>
              </w:rPr>
              <w:t>智慧农业+AI智能应用专题培训</w:t>
            </w:r>
          </w:p>
        </w:tc>
        <w:tc>
          <w:tcPr>
            <w:tcW w:w="2268" w:type="dxa"/>
            <w:tcBorders>
              <w:bottom w:val="single" w:color="auto" w:sz="4" w:space="0"/>
            </w:tcBorders>
            <w:vAlign w:val="center"/>
          </w:tcPr>
          <w:p w14:paraId="74959945">
            <w:pPr>
              <w:widowControl/>
              <w:jc w:val="center"/>
              <w:textAlignment w:val="baseline"/>
              <w:rPr>
                <w:rFonts w:ascii="宋体" w:hAnsi="宋体" w:eastAsia="宋体" w:cs="宋体"/>
                <w:szCs w:val="21"/>
              </w:rPr>
            </w:pPr>
            <w:r>
              <w:rPr>
                <w:rFonts w:hint="eastAsia" w:ascii="宋体" w:hAnsi="宋体" w:eastAsia="宋体" w:cs="宋体"/>
                <w:szCs w:val="21"/>
              </w:rPr>
              <w:t>50人</w:t>
            </w:r>
            <w:r>
              <w:rPr>
                <w:rFonts w:ascii="宋体" w:hAnsi="宋体" w:eastAsia="宋体" w:cs="宋体"/>
                <w:szCs w:val="21"/>
              </w:rPr>
              <w:t>×</w:t>
            </w:r>
            <w:r>
              <w:rPr>
                <w:rFonts w:hint="eastAsia" w:ascii="宋体" w:hAnsi="宋体" w:eastAsia="宋体" w:cs="宋体"/>
                <w:szCs w:val="21"/>
              </w:rPr>
              <w:t>6000元/人</w:t>
            </w:r>
          </w:p>
        </w:tc>
        <w:tc>
          <w:tcPr>
            <w:tcW w:w="1502" w:type="dxa"/>
            <w:vMerge w:val="restart"/>
            <w:vAlign w:val="center"/>
          </w:tcPr>
          <w:p w14:paraId="705002BB">
            <w:pPr>
              <w:jc w:val="center"/>
              <w:textAlignment w:val="baseline"/>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00000.00</w:t>
            </w:r>
          </w:p>
        </w:tc>
      </w:tr>
      <w:tr w14:paraId="5349F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0" w:type="auto"/>
            <w:vMerge w:val="continue"/>
            <w:vAlign w:val="center"/>
          </w:tcPr>
          <w:p w14:paraId="774B9F2B">
            <w:pPr>
              <w:widowControl/>
              <w:jc w:val="center"/>
              <w:textAlignment w:val="baseline"/>
              <w:rPr>
                <w:rFonts w:hint="eastAsia" w:ascii="宋体" w:hAnsi="宋体" w:eastAsia="宋体" w:cs="宋体"/>
                <w:szCs w:val="21"/>
              </w:rPr>
            </w:pPr>
          </w:p>
        </w:tc>
        <w:tc>
          <w:tcPr>
            <w:tcW w:w="4174" w:type="dxa"/>
            <w:tcBorders>
              <w:top w:val="single" w:color="auto" w:sz="4" w:space="0"/>
            </w:tcBorders>
            <w:vAlign w:val="center"/>
          </w:tcPr>
          <w:p w14:paraId="29F6A2DD">
            <w:pPr>
              <w:jc w:val="center"/>
              <w:textAlignment w:val="baseline"/>
              <w:rPr>
                <w:rFonts w:hint="eastAsia" w:ascii="宋体" w:hAnsi="宋体" w:eastAsia="宋体" w:cs="宋体"/>
                <w:szCs w:val="21"/>
              </w:rPr>
            </w:pPr>
            <w:r>
              <w:rPr>
                <w:rFonts w:hint="eastAsia" w:ascii="宋体" w:hAnsi="宋体" w:eastAsia="宋体" w:cs="宋体"/>
                <w:szCs w:val="21"/>
              </w:rPr>
              <w:t>农产品电商</w:t>
            </w:r>
            <w:r>
              <w:rPr>
                <w:rFonts w:hint="eastAsia" w:ascii="宋体" w:hAnsi="宋体" w:eastAsia="宋体" w:cs="宋体"/>
                <w:szCs w:val="21"/>
                <w:lang w:eastAsia="zh-CN"/>
              </w:rPr>
              <w:t>（</w:t>
            </w:r>
            <w:r>
              <w:rPr>
                <w:rFonts w:hint="eastAsia" w:ascii="宋体" w:hAnsi="宋体" w:eastAsia="宋体" w:cs="宋体"/>
                <w:color w:val="FF0000"/>
                <w:szCs w:val="21"/>
                <w:lang w:val="en-US" w:eastAsia="zh-CN"/>
              </w:rPr>
              <w:t>村播）</w:t>
            </w:r>
            <w:r>
              <w:rPr>
                <w:rFonts w:hint="eastAsia" w:ascii="宋体" w:hAnsi="宋体" w:eastAsia="宋体" w:cs="宋体"/>
                <w:szCs w:val="21"/>
              </w:rPr>
              <w:t>专题培训</w:t>
            </w:r>
          </w:p>
        </w:tc>
        <w:tc>
          <w:tcPr>
            <w:tcW w:w="2268" w:type="dxa"/>
            <w:tcBorders>
              <w:top w:val="single" w:color="auto" w:sz="4" w:space="0"/>
            </w:tcBorders>
            <w:vAlign w:val="center"/>
          </w:tcPr>
          <w:p w14:paraId="58C1A5E1">
            <w:pPr>
              <w:widowControl/>
              <w:jc w:val="center"/>
              <w:textAlignment w:val="baseline"/>
              <w:rPr>
                <w:rFonts w:hint="eastAsia" w:ascii="宋体" w:hAnsi="宋体" w:eastAsia="宋体" w:cs="宋体"/>
                <w:szCs w:val="21"/>
              </w:rPr>
            </w:pPr>
            <w:r>
              <w:rPr>
                <w:rFonts w:hint="eastAsia" w:ascii="宋体" w:hAnsi="宋体" w:eastAsia="宋体" w:cs="宋体"/>
                <w:szCs w:val="21"/>
              </w:rPr>
              <w:t>50人</w:t>
            </w:r>
            <w:r>
              <w:rPr>
                <w:rFonts w:ascii="宋体" w:hAnsi="宋体" w:eastAsia="宋体" w:cs="宋体"/>
                <w:szCs w:val="21"/>
              </w:rPr>
              <w:t>×</w:t>
            </w:r>
            <w:r>
              <w:rPr>
                <w:rFonts w:hint="eastAsia" w:ascii="宋体" w:hAnsi="宋体" w:eastAsia="宋体" w:cs="宋体"/>
                <w:szCs w:val="21"/>
              </w:rPr>
              <w:t>6000元/人</w:t>
            </w:r>
          </w:p>
        </w:tc>
        <w:tc>
          <w:tcPr>
            <w:tcW w:w="1502" w:type="dxa"/>
            <w:vMerge w:val="continue"/>
            <w:vAlign w:val="center"/>
          </w:tcPr>
          <w:p w14:paraId="5DCCA47F">
            <w:pPr>
              <w:jc w:val="center"/>
              <w:textAlignment w:val="baseline"/>
              <w:rPr>
                <w:rFonts w:hint="eastAsia" w:ascii="宋体" w:hAnsi="宋体" w:eastAsia="宋体" w:cs="宋体"/>
                <w:szCs w:val="21"/>
              </w:rPr>
            </w:pPr>
          </w:p>
        </w:tc>
      </w:tr>
      <w:tr w14:paraId="5F297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0" w:type="auto"/>
            <w:vAlign w:val="center"/>
          </w:tcPr>
          <w:p w14:paraId="45C828E3">
            <w:pPr>
              <w:widowControl/>
              <w:jc w:val="center"/>
              <w:textAlignment w:val="baseline"/>
              <w:rPr>
                <w:rFonts w:hint="eastAsia" w:ascii="宋体" w:hAnsi="宋体" w:eastAsia="宋体" w:cs="宋体"/>
                <w:szCs w:val="21"/>
              </w:rPr>
            </w:pPr>
            <w:r>
              <w:rPr>
                <w:rFonts w:hint="eastAsia" w:ascii="宋体" w:hAnsi="宋体" w:eastAsia="宋体" w:cs="宋体"/>
                <w:szCs w:val="21"/>
              </w:rPr>
              <w:t>04</w:t>
            </w:r>
          </w:p>
        </w:tc>
        <w:tc>
          <w:tcPr>
            <w:tcW w:w="4174" w:type="dxa"/>
            <w:vAlign w:val="center"/>
          </w:tcPr>
          <w:p w14:paraId="177D19F8">
            <w:pPr>
              <w:widowControl/>
              <w:jc w:val="center"/>
              <w:textAlignment w:val="baseline"/>
              <w:rPr>
                <w:rFonts w:hint="eastAsia" w:ascii="宋体" w:hAnsi="宋体" w:eastAsia="宋体" w:cs="宋体"/>
                <w:szCs w:val="21"/>
              </w:rPr>
            </w:pPr>
            <w:r>
              <w:rPr>
                <w:rFonts w:hint="eastAsia" w:ascii="宋体" w:hAnsi="宋体" w:eastAsia="宋体" w:cs="宋体"/>
                <w:szCs w:val="21"/>
              </w:rPr>
              <w:t>乡土文化能人（新化山歌）专题培训</w:t>
            </w:r>
          </w:p>
        </w:tc>
        <w:tc>
          <w:tcPr>
            <w:tcW w:w="2268" w:type="dxa"/>
            <w:vAlign w:val="center"/>
          </w:tcPr>
          <w:p w14:paraId="143C018C">
            <w:pPr>
              <w:widowControl/>
              <w:jc w:val="center"/>
              <w:textAlignment w:val="baseline"/>
              <w:rPr>
                <w:rFonts w:hint="eastAsia" w:ascii="宋体" w:hAnsi="宋体" w:eastAsia="宋体" w:cs="宋体"/>
                <w:szCs w:val="21"/>
              </w:rPr>
            </w:pPr>
            <w:r>
              <w:rPr>
                <w:rFonts w:hint="eastAsia" w:ascii="宋体" w:hAnsi="宋体" w:eastAsia="宋体" w:cs="宋体"/>
                <w:szCs w:val="21"/>
              </w:rPr>
              <w:t>50人</w:t>
            </w:r>
            <w:r>
              <w:rPr>
                <w:rFonts w:ascii="宋体" w:hAnsi="宋体" w:eastAsia="宋体" w:cs="宋体"/>
                <w:szCs w:val="21"/>
              </w:rPr>
              <w:t>×</w:t>
            </w:r>
            <w:r>
              <w:rPr>
                <w:rFonts w:hint="eastAsia" w:ascii="宋体" w:hAnsi="宋体" w:eastAsia="宋体" w:cs="宋体"/>
                <w:szCs w:val="21"/>
              </w:rPr>
              <w:t>6000元/人</w:t>
            </w:r>
          </w:p>
        </w:tc>
        <w:tc>
          <w:tcPr>
            <w:tcW w:w="1502" w:type="dxa"/>
            <w:vAlign w:val="center"/>
          </w:tcPr>
          <w:p w14:paraId="53095A3F">
            <w:pPr>
              <w:widowControl/>
              <w:jc w:val="center"/>
              <w:textAlignment w:val="baseline"/>
              <w:rPr>
                <w:rFonts w:hint="eastAsia" w:ascii="宋体" w:hAnsi="宋体" w:eastAsia="宋体" w:cs="宋体"/>
                <w:szCs w:val="21"/>
              </w:rPr>
            </w:pPr>
            <w:r>
              <w:rPr>
                <w:rFonts w:hint="eastAsia" w:ascii="宋体" w:hAnsi="宋体" w:eastAsia="宋体" w:cs="宋体"/>
                <w:szCs w:val="21"/>
              </w:rPr>
              <w:t>300000.00</w:t>
            </w:r>
          </w:p>
        </w:tc>
      </w:tr>
    </w:tbl>
    <w:p w14:paraId="1682F261">
      <w:pPr>
        <w:spacing w:line="400" w:lineRule="exact"/>
        <w:rPr>
          <w:rFonts w:hint="eastAsia" w:ascii="宋体" w:hAnsi="宋体" w:eastAsia="宋体" w:cs="Times New Roman"/>
          <w:color w:val="FF0000"/>
          <w:szCs w:val="21"/>
        </w:rPr>
      </w:pPr>
      <w:r>
        <w:rPr>
          <w:rFonts w:hint="eastAsia" w:ascii="宋体" w:hAnsi="宋体" w:eastAsia="宋体" w:cs="Times New Roman"/>
          <w:color w:val="FF0000"/>
          <w:szCs w:val="21"/>
        </w:rPr>
        <w:t>说明：</w:t>
      </w:r>
      <w:r>
        <w:rPr>
          <w:rFonts w:hint="eastAsia" w:ascii="宋体" w:hAnsi="宋体" w:eastAsia="宋体" w:cs="Times New Roman"/>
          <w:color w:val="FF0000"/>
          <w:szCs w:val="21"/>
          <w:lang w:val="en-US" w:eastAsia="zh-CN"/>
        </w:rPr>
        <w:t>1</w:t>
      </w:r>
      <w:r>
        <w:rPr>
          <w:rFonts w:hint="eastAsia" w:ascii="宋体" w:hAnsi="宋体" w:eastAsia="宋体" w:cs="Times New Roman"/>
          <w:color w:val="FF0000"/>
          <w:szCs w:val="21"/>
        </w:rPr>
        <w:t>.</w:t>
      </w:r>
      <w:r>
        <w:rPr>
          <w:rFonts w:hint="eastAsia" w:ascii="宋体" w:hAnsi="宋体" w:eastAsia="宋体" w:cs="宋体"/>
          <w:b/>
          <w:bCs/>
          <w:color w:val="FF0000"/>
          <w:kern w:val="2"/>
          <w:sz w:val="21"/>
          <w:szCs w:val="21"/>
          <w:lang w:val="en-US" w:eastAsia="zh-CN" w:bidi="ar-SA"/>
        </w:rPr>
        <w:t>所有包内班级培育对象均要求为非公职人员。</w:t>
      </w:r>
    </w:p>
    <w:p w14:paraId="6584FA3B">
      <w:pPr>
        <w:spacing w:line="400" w:lineRule="exact"/>
        <w:ind w:firstLine="630" w:firstLineChars="300"/>
        <w:rPr>
          <w:rFonts w:ascii="宋体" w:hAnsi="宋体" w:eastAsia="宋体" w:cs="Times New Roman"/>
          <w:b/>
          <w:szCs w:val="21"/>
          <w:highlight w:val="none"/>
        </w:rPr>
      </w:pPr>
      <w:r>
        <w:rPr>
          <w:rFonts w:hint="eastAsia" w:ascii="宋体" w:hAnsi="宋体" w:eastAsia="宋体" w:cs="Times New Roman"/>
          <w:color w:val="FF0000"/>
          <w:szCs w:val="21"/>
          <w:lang w:val="en-US" w:eastAsia="zh-CN"/>
        </w:rPr>
        <w:t>2</w:t>
      </w:r>
      <w:r>
        <w:rPr>
          <w:rFonts w:hint="eastAsia" w:ascii="宋体" w:hAnsi="宋体" w:eastAsia="宋体" w:cs="Times New Roman"/>
          <w:color w:val="FF0000"/>
          <w:szCs w:val="21"/>
        </w:rPr>
        <w:t>.本项目分</w:t>
      </w:r>
      <w:r>
        <w:rPr>
          <w:rFonts w:hint="eastAsia" w:ascii="宋体" w:hAnsi="宋体" w:eastAsia="宋体" w:cs="Times New Roman"/>
          <w:color w:val="FF0000"/>
          <w:szCs w:val="21"/>
          <w:lang w:val="en-US" w:eastAsia="zh-CN"/>
        </w:rPr>
        <w:t>4</w:t>
      </w:r>
      <w:r>
        <w:rPr>
          <w:rFonts w:hint="eastAsia" w:ascii="宋体" w:hAnsi="宋体" w:eastAsia="宋体" w:cs="Times New Roman"/>
          <w:color w:val="FF0000"/>
          <w:szCs w:val="21"/>
        </w:rPr>
        <w:t>个包，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4D032DCA">
      <w:pPr>
        <w:adjustRightInd w:val="0"/>
        <w:snapToGrid w:val="0"/>
        <w:spacing w:line="360" w:lineRule="auto"/>
        <w:ind w:firstLine="410" w:firstLineChars="200"/>
        <w:rPr>
          <w:rFonts w:ascii="宋体" w:hAnsi="宋体" w:eastAsia="宋体" w:cs="宋体"/>
          <w:szCs w:val="21"/>
        </w:rPr>
      </w:pPr>
      <w:r>
        <w:rPr>
          <w:rFonts w:hint="eastAsia" w:ascii="宋体" w:hAnsi="宋体" w:eastAsia="宋体" w:cs="宋体"/>
          <w:b/>
          <w:bCs/>
          <w:spacing w:val="-3"/>
          <w:szCs w:val="21"/>
        </w:rPr>
        <w:t>三、培育工作目标</w:t>
      </w:r>
    </w:p>
    <w:p w14:paraId="6DBE128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为深入贯彻落实中央、省、市文件以及中央和省委农村工作会议精神，培养壮大乡村人才队伍，按照《湖南省农业农村厅办公室关于印发〈湖南省2026年高素质农民培育工作实施方案〉的通知》（湘农办发〔2026〕22号）要求，结合我县实际，制定如下目标。</w:t>
      </w:r>
    </w:p>
    <w:p w14:paraId="7A2AAF7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1、常规班：重要农产品（小水果）经营管理能力提升班50人；农机手（无人机）技能提升班100人</w:t>
      </w:r>
      <w:r>
        <w:rPr>
          <w:rFonts w:hint="eastAsia" w:ascii="宋体" w:hAnsi="宋体" w:eastAsia="宋体" w:cs="宋体"/>
          <w:color w:val="FF0000"/>
          <w:szCs w:val="21"/>
          <w:lang w:eastAsia="zh-CN"/>
        </w:rPr>
        <w:t>（</w:t>
      </w:r>
      <w:r>
        <w:rPr>
          <w:rFonts w:hint="eastAsia" w:ascii="宋体" w:hAnsi="宋体" w:eastAsia="宋体" w:cs="宋体"/>
          <w:color w:val="FF0000"/>
          <w:szCs w:val="21"/>
          <w:lang w:val="en-US" w:eastAsia="zh-CN"/>
        </w:rPr>
        <w:t>分2个</w:t>
      </w:r>
      <w:r>
        <w:rPr>
          <w:rFonts w:hint="eastAsia" w:ascii="宋体" w:hAnsi="宋体" w:eastAsia="宋体" w:cs="宋体"/>
          <w:color w:val="0000FF"/>
          <w:szCs w:val="21"/>
          <w:lang w:val="en-US" w:eastAsia="zh-CN"/>
        </w:rPr>
        <w:t>班</w:t>
      </w:r>
      <w:r>
        <w:rPr>
          <w:rFonts w:hint="eastAsia" w:ascii="宋体" w:hAnsi="宋体" w:eastAsia="宋体" w:cs="宋体"/>
          <w:color w:val="FF0000"/>
          <w:szCs w:val="21"/>
          <w:lang w:val="en-US" w:eastAsia="zh-CN"/>
        </w:rPr>
        <w:t>实施</w:t>
      </w:r>
      <w:r>
        <w:rPr>
          <w:rFonts w:hint="eastAsia" w:ascii="宋体" w:hAnsi="宋体" w:eastAsia="宋体" w:cs="宋体"/>
          <w:color w:val="FF0000"/>
          <w:szCs w:val="21"/>
          <w:lang w:eastAsia="zh-CN"/>
        </w:rPr>
        <w:t>）</w:t>
      </w:r>
      <w:r>
        <w:rPr>
          <w:rFonts w:hint="eastAsia" w:ascii="宋体" w:hAnsi="宋体" w:eastAsia="宋体" w:cs="宋体"/>
          <w:szCs w:val="21"/>
        </w:rPr>
        <w:t>；农村集体经济组织带头人培训班50人。</w:t>
      </w:r>
    </w:p>
    <w:p w14:paraId="0E923E2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2、专题班：其中智慧农业+AI智能应用专题培训班50人，农产品电</w:t>
      </w:r>
      <w:r>
        <w:rPr>
          <w:rFonts w:hint="eastAsia" w:ascii="宋体" w:hAnsi="宋体" w:eastAsia="宋体" w:cs="宋体"/>
          <w:color w:val="000000"/>
          <w:szCs w:val="21"/>
        </w:rPr>
        <w:t>商</w:t>
      </w:r>
      <w:r>
        <w:rPr>
          <w:rFonts w:hint="eastAsia" w:ascii="宋体" w:hAnsi="宋体" w:eastAsia="宋体" w:cs="宋体"/>
          <w:color w:val="4BACC6"/>
          <w:szCs w:val="21"/>
          <w:lang w:eastAsia="zh-CN"/>
        </w:rPr>
        <w:t>（</w:t>
      </w:r>
      <w:r>
        <w:rPr>
          <w:rFonts w:hint="eastAsia" w:ascii="宋体" w:hAnsi="宋体" w:eastAsia="宋体" w:cs="宋体"/>
          <w:color w:val="4BACC6"/>
          <w:szCs w:val="21"/>
          <w:lang w:val="en-US" w:eastAsia="zh-CN"/>
        </w:rPr>
        <w:t>村播）</w:t>
      </w:r>
      <w:r>
        <w:rPr>
          <w:rFonts w:hint="eastAsia" w:ascii="宋体" w:hAnsi="宋体" w:eastAsia="宋体" w:cs="宋体"/>
          <w:szCs w:val="21"/>
        </w:rPr>
        <w:t>专题培训班50人，乡土文化能人（新化山歌）专题培训班50人。</w:t>
      </w:r>
    </w:p>
    <w:p w14:paraId="52F09D3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3、学时安排。常规班总学时不少于56课时，专题班总学时不少于112学时（含线上线下）。</w:t>
      </w:r>
    </w:p>
    <w:p w14:paraId="5BB2BDC7">
      <w:pPr>
        <w:adjustRightInd w:val="0"/>
        <w:snapToGrid w:val="0"/>
        <w:spacing w:line="360" w:lineRule="auto"/>
        <w:ind w:firstLine="420" w:firstLineChars="200"/>
        <w:rPr>
          <w:rFonts w:hint="eastAsia" w:ascii="宋体" w:hAnsi="宋体" w:eastAsia="宋体" w:cs="宋体"/>
          <w:color w:val="FF0000"/>
          <w:szCs w:val="21"/>
          <w:highlight w:val="yellow"/>
        </w:rPr>
      </w:pPr>
      <w:r>
        <w:rPr>
          <w:rFonts w:hint="eastAsia" w:ascii="宋体" w:hAnsi="宋体" w:eastAsia="宋体" w:cs="宋体"/>
          <w:szCs w:val="21"/>
          <w:lang w:val="en-US" w:eastAsia="zh-CN"/>
        </w:rPr>
        <w:t>4</w:t>
      </w:r>
      <w:r>
        <w:rPr>
          <w:rFonts w:hint="eastAsia" w:ascii="宋体" w:hAnsi="宋体" w:eastAsia="宋体" w:cs="宋体"/>
          <w:szCs w:val="21"/>
        </w:rPr>
        <w:t>、</w:t>
      </w:r>
      <w:r>
        <w:rPr>
          <w:rFonts w:hint="eastAsia" w:ascii="宋体" w:hAnsi="宋体" w:eastAsia="宋体" w:cs="宋体"/>
          <w:color w:val="FF0000"/>
          <w:szCs w:val="21"/>
          <w:highlight w:val="yellow"/>
          <w:lang w:val="en-US" w:eastAsia="zh-CN"/>
        </w:rPr>
        <w:t>各包拟投入本项目的专、兼职师资规模不少于12名</w:t>
      </w:r>
      <w:r>
        <w:rPr>
          <w:rFonts w:hint="eastAsia" w:ascii="宋体" w:hAnsi="宋体" w:eastAsia="宋体" w:cs="宋体"/>
          <w:color w:val="FF0000"/>
          <w:szCs w:val="21"/>
          <w:highlight w:val="yellow"/>
          <w:lang w:eastAsia="zh-CN"/>
        </w:rPr>
        <w:t>。</w:t>
      </w:r>
    </w:p>
    <w:p w14:paraId="1B94FC77">
      <w:pPr>
        <w:adjustRightInd w:val="0"/>
        <w:snapToGrid w:val="0"/>
        <w:spacing w:line="360" w:lineRule="auto"/>
        <w:ind w:firstLine="422" w:firstLineChars="200"/>
        <w:rPr>
          <w:rFonts w:ascii="宋体" w:hAnsi="宋体" w:eastAsia="宋体" w:cs="宋体"/>
          <w:b/>
          <w:bCs/>
          <w:szCs w:val="21"/>
        </w:rPr>
      </w:pPr>
      <w:r>
        <w:rPr>
          <w:rFonts w:hint="eastAsia" w:ascii="宋体" w:hAnsi="宋体" w:eastAsia="宋体" w:cs="黑体"/>
          <w:b/>
          <w:szCs w:val="21"/>
        </w:rPr>
        <w:t>四、</w:t>
      </w:r>
      <w:r>
        <w:rPr>
          <w:rFonts w:hint="eastAsia" w:ascii="宋体" w:hAnsi="宋体" w:eastAsia="宋体" w:cs="宋体"/>
          <w:b/>
          <w:bCs/>
          <w:szCs w:val="21"/>
        </w:rPr>
        <w:t>服务内容</w:t>
      </w:r>
    </w:p>
    <w:p w14:paraId="71A8DFB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包1：重要农产品（小水果）经营管理能力提升和农村集体经济组织带头人培训</w:t>
      </w:r>
    </w:p>
    <w:p w14:paraId="65C608E9">
      <w:pPr>
        <w:numPr>
          <w:ilvl w:val="0"/>
          <w:numId w:val="1"/>
        </w:num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重要农产品（小水果）经营管理能力提升班（总50人）：重点围绕生态高效栽培技术、病虫害防治、全产业链标准化管理等内容开展小水果等经济作物领域培训。面向新型农业经营主体强化法律法规、扶持政策、底线红线、职业道德、行业标准、质量安全、绿色发展、品牌打造等相关内容培训。</w:t>
      </w:r>
    </w:p>
    <w:p w14:paraId="60C350FC">
      <w:pPr>
        <w:numPr>
          <w:ilvl w:val="0"/>
          <w:numId w:val="1"/>
        </w:numPr>
        <w:adjustRightInd w:val="0"/>
        <w:snapToGrid w:val="0"/>
        <w:spacing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农村集体经济组织带头人培训班（总人数50人）：围绕提升政治素养与执行力、强化市场经营管理与产业发展能力、深化集体资产管理与财务规范、增强廉洁自律与风险防控意识等方面开展培训，着力打造一支懂经营、善治理、守底线的农村集体经济组织带头人队伍，为发展壮大农村集体经济提供坚实支撑。</w:t>
      </w:r>
    </w:p>
    <w:p w14:paraId="18DAACE3">
      <w:pPr>
        <w:numPr>
          <w:ilvl w:val="0"/>
          <w:numId w:val="0"/>
        </w:numPr>
        <w:adjustRightInd w:val="0"/>
        <w:snapToGrid w:val="0"/>
        <w:spacing w:line="360" w:lineRule="auto"/>
        <w:ind w:firstLine="420"/>
        <w:rPr>
          <w:rFonts w:hint="eastAsia" w:ascii="宋体" w:hAnsi="宋体" w:eastAsia="宋体" w:cs="宋体"/>
          <w:szCs w:val="21"/>
          <w:lang w:val="en-US" w:eastAsia="zh-CN"/>
        </w:rPr>
      </w:pPr>
      <w:r>
        <w:rPr>
          <w:rFonts w:hint="eastAsia" w:ascii="宋体" w:hAnsi="宋体" w:eastAsia="宋体" w:cs="宋体"/>
          <w:szCs w:val="21"/>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D767366">
      <w:pPr>
        <w:numPr>
          <w:ilvl w:val="0"/>
          <w:numId w:val="0"/>
        </w:numPr>
        <w:adjustRightInd w:val="0"/>
        <w:snapToGrid w:val="0"/>
        <w:spacing w:line="360" w:lineRule="auto"/>
        <w:ind w:firstLine="420"/>
        <w:rPr>
          <w:rFonts w:hint="eastAsia" w:ascii="宋体" w:hAnsi="宋体" w:eastAsia="宋体" w:cs="宋体"/>
          <w:szCs w:val="21"/>
        </w:rPr>
      </w:pPr>
      <w:r>
        <w:rPr>
          <w:rFonts w:hint="default" w:ascii="宋体" w:hAnsi="宋体" w:eastAsia="宋体" w:cs="宋体"/>
          <w:szCs w:val="21"/>
          <w:lang w:val="en-US" w:eastAsia="zh-CN"/>
        </w:rPr>
        <w:t>实践基地要求</w:t>
      </w:r>
      <w:r>
        <w:rPr>
          <w:rFonts w:hint="eastAsia" w:ascii="宋体" w:hAnsi="宋体" w:eastAsia="宋体" w:cs="宋体"/>
          <w:szCs w:val="21"/>
          <w:lang w:val="en-US" w:eastAsia="zh-CN"/>
        </w:rPr>
        <w:t>：每班</w:t>
      </w:r>
      <w:r>
        <w:rPr>
          <w:rFonts w:hint="default" w:ascii="宋体" w:hAnsi="宋体" w:eastAsia="宋体" w:cs="宋体"/>
          <w:szCs w:val="21"/>
          <w:lang w:val="en-US" w:eastAsia="zh-CN"/>
        </w:rPr>
        <w:t>提供2处或2处以上与培训内容相匹配，同时已纳入农民教育培育信息管理系统实践教学的场所。</w:t>
      </w:r>
    </w:p>
    <w:p w14:paraId="5B51FC44">
      <w:pPr>
        <w:adjustRightInd w:val="0"/>
        <w:snapToGrid w:val="0"/>
        <w:spacing w:line="360" w:lineRule="auto"/>
        <w:ind w:firstLine="420" w:firstLineChars="200"/>
        <w:rPr>
          <w:rFonts w:hint="eastAsia" w:ascii="宋体" w:hAnsi="宋体" w:eastAsia="宋体" w:cs="宋体"/>
          <w:color w:val="1F497D"/>
          <w:szCs w:val="21"/>
        </w:rPr>
      </w:pPr>
      <w:r>
        <w:rPr>
          <w:rFonts w:hint="eastAsia" w:ascii="宋体" w:hAnsi="宋体" w:eastAsia="宋体" w:cs="宋体"/>
          <w:szCs w:val="21"/>
        </w:rPr>
        <w:t>包2：农机手（无人机）技能提升（总100人</w:t>
      </w:r>
      <w:r>
        <w:rPr>
          <w:rFonts w:hint="eastAsia" w:ascii="宋体" w:hAnsi="宋体" w:eastAsia="宋体" w:cs="宋体"/>
          <w:color w:val="FF0000"/>
          <w:szCs w:val="21"/>
          <w:lang w:val="en-US" w:eastAsia="zh-CN"/>
        </w:rPr>
        <w:t>分2个</w:t>
      </w:r>
      <w:r>
        <w:rPr>
          <w:rFonts w:hint="eastAsia" w:ascii="宋体" w:hAnsi="宋体" w:eastAsia="宋体" w:cs="宋体"/>
          <w:color w:val="0000FF"/>
          <w:szCs w:val="21"/>
          <w:lang w:val="en-US" w:eastAsia="zh-CN"/>
        </w:rPr>
        <w:t>班</w:t>
      </w:r>
      <w:r>
        <w:rPr>
          <w:rFonts w:hint="eastAsia" w:ascii="宋体" w:hAnsi="宋体" w:eastAsia="宋体" w:cs="宋体"/>
          <w:color w:val="FF0000"/>
          <w:szCs w:val="21"/>
          <w:lang w:val="en-US" w:eastAsia="zh-CN"/>
        </w:rPr>
        <w:t>实施。</w:t>
      </w:r>
      <w:r>
        <w:rPr>
          <w:rFonts w:hint="eastAsia" w:ascii="宋体" w:hAnsi="宋体" w:eastAsia="宋体" w:cs="宋体"/>
          <w:color w:val="1F497D"/>
          <w:szCs w:val="21"/>
          <w:lang w:val="en-US" w:eastAsia="zh-CN"/>
        </w:rPr>
        <w:t>无人机1班粮油作物高效飞防植保，无人机2班低空经济场景拓展</w:t>
      </w:r>
      <w:r>
        <w:rPr>
          <w:rFonts w:hint="eastAsia" w:ascii="宋体" w:hAnsi="宋体" w:eastAsia="宋体" w:cs="宋体"/>
          <w:color w:val="1F497D"/>
          <w:szCs w:val="21"/>
        </w:rPr>
        <w:t>）</w:t>
      </w:r>
    </w:p>
    <w:p w14:paraId="3E954A4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以支撑农业机械化全程全面高质量发展为目标，聚焦粮油作物机械化作业关键环节，面向专业农机手、农机大户、农机作业服务组织带头人，通过“理论教学+实操实训+作业演练”相结合的模式（如田间机械实操考核、飞防模拟作业竞赛等）。主攻粮油作物耕种管收高效飞防植保（无人机航线规划、药剂配比）、低空经济场景拓展（无人机农业场景应用、物资运输中的创新应用）等机械化作业技术。培育一批懂智能农机、会操作无人机的复合型农机手人才。同时强化农机安全生产规范、农机具维护保养、作业服务组织管理等内容培训，提升专业农机手的综合服务能力。考核合格者发放农机（无人机）操作合格证。</w:t>
      </w:r>
    </w:p>
    <w:p w14:paraId="01AD9C12">
      <w:pPr>
        <w:numPr>
          <w:ilvl w:val="0"/>
          <w:numId w:val="0"/>
        </w:numPr>
        <w:adjustRightInd w:val="0"/>
        <w:snapToGrid w:val="0"/>
        <w:spacing w:line="360" w:lineRule="auto"/>
        <w:ind w:firstLine="420"/>
        <w:rPr>
          <w:rFonts w:hint="eastAsia" w:ascii="宋体" w:hAnsi="宋体" w:eastAsia="宋体" w:cs="宋体"/>
          <w:szCs w:val="21"/>
          <w:lang w:val="en-US" w:eastAsia="zh-CN"/>
        </w:rPr>
      </w:pPr>
      <w:r>
        <w:rPr>
          <w:rFonts w:hint="eastAsia" w:ascii="宋体" w:hAnsi="宋体" w:eastAsia="宋体" w:cs="宋体"/>
          <w:szCs w:val="21"/>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75B34C8">
      <w:pPr>
        <w:numPr>
          <w:ilvl w:val="0"/>
          <w:numId w:val="0"/>
        </w:numPr>
        <w:adjustRightInd w:val="0"/>
        <w:snapToGrid w:val="0"/>
        <w:spacing w:line="360" w:lineRule="auto"/>
        <w:ind w:firstLine="420"/>
        <w:rPr>
          <w:rFonts w:hint="eastAsia" w:ascii="宋体" w:hAnsi="宋体" w:eastAsia="宋体" w:cs="宋体"/>
          <w:szCs w:val="21"/>
        </w:rPr>
      </w:pPr>
      <w:r>
        <w:rPr>
          <w:rFonts w:hint="default" w:ascii="宋体" w:hAnsi="宋体" w:eastAsia="宋体" w:cs="宋体"/>
          <w:szCs w:val="21"/>
          <w:lang w:val="en-US" w:eastAsia="zh-CN"/>
        </w:rPr>
        <w:t>实践基地要求</w:t>
      </w:r>
      <w:r>
        <w:rPr>
          <w:rFonts w:hint="eastAsia" w:ascii="宋体" w:hAnsi="宋体" w:eastAsia="宋体" w:cs="宋体"/>
          <w:szCs w:val="21"/>
          <w:lang w:val="en-US" w:eastAsia="zh-CN"/>
        </w:rPr>
        <w:t>：每班</w:t>
      </w:r>
      <w:r>
        <w:rPr>
          <w:rFonts w:hint="default" w:ascii="宋体" w:hAnsi="宋体" w:eastAsia="宋体" w:cs="宋体"/>
          <w:szCs w:val="21"/>
          <w:lang w:val="en-US" w:eastAsia="zh-CN"/>
        </w:rPr>
        <w:t>提供2处或2处以上与培训内容相匹配，同时已纳入农民教育培育信息管理系统实践教学的场所。</w:t>
      </w:r>
    </w:p>
    <w:p w14:paraId="0F69EFE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包3：智慧农业+AI智能应用专题培训和农产品电商</w:t>
      </w:r>
      <w:r>
        <w:rPr>
          <w:rFonts w:hint="eastAsia" w:ascii="宋体" w:hAnsi="宋体" w:eastAsia="宋体" w:cs="宋体"/>
          <w:szCs w:val="21"/>
          <w:lang w:eastAsia="zh-CN"/>
        </w:rPr>
        <w:t>（</w:t>
      </w:r>
      <w:r>
        <w:rPr>
          <w:rFonts w:hint="eastAsia" w:ascii="宋体" w:hAnsi="宋体" w:eastAsia="宋体" w:cs="宋体"/>
          <w:color w:val="0000FF"/>
          <w:szCs w:val="21"/>
          <w:lang w:val="en-US" w:eastAsia="zh-CN"/>
        </w:rPr>
        <w:t>村播）</w:t>
      </w:r>
      <w:r>
        <w:rPr>
          <w:rFonts w:hint="eastAsia" w:ascii="宋体" w:hAnsi="宋体" w:eastAsia="宋体" w:cs="宋体"/>
          <w:szCs w:val="21"/>
        </w:rPr>
        <w:t>专题培训</w:t>
      </w:r>
    </w:p>
    <w:p w14:paraId="799EE14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智慧农业+AI智能应用班（50人）：面向有智慧农业发展需求的农业企业负责人、规模化种养大户、家庭农场主、农民合作社带头人等，围绕农业大数据平台使用（作物长势分析、产量预测等）、人工智能技术在农产品营销和品牌打造中的应用、数字农业场景应用、智能手机和数字化办公工具在农业主体中的落地应用等内容开展培训。采取“理论+实操+观摩研学”模式开展集中培训。</w:t>
      </w:r>
    </w:p>
    <w:p w14:paraId="07532A6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2、农产品电商</w:t>
      </w:r>
      <w:r>
        <w:rPr>
          <w:rFonts w:hint="eastAsia" w:ascii="宋体" w:hAnsi="宋体" w:eastAsia="宋体" w:cs="宋体"/>
          <w:szCs w:val="21"/>
          <w:lang w:eastAsia="zh-CN"/>
        </w:rPr>
        <w:t>（</w:t>
      </w:r>
      <w:r>
        <w:rPr>
          <w:rFonts w:hint="eastAsia" w:ascii="宋体" w:hAnsi="宋体" w:eastAsia="宋体" w:cs="宋体"/>
          <w:color w:val="0000FF"/>
          <w:szCs w:val="21"/>
          <w:lang w:val="en-US" w:eastAsia="zh-CN"/>
        </w:rPr>
        <w:t>村播）</w:t>
      </w:r>
      <w:r>
        <w:rPr>
          <w:rFonts w:hint="eastAsia" w:ascii="宋体" w:hAnsi="宋体" w:eastAsia="宋体" w:cs="宋体"/>
          <w:szCs w:val="21"/>
        </w:rPr>
        <w:t>专题培训班（50人）：面向从事农产品网络销售和农产品生产经营的农民或返乡从业人员。围绕品牌营销、产品设计、视频拍摄、文案策划等内容开展培训。采取“理论+实操+观摩研学”模式开展集中培训。</w:t>
      </w:r>
    </w:p>
    <w:p w14:paraId="65FF3CE0">
      <w:pPr>
        <w:numPr>
          <w:ilvl w:val="0"/>
          <w:numId w:val="0"/>
        </w:numPr>
        <w:adjustRightInd w:val="0"/>
        <w:snapToGrid w:val="0"/>
        <w:spacing w:line="360" w:lineRule="auto"/>
        <w:ind w:firstLine="420"/>
        <w:rPr>
          <w:rFonts w:hint="eastAsia" w:ascii="宋体" w:hAnsi="宋体" w:eastAsia="宋体" w:cs="宋体"/>
          <w:szCs w:val="21"/>
          <w:lang w:val="en-US" w:eastAsia="zh-CN"/>
        </w:rPr>
      </w:pPr>
      <w:r>
        <w:rPr>
          <w:rFonts w:hint="eastAsia" w:ascii="宋体" w:hAnsi="宋体" w:eastAsia="宋体" w:cs="宋体"/>
          <w:szCs w:val="21"/>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5F88DB2A">
      <w:pPr>
        <w:numPr>
          <w:ilvl w:val="0"/>
          <w:numId w:val="0"/>
        </w:numPr>
        <w:adjustRightInd w:val="0"/>
        <w:snapToGrid w:val="0"/>
        <w:spacing w:line="360" w:lineRule="auto"/>
        <w:ind w:firstLine="420"/>
        <w:rPr>
          <w:rFonts w:hint="default" w:ascii="宋体" w:hAnsi="宋体" w:eastAsia="宋体" w:cs="宋体"/>
          <w:szCs w:val="21"/>
          <w:lang w:val="en-US" w:eastAsia="zh-CN"/>
        </w:rPr>
      </w:pPr>
      <w:r>
        <w:rPr>
          <w:rFonts w:hint="default" w:ascii="宋体" w:hAnsi="宋体" w:eastAsia="宋体" w:cs="宋体"/>
          <w:szCs w:val="21"/>
          <w:lang w:val="en-US" w:eastAsia="zh-CN"/>
        </w:rPr>
        <w:t>实践基地要求</w:t>
      </w:r>
      <w:r>
        <w:rPr>
          <w:rFonts w:hint="eastAsia" w:ascii="宋体" w:hAnsi="宋体" w:eastAsia="宋体" w:cs="宋体"/>
          <w:szCs w:val="21"/>
          <w:lang w:val="en-US" w:eastAsia="zh-CN"/>
        </w:rPr>
        <w:t>：每班</w:t>
      </w:r>
      <w:r>
        <w:rPr>
          <w:rFonts w:hint="default" w:ascii="宋体" w:hAnsi="宋体" w:eastAsia="宋体" w:cs="宋体"/>
          <w:szCs w:val="21"/>
          <w:lang w:val="en-US" w:eastAsia="zh-CN"/>
        </w:rPr>
        <w:t>提供2处或2处以上与培训内容相匹配，同时已纳入农民教育培育信息管理系统实践教学的场所。</w:t>
      </w:r>
    </w:p>
    <w:p w14:paraId="374D6F9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包4：乡土文化能人（新化山歌）专题培训班（专题班50人）。</w:t>
      </w:r>
    </w:p>
    <w:p w14:paraId="768B48B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乡土文化能人（新化山歌）专题培训班，围绕“文艺赋美乡村”工作要求，面向有一定文艺特长、长期从事乡村文艺文化事业、致力于乡土文化挖掘保护和传承发展的农民文化能人。围绕农耕文化保护传承、优秀乡土文艺作品创作和优质乡村文化服务供给等内容，重点在文化特色突出、农民群众性文化团体活跃的奉家、水车、文田、大熊山地区，选一批乡土文化能人组织培训，推动乡土文化活化利用，促进农文旅深度融合，让乡村文化成为乡村振兴的精神支撑。</w:t>
      </w:r>
    </w:p>
    <w:p w14:paraId="2E66AE33">
      <w:pPr>
        <w:numPr>
          <w:ilvl w:val="0"/>
          <w:numId w:val="0"/>
        </w:numPr>
        <w:adjustRightInd w:val="0"/>
        <w:snapToGrid w:val="0"/>
        <w:spacing w:line="360" w:lineRule="auto"/>
        <w:ind w:firstLine="420"/>
        <w:rPr>
          <w:rFonts w:hint="eastAsia" w:ascii="宋体" w:hAnsi="宋体" w:eastAsia="宋体" w:cs="宋体"/>
          <w:szCs w:val="21"/>
          <w:lang w:val="en-US" w:eastAsia="zh-CN"/>
        </w:rPr>
      </w:pPr>
      <w:r>
        <w:rPr>
          <w:rFonts w:hint="eastAsia" w:ascii="宋体" w:hAnsi="宋体" w:eastAsia="宋体" w:cs="宋体"/>
          <w:szCs w:val="21"/>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28F46F5A">
      <w:pPr>
        <w:numPr>
          <w:ilvl w:val="0"/>
          <w:numId w:val="0"/>
        </w:numPr>
        <w:adjustRightInd w:val="0"/>
        <w:snapToGrid w:val="0"/>
        <w:spacing w:line="360" w:lineRule="auto"/>
        <w:ind w:firstLine="420"/>
        <w:rPr>
          <w:rFonts w:hint="eastAsia" w:ascii="宋体" w:hAnsi="宋体" w:eastAsia="宋体" w:cs="宋体"/>
          <w:szCs w:val="21"/>
        </w:rPr>
      </w:pPr>
      <w:r>
        <w:rPr>
          <w:rFonts w:hint="default" w:ascii="宋体" w:hAnsi="宋体" w:eastAsia="宋体" w:cs="宋体"/>
          <w:szCs w:val="21"/>
          <w:lang w:val="en-US" w:eastAsia="zh-CN"/>
        </w:rPr>
        <w:t>实践基地要求</w:t>
      </w:r>
      <w:r>
        <w:rPr>
          <w:rFonts w:hint="eastAsia" w:ascii="宋体" w:hAnsi="宋体" w:eastAsia="宋体" w:cs="宋体"/>
          <w:szCs w:val="21"/>
          <w:lang w:val="en-US" w:eastAsia="zh-CN"/>
        </w:rPr>
        <w:t>：每班</w:t>
      </w:r>
      <w:r>
        <w:rPr>
          <w:rFonts w:hint="default" w:ascii="宋体" w:hAnsi="宋体" w:eastAsia="宋体" w:cs="宋体"/>
          <w:szCs w:val="21"/>
          <w:lang w:val="en-US" w:eastAsia="zh-CN"/>
        </w:rPr>
        <w:t>提供2处或2处以上与培训内容相匹配，同时已纳入农民教育培育信息管理系统实践教学的场所。</w:t>
      </w:r>
    </w:p>
    <w:p w14:paraId="6A946399">
      <w:pPr>
        <w:adjustRightInd w:val="0"/>
        <w:snapToGrid w:val="0"/>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五、培训对象：</w:t>
      </w:r>
    </w:p>
    <w:p w14:paraId="06EEA22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年满16周岁，培育对象为正在从事或有意愿从事农业农村领域生产、经营、服务的农村集体经济组织相关人员、从事农业生产的大户、合作社骨干、农村青年群体、返乡创业青年等人员。</w:t>
      </w:r>
    </w:p>
    <w:p w14:paraId="589AE70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培育对象身体健康，能正常参加培训班的各类活动。</w:t>
      </w:r>
    </w:p>
    <w:p w14:paraId="610B645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参训学员自愿报名，本年度参加培育的农民，只能参加当年度一个主题班的培训，确因人才培养需要的，可在次年参加不同主题或同一主题更高层级的培育。</w:t>
      </w:r>
    </w:p>
    <w:p w14:paraId="533F89E4">
      <w:pPr>
        <w:adjustRightInd w:val="0"/>
        <w:snapToGrid w:val="0"/>
        <w:spacing w:line="360" w:lineRule="auto"/>
        <w:ind w:firstLine="422" w:firstLineChars="200"/>
        <w:rPr>
          <w:rFonts w:ascii="宋体" w:hAnsi="宋体" w:eastAsia="宋体" w:cs="宋体"/>
          <w:b/>
          <w:bCs/>
          <w:szCs w:val="21"/>
        </w:rPr>
      </w:pPr>
      <w:r>
        <w:rPr>
          <w:rFonts w:hint="eastAsia" w:ascii="宋体" w:hAnsi="宋体" w:eastAsia="宋体" w:cs="宋体"/>
          <w:b/>
          <w:bCs/>
          <w:szCs w:val="21"/>
        </w:rPr>
        <w:t>六、服务期限：</w:t>
      </w:r>
      <w:r>
        <w:rPr>
          <w:rFonts w:hint="eastAsia" w:ascii="宋体" w:hAnsi="宋体" w:eastAsia="宋体" w:cs="宋体"/>
        </w:rPr>
        <w:t>自合同签订之日起</w:t>
      </w:r>
      <w:r>
        <w:rPr>
          <w:rFonts w:hint="eastAsia" w:ascii="宋体" w:hAnsi="宋体" w:eastAsia="宋体" w:cs="宋体"/>
          <w:lang w:val="en-US" w:eastAsia="zh-CN"/>
        </w:rPr>
        <w:t>6</w:t>
      </w:r>
      <w:r>
        <w:rPr>
          <w:rFonts w:hint="eastAsia" w:ascii="宋体" w:hAnsi="宋体" w:eastAsia="宋体" w:cs="宋体"/>
        </w:rPr>
        <w:t>0日内完成本项目工作内容。</w:t>
      </w:r>
    </w:p>
    <w:p w14:paraId="63FB5342">
      <w:pPr>
        <w:adjustRightInd w:val="0"/>
        <w:snapToGrid w:val="0"/>
        <w:spacing w:line="360" w:lineRule="auto"/>
        <w:ind w:firstLine="422" w:firstLineChars="200"/>
        <w:rPr>
          <w:rFonts w:ascii="宋体" w:hAnsi="宋体" w:eastAsia="宋体" w:cs="宋体"/>
          <w:b/>
          <w:bCs/>
          <w:szCs w:val="21"/>
        </w:rPr>
      </w:pPr>
      <w:r>
        <w:rPr>
          <w:rFonts w:hint="eastAsia" w:ascii="宋体" w:hAnsi="宋体" w:eastAsia="宋体" w:cs="宋体"/>
          <w:b/>
          <w:bCs/>
          <w:szCs w:val="21"/>
        </w:rPr>
        <w:t>七、付款方式：</w:t>
      </w:r>
      <w:r>
        <w:rPr>
          <w:rFonts w:hint="eastAsia" w:ascii="宋体" w:hAnsi="宋体" w:eastAsia="宋体" w:cs="宋体"/>
          <w:szCs w:val="21"/>
        </w:rPr>
        <w:t>签订合同时约定</w:t>
      </w:r>
    </w:p>
    <w:p w14:paraId="799BD957">
      <w:pPr>
        <w:keepNext w:val="0"/>
        <w:keepLines w:val="0"/>
        <w:pageBreakBefore w:val="0"/>
        <w:widowControl/>
        <w:kinsoku/>
        <w:wordWrap/>
        <w:overflowPunct/>
        <w:topLinePunct w:val="0"/>
        <w:autoSpaceDE/>
        <w:autoSpaceDN/>
        <w:bidi w:val="0"/>
        <w:snapToGrid/>
        <w:spacing w:line="240" w:lineRule="auto"/>
        <w:ind w:firstLine="422" w:firstLineChars="200"/>
        <w:jc w:val="left"/>
        <w:textAlignment w:val="baseline"/>
        <w:rPr>
          <w:rFonts w:ascii="宋体" w:hAnsi="宋体" w:eastAsia="宋体" w:cs="宋体"/>
          <w:szCs w:val="21"/>
        </w:rPr>
      </w:pPr>
      <w:r>
        <w:rPr>
          <w:rFonts w:hint="eastAsia" w:ascii="宋体" w:hAnsi="宋体" w:eastAsia="宋体" w:cs="宋体"/>
          <w:b/>
          <w:bCs/>
        </w:rPr>
        <w:t>八、未尽事宜双方签订合同时约定。</w:t>
      </w:r>
    </w:p>
    <w:p w14:paraId="69E203C0">
      <w:pPr>
        <w:spacing w:line="360" w:lineRule="auto"/>
        <w:ind w:firstLine="420" w:firstLineChars="200"/>
        <w:rPr>
          <w:rFonts w:ascii="Times New Roman" w:hAnsi="Times New Roman" w:eastAsia="宋体" w:cs="Times New Roman"/>
        </w:rPr>
      </w:pPr>
      <w:r>
        <w:rPr>
          <w:rFonts w:ascii="Times New Roman" w:hAnsi="Times New Roman" w:eastAsia="宋体" w:cs="Times New Roman"/>
        </w:rPr>
        <w:br w:type="page"/>
      </w:r>
    </w:p>
    <w:p w14:paraId="64B1F72A">
      <w:pPr>
        <w:spacing w:line="500" w:lineRule="exact"/>
        <w:rPr>
          <w:rFonts w:hint="eastAsia" w:ascii="宋体" w:hAnsi="宋体" w:eastAsia="宋体" w:cs="宋体"/>
          <w:sz w:val="24"/>
        </w:rPr>
      </w:pPr>
      <w:r>
        <w:rPr>
          <w:rFonts w:hint="eastAsia" w:ascii="宋体" w:hAnsi="宋体" w:eastAsia="宋体" w:cs="宋体"/>
          <w:b/>
          <w:bCs/>
          <w:sz w:val="32"/>
          <w:szCs w:val="32"/>
        </w:rPr>
        <w:t>附件1</w:t>
      </w:r>
    </w:p>
    <w:p w14:paraId="3347652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高素质农民培育项目管理工作规程</w:t>
      </w:r>
    </w:p>
    <w:p w14:paraId="57CE8B25">
      <w:pPr>
        <w:jc w:val="center"/>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（试行）</w:t>
      </w:r>
    </w:p>
    <w:p w14:paraId="51D09AA2">
      <w:pPr>
        <w:jc w:val="center"/>
        <w:rPr>
          <w:rFonts w:hint="eastAsia" w:ascii="黑体" w:hAnsi="黑体" w:eastAsia="黑体" w:cs="黑体"/>
          <w:sz w:val="32"/>
          <w:szCs w:val="32"/>
        </w:rPr>
      </w:pPr>
      <w:r>
        <w:rPr>
          <w:rFonts w:hint="eastAsia" w:ascii="黑体" w:hAnsi="黑体" w:eastAsia="黑体" w:cs="黑体"/>
          <w:sz w:val="28"/>
          <w:szCs w:val="28"/>
        </w:rPr>
        <w:t>第一章  总则</w:t>
      </w:r>
    </w:p>
    <w:p w14:paraId="5556F8F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第一条  为加强高素质农民培育计划组织管理，提高资金使用效率，提升培育质量效果，依据财政部《中央对地方专项转移支付管理办法》、农业农村部《农业相关转移支付项目管理部内工作规程》，制定本规程。</w:t>
      </w:r>
    </w:p>
    <w:p w14:paraId="461452C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第二条  本规程适用于各级农业农村部门使用中央财政转移支付资金开展的高素质农民培育工作。</w:t>
      </w:r>
    </w:p>
    <w:p w14:paraId="0E5ED397">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第三条  高素质农民培育采取统一部署、分层实施、分级管理、育用结合的方式，坚持质量导向、突出培育实效，紧密围绕农业农村高质量发展和乡村全面振兴人才需求组织开展。</w:t>
      </w:r>
    </w:p>
    <w:p w14:paraId="6388544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第四条  农业农村部农村社会事业促进司（以下简称“部社会事业司”）负责高素质农民培育计划的管理和指导，制定《高素质农民培育规范》和相关标准，对各省高素质农民培育计划实施情况开展质量监管和总结评价。</w:t>
      </w:r>
    </w:p>
    <w:p w14:paraId="209B859C">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省级农业农村部门负责组织培育需求摸底，分解培育任务，指导市、县级落实培育计划，组织实施本级培育，开展质量监管和总结评价。各级农业农村部门负责本地区高素质农民培育计划组织实施和质量管理。</w:t>
      </w:r>
    </w:p>
    <w:p w14:paraId="4F46C344">
      <w:pPr>
        <w:jc w:val="center"/>
        <w:rPr>
          <w:rFonts w:hint="eastAsia" w:ascii="黑体" w:hAnsi="黑体" w:eastAsia="黑体" w:cs="黑体"/>
          <w:sz w:val="28"/>
          <w:szCs w:val="28"/>
        </w:rPr>
      </w:pPr>
      <w:r>
        <w:rPr>
          <w:rFonts w:hint="eastAsia" w:ascii="黑体" w:hAnsi="黑体" w:eastAsia="黑体" w:cs="黑体"/>
          <w:sz w:val="28"/>
          <w:szCs w:val="28"/>
        </w:rPr>
        <w:t>第二章  申报与下达</w:t>
      </w:r>
    </w:p>
    <w:p w14:paraId="14D0367C">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第五条  高素质农民培育计划任务围绕“三农”重点领域人才需求确定，根据农业农村领域急需紧缺人才培养需求设置相关专题任务，每年根据实际进行调整。</w:t>
      </w:r>
    </w:p>
    <w:p w14:paraId="71DCE41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第六条  部社会事业司、各省农业农村部门应提前组织培育需求摸底，为确定年度培育任务提供参考。</w:t>
      </w:r>
    </w:p>
    <w:p w14:paraId="4E60EA6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第七条  部社会事业司提出高素质农民培育计划年度任务，下发专题任务申报指南，组织各省申报。</w:t>
      </w:r>
    </w:p>
    <w:p w14:paraId="7D8FF1E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各省农业农村部门按照专题任务申报指南要求，编制专题任务申报书，报送部社会事业司。</w:t>
      </w:r>
    </w:p>
    <w:p w14:paraId="79E78CA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第八条  部社会事业司组织项目评审，将通过评审的项目纳入项目储备库，提出专题任务分配建议，并按有关规定纳入资金测算、下达绩效任务。</w:t>
      </w:r>
    </w:p>
    <w:p w14:paraId="1FDF9635">
      <w:pPr>
        <w:jc w:val="center"/>
        <w:rPr>
          <w:rFonts w:hint="eastAsia" w:ascii="黑体" w:hAnsi="黑体" w:eastAsia="黑体" w:cs="黑体"/>
          <w:sz w:val="28"/>
          <w:szCs w:val="28"/>
        </w:rPr>
      </w:pPr>
      <w:r>
        <w:rPr>
          <w:rFonts w:hint="eastAsia" w:ascii="黑体" w:hAnsi="黑体" w:eastAsia="黑体" w:cs="黑体"/>
          <w:sz w:val="28"/>
          <w:szCs w:val="28"/>
        </w:rPr>
        <w:t>第三章  组织实施</w:t>
      </w:r>
    </w:p>
    <w:p w14:paraId="4987BE4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第九条  高素质农民培育计划按照制定实施方案、分解培育任务、遴选培育机构、签订培育协议、指导任务实施、开展质量监管和总结评价的程序组织实施。</w:t>
      </w:r>
    </w:p>
    <w:p w14:paraId="1A1B9060">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第十条  各省农业农村部门按照财政部、农业农村部联合下达的年度高素质农民培育计划绩效任务和农业农村部印发的培育工作通知，制定实施方案并报部社会事业司审核备案。</w:t>
      </w:r>
    </w:p>
    <w:p w14:paraId="331C451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第十一条  各省农业农村部门根据部社会事业司审核备案的实施方案，通过因素测算、竞争立项等方式，确定市、县绩效任务，组织市、县编制实施方案并审核。优先支持上年任务完成情况和培育效果好的市、县承担培育任务。</w:t>
      </w:r>
    </w:p>
    <w:p w14:paraId="5B319669">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第十二条  各级农业农村部门分层实施培育计划任务，分别举办本级高素质农民培训班。</w:t>
      </w:r>
    </w:p>
    <w:p w14:paraId="6E744419">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本地区教育培训条件无法满足培育需求的，培训班整体或部分培训环节可采取异地委托培训或上级调训的方式开展。</w:t>
      </w:r>
    </w:p>
    <w:p w14:paraId="5A1F3657">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第十三条  各级农业农村部门应当坚持竞争择优原则遴选培育机构。</w:t>
      </w:r>
    </w:p>
    <w:p w14:paraId="0818054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可跨区域承担培育任务。鼓励优质公益性培育机构连续稳定承担培育任务，对承担上一年度培育任务并高质高效完成的培育机构可优先选用。承担培育任务的培育机构经确定后，要按规定履行公开公示程序。</w:t>
      </w:r>
    </w:p>
    <w:p w14:paraId="60548DA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通过招投标形式遴选培育机构的，应将《高素质农民培育规范》有关培育机构条件的内容纳入招标条件。</w:t>
      </w:r>
    </w:p>
    <w:p w14:paraId="2A594F49">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承担实践教学环节的机构应具有满足培育主题要求的场地、设施设备、实践师资等条件。</w:t>
      </w:r>
    </w:p>
    <w:p w14:paraId="4B2D440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第十四条  各级农业农村部门应与承担任务的培育机构签订合同或服务协议，明确培育的目标任务、完成期限、培育对象遴选方式和要求、培训方式、质量要求、资金用途和绩效目标等。培育任务内容应包含培育对象遴选、课堂教学（包含线上线下培训）、实践教学、观摩交流、跟踪服务及相应实施机构等。</w:t>
      </w:r>
    </w:p>
    <w:p w14:paraId="642A97A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第十五条  各级农业农村部门应指导本级培育机构精准遴选培育对象。高素质农民培育对象主要为新型农业经营主体带头人和乡村振兴骨干人员。</w:t>
      </w:r>
    </w:p>
    <w:p w14:paraId="3E5F824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本年度参加培育的农民，确因人才培养需要的，可在次年参加不同主题或同一主题更高层级的培育。</w:t>
      </w:r>
    </w:p>
    <w:p w14:paraId="4C7F20E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第十六条  各级农业农村部门应认真审核本级培育任务开班计划，主要审核内容包括：</w:t>
      </w:r>
    </w:p>
    <w:p w14:paraId="3B0ACAC7">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（一）培育主题是否符合下达任务的要求；</w:t>
      </w:r>
    </w:p>
    <w:p w14:paraId="62233AC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（二）课程和培育对象是否与培育主题一致；</w:t>
      </w:r>
    </w:p>
    <w:p w14:paraId="45BFC52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（三）师资选用是否满足课程要求；</w:t>
      </w:r>
    </w:p>
    <w:p w14:paraId="7EDCBB2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（四）课堂教学（包含线上线下）、实践教学、观摩交流等培育方式是否合理，是否有利于提高培育质量；</w:t>
      </w:r>
    </w:p>
    <w:p w14:paraId="14A552F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（五）培育经费支出计划是否合理合规；</w:t>
      </w:r>
    </w:p>
    <w:p w14:paraId="61A6F9E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（六）培育预期效果。</w:t>
      </w:r>
    </w:p>
    <w:p w14:paraId="29EAF840">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第十七条  培训开班时间和培训时长应综合考虑农时农事特点、产业发展需求和人才培养规律，同一班次可采取分段实施的方式组织培训。</w:t>
      </w:r>
    </w:p>
    <w:p w14:paraId="69B3FDB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第十八条  培育师资应具备相应课程的专业条件。综合素养课程师资原则上应来自政府及所属事业单位、大中专院校、科研院所等公益性机构。鼓励聘请农业企业、新型农业经营主体管理人员等“土专家”以及实操经验丰富的专业人员、技术能手授课。各级农业农村部门应委派与培训班主题相符的主管单位人员讲授“开班第一课”。跟踪服务应配备专门师资。</w:t>
      </w:r>
    </w:p>
    <w:p w14:paraId="3B7535B8">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第十九条  培育机构应建立培育档案，包括开班计划、培育对象信息、课程及考核结果记录、资金支出票据复印件、结业证书发放情况和其他必要培育信息。培育档案至少保存5年。</w:t>
      </w:r>
    </w:p>
    <w:p w14:paraId="5FE86B2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第二十条  各级农业农村部门可根据实际需要，指导培育机构对培育对象开展跟踪服务。鼓励各级农业农村部门持续跟进培育对象发展情况，提供技术指导、政策对接、金融帮扶和信息服务等支持。</w:t>
      </w:r>
    </w:p>
    <w:p w14:paraId="4206BEC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第二十一条  培育完成并验收合格后，培育机构应向培育对象发放结业证书，并将培育对象和结业证书档案报下达培育任务的农业农村部门备案。</w:t>
      </w:r>
    </w:p>
    <w:p w14:paraId="4002099B">
      <w:pPr>
        <w:jc w:val="center"/>
        <w:rPr>
          <w:rFonts w:hint="eastAsia" w:ascii="黑体" w:hAnsi="黑体" w:eastAsia="黑体" w:cs="黑体"/>
          <w:sz w:val="28"/>
          <w:szCs w:val="28"/>
        </w:rPr>
      </w:pPr>
      <w:r>
        <w:rPr>
          <w:rFonts w:hint="eastAsia" w:ascii="黑体" w:hAnsi="黑体" w:eastAsia="黑体" w:cs="黑体"/>
          <w:sz w:val="28"/>
          <w:szCs w:val="28"/>
        </w:rPr>
        <w:t>第四章  资金支出</w:t>
      </w:r>
    </w:p>
    <w:p w14:paraId="233ACCF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第二十二条  培育经费支出应遵循节约高效原则。中央财政转移支付高素质农民培育资金可用于支付高素质农民培育计划实施的需求摸底、课堂教学、实践教学、交流观摩、跟踪服务和总结评价等培育环节必需费用和验收费用。不得列支招投标费用、审计费用和第三方评估费用等应从“三公”经费支出的其他费用。不得给培育对象发放补助。</w:t>
      </w:r>
    </w:p>
    <w:p w14:paraId="10C69990">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第二十三条  培育费用原则上按照实际需求支出，具体标准由各级农业农村部门商本级财政部门确定。课堂教学日均费用一般不高于培训地干部培训标准。实践教学和跟踪服务费用应按实际支出。</w:t>
      </w:r>
    </w:p>
    <w:p w14:paraId="4F18A2C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第二十四条  培育费用可采取预拨、部分预拨、报账等方式支付。预拨比例由各级农业农村部门商财政部门确定。支付对象为承担任务的培育机构，相关支出、报账由培育机构具体负责。</w:t>
      </w:r>
    </w:p>
    <w:p w14:paraId="1D1AA52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第二十五条  用好农业农村部转移支付管理平台，及时填报各级实施方案和资金支出信息，确保真实准确。严禁数据造假。</w:t>
      </w:r>
    </w:p>
    <w:p w14:paraId="7DAAB425">
      <w:pPr>
        <w:jc w:val="center"/>
        <w:rPr>
          <w:rFonts w:hint="eastAsia" w:ascii="黑体" w:hAnsi="黑体" w:eastAsia="黑体" w:cs="黑体"/>
          <w:sz w:val="28"/>
          <w:szCs w:val="28"/>
        </w:rPr>
      </w:pPr>
      <w:r>
        <w:rPr>
          <w:rFonts w:hint="eastAsia" w:ascii="黑体" w:hAnsi="黑体" w:eastAsia="黑体" w:cs="黑体"/>
          <w:sz w:val="28"/>
          <w:szCs w:val="28"/>
        </w:rPr>
        <w:t>第五章  监督管理</w:t>
      </w:r>
    </w:p>
    <w:p w14:paraId="2FA99E1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第二十六条  严格按照中央财政转移支付资金管理的相关规定做好培育项目实施监管。按照《农业农村部办公厅关于进一步加强财政支农相关资金使用全链条管理的通知》要求，全面提升资金使用效能。</w:t>
      </w:r>
    </w:p>
    <w:p w14:paraId="66F56AA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第二十七条  部社会事业司建立常态化抽核机制，通过电话回访、平台数据核实、实地核验等方式对高素质农民培育计划实施情况进行全过程监管，对于培育过程不符合本规程和《高素质农民培育规范》的情况，及时予以纠正。委托农业农村部农民科技教育培训中心开展质量跟踪，必要时委托第三方机构开展实地核验。平台数据核实依据农民教育培训信息管理系统和农业农村部转移支付管理平台开展。实地核验应符合“四不两直”相关要求。</w:t>
      </w:r>
    </w:p>
    <w:p w14:paraId="5614565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第二十八条  各级农业农村部门对本级培训班和下级培育任务实施开展质量监管，建立职责明确、分工协作的质量监管体系。</w:t>
      </w:r>
    </w:p>
    <w:p w14:paraId="61CA019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各级高素质农民培育归口主管业务部门对项目实施和资金使用管理负主体责任和监督责任，明确项目管理目标、关键举措、时间进度和责任人，做好高素质农民培育政策公开，加强项目组织实施和执行调度，强化项目日常实施监管。</w:t>
      </w:r>
    </w:p>
    <w:p w14:paraId="3E8267B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第二十九条  各级农业农村部门应当在立项评审、实施管理和验收评价等关键环节，开展全链条项目资金监管。制定培育机构公开遴选方案和专题班评审方案，公正开展遴选评审工作。规范开展项目招投标，坚决防止围标串标等违规行为，确保优质培育机构承担任务。按照年度实施方案，加强项目实施过程指导督促，确保项目执行进度，持续提升培育质量。对本级培训班使用教材、教案进行政策把关。</w:t>
      </w:r>
    </w:p>
    <w:p w14:paraId="6C983229">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第三十条  按照“谁使用谁负责”的原则，规范资金使用，任何单位和个人不得挤占、截留、挪用或擅自改变用途，不得跨项目整合资金，国家另有规定的除外。对企业为主体承担的项目，要商财政部门研究创新实施机制，防范骗取套取财政支农资金风险。地方各级农业农村部门要积极配合有关部门，严肃查处相关违规违纪违法行为，并以适当形式对培育机构进行通报、约谈。</w:t>
      </w:r>
    </w:p>
    <w:p w14:paraId="082C8C96">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第三十一条  部社会事业司在监督管理中发现以下问题时，应约谈该省份农业农村部门，提出整改要求并督促落实。对拒不整改的，商部计财司暂停下一年度培育任务。</w:t>
      </w:r>
    </w:p>
    <w:p w14:paraId="2AF37CC6">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（一）资金随意分配、挤占挪用的；</w:t>
      </w:r>
    </w:p>
    <w:p w14:paraId="2FA62A5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（二）未按要求开展培育质量监管的；</w:t>
      </w:r>
    </w:p>
    <w:p w14:paraId="77A6220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（三）多个培育班次不符合规范要求的；</w:t>
      </w:r>
    </w:p>
    <w:p w14:paraId="0898154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（四）发生多起举报、上访事件并核查属实的。</w:t>
      </w:r>
    </w:p>
    <w:p w14:paraId="0A8382D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省级农业农村部门在对市、县实施项目的监督管理中发现以上问题的，参照以上要求处理。</w:t>
      </w:r>
    </w:p>
    <w:p w14:paraId="79CE1C41">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第三十二条  各级农业农村部门对存在以下情况的培育机构，应暂停或取消其实施资格，追缴项目资金，三年内不再受理培育申请。</w:t>
      </w:r>
    </w:p>
    <w:p w14:paraId="1E3E863C">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（一）培育机构申报条件和培育过程弄虚作假的；</w:t>
      </w:r>
    </w:p>
    <w:p w14:paraId="3BD08D28">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（二）私自分包、转包培育任务的；</w:t>
      </w:r>
    </w:p>
    <w:p w14:paraId="75C388E7">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（三）超出培育完成期限时间较长仍未能完成任务的；</w:t>
      </w:r>
    </w:p>
    <w:p w14:paraId="563028E6">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（四）培育资金使用严重违规或违反合同协议的，存在虚报冒领、骗取套取行为的；</w:t>
      </w:r>
    </w:p>
    <w:p w14:paraId="3C477C3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（五）培育过程中出现安全责任事故、违法违规情况的。</w:t>
      </w:r>
    </w:p>
    <w:p w14:paraId="1B1207C8">
      <w:pPr>
        <w:jc w:val="center"/>
        <w:rPr>
          <w:rFonts w:hint="eastAsia" w:ascii="黑体" w:hAnsi="黑体" w:eastAsia="黑体" w:cs="黑体"/>
          <w:sz w:val="28"/>
          <w:szCs w:val="28"/>
        </w:rPr>
      </w:pPr>
      <w:r>
        <w:rPr>
          <w:rFonts w:hint="eastAsia" w:ascii="黑体" w:hAnsi="黑体" w:eastAsia="黑体" w:cs="黑体"/>
          <w:sz w:val="28"/>
          <w:szCs w:val="28"/>
        </w:rPr>
        <w:t>第六章  总结评价</w:t>
      </w:r>
    </w:p>
    <w:p w14:paraId="5B9F09A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第三十三条  部社会事业司配合部计财司对各省高素质农民培育计划实施情况开展绩效管理。</w:t>
      </w:r>
    </w:p>
    <w:p w14:paraId="0B62112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第三十四条  各省农业农村部门每年1月10日前向部社会事业司报送高素质农民培育计划实施情况年度总结。</w:t>
      </w:r>
    </w:p>
    <w:p w14:paraId="6016E65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第三十五条  部社会事业司对各省实施情况开展总结性评价，评价结果采取适当方式进行通报，并作为确定下一年度培育任务的重要依据。</w:t>
      </w:r>
    </w:p>
    <w:p w14:paraId="1157DD3B">
      <w:pPr>
        <w:jc w:val="center"/>
        <w:rPr>
          <w:rFonts w:hint="eastAsia" w:ascii="黑体" w:hAnsi="黑体" w:eastAsia="黑体" w:cs="黑体"/>
          <w:sz w:val="28"/>
          <w:szCs w:val="28"/>
        </w:rPr>
      </w:pPr>
      <w:r>
        <w:rPr>
          <w:rFonts w:hint="eastAsia" w:ascii="黑体" w:hAnsi="黑体" w:eastAsia="黑体" w:cs="黑体"/>
          <w:sz w:val="28"/>
          <w:szCs w:val="28"/>
        </w:rPr>
        <w:t>第七章  附则</w:t>
      </w:r>
    </w:p>
    <w:p w14:paraId="4F6649E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第三十六条  本规程所称省是指省、自治区、直辖市、计划单列市、新疆生产建设兵团以及北大荒农垦集团有限公司、广东省农垦总局。农业农村部门是指农业农村、农牧、畜牧兽医、渔业等行政主管部门。</w:t>
      </w:r>
    </w:p>
    <w:p w14:paraId="64C219D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本规程相关规定与年度工作通知要求不一致的，按年度通知要求执行。</w:t>
      </w:r>
    </w:p>
    <w:p w14:paraId="33E3520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第三十七条  各地农业农村部门可根据本规程，结合本地区的实际情况，制定具体实施细则。</w:t>
      </w:r>
    </w:p>
    <w:p w14:paraId="76C9865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第三十八条  本规程由部社会事业司负责解释。</w:t>
      </w:r>
    </w:p>
    <w:p w14:paraId="45DBB4D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第三十九条  本规程自印发之日起施行。</w:t>
      </w:r>
    </w:p>
    <w:p w14:paraId="3FD47ED4">
      <w:pPr>
        <w:widowControl/>
        <w:textAlignment w:val="baseline"/>
        <w:rPr>
          <w:rFonts w:hint="eastAsia" w:ascii="宋体" w:hAnsi="宋体" w:eastAsia="宋体" w:cs="宋体"/>
          <w:b/>
          <w:bCs/>
          <w:sz w:val="32"/>
          <w:szCs w:val="32"/>
        </w:rPr>
      </w:pPr>
      <w:r>
        <w:rPr>
          <w:rFonts w:hint="eastAsia" w:ascii="宋体" w:hAnsi="宋体" w:eastAsia="宋体" w:cs="宋体"/>
          <w:b/>
          <w:bCs/>
          <w:sz w:val="32"/>
          <w:szCs w:val="32"/>
        </w:rPr>
        <w:br w:type="page"/>
      </w:r>
    </w:p>
    <w:p w14:paraId="7BA25C3E">
      <w:pPr>
        <w:spacing w:line="500" w:lineRule="exact"/>
        <w:rPr>
          <w:rFonts w:hint="eastAsia" w:ascii="宋体" w:hAnsi="宋体" w:eastAsia="宋体" w:cs="宋体"/>
          <w:sz w:val="24"/>
        </w:rPr>
      </w:pPr>
      <w:r>
        <w:rPr>
          <w:rFonts w:hint="eastAsia" w:ascii="宋体" w:hAnsi="宋体" w:eastAsia="宋体" w:cs="宋体"/>
          <w:b/>
          <w:bCs/>
          <w:sz w:val="32"/>
          <w:szCs w:val="32"/>
        </w:rPr>
        <w:t>附件2</w:t>
      </w:r>
    </w:p>
    <w:p w14:paraId="42C60A14">
      <w:pPr>
        <w:spacing w:line="500" w:lineRule="exact"/>
        <w:ind w:firstLine="643" w:firstLineChars="200"/>
        <w:jc w:val="center"/>
        <w:rPr>
          <w:rFonts w:hint="eastAsia" w:ascii="宋体" w:hAnsi="宋体" w:eastAsia="宋体" w:cs="宋体"/>
          <w:sz w:val="24"/>
        </w:rPr>
      </w:pPr>
      <w:r>
        <w:rPr>
          <w:rFonts w:hint="eastAsia" w:ascii="宋体" w:hAnsi="宋体" w:eastAsia="宋体" w:cs="宋体"/>
          <w:b/>
          <w:bCs/>
          <w:sz w:val="32"/>
          <w:szCs w:val="32"/>
        </w:rPr>
        <w:t>高素质农民培育规范（修订）</w:t>
      </w:r>
    </w:p>
    <w:p w14:paraId="463ADAF8">
      <w:pPr>
        <w:ind w:firstLine="560" w:firstLineChars="200"/>
        <w:rPr>
          <w:rFonts w:hint="eastAsia" w:ascii="黑体" w:hAnsi="黑体" w:eastAsia="黑体" w:cs="黑体"/>
          <w:sz w:val="28"/>
          <w:szCs w:val="28"/>
        </w:rPr>
      </w:pPr>
      <w:r>
        <w:rPr>
          <w:rFonts w:hint="eastAsia" w:ascii="黑体" w:hAnsi="黑体" w:eastAsia="黑体" w:cs="黑体"/>
          <w:sz w:val="28"/>
          <w:szCs w:val="28"/>
        </w:rPr>
        <w:t>一、适用范围</w:t>
      </w:r>
    </w:p>
    <w:p w14:paraId="64C758B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承担高素质农民培育任务的机构应遵循本规范执行高素质农民培育任务。</w:t>
      </w:r>
    </w:p>
    <w:p w14:paraId="2C8C9176">
      <w:pPr>
        <w:ind w:firstLine="560" w:firstLineChars="200"/>
        <w:rPr>
          <w:rFonts w:hint="eastAsia" w:ascii="黑体" w:hAnsi="黑体" w:eastAsia="黑体" w:cs="黑体"/>
          <w:sz w:val="28"/>
          <w:szCs w:val="28"/>
        </w:rPr>
      </w:pPr>
      <w:r>
        <w:rPr>
          <w:rFonts w:hint="eastAsia" w:ascii="黑体" w:hAnsi="黑体" w:eastAsia="黑体" w:cs="黑体"/>
          <w:sz w:val="28"/>
          <w:szCs w:val="28"/>
        </w:rPr>
        <w:t>二、培育对象</w:t>
      </w:r>
    </w:p>
    <w:p w14:paraId="58EC5DF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培育对象应正在从事或有意愿从事农业农村领域生产、经营、服务的农民和返乡人员，主要培育新型农业经营主体带头人和乡村振兴骨干人员。</w:t>
      </w:r>
    </w:p>
    <w:p w14:paraId="0159A211">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本年度参加培育的农民，确因人才培养需要的，可在次年参加不同主题或同一主题更高层级的培育。</w:t>
      </w:r>
    </w:p>
    <w:p w14:paraId="0A86B96E">
      <w:pPr>
        <w:ind w:firstLine="560" w:firstLineChars="200"/>
        <w:rPr>
          <w:rFonts w:hint="eastAsia" w:ascii="黑体" w:hAnsi="黑体" w:eastAsia="黑体" w:cs="黑体"/>
          <w:sz w:val="28"/>
          <w:szCs w:val="28"/>
        </w:rPr>
      </w:pPr>
      <w:r>
        <w:rPr>
          <w:rFonts w:hint="eastAsia" w:ascii="黑体" w:hAnsi="黑体" w:eastAsia="黑体" w:cs="黑体"/>
          <w:sz w:val="28"/>
          <w:szCs w:val="28"/>
        </w:rPr>
        <w:t>三、培育机构</w:t>
      </w:r>
    </w:p>
    <w:p w14:paraId="69524F95">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申请承担培育任务的机构应当符合以下条件：</w:t>
      </w:r>
    </w:p>
    <w:p w14:paraId="69D6BE8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（一）成立3年以上，具有独立法人资格；</w:t>
      </w:r>
    </w:p>
    <w:p w14:paraId="4191F5FF">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（二）具有教育、培训相关职能、资质或主营业务范围；</w:t>
      </w:r>
    </w:p>
    <w:p w14:paraId="3A3A3E0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（三）能提供满足培育需要的教学场所及教学设施设备；</w:t>
      </w:r>
    </w:p>
    <w:p w14:paraId="26D5564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（四）具备专职教学管理人员和与培育主题相匹配的专兼职师资。</w:t>
      </w:r>
    </w:p>
    <w:p w14:paraId="609149B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承担实践教学环节的机构应当具有满足培育主题要求的场地、设施设备、实践师资等条件。</w:t>
      </w:r>
    </w:p>
    <w:p w14:paraId="76DF8E67">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负责建立培训班管理制度、制定开班计划、遴选培育对象、设置培训课程、委派或聘请授课师资、优选培育教材、落实培育任务、建立培育档案、开展跟踪服务，指定专人负责培训班组织实施，接受质量监管和核验评价。培育机构将课堂教学、实践教学和跟踪服务的部分环节委托给其他机构实施的，应与该机构签订合作协议，明确委托内容、质量要求、完成期限等，并对培育效果负责。</w:t>
      </w:r>
    </w:p>
    <w:p w14:paraId="118E00E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鼓励培训班建立临时党组织，强化党建引领。</w:t>
      </w:r>
    </w:p>
    <w:p w14:paraId="32460ECB">
      <w:pPr>
        <w:ind w:firstLine="560" w:firstLineChars="200"/>
        <w:rPr>
          <w:rFonts w:hint="eastAsia" w:ascii="黑体" w:hAnsi="黑体" w:eastAsia="黑体" w:cs="黑体"/>
          <w:sz w:val="28"/>
          <w:szCs w:val="28"/>
        </w:rPr>
      </w:pPr>
      <w:r>
        <w:rPr>
          <w:rFonts w:hint="eastAsia" w:ascii="黑体" w:hAnsi="黑体" w:eastAsia="黑体" w:cs="黑体"/>
          <w:sz w:val="28"/>
          <w:szCs w:val="28"/>
        </w:rPr>
        <w:t>四、开班计划</w:t>
      </w:r>
    </w:p>
    <w:p w14:paraId="30F63953">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开班计划应包括培育主题、课程、学时、培育对象、培育形式、师资、教材、经费支出计划和预期效果等培育全过程内容，明确班级管理相关要求，经下达培育任务的农业农村部门审核后，由培育机构公开发布。</w:t>
      </w:r>
    </w:p>
    <w:p w14:paraId="0A30068E">
      <w:pPr>
        <w:widowControl/>
        <w:spacing w:line="360" w:lineRule="auto"/>
        <w:ind w:firstLine="420" w:firstLineChars="200"/>
        <w:jc w:val="left"/>
        <w:rPr>
          <w:rFonts w:hint="eastAsia" w:ascii="仿宋_GB2312" w:hAnsi="仿宋_GB2312" w:eastAsia="仿宋_GB2312" w:cs="仿宋_GB2312"/>
          <w:sz w:val="28"/>
          <w:szCs w:val="28"/>
        </w:rPr>
      </w:pPr>
      <w:r>
        <w:rPr>
          <w:rFonts w:hint="eastAsia" w:ascii="宋体" w:hAnsi="宋体" w:eastAsia="宋体" w:cs="宋体"/>
          <w:szCs w:val="21"/>
        </w:rPr>
        <w:t>培育机构应严格按照开班计划实施培育。确有必要调整开班计划的，需经原审核部门同意。原则上每个培训班人数不超过70人，以实践教学为主的，每班不超过50人。由于交通不便、培育条件不足或培育内容专一性导致培育人数较少的，每班应不少于30人。</w:t>
      </w:r>
    </w:p>
    <w:p w14:paraId="4717587D">
      <w:pPr>
        <w:ind w:firstLine="560" w:firstLineChars="200"/>
        <w:rPr>
          <w:rFonts w:hint="eastAsia" w:ascii="黑体" w:hAnsi="黑体" w:eastAsia="黑体" w:cs="黑体"/>
          <w:sz w:val="28"/>
          <w:szCs w:val="28"/>
        </w:rPr>
      </w:pPr>
      <w:r>
        <w:rPr>
          <w:rFonts w:hint="eastAsia" w:ascii="黑体" w:hAnsi="黑体" w:eastAsia="黑体" w:cs="黑体"/>
          <w:sz w:val="28"/>
          <w:szCs w:val="28"/>
        </w:rPr>
        <w:t>五、课程要求</w:t>
      </w:r>
    </w:p>
    <w:p w14:paraId="4861924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建立模块化课程体系，分为综合素养课、专业技能课、能力拓展课三类。培育机构综合考虑农时农事特点和人才培养规律，合理设计三类课程，选择集中或分时段开展。</w:t>
      </w:r>
    </w:p>
    <w:p w14:paraId="059D9A5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根据培育主题实际需要确定培训班总学时，每个培训班原则上不少于40个学时（不包含报到、返程时间）。1学时为45分钟，每天不超过8个学时。</w:t>
      </w:r>
    </w:p>
    <w:p w14:paraId="31B8D13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综合素养课包括思想政治、政策法规、职业素养和文化素养类等课程，包含“开班第一课”。“开班第一课”应包括当年中央一号文件和农业农村部相关部署要求等内容。专业技能课应根据培育对象实际需求，紧紧围绕培育主题开设。能力拓展课由培育机构根据培育对象和培育目标自选开展、自行设计。</w:t>
      </w:r>
    </w:p>
    <w:p w14:paraId="45A11B49">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原则上，综合素养课学时不低于总学时数的10%。专业技能课学时数应不低于总学时数的70%，其中，采取实践教学的比例不低于专业技能课学时数的50%。能力拓展课学时数应不高于总学时数的20%。全部专业技能课程结束后应进行课程考核。</w:t>
      </w:r>
    </w:p>
    <w:p w14:paraId="1082145A">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配合重大农业灾害、动物疫病应急处置等开展的应急性培训，学时要求可不受此限制。</w:t>
      </w:r>
    </w:p>
    <w:p w14:paraId="62DE49EC">
      <w:pPr>
        <w:ind w:firstLine="560" w:firstLineChars="200"/>
        <w:rPr>
          <w:rFonts w:hint="eastAsia" w:ascii="黑体" w:hAnsi="黑体" w:eastAsia="黑体" w:cs="黑体"/>
          <w:sz w:val="28"/>
          <w:szCs w:val="28"/>
        </w:rPr>
      </w:pPr>
      <w:r>
        <w:rPr>
          <w:rFonts w:hint="eastAsia" w:ascii="黑体" w:hAnsi="黑体" w:eastAsia="黑体" w:cs="黑体"/>
          <w:sz w:val="28"/>
          <w:szCs w:val="28"/>
        </w:rPr>
        <w:t>六、培育形式</w:t>
      </w:r>
    </w:p>
    <w:p w14:paraId="1047C82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培育课程主要通过课堂教学（包含线上线下）、实践教学、观摩交流等形式进行。鼓励培育机构创新教学方法，改进培育形式，提高教学效果。</w:t>
      </w:r>
    </w:p>
    <w:p w14:paraId="751FBE90">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课堂教学包括线上线下集中授课。鼓励采取案例教学参与式教学、互动式教学等形式。线上学习可采取网络直播或课件学习的方式。线上学习平台应具备完善的在线学习、直播授课、课程考核及相关统计、监测和评价功能。其中，线上学习学时数不超过总学时数的15%。</w:t>
      </w:r>
    </w:p>
    <w:p w14:paraId="5DB9D8C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实践教学应在与课程内容直接相关的实习实训场所或生产经营一线开展，包括场地实训、顶岗实习、跟岗见习、模拟教学、实践孵化等形式。</w:t>
      </w:r>
    </w:p>
    <w:p w14:paraId="732DF958">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交流观摩应选取与培育主题相符的地点或主体开展。</w:t>
      </w:r>
    </w:p>
    <w:p w14:paraId="33964DB1">
      <w:pPr>
        <w:ind w:firstLine="560" w:firstLineChars="200"/>
        <w:rPr>
          <w:rFonts w:hint="eastAsia" w:ascii="黑体" w:hAnsi="黑体" w:eastAsia="黑体" w:cs="黑体"/>
          <w:sz w:val="28"/>
          <w:szCs w:val="28"/>
        </w:rPr>
      </w:pPr>
      <w:r>
        <w:rPr>
          <w:rFonts w:hint="eastAsia" w:ascii="黑体" w:hAnsi="黑体" w:eastAsia="黑体" w:cs="黑体"/>
          <w:sz w:val="28"/>
          <w:szCs w:val="28"/>
        </w:rPr>
        <w:t>七、培育师资</w:t>
      </w:r>
    </w:p>
    <w:p w14:paraId="42F7828C">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培育师资应具备相应课程的专业条件，授课符合课程主题需求，授课方式易于农民接受，教案内容通俗实用。</w:t>
      </w:r>
    </w:p>
    <w:p w14:paraId="7560FDD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14:paraId="56116E28">
      <w:pPr>
        <w:ind w:firstLine="560" w:firstLineChars="200"/>
        <w:rPr>
          <w:rFonts w:hint="eastAsia" w:ascii="黑体" w:hAnsi="黑体" w:eastAsia="黑体" w:cs="黑体"/>
          <w:sz w:val="28"/>
          <w:szCs w:val="28"/>
        </w:rPr>
      </w:pPr>
      <w:r>
        <w:rPr>
          <w:rFonts w:hint="eastAsia" w:ascii="黑体" w:hAnsi="黑体" w:eastAsia="黑体" w:cs="黑体"/>
          <w:sz w:val="28"/>
          <w:szCs w:val="28"/>
        </w:rPr>
        <w:t>八、培育教材</w:t>
      </w:r>
    </w:p>
    <w:p w14:paraId="4043D99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培育教材包括正式出版物和各级农业农村部门组织编制的培育手册。培育机构应严把教材质量关，经主管部门审核，选用规范、先进、实用的培育教材。</w:t>
      </w:r>
    </w:p>
    <w:p w14:paraId="5362A1D1">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优先选用农业农村部、教育部规划教材和各级农业农村部门推荐教材。鼓励文字教材和视频教材配合使用。</w:t>
      </w:r>
    </w:p>
    <w:p w14:paraId="0A55696A">
      <w:pPr>
        <w:ind w:firstLine="560" w:firstLineChars="200"/>
        <w:rPr>
          <w:rFonts w:hint="eastAsia" w:ascii="黑体" w:hAnsi="黑体" w:eastAsia="黑体" w:cs="黑体"/>
          <w:sz w:val="28"/>
          <w:szCs w:val="28"/>
        </w:rPr>
      </w:pPr>
      <w:r>
        <w:rPr>
          <w:rFonts w:hint="eastAsia" w:ascii="黑体" w:hAnsi="黑体" w:eastAsia="黑体" w:cs="黑体"/>
          <w:sz w:val="28"/>
          <w:szCs w:val="28"/>
        </w:rPr>
        <w:t>九、资金使用</w:t>
      </w:r>
    </w:p>
    <w:p w14:paraId="34B4E261">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应当按照相关规定和合同、协议约定的用途使用培育资金。可使用培育资金支付培育全过程环节所需费用，按照“谁使用谁负责”的原则，规范资金使用。不得擅自改变资金用途或擅自转拨资金，不得给培育对象发放补助。</w:t>
      </w:r>
    </w:p>
    <w:p w14:paraId="0B68EBB1">
      <w:pPr>
        <w:ind w:firstLine="560" w:firstLineChars="200"/>
        <w:rPr>
          <w:rFonts w:hint="eastAsia" w:ascii="黑体" w:hAnsi="黑体" w:eastAsia="黑体" w:cs="黑体"/>
          <w:sz w:val="28"/>
          <w:szCs w:val="28"/>
        </w:rPr>
      </w:pPr>
      <w:r>
        <w:rPr>
          <w:rFonts w:hint="eastAsia" w:ascii="黑体" w:hAnsi="黑体" w:eastAsia="黑体" w:cs="黑体"/>
          <w:sz w:val="28"/>
          <w:szCs w:val="28"/>
        </w:rPr>
        <w:t>十、培育对象管理</w:t>
      </w:r>
    </w:p>
    <w:p w14:paraId="2149BBC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培育机构应加强培育对象管理，要求培育对象在集中培育期间，严格遵守班级管理制度，严禁酗酒、滋事或从事可能影响学习培训的娱乐活动。</w:t>
      </w:r>
    </w:p>
    <w:p w14:paraId="4BB1287E">
      <w:pPr>
        <w:ind w:firstLine="560" w:firstLineChars="200"/>
        <w:rPr>
          <w:rFonts w:hint="eastAsia" w:ascii="黑体" w:hAnsi="黑体" w:eastAsia="黑体" w:cs="黑体"/>
          <w:sz w:val="28"/>
          <w:szCs w:val="28"/>
        </w:rPr>
      </w:pPr>
      <w:r>
        <w:rPr>
          <w:rFonts w:hint="eastAsia" w:ascii="黑体" w:hAnsi="黑体" w:eastAsia="黑体" w:cs="黑体"/>
          <w:sz w:val="28"/>
          <w:szCs w:val="28"/>
        </w:rPr>
        <w:t>十一、结业证书</w:t>
      </w:r>
    </w:p>
    <w:p w14:paraId="475D0DD5">
      <w:pPr>
        <w:ind w:firstLine="420" w:firstLineChars="200"/>
        <w:rPr>
          <w:rFonts w:hint="eastAsia" w:ascii="仿宋_GB2312" w:hAnsi="仿宋_GB2312" w:eastAsia="仿宋_GB2312" w:cs="仿宋_GB2312"/>
          <w:sz w:val="28"/>
          <w:szCs w:val="28"/>
        </w:rPr>
      </w:pPr>
      <w:r>
        <w:rPr>
          <w:rFonts w:hint="eastAsia" w:ascii="宋体" w:hAnsi="宋体" w:eastAsia="宋体" w:cs="宋体"/>
          <w:szCs w:val="21"/>
        </w:rPr>
        <w:t>培育机构根据课程考核和考勤情况，综合评价学员学习成果，对完成学习任务的培育对象颁发结业证书</w:t>
      </w:r>
      <w:r>
        <w:rPr>
          <w:rFonts w:hint="eastAsia" w:ascii="仿宋_GB2312" w:hAnsi="仿宋_GB2312" w:eastAsia="仿宋_GB2312" w:cs="仿宋_GB2312"/>
          <w:sz w:val="28"/>
          <w:szCs w:val="28"/>
        </w:rPr>
        <w:t>。</w:t>
      </w:r>
    </w:p>
    <w:p w14:paraId="7BD2D323">
      <w:pPr>
        <w:ind w:firstLine="560" w:firstLineChars="200"/>
        <w:rPr>
          <w:rFonts w:hint="eastAsia" w:ascii="黑体" w:hAnsi="黑体" w:eastAsia="黑体" w:cs="黑体"/>
          <w:sz w:val="28"/>
          <w:szCs w:val="28"/>
        </w:rPr>
      </w:pPr>
      <w:r>
        <w:rPr>
          <w:rFonts w:hint="eastAsia" w:ascii="黑体" w:hAnsi="黑体" w:eastAsia="黑体" w:cs="黑体"/>
          <w:sz w:val="28"/>
          <w:szCs w:val="28"/>
        </w:rPr>
        <w:t>十二、跟踪服务</w:t>
      </w:r>
    </w:p>
    <w:p w14:paraId="3A33952B">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应在课堂教学、实践教学和交流观摩全部完成后对学员开展跟踪服务，时长不超过1年，次数不少于2次。跟踪服务人数不少于培训班总人数的30%。跟踪服务形式可包括技术指导、政策推介、发展帮扶、组织交流互助、组织参加与培育主题相关的展会和技能竞赛等。</w:t>
      </w:r>
    </w:p>
    <w:p w14:paraId="4AAE6A4C">
      <w:pPr>
        <w:ind w:firstLine="560" w:firstLineChars="200"/>
        <w:rPr>
          <w:rFonts w:hint="eastAsia" w:ascii="黑体" w:hAnsi="黑体" w:eastAsia="黑体" w:cs="黑体"/>
          <w:sz w:val="28"/>
          <w:szCs w:val="28"/>
        </w:rPr>
      </w:pPr>
      <w:r>
        <w:rPr>
          <w:rFonts w:hint="eastAsia" w:ascii="黑体" w:hAnsi="黑体" w:eastAsia="黑体" w:cs="黑体"/>
          <w:sz w:val="28"/>
          <w:szCs w:val="28"/>
        </w:rPr>
        <w:t>十三、信息档案</w:t>
      </w:r>
    </w:p>
    <w:p w14:paraId="51D1FC30">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培育机构应将开班计划、培育对象信息、课程、师资、跟踪服务情况全部录入农民教育培训信息管理系统，及时更新相关培育、课程考核和结业证书颁发情况。</w:t>
      </w:r>
    </w:p>
    <w:p w14:paraId="28168664">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培育机构应建立培育档案，包括开班计划、培育对象信息、课程及考核结果记录、资金支出票据复印件、结业证书发放情况和其他必要培育信息。培育档案至少保存5年。</w:t>
      </w:r>
    </w:p>
    <w:p w14:paraId="63BC75DB">
      <w:pPr>
        <w:spacing w:line="500" w:lineRule="exact"/>
        <w:rPr>
          <w:rFonts w:hint="eastAsia" w:ascii="宋体" w:hAnsi="宋体" w:eastAsia="宋体" w:cs="宋体"/>
          <w:b/>
          <w:bCs/>
          <w:sz w:val="32"/>
          <w:szCs w:val="32"/>
        </w:rPr>
      </w:pPr>
    </w:p>
    <w:p w14:paraId="432F7025">
      <w:pPr>
        <w:spacing w:line="500" w:lineRule="exact"/>
        <w:rPr>
          <w:rFonts w:hint="eastAsia" w:ascii="宋体" w:hAnsi="宋体" w:eastAsia="宋体" w:cs="宋体"/>
          <w:b/>
          <w:bCs/>
          <w:sz w:val="32"/>
          <w:szCs w:val="32"/>
        </w:rPr>
      </w:pPr>
    </w:p>
    <w:p w14:paraId="0F7AB9A9">
      <w:pPr>
        <w:spacing w:line="500" w:lineRule="exact"/>
        <w:rPr>
          <w:rFonts w:hint="eastAsia" w:ascii="宋体" w:hAnsi="宋体" w:eastAsia="宋体" w:cs="宋体"/>
          <w:b/>
          <w:bCs/>
          <w:sz w:val="32"/>
          <w:szCs w:val="32"/>
        </w:rPr>
      </w:pPr>
    </w:p>
    <w:p w14:paraId="06259FB4">
      <w:pPr>
        <w:spacing w:line="500" w:lineRule="exact"/>
        <w:rPr>
          <w:rFonts w:hint="eastAsia" w:ascii="宋体" w:hAnsi="宋体" w:eastAsia="宋体" w:cs="宋体"/>
          <w:b/>
          <w:bCs/>
          <w:sz w:val="32"/>
          <w:szCs w:val="32"/>
        </w:rPr>
      </w:pPr>
    </w:p>
    <w:p w14:paraId="19C1ACF4">
      <w:pPr>
        <w:spacing w:line="500" w:lineRule="exact"/>
        <w:rPr>
          <w:rFonts w:hint="eastAsia" w:ascii="宋体" w:hAnsi="宋体" w:eastAsia="宋体" w:cs="宋体"/>
          <w:b/>
          <w:bCs/>
          <w:sz w:val="32"/>
          <w:szCs w:val="32"/>
        </w:rPr>
      </w:pPr>
    </w:p>
    <w:p w14:paraId="4A6E3768">
      <w:pPr>
        <w:spacing w:line="500" w:lineRule="exact"/>
        <w:rPr>
          <w:rFonts w:hint="eastAsia" w:ascii="宋体" w:hAnsi="宋体" w:eastAsia="宋体" w:cs="宋体"/>
          <w:b/>
          <w:bCs/>
          <w:sz w:val="32"/>
          <w:szCs w:val="32"/>
        </w:rPr>
      </w:pPr>
    </w:p>
    <w:p w14:paraId="64A97E7B">
      <w:pPr>
        <w:spacing w:line="500" w:lineRule="exact"/>
        <w:rPr>
          <w:rFonts w:hint="eastAsia" w:ascii="宋体" w:hAnsi="宋体" w:eastAsia="宋体" w:cs="宋体"/>
          <w:b/>
          <w:bCs/>
          <w:sz w:val="32"/>
          <w:szCs w:val="32"/>
        </w:rPr>
      </w:pPr>
    </w:p>
    <w:p w14:paraId="29D5B05F">
      <w:pPr>
        <w:spacing w:line="500" w:lineRule="exact"/>
        <w:rPr>
          <w:rFonts w:hint="eastAsia" w:ascii="宋体" w:hAnsi="宋体" w:eastAsia="宋体" w:cs="宋体"/>
          <w:b/>
          <w:bCs/>
          <w:sz w:val="32"/>
          <w:szCs w:val="32"/>
        </w:rPr>
      </w:pPr>
    </w:p>
    <w:p w14:paraId="0B8E2C46">
      <w:pPr>
        <w:spacing w:line="500" w:lineRule="exact"/>
        <w:rPr>
          <w:rFonts w:hint="eastAsia" w:ascii="宋体" w:hAnsi="宋体" w:eastAsia="宋体" w:cs="宋体"/>
          <w:b/>
          <w:bCs/>
          <w:sz w:val="32"/>
          <w:szCs w:val="32"/>
        </w:rPr>
      </w:pPr>
    </w:p>
    <w:p w14:paraId="6C6E6504">
      <w:pPr>
        <w:spacing w:line="500" w:lineRule="exact"/>
        <w:rPr>
          <w:rFonts w:hint="eastAsia" w:ascii="宋体" w:hAnsi="宋体" w:eastAsia="宋体" w:cs="宋体"/>
          <w:b/>
          <w:bCs/>
          <w:sz w:val="32"/>
          <w:szCs w:val="32"/>
        </w:rPr>
      </w:pPr>
    </w:p>
    <w:p w14:paraId="6181ADA0">
      <w:pPr>
        <w:spacing w:line="500" w:lineRule="exact"/>
        <w:rPr>
          <w:rFonts w:hint="eastAsia" w:ascii="宋体" w:hAnsi="宋体" w:eastAsia="宋体" w:cs="宋体"/>
          <w:b/>
          <w:bCs/>
          <w:sz w:val="32"/>
          <w:szCs w:val="32"/>
        </w:rPr>
      </w:pPr>
    </w:p>
    <w:p w14:paraId="40B3F989">
      <w:pPr>
        <w:spacing w:line="500" w:lineRule="exact"/>
        <w:rPr>
          <w:rFonts w:hint="eastAsia" w:ascii="宋体" w:hAnsi="宋体" w:eastAsia="宋体" w:cs="宋体"/>
          <w:b/>
          <w:bCs/>
          <w:sz w:val="32"/>
          <w:szCs w:val="32"/>
        </w:rPr>
      </w:pPr>
    </w:p>
    <w:p w14:paraId="5B408C60">
      <w:pPr>
        <w:spacing w:line="500" w:lineRule="exact"/>
        <w:rPr>
          <w:rFonts w:hint="eastAsia" w:ascii="宋体" w:hAnsi="宋体" w:eastAsia="宋体" w:cs="宋体"/>
          <w:b/>
          <w:bCs/>
          <w:sz w:val="32"/>
          <w:szCs w:val="32"/>
        </w:rPr>
      </w:pPr>
    </w:p>
    <w:p w14:paraId="6D1AF7E5">
      <w:pPr>
        <w:spacing w:line="500" w:lineRule="exact"/>
        <w:rPr>
          <w:rFonts w:hint="eastAsia" w:ascii="宋体" w:hAnsi="宋体" w:eastAsia="宋体" w:cs="宋体"/>
          <w:b/>
          <w:bCs/>
          <w:sz w:val="32"/>
          <w:szCs w:val="32"/>
        </w:rPr>
      </w:pPr>
    </w:p>
    <w:p w14:paraId="3B519691">
      <w:pPr>
        <w:spacing w:line="500" w:lineRule="exact"/>
        <w:rPr>
          <w:rFonts w:hint="eastAsia" w:ascii="宋体" w:hAnsi="宋体" w:eastAsia="宋体" w:cs="宋体"/>
          <w:b/>
          <w:bCs/>
          <w:sz w:val="32"/>
          <w:szCs w:val="32"/>
        </w:rPr>
      </w:pPr>
    </w:p>
    <w:p w14:paraId="5C1BFDF3">
      <w:pPr>
        <w:spacing w:line="500" w:lineRule="exact"/>
        <w:rPr>
          <w:rFonts w:hint="eastAsia" w:ascii="宋体" w:hAnsi="宋体" w:eastAsia="宋体" w:cs="宋体"/>
          <w:b/>
          <w:bCs/>
          <w:sz w:val="32"/>
          <w:szCs w:val="32"/>
        </w:rPr>
      </w:pPr>
    </w:p>
    <w:p w14:paraId="6BC59E3A">
      <w:pPr>
        <w:spacing w:line="500" w:lineRule="exact"/>
        <w:rPr>
          <w:rFonts w:hint="eastAsia" w:ascii="宋体" w:hAnsi="宋体" w:eastAsia="宋体" w:cs="宋体"/>
          <w:b/>
          <w:bCs/>
          <w:sz w:val="32"/>
          <w:szCs w:val="32"/>
        </w:rPr>
      </w:pPr>
    </w:p>
    <w:p w14:paraId="3CACB662">
      <w:pPr>
        <w:spacing w:line="500" w:lineRule="exact"/>
        <w:rPr>
          <w:rFonts w:hint="eastAsia" w:ascii="宋体" w:hAnsi="宋体" w:eastAsia="宋体" w:cs="宋体"/>
          <w:b/>
          <w:bCs/>
          <w:sz w:val="32"/>
          <w:szCs w:val="32"/>
        </w:rPr>
      </w:pPr>
    </w:p>
    <w:p w14:paraId="725761FE">
      <w:pPr>
        <w:spacing w:line="500" w:lineRule="exact"/>
        <w:rPr>
          <w:rFonts w:hint="eastAsia" w:ascii="宋体" w:hAnsi="宋体" w:eastAsia="宋体" w:cs="宋体"/>
          <w:b/>
          <w:bCs/>
          <w:sz w:val="32"/>
          <w:szCs w:val="32"/>
        </w:rPr>
      </w:pPr>
    </w:p>
    <w:p w14:paraId="3DA717D8">
      <w:pPr>
        <w:spacing w:line="500" w:lineRule="exact"/>
        <w:rPr>
          <w:rFonts w:hint="eastAsia" w:ascii="宋体" w:hAnsi="宋体" w:eastAsia="宋体" w:cs="宋体"/>
          <w:b/>
          <w:bCs/>
          <w:sz w:val="32"/>
          <w:szCs w:val="32"/>
        </w:rPr>
      </w:pPr>
    </w:p>
    <w:p w14:paraId="2C6164A9">
      <w:pPr>
        <w:spacing w:line="500" w:lineRule="exact"/>
        <w:rPr>
          <w:rFonts w:hint="eastAsia" w:ascii="宋体" w:hAnsi="宋体" w:eastAsia="宋体" w:cs="宋体"/>
          <w:b/>
          <w:bCs/>
          <w:sz w:val="32"/>
          <w:szCs w:val="32"/>
        </w:rPr>
      </w:pPr>
    </w:p>
    <w:p w14:paraId="6BA9CFB2">
      <w:pPr>
        <w:spacing w:line="500" w:lineRule="exact"/>
        <w:rPr>
          <w:rFonts w:hint="eastAsia" w:ascii="宋体" w:hAnsi="宋体" w:eastAsia="宋体" w:cs="宋体"/>
          <w:b/>
          <w:bCs/>
          <w:sz w:val="32"/>
          <w:szCs w:val="32"/>
        </w:rPr>
      </w:pPr>
    </w:p>
    <w:p w14:paraId="5AA89DEF">
      <w:pPr>
        <w:widowControl/>
        <w:jc w:val="left"/>
        <w:rPr>
          <w:rFonts w:ascii="宋体" w:hAnsi="宋体" w:eastAsia="宋体" w:cs="宋体"/>
          <w:b/>
          <w:bCs/>
          <w:sz w:val="32"/>
          <w:szCs w:val="32"/>
        </w:rPr>
      </w:pPr>
      <w:r>
        <w:rPr>
          <w:rFonts w:ascii="宋体" w:hAnsi="宋体" w:eastAsia="宋体" w:cs="宋体"/>
          <w:b/>
          <w:bCs/>
          <w:sz w:val="32"/>
          <w:szCs w:val="32"/>
        </w:rPr>
        <w:br w:type="page"/>
      </w:r>
    </w:p>
    <w:p w14:paraId="6FD252FF">
      <w:pPr>
        <w:spacing w:line="500" w:lineRule="exact"/>
        <w:rPr>
          <w:rFonts w:hint="eastAsia" w:ascii="宋体" w:hAnsi="宋体" w:eastAsia="宋体" w:cs="宋体"/>
          <w:b/>
          <w:bCs/>
          <w:sz w:val="32"/>
          <w:szCs w:val="32"/>
        </w:rPr>
      </w:pPr>
      <w:r>
        <w:rPr>
          <w:rFonts w:hint="eastAsia" w:ascii="宋体" w:hAnsi="宋体" w:eastAsia="宋体" w:cs="宋体"/>
          <w:b/>
          <w:bCs/>
          <w:sz w:val="32"/>
          <w:szCs w:val="32"/>
        </w:rPr>
        <w:t>附件3</w:t>
      </w:r>
    </w:p>
    <w:p w14:paraId="5E138686">
      <w:pPr>
        <w:spacing w:line="500" w:lineRule="exact"/>
        <w:ind w:firstLine="643" w:firstLineChars="200"/>
        <w:jc w:val="center"/>
        <w:rPr>
          <w:rFonts w:ascii="宋体" w:hAnsi="宋体" w:eastAsia="宋体" w:cs="宋体"/>
          <w:b/>
          <w:bCs/>
          <w:sz w:val="32"/>
          <w:szCs w:val="32"/>
        </w:rPr>
      </w:pPr>
      <w:r>
        <w:rPr>
          <w:rFonts w:ascii="宋体" w:hAnsi="宋体" w:eastAsia="宋体" w:cs="宋体"/>
          <w:b/>
          <w:bCs/>
          <w:sz w:val="32"/>
          <w:szCs w:val="32"/>
        </w:rPr>
        <w:t>湖南省农业农村厅办公室</w:t>
      </w:r>
    </w:p>
    <w:p w14:paraId="13C847E7">
      <w:pPr>
        <w:spacing w:line="500" w:lineRule="exact"/>
        <w:ind w:firstLine="562" w:firstLineChars="200"/>
        <w:jc w:val="center"/>
        <w:rPr>
          <w:rFonts w:ascii="宋体" w:hAnsi="宋体" w:eastAsia="宋体" w:cs="宋体"/>
          <w:b/>
          <w:bCs/>
          <w:sz w:val="28"/>
          <w:szCs w:val="28"/>
        </w:rPr>
      </w:pPr>
      <w:r>
        <w:rPr>
          <w:rFonts w:hint="eastAsia" w:ascii="宋体" w:hAnsi="宋体" w:eastAsia="宋体" w:cs="宋体"/>
          <w:b/>
          <w:bCs/>
          <w:sz w:val="28"/>
          <w:szCs w:val="28"/>
        </w:rPr>
        <w:t>湘农办发〔2025〕96号</w:t>
      </w:r>
    </w:p>
    <w:p w14:paraId="3720DEDF">
      <w:pPr>
        <w:spacing w:line="500" w:lineRule="exact"/>
        <w:ind w:firstLine="643" w:firstLineChars="200"/>
        <w:jc w:val="center"/>
        <w:rPr>
          <w:rFonts w:ascii="宋体" w:hAnsi="宋体" w:eastAsia="宋体" w:cs="宋体"/>
          <w:b/>
          <w:bCs/>
          <w:sz w:val="32"/>
          <w:szCs w:val="32"/>
        </w:rPr>
      </w:pPr>
      <w:r>
        <w:rPr>
          <w:rFonts w:ascii="宋体" w:hAnsi="宋体" w:eastAsia="宋体" w:cs="宋体"/>
          <w:b/>
          <w:bCs/>
          <w:sz w:val="32"/>
          <w:szCs w:val="32"/>
        </w:rPr>
        <w:t>关于进一步规范湖南省高素质农民培育工作的通知</w:t>
      </w:r>
    </w:p>
    <w:p w14:paraId="75CB0508">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各市州、县市区农业农村局：</w:t>
      </w:r>
    </w:p>
    <w:p w14:paraId="41FD6B37">
      <w:pPr>
        <w:widowControl/>
        <w:spacing w:line="360" w:lineRule="auto"/>
        <w:ind w:firstLine="420" w:firstLineChars="200"/>
        <w:jc w:val="left"/>
        <w:rPr>
          <w:rFonts w:hint="eastAsia" w:ascii="仿宋_GB2312" w:hAnsi="仿宋_GB2312" w:eastAsia="仿宋_GB2312" w:cs="仿宋_GB2312"/>
          <w:sz w:val="28"/>
          <w:szCs w:val="28"/>
        </w:rPr>
      </w:pPr>
      <w:r>
        <w:rPr>
          <w:rFonts w:hint="eastAsia" w:ascii="宋体" w:hAnsi="宋体" w:eastAsia="宋体" w:cs="宋体"/>
          <w:szCs w:val="21"/>
        </w:rPr>
        <w:t>为保证全省高素质农民培育工作科学、规范、高效开展，不断提高培育的针对性、规范性和有效性，根据农业农村部农村社会事业促进司《高素质农民培育项目管理工作规程（试行）》和《高素质农民培育规范（修订）》（农社综函〔2025〕15号）要求，现就进一步规范我省高素质农民培育工作有关事项通知如下：</w:t>
      </w:r>
    </w:p>
    <w:p w14:paraId="368F4F0F">
      <w:pPr>
        <w:ind w:firstLine="560" w:firstLineChars="200"/>
        <w:rPr>
          <w:rFonts w:ascii="黑体" w:hAnsi="黑体" w:eastAsia="黑体" w:cs="黑体"/>
          <w:sz w:val="28"/>
          <w:szCs w:val="28"/>
        </w:rPr>
      </w:pPr>
      <w:r>
        <w:rPr>
          <w:rFonts w:ascii="黑体" w:hAnsi="黑体" w:eastAsia="黑体" w:cs="黑体"/>
          <w:sz w:val="28"/>
          <w:szCs w:val="28"/>
        </w:rPr>
        <w:t>一、精准遴选培育学员</w:t>
      </w:r>
    </w:p>
    <w:p w14:paraId="0E39FF1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各县（市、区）要建立培育学员生源库，积极开展需求摸底，广泛宣传高素质农民培育工作，积极指导有意愿参训学员登录农业农村部“农民教育培训申报系统”或手机下载“云上智农”APP自愿报名。培育对象要求年满16周岁，身体健康，无影响参加培训的身体不适或疾病，培训对象主要包括正在从事或有意愿从事农业生产、经营、服务、管理、乡村建设等工作的农民（含返乡入乡农民工、退役军人、大中专毕业生等新农人）、乡村治理骨干、新型农业经营主体带头人、服务主体带头人、乡村工匠、农村创新创业者等。同一培育对象在同一年度只能参加一次培训。确因人才培养需要，可在次年参加不同主题或同一主题更高层级的培育。</w:t>
      </w:r>
    </w:p>
    <w:p w14:paraId="2658FCEE">
      <w:pPr>
        <w:ind w:firstLine="560" w:firstLineChars="200"/>
        <w:rPr>
          <w:rFonts w:hint="eastAsia" w:ascii="黑体" w:hAnsi="黑体" w:eastAsia="黑体" w:cs="黑体"/>
          <w:sz w:val="28"/>
          <w:szCs w:val="28"/>
        </w:rPr>
      </w:pPr>
      <w:r>
        <w:rPr>
          <w:rFonts w:hint="eastAsia" w:ascii="黑体" w:hAnsi="黑体" w:eastAsia="黑体" w:cs="黑体"/>
          <w:sz w:val="28"/>
          <w:szCs w:val="28"/>
        </w:rPr>
        <w:t>二、择优遴选培育机构</w:t>
      </w:r>
    </w:p>
    <w:p w14:paraId="12EB1BF2">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要择优遴选机构，承担培育任务的机构应具有独立法人资格，注册登记或成立满3年以上（含3年），开设与培训主题相关的专业课程或者有与培训主题相关的办学许可核定的职业（工种），且近三年内在经营活动中无重大违法、违规及失信记录；有固定的教学办公场所，配备与培育主题相关的完备教学设施设备，满足100名学员集中授课、实践教学、学员食宿所需的教学设备、食堂、宿舍和实践设备；能配备结构合理、素质优良的教学管理团队和师资队伍，要求专职教学管理人员不少于5人，需提供近三个月的社保缴纳证明。管理团队分工包括但不限于项目负责人、财务人员、班级管理人员、后勤保障人员等；具有健全的规章制度，包括教学管理、学员管理、财务管理、安全管理、档案管理、应急管理等制度；能够开具财政、税务部门申领的正规票据。优先选用承担上一年度培育任务并高质高效完成的培育机构，承担本年度高素质农民培育任务。</w:t>
      </w:r>
    </w:p>
    <w:p w14:paraId="1849303E">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近三年内培育机构有出现过以下情形的，不得承担本年度培育任务：培育机构申报条件和培育过程弄虚作假的；私自分包、转包培育任务的；超出培育完成期限时间1个月仍未能完成任务的；培育资金使用严重违规或违反合同协议的，存在虚报冒领、骗取套取行为的；培育过程中出现安全责任事故、违法违规情况的；发生严重违反师德师风，造成社会不良影响的。</w:t>
      </w:r>
    </w:p>
    <w:p w14:paraId="32CEAD98">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培育机构将课堂教学、实践教学和跟踪服务的部分环节委托给其他机构实施的，应与该机构签订合作协议，明确委托内容、质量要求、完成期限等。培育机构对培育效果负最终责任。</w:t>
      </w:r>
    </w:p>
    <w:p w14:paraId="19A4CE7F">
      <w:pPr>
        <w:ind w:firstLine="560" w:firstLineChars="200"/>
        <w:rPr>
          <w:rFonts w:hint="eastAsia" w:ascii="黑体" w:hAnsi="黑体" w:eastAsia="黑体" w:cs="黑体"/>
          <w:sz w:val="28"/>
          <w:szCs w:val="28"/>
        </w:rPr>
      </w:pPr>
      <w:r>
        <w:rPr>
          <w:rFonts w:hint="eastAsia" w:ascii="黑体" w:hAnsi="黑体" w:eastAsia="黑体" w:cs="黑体"/>
          <w:sz w:val="28"/>
          <w:szCs w:val="28"/>
        </w:rPr>
        <w:t>三、精选培育师资</w:t>
      </w:r>
    </w:p>
    <w:p w14:paraId="69A6B344">
      <w:pPr>
        <w:spacing w:line="520" w:lineRule="exact"/>
        <w:ind w:firstLine="420" w:firstLineChars="200"/>
        <w:rPr>
          <w:rFonts w:hint="eastAsia" w:ascii="仿宋_GB2312" w:hAnsi="仿宋_GB2312" w:eastAsia="仿宋_GB2312" w:cs="仿宋_GB2312"/>
          <w:sz w:val="28"/>
          <w:szCs w:val="28"/>
        </w:rPr>
      </w:pPr>
      <w:r>
        <w:rPr>
          <w:rFonts w:hint="eastAsia" w:ascii="宋体" w:hAnsi="宋体" w:eastAsia="宋体" w:cs="宋体"/>
          <w:szCs w:val="21"/>
        </w:rPr>
        <w:t>培育师资需从农民教育培训信息管理系统内选用。师资的专业领域、知识结构和实践经验应与所授课程主题高度匹配，确保授课内容的专业性和适用性。优先聘请农业农村部公布的全国共享乡村振兴实践指导师、社会反映较好的教师。每位授课教师在同一培训班次内，线下集中授课原则上不得连续安排超过4学时，确因课程内容需要（如大专题、实操演示及年度方案有要求等情况），培育机构向主管农业农村部门申请并同意后，可适当延长。各地农业农村部门应加强对师资队伍的管理，为高素质农民培育提供有力保障。</w:t>
      </w:r>
    </w:p>
    <w:p w14:paraId="2750F070">
      <w:pPr>
        <w:spacing w:line="48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四、优选实践教学观摩交流场所</w:t>
      </w:r>
    </w:p>
    <w:p w14:paraId="14C10FE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各地农业农村部门应按照省厅发布的《关于征集湖南省高素质农民培育实践教学及观摩点的函》要求，做好实践教学观摩交流场所的遴选工作，对符合要求的场所及时录入“高素质农民培育管理信息系统－省级实践教学观摩交流场所”进行入库管理，承担培训任务的机构在省内开展实践观摩教学环节时，应从实践教学观摩交流场所库内优选与课程内容直接相关的场所开展，实训形式包括场地实训、顶岗实习、跟岗见习、模拟教学、实践孵化等形式。鼓励培育机构利用AR（增强现实）、VR（虚拟现实）等新技术手段在高素质农民培育领域的应用，提高培训有效性。承担培训任务的机构在省外开展实践观摩教学环节时，应提前向省级行政主管部门报批，并按程序将场所入库进行管理。</w:t>
      </w:r>
    </w:p>
    <w:p w14:paraId="0631BA8A">
      <w:pPr>
        <w:ind w:firstLine="560" w:firstLineChars="200"/>
        <w:rPr>
          <w:rFonts w:hint="eastAsia" w:ascii="黑体" w:hAnsi="黑体" w:eastAsia="黑体" w:cs="黑体"/>
          <w:sz w:val="28"/>
          <w:szCs w:val="28"/>
        </w:rPr>
      </w:pPr>
      <w:r>
        <w:rPr>
          <w:rFonts w:hint="eastAsia" w:ascii="黑体" w:hAnsi="黑体" w:eastAsia="黑体" w:cs="黑体"/>
          <w:sz w:val="28"/>
          <w:szCs w:val="28"/>
        </w:rPr>
        <w:t>四、严选培育教材</w:t>
      </w:r>
    </w:p>
    <w:p w14:paraId="43E156C6">
      <w:pPr>
        <w:spacing w:line="520" w:lineRule="exact"/>
        <w:ind w:firstLine="420" w:firstLineChars="200"/>
        <w:rPr>
          <w:rFonts w:hint="eastAsia" w:ascii="仿宋_GB2312" w:hAnsi="仿宋_GB2312" w:eastAsia="仿宋_GB2312" w:cs="仿宋_GB2312"/>
          <w:sz w:val="28"/>
          <w:szCs w:val="28"/>
        </w:rPr>
      </w:pPr>
      <w:r>
        <w:rPr>
          <w:rFonts w:hint="eastAsia" w:ascii="宋体" w:hAnsi="宋体" w:eastAsia="宋体" w:cs="宋体"/>
          <w:szCs w:val="21"/>
        </w:rPr>
        <w:t>培育教材包括正式出版物、各级农业农村部门组织编制的培育手册。优先选用农业农村部、教育部规划教材和各级农业农村部门推荐教材。教材选择应与班级主题紧密挂钩。为规范教材使用，提高培训质量，我省将建立省级教材目录，各市州农业农村局组织申报和推荐，并提交样书或样稿，省厅主管业务部门审核通过后录入农民教育培训信息管理系统，教材库实行动态管理，每年对目录内教材进行使用效果评估，根据反馈意见对过时或质量不达标的教材予以出库。</w:t>
      </w:r>
    </w:p>
    <w:p w14:paraId="7812027A">
      <w:pPr>
        <w:ind w:firstLine="560" w:firstLineChars="200"/>
        <w:rPr>
          <w:rFonts w:hint="eastAsia" w:ascii="黑体" w:hAnsi="黑体" w:eastAsia="黑体" w:cs="黑体"/>
          <w:sz w:val="28"/>
          <w:szCs w:val="28"/>
        </w:rPr>
      </w:pPr>
      <w:r>
        <w:rPr>
          <w:rFonts w:hint="eastAsia" w:ascii="黑体" w:hAnsi="黑体" w:eastAsia="黑体" w:cs="黑体"/>
          <w:sz w:val="28"/>
          <w:szCs w:val="28"/>
        </w:rPr>
        <w:t>五、制定开班计划</w:t>
      </w:r>
    </w:p>
    <w:p w14:paraId="17229E73">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各培育机构要科学合理制定开班计划，包括培育主题、时间、地点、课程、学时、培育对象、培育形式、师资、教材、经费支出计划和预期效果等培育全过程内容，明确班级管理相关要求。开班计划由市、县农业农村部门审核，并经省级农业农村部门审定后，由培育机构公开发布并严格按照计划实施（若有修改须本级主管部门同意并报厅主管处室备案）。</w:t>
      </w:r>
    </w:p>
    <w:p w14:paraId="690D2680">
      <w:pPr>
        <w:ind w:firstLine="560" w:firstLineChars="200"/>
        <w:rPr>
          <w:rFonts w:hint="eastAsia" w:ascii="黑体" w:hAnsi="黑体" w:eastAsia="黑体" w:cs="黑体"/>
          <w:sz w:val="28"/>
          <w:szCs w:val="28"/>
        </w:rPr>
      </w:pPr>
      <w:r>
        <w:rPr>
          <w:rFonts w:hint="eastAsia" w:ascii="黑体" w:hAnsi="黑体" w:eastAsia="黑体" w:cs="黑体"/>
          <w:sz w:val="28"/>
          <w:szCs w:val="28"/>
        </w:rPr>
        <w:t>六、创新培育形式</w:t>
      </w:r>
    </w:p>
    <w:p w14:paraId="77140EB8">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实行分类型、分专业、小班制、重实训、强服务的培育形式，综合采用课堂教学（含线上线下）、实践教学、观摩交流等多种方式进行。</w:t>
      </w:r>
    </w:p>
    <w:p w14:paraId="500C565F">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（一）合理安排课时</w:t>
      </w:r>
    </w:p>
    <w:p w14:paraId="019A5E3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按照培训模块设计培训班课程学时，45分钟为1学时，每天不超过8个学时。原则上，农业经理人班学时不低于160学时。专题班（如特定产业、特定技能提升班）不低于120学时。常规班按照经费档分别为不低于120学时或56学时（学时要求可根据本年度的高素质农民培育工作实施方案调整）。线上学习学时计入总学时，但占比不得超过15%，线上学习平台应具备完善的在线学习、直播授课、课程考核、学习过程记录、防作弊功能及相关统计、监测和评价功能。</w:t>
      </w:r>
    </w:p>
    <w:p w14:paraId="5EC96070">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（二）优化课程设置</w:t>
      </w:r>
    </w:p>
    <w:p w14:paraId="341C6192">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建立模块化课程体系，分为综合素养课、专业技能课、能力拓展课三类。其中，综合素养课包含“开班第一课”，包括当年中央一号文件和农业农村部相关部署要求等；专业技能课应根据培育对象实际需求，围绕培育主题开设，包括课堂教学和实训实操学习掌握乡村产业发展、乡村建设、乡村治理等方面的专业知识和实用技术技能；能力拓展课由培育对象和培育目标自选开展、自行设计。课程模块比例参照《高素质农民培育规范（修订）》执行。</w:t>
      </w:r>
    </w:p>
    <w:p w14:paraId="6C866129">
      <w:pPr>
        <w:ind w:firstLine="560" w:firstLineChars="200"/>
        <w:rPr>
          <w:rFonts w:hint="eastAsia" w:ascii="黑体" w:hAnsi="黑体" w:eastAsia="黑体" w:cs="黑体"/>
          <w:sz w:val="28"/>
          <w:szCs w:val="28"/>
        </w:rPr>
      </w:pPr>
      <w:r>
        <w:rPr>
          <w:rFonts w:hint="eastAsia" w:ascii="黑体" w:hAnsi="黑体" w:eastAsia="黑体" w:cs="黑体"/>
          <w:sz w:val="28"/>
          <w:szCs w:val="28"/>
        </w:rPr>
        <w:t>七、规范审核流程</w:t>
      </w:r>
    </w:p>
    <w:p w14:paraId="46050389">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开班前，培育机构需制定开班实施方案，包括计划开班时间、培育地点、培育主题、课程设置、学时分配、培育对象、培育形式、师资安排、实践教学观摩交流场所安排、教材选用、经费预算、预期效果等培育全过程内容，并落实班级基本管理制度，包含开班制度、班主任制度、开班第一课制度、学员考勤制度、上课场景存档制度（含照片、视频等），明确保存要求、满意度调查制度、培训台账制度、培训剪影短视频留档制度、管理人员跟班制度、安全管理制度等，报县市农业农村部门审查、省厅备案。正式开班时，培育机构在农民教育培训信息管理系统提交开班实施方案，经落实培育任务的市（州）或者县（市、区）农业农村主管部门审核通过后，提交省级农业农村主管部门审核。经审核通过后，培育机构公开发布开班信息，培育机构按计划开班。培育机构应严格按照审核通过的开班计划实施培育。</w:t>
      </w:r>
    </w:p>
    <w:p w14:paraId="0C9FB51B">
      <w:pPr>
        <w:ind w:firstLine="560" w:firstLineChars="200"/>
        <w:rPr>
          <w:rFonts w:hint="eastAsia" w:ascii="黑体" w:hAnsi="黑体" w:eastAsia="黑体" w:cs="黑体"/>
          <w:sz w:val="28"/>
          <w:szCs w:val="28"/>
        </w:rPr>
      </w:pPr>
      <w:r>
        <w:rPr>
          <w:rFonts w:hint="eastAsia" w:ascii="黑体" w:hAnsi="黑体" w:eastAsia="黑体" w:cs="黑体"/>
          <w:sz w:val="28"/>
          <w:szCs w:val="28"/>
        </w:rPr>
        <w:t>八、强化跟踪服务</w:t>
      </w:r>
    </w:p>
    <w:p w14:paraId="73CE9530">
      <w:pPr>
        <w:spacing w:line="520" w:lineRule="exact"/>
        <w:ind w:firstLine="420" w:firstLineChars="200"/>
        <w:rPr>
          <w:rFonts w:hint="eastAsia" w:ascii="仿宋_GB2312" w:hAnsi="仿宋_GB2312" w:eastAsia="仿宋_GB2312" w:cs="仿宋_GB2312"/>
          <w:sz w:val="28"/>
          <w:szCs w:val="28"/>
        </w:rPr>
      </w:pPr>
      <w:r>
        <w:rPr>
          <w:rFonts w:hint="eastAsia" w:ascii="宋体" w:hAnsi="宋体" w:eastAsia="宋体" w:cs="宋体"/>
          <w:szCs w:val="21"/>
        </w:rPr>
        <w:t>培育机构要配备专门师资进行跟踪服务，跟踪服务需在培训班结束之日起一年内完成，人数不少于培训班总人数的60%，次数不少于2次。积极开展技术指导、政策推介、信贷保险支持，促进农民抱团、对接市场。积极搭建交流平台，组织开展产销对接、跨省区交流合作、创业创新项目路演、技能竞赛等活动。</w:t>
      </w:r>
    </w:p>
    <w:p w14:paraId="46A70B63">
      <w:pPr>
        <w:ind w:firstLine="560" w:firstLineChars="200"/>
        <w:rPr>
          <w:rFonts w:hint="eastAsia" w:ascii="黑体" w:hAnsi="黑体" w:eastAsia="黑体" w:cs="黑体"/>
          <w:sz w:val="28"/>
          <w:szCs w:val="28"/>
        </w:rPr>
      </w:pPr>
      <w:r>
        <w:rPr>
          <w:rFonts w:hint="eastAsia" w:ascii="黑体" w:hAnsi="黑体" w:eastAsia="黑体" w:cs="黑体"/>
          <w:sz w:val="28"/>
          <w:szCs w:val="28"/>
        </w:rPr>
        <w:t>九、规范使用培育资金</w:t>
      </w:r>
    </w:p>
    <w:p w14:paraId="71DC7D3B">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高素质农民培育资金可用于支付高素质农民培育计划实施的需求摸底、课堂教学（含线上线下）、实践教学、交流观摩、跟踪服务和总结评价等培育环节必需费用和验收费用。不得列支招投标费用、审计费用和第三方评估费用等应从“三公”经费支出的其他费用。不得以各种形式给培育对象发放补助。各培育机构必须按照培训资金的使用范围和使用标准，规范使用资金，实行专项管理，专款专用。培育结束后各主管部门及时支付培训费用。</w:t>
      </w:r>
    </w:p>
    <w:p w14:paraId="0EC558DE">
      <w:pPr>
        <w:ind w:firstLine="560" w:firstLineChars="200"/>
        <w:rPr>
          <w:rFonts w:hint="eastAsia" w:ascii="黑体" w:hAnsi="黑体" w:eastAsia="黑体" w:cs="黑体"/>
          <w:sz w:val="28"/>
          <w:szCs w:val="28"/>
        </w:rPr>
      </w:pPr>
      <w:r>
        <w:rPr>
          <w:rFonts w:hint="eastAsia" w:ascii="黑体" w:hAnsi="黑体" w:eastAsia="黑体" w:cs="黑体"/>
          <w:sz w:val="28"/>
          <w:szCs w:val="28"/>
        </w:rPr>
        <w:t>十、保障措施</w:t>
      </w:r>
    </w:p>
    <w:p w14:paraId="2F89B7A5">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（一）加强组织管理</w:t>
      </w:r>
    </w:p>
    <w:p w14:paraId="4ADBBD58">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各级农业农村部门要做好本地区高素质农民培育计划组织实施，健全逐级负责的管理机制。建立健全质量监管机制，强化高素质农民培育计划质量建设。加强高素质农民培育管理体系建设，开展管理人员培训，持续提升组织管理水平。指导承担培育任务的机构做好学员遴选、日常培训管理、信息动态报送、归档资料收集等工作，提升培育针对性、规范性、有效性，切实保障培育质量。</w:t>
      </w:r>
    </w:p>
    <w:p w14:paraId="4AE3C992">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（二）强化全程监管</w:t>
      </w:r>
    </w:p>
    <w:p w14:paraId="3962B067">
      <w:pPr>
        <w:spacing w:line="520" w:lineRule="exact"/>
        <w:ind w:firstLine="420" w:firstLineChars="200"/>
        <w:rPr>
          <w:rFonts w:hint="eastAsia" w:ascii="宋体" w:hAnsi="宋体" w:eastAsia="宋体" w:cs="宋体"/>
          <w:szCs w:val="21"/>
          <w:lang w:eastAsia="en-US"/>
        </w:rPr>
      </w:pPr>
      <w:r>
        <w:rPr>
          <w:rFonts w:hint="eastAsia" w:ascii="宋体" w:hAnsi="宋体" w:eastAsia="宋体" w:cs="宋体"/>
          <w:szCs w:val="21"/>
        </w:rPr>
        <w:t>依托农民教育培训信息系统加强信息报送和过程监管。落实农民教育培训信息管理系统在线评价、信息统计和发展情况监测，实现参训农民基本信息100%入库，培育全程可监测可追溯。及时开展学员在线评价和综合满意度测评，并将学员满意度达到90%以上作为培训合格的基本标准。同时各级农业农村业务主管部门要对培育实施情况开展随机抽查，通过电话回访、远程视频检查（通过管理系统“主管部门”与湘农科教云APP“培训机构”进行实时连线）、实地核查等方式开展常态化、全过程监督，进一步规范培训管理，确保培育规范高效。要用好农业农村部转移支付管理平台和湖南省农业农村厅资金项目监管平台，及时填报各级实施方案、项目实施情况和资金支出信息，确保真实准确。</w:t>
      </w:r>
      <w:r>
        <w:rPr>
          <w:rFonts w:hint="eastAsia" w:ascii="宋体" w:hAnsi="宋体" w:eastAsia="宋体" w:cs="宋体"/>
          <w:szCs w:val="21"/>
          <w:lang w:eastAsia="en-US"/>
        </w:rPr>
        <w:t>严禁数据造假。</w:t>
      </w:r>
    </w:p>
    <w:p w14:paraId="1D2D45CD">
      <w:pPr>
        <w:spacing w:line="520" w:lineRule="exact"/>
        <w:ind w:firstLine="420" w:firstLineChars="200"/>
        <w:rPr>
          <w:rFonts w:hint="eastAsia" w:ascii="宋体" w:hAnsi="宋体" w:eastAsia="宋体" w:cs="宋体"/>
          <w:szCs w:val="21"/>
          <w:lang w:eastAsia="en-US"/>
        </w:rPr>
      </w:pPr>
      <w:r>
        <w:rPr>
          <w:rFonts w:hint="eastAsia" w:ascii="宋体" w:hAnsi="宋体" w:eastAsia="宋体" w:cs="宋体"/>
          <w:szCs w:val="21"/>
        </w:rPr>
        <w:t>（三）</w:t>
      </w:r>
      <w:r>
        <w:rPr>
          <w:rFonts w:hint="eastAsia" w:ascii="宋体" w:hAnsi="宋体" w:eastAsia="宋体" w:cs="宋体"/>
          <w:szCs w:val="21"/>
          <w:lang w:eastAsia="en-US"/>
        </w:rPr>
        <w:t>树立示范典型</w:t>
      </w:r>
    </w:p>
    <w:p w14:paraId="5FEC2F1D">
      <w:pPr>
        <w:spacing w:line="520" w:lineRule="exact"/>
        <w:ind w:firstLine="420" w:firstLineChars="200"/>
        <w:rPr>
          <w:rFonts w:ascii="宋体" w:hAnsi="宋体" w:eastAsia="宋体" w:cs="宋体"/>
          <w:szCs w:val="21"/>
        </w:rPr>
      </w:pPr>
      <w:r>
        <w:rPr>
          <w:rFonts w:hint="eastAsia" w:ascii="宋体" w:hAnsi="宋体" w:eastAsia="宋体" w:cs="宋体"/>
          <w:szCs w:val="21"/>
        </w:rPr>
        <w:t>各地区要注重选树典型，积极利用各级主流媒体或自媒体刊播综合性报道，在各级党政及农业农村部门网站等新媒体发布新闻报道，每班次进行新闻报道，宣传培育成效和学员典型。做好优秀培育机构、优秀基地、优秀师资、优秀学员等典型案例挖掘和宣传工作，并以年度为单位精选上报省厅。</w:t>
      </w:r>
    </w:p>
    <w:p w14:paraId="3BE87BF9">
      <w:pPr>
        <w:spacing w:line="500" w:lineRule="exact"/>
        <w:rPr>
          <w:rFonts w:hint="eastAsia" w:ascii="宋体" w:hAnsi="宋体" w:eastAsia="宋体" w:cs="宋体"/>
          <w:b/>
          <w:bCs/>
          <w:sz w:val="32"/>
          <w:szCs w:val="32"/>
        </w:rPr>
      </w:pPr>
    </w:p>
    <w:p w14:paraId="7BABD8A3">
      <w:pPr>
        <w:widowControl/>
        <w:shd w:val="clear" w:color="auto" w:fill="FFFFFF"/>
        <w:outlineLvl w:val="2"/>
        <w:rPr>
          <w:rFonts w:hint="eastAsia" w:ascii="Times New Roman" w:hAnsi="Times New Roman" w:eastAsia="方正小标宋简体" w:cs="Times New Roman"/>
          <w:sz w:val="28"/>
          <w:szCs w:val="28"/>
          <w:shd w:val="clear" w:color="auto" w:fill="FFFFFF"/>
        </w:rPr>
      </w:pPr>
    </w:p>
    <w:p w14:paraId="390A0AE5">
      <w:pPr>
        <w:widowControl/>
        <w:shd w:val="clear" w:color="auto" w:fill="FFFFFF"/>
        <w:outlineLvl w:val="2"/>
        <w:rPr>
          <w:rFonts w:hint="eastAsia" w:ascii="Times New Roman" w:hAnsi="Times New Roman" w:eastAsia="方正小标宋简体" w:cs="Times New Roman"/>
          <w:sz w:val="28"/>
          <w:szCs w:val="28"/>
          <w:shd w:val="clear" w:color="auto" w:fill="FFFFFF"/>
        </w:rPr>
      </w:pPr>
    </w:p>
    <w:p w14:paraId="5E0B4588">
      <w:pPr>
        <w:widowControl/>
        <w:shd w:val="clear" w:color="auto" w:fill="FFFFFF"/>
        <w:outlineLvl w:val="2"/>
        <w:rPr>
          <w:rFonts w:hint="eastAsia" w:ascii="Times New Roman" w:hAnsi="Times New Roman" w:eastAsia="方正小标宋简体" w:cs="Times New Roman"/>
          <w:sz w:val="28"/>
          <w:szCs w:val="28"/>
          <w:shd w:val="clear" w:color="auto" w:fill="FFFFFF"/>
        </w:rPr>
      </w:pPr>
    </w:p>
    <w:p w14:paraId="184A9B47">
      <w:pPr>
        <w:widowControl/>
        <w:shd w:val="clear" w:color="auto" w:fill="FFFFFF"/>
        <w:outlineLvl w:val="2"/>
        <w:rPr>
          <w:rFonts w:hint="eastAsia" w:ascii="Times New Roman" w:hAnsi="Times New Roman" w:eastAsia="方正小标宋简体" w:cs="Times New Roman"/>
          <w:sz w:val="28"/>
          <w:szCs w:val="28"/>
          <w:shd w:val="clear" w:color="auto" w:fill="FFFFFF"/>
        </w:rPr>
      </w:pPr>
    </w:p>
    <w:p w14:paraId="31C6DCD7">
      <w:pPr>
        <w:widowControl/>
        <w:shd w:val="clear" w:color="auto" w:fill="FFFFFF"/>
        <w:outlineLvl w:val="2"/>
        <w:rPr>
          <w:rFonts w:hint="eastAsia" w:ascii="Times New Roman" w:hAnsi="Times New Roman" w:eastAsia="方正小标宋简体" w:cs="Times New Roman"/>
          <w:sz w:val="28"/>
          <w:szCs w:val="28"/>
          <w:shd w:val="clear" w:color="auto" w:fill="FFFFFF"/>
        </w:rPr>
      </w:pPr>
    </w:p>
    <w:p w14:paraId="35631AE7">
      <w:pPr>
        <w:widowControl/>
        <w:shd w:val="clear" w:color="auto" w:fill="FFFFFF"/>
        <w:outlineLvl w:val="2"/>
        <w:rPr>
          <w:rFonts w:hint="eastAsia" w:ascii="Times New Roman" w:hAnsi="Times New Roman" w:eastAsia="方正小标宋简体" w:cs="Times New Roman"/>
          <w:sz w:val="28"/>
          <w:szCs w:val="28"/>
          <w:shd w:val="clear" w:color="auto" w:fill="FFFFFF"/>
        </w:rPr>
      </w:pPr>
      <w:r>
        <w:rPr>
          <w:rFonts w:hint="eastAsia" w:ascii="Times New Roman" w:hAnsi="Times New Roman" w:eastAsia="方正小标宋简体" w:cs="Times New Roman"/>
          <w:sz w:val="28"/>
          <w:szCs w:val="28"/>
          <w:shd w:val="clear" w:color="auto" w:fill="FFFFFF"/>
        </w:rPr>
        <w:br w:type="column"/>
      </w:r>
      <w:r>
        <w:rPr>
          <w:rFonts w:hint="eastAsia" w:ascii="Times New Roman" w:hAnsi="Times New Roman" w:eastAsia="方正小标宋简体" w:cs="Times New Roman"/>
          <w:sz w:val="28"/>
          <w:szCs w:val="28"/>
          <w:shd w:val="clear" w:color="auto" w:fill="FFFFFF"/>
        </w:rPr>
        <w:t>附件4</w:t>
      </w:r>
    </w:p>
    <w:p w14:paraId="49C64982">
      <w:pPr>
        <w:widowControl/>
        <w:shd w:val="clear" w:color="auto" w:fill="FFFFFF"/>
        <w:ind w:firstLine="1400" w:firstLineChars="500"/>
        <w:outlineLvl w:val="2"/>
        <w:rPr>
          <w:rFonts w:ascii="Times New Roman" w:hAnsi="Times New Roman" w:eastAsia="仿宋_GB2312" w:cs="Times New Roman"/>
          <w:b/>
          <w:bCs/>
          <w:sz w:val="32"/>
          <w:szCs w:val="32"/>
          <w:shd w:val="clear" w:color="auto" w:fill="FFFFFF"/>
        </w:rPr>
      </w:pPr>
      <w:bookmarkStart w:id="0" w:name="_Toc256000042"/>
      <w:r>
        <w:rPr>
          <w:rFonts w:hint="eastAsia" w:ascii="Times New Roman" w:hAnsi="Times New Roman" w:eastAsia="方正小标宋简体" w:cs="Times New Roman"/>
          <w:sz w:val="28"/>
          <w:szCs w:val="28"/>
          <w:shd w:val="clear" w:color="auto" w:fill="FFFFFF"/>
        </w:rPr>
        <w:t>新化县</w:t>
      </w:r>
      <w:r>
        <w:rPr>
          <w:rFonts w:ascii="Times New Roman" w:hAnsi="Times New Roman" w:eastAsia="方正小标宋简体" w:cs="Times New Roman"/>
          <w:sz w:val="28"/>
          <w:szCs w:val="28"/>
          <w:shd w:val="clear" w:color="auto" w:fill="FFFFFF"/>
        </w:rPr>
        <w:t>202</w:t>
      </w:r>
      <w:r>
        <w:rPr>
          <w:rFonts w:hint="eastAsia" w:ascii="Times New Roman" w:hAnsi="Times New Roman" w:eastAsia="方正小标宋简体" w:cs="Times New Roman"/>
          <w:sz w:val="28"/>
          <w:szCs w:val="28"/>
          <w:shd w:val="clear" w:color="auto" w:fill="FFFFFF"/>
        </w:rPr>
        <w:t>5</w:t>
      </w:r>
      <w:r>
        <w:rPr>
          <w:rFonts w:ascii="Times New Roman" w:hAnsi="Times New Roman" w:eastAsia="方正小标宋简体" w:cs="Times New Roman"/>
          <w:sz w:val="28"/>
          <w:szCs w:val="28"/>
          <w:shd w:val="clear" w:color="auto" w:fill="FFFFFF"/>
        </w:rPr>
        <w:t>年</w:t>
      </w:r>
      <w:r>
        <w:rPr>
          <w:rFonts w:hint="eastAsia" w:ascii="Times New Roman" w:hAnsi="Times New Roman" w:eastAsia="方正小标宋简体" w:cs="Times New Roman"/>
          <w:sz w:val="28"/>
          <w:szCs w:val="28"/>
          <w:shd w:val="clear" w:color="auto" w:fill="FFFFFF"/>
        </w:rPr>
        <w:t>度</w:t>
      </w:r>
      <w:r>
        <w:rPr>
          <w:rFonts w:ascii="Times New Roman" w:hAnsi="Times New Roman" w:eastAsia="方正小标宋简体" w:cs="Times New Roman"/>
          <w:sz w:val="28"/>
          <w:szCs w:val="28"/>
          <w:shd w:val="clear" w:color="auto" w:fill="FFFFFF"/>
        </w:rPr>
        <w:t>高素质农民培育</w:t>
      </w:r>
      <w:bookmarkEnd w:id="0"/>
      <w:bookmarkStart w:id="1" w:name="_Toc256000043"/>
      <w:r>
        <w:rPr>
          <w:rFonts w:ascii="Times New Roman" w:hAnsi="Times New Roman" w:eastAsia="方正小标宋简体" w:cs="Times New Roman"/>
          <w:sz w:val="28"/>
          <w:szCs w:val="28"/>
          <w:shd w:val="clear" w:color="auto" w:fill="FFFFFF"/>
        </w:rPr>
        <w:t>项目验收</w:t>
      </w:r>
      <w:r>
        <w:rPr>
          <w:rFonts w:hint="eastAsia" w:ascii="Times New Roman" w:hAnsi="Times New Roman" w:eastAsia="方正小标宋简体" w:cs="Times New Roman"/>
          <w:sz w:val="28"/>
          <w:szCs w:val="28"/>
          <w:shd w:val="clear" w:color="auto" w:fill="FFFFFF"/>
        </w:rPr>
        <w:t>内容</w:t>
      </w:r>
      <w:bookmarkEnd w:id="1"/>
    </w:p>
    <w:p w14:paraId="1385ABE8">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验收内容：</w:t>
      </w:r>
    </w:p>
    <w:p w14:paraId="5E64E82C">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1.计划任务完成情况：培训机构是否按照既定的计划和目标完成了培训任务，开展了相应的培训课程和实训活动。‌</w:t>
      </w:r>
    </w:p>
    <w:p w14:paraId="2C851E3E">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2.项目进度要求：项目是否按照预定的时间节点和要求完成了线下、线上的学习。这包括检查学员的出勤情况、线上学习进度以及学习任务的完成情况，确保所有学员都按要求100%完成了规定的学习内容。</w:t>
      </w:r>
    </w:p>
    <w:p w14:paraId="6DA3CB29">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3.项目质量要求：依据相关文件和合同规定的质量要求，对培训的教学质量、学员的学习成果以及培训后的实际应用效果进行评估。这包括检查培训机构的师资力量、教学设施、培训过程管理等方面是否达到标准，以及学员对培训的满意度和反馈情况。</w:t>
      </w:r>
    </w:p>
    <w:p w14:paraId="6E05DB30">
      <w:pPr>
        <w:spacing w:line="520" w:lineRule="exact"/>
        <w:ind w:firstLine="420" w:firstLineChars="200"/>
        <w:rPr>
          <w:rFonts w:hint="eastAsia" w:ascii="宋体" w:hAnsi="宋体" w:eastAsia="宋体" w:cs="宋体"/>
          <w:szCs w:val="21"/>
        </w:rPr>
      </w:pPr>
      <w:r>
        <w:rPr>
          <w:rFonts w:hint="eastAsia" w:ascii="宋体" w:hAnsi="宋体" w:eastAsia="宋体" w:cs="宋体"/>
          <w:szCs w:val="21"/>
        </w:rPr>
        <w:t>4.项目档案资料情况：按照《湖南省2025年高素质农民培育工作实施方案》等项目相关文件和合同的要求，培训机构需提供完整的档案资料。这些资料应真实齐全、整理规范、质量合格，并包含培训机构的资质、师资力量、教学设施、培训过程管理、学员满意度等多个方面，全面了解培训项目的实施情况和效果。</w:t>
      </w:r>
    </w:p>
    <w:p w14:paraId="7A52FB5B">
      <w:pPr>
        <w:widowControl/>
        <w:jc w:val="left"/>
        <w:rPr>
          <w:rFonts w:hint="eastAsia" w:ascii="Times New Roman" w:hAnsi="Times New Roman" w:eastAsia="宋体" w:cs="Times New Roman"/>
        </w:rPr>
      </w:pPr>
      <w:r>
        <w:rPr>
          <w:rFonts w:hint="eastAsia" w:ascii="宋体" w:hAnsi="宋体" w:eastAsia="宋体" w:cs="宋体"/>
          <w:szCs w:val="21"/>
        </w:rPr>
        <w:t>在项目完成后由中标单位提出验收申请，由新化县农业农村局乡村建设与农村社会事业促进科组织相关人员进行验收，验收合格付清余款。</w:t>
      </w:r>
    </w:p>
    <w:p w14:paraId="157A5019">
      <w:pPr>
        <w:keepNext/>
        <w:keepLines/>
        <w:widowControl w:val="0"/>
        <w:spacing w:line="360" w:lineRule="auto"/>
        <w:jc w:val="both"/>
        <w:outlineLvl w:val="1"/>
        <w:rPr>
          <w:rFonts w:ascii="Arial" w:hAnsi="Arial" w:eastAsia="宋体" w:cs="Times New Roman"/>
          <w:b/>
          <w:bCs/>
          <w:kern w:val="0"/>
          <w:sz w:val="24"/>
          <w:szCs w:val="32"/>
          <w:lang w:val="en-US" w:eastAsia="zh-CN" w:bidi="ar-SA"/>
        </w:rPr>
      </w:pPr>
    </w:p>
    <w:p w14:paraId="4DF8BB24">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F6CF"/>
    <w:multiLevelType w:val="singleLevel"/>
    <w:tmpl w:val="D78CF6C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1E60E4"/>
    <w:rsid w:val="411E6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2026-08-27T11:54:00Z</dcterms:created>
  <dc:creator>LENOVO</dc:creator>
  <cp:lastModifiedBy>LENOVO</cp:lastModifiedBy>
  <dcterms:modified xsi:type="dcterms:W3CDTF">2026-08-27T11:55:01Z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030D94AB5DE4484ABD575CA7853100E9_11</vt:lpwstr>
  </property>
  <property fmtid="{D5CDD505-2E9C-101B-9397-08002B2CF9AE}" pid="4" name="KSOTemplateDocerSaveRecord">
    <vt:lpwstr>eyJoZGlkIjoiZDM0NmZlNjczZmU2MWM0YmE0MzY1OTM4Njc3YWUwMTYiLCJ1c2VySWQiOiIzNDQwMTA1MDgifQ==</vt:lpwstr>
  </property>
</Properties>
</file>