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53069D">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bCs/>
          <w:color w:val="auto"/>
          <w:sz w:val="28"/>
          <w:szCs w:val="28"/>
          <w:u w:val="none"/>
          <w:lang w:val="en-US" w:eastAsia="zh-CN"/>
        </w:rPr>
      </w:pPr>
      <w:r>
        <w:rPr>
          <w:rFonts w:hint="eastAsia" w:ascii="宋体" w:hAnsi="宋体" w:eastAsia="宋体" w:cs="宋体"/>
          <w:b/>
          <w:bCs/>
          <w:color w:val="auto"/>
          <w:sz w:val="28"/>
          <w:szCs w:val="28"/>
          <w:u w:val="none"/>
          <w:lang w:val="en-US" w:eastAsia="zh-CN"/>
        </w:rPr>
        <w:t>永定区回龙观公园、大栗坡郊野公园综合管理服务项目</w:t>
      </w:r>
    </w:p>
    <w:p w14:paraId="0322EB62">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color w:val="auto"/>
          <w:sz w:val="28"/>
          <w:szCs w:val="28"/>
          <w:u w:val="single"/>
          <w:lang w:eastAsia="zh-CN"/>
        </w:rPr>
      </w:pPr>
      <w:r>
        <w:rPr>
          <w:rFonts w:hint="eastAsia" w:ascii="宋体" w:hAnsi="宋体" w:eastAsia="宋体" w:cs="宋体"/>
          <w:b/>
          <w:bCs/>
          <w:color w:val="auto"/>
          <w:sz w:val="28"/>
          <w:szCs w:val="28"/>
          <w:u w:val="none"/>
          <w:lang w:val="en-US" w:eastAsia="zh-CN"/>
        </w:rPr>
        <w:t>竞争性谈判邀请公告</w:t>
      </w:r>
    </w:p>
    <w:p w14:paraId="5F9AD76C">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rPr>
      </w:pPr>
      <w:bookmarkStart w:id="0" w:name="_Toc62225405"/>
      <w:bookmarkStart w:id="1" w:name="_Toc35393799"/>
      <w:bookmarkStart w:id="2" w:name="_Toc35393630"/>
      <w:bookmarkStart w:id="3" w:name="_Toc28359013"/>
      <w:bookmarkStart w:id="4" w:name="_Toc107997941"/>
      <w:bookmarkStart w:id="5" w:name="_Toc28359090"/>
      <w:r>
        <w:rPr>
          <w:rFonts w:hint="eastAsia" w:ascii="宋体" w:hAnsi="宋体" w:eastAsia="宋体" w:cs="宋体"/>
          <w:color w:val="auto"/>
          <w:sz w:val="22"/>
          <w:szCs w:val="22"/>
          <w:highlight w:val="none"/>
          <w:u w:val="single"/>
          <w:lang w:val="en-US" w:eastAsia="zh-CN"/>
        </w:rPr>
        <w:t>张家界市永定区林业科学研究所</w:t>
      </w:r>
      <w:r>
        <w:rPr>
          <w:rFonts w:hint="eastAsia" w:ascii="宋体" w:hAnsi="宋体" w:eastAsia="宋体" w:cs="宋体"/>
          <w:color w:val="auto"/>
          <w:sz w:val="22"/>
          <w:szCs w:val="22"/>
          <w:highlight w:val="none"/>
          <w:lang w:val="en-US" w:eastAsia="zh-CN"/>
        </w:rPr>
        <w:t>的</w:t>
      </w:r>
      <w:r>
        <w:rPr>
          <w:rFonts w:hint="eastAsia" w:ascii="宋体" w:hAnsi="宋体" w:eastAsia="宋体" w:cs="宋体"/>
          <w:color w:val="auto"/>
          <w:sz w:val="22"/>
          <w:szCs w:val="22"/>
          <w:highlight w:val="none"/>
          <w:u w:val="single"/>
          <w:lang w:val="en-US" w:eastAsia="zh-CN"/>
        </w:rPr>
        <w:t>永定区回龙观公园、大栗坡郊野公园综合管理服务项目</w:t>
      </w:r>
      <w:r>
        <w:rPr>
          <w:rFonts w:hint="eastAsia" w:ascii="宋体" w:hAnsi="宋体" w:eastAsia="宋体" w:cs="宋体"/>
          <w:color w:val="auto"/>
          <w:sz w:val="22"/>
          <w:szCs w:val="22"/>
          <w:highlight w:val="none"/>
          <w:lang w:val="en-US" w:eastAsia="zh-CN"/>
        </w:rPr>
        <w:t>进行竞争性谈判采购，</w:t>
      </w:r>
      <w:r>
        <w:rPr>
          <w:rFonts w:hint="eastAsia" w:ascii="宋体" w:hAnsi="宋体" w:eastAsia="宋体" w:cs="宋体"/>
          <w:sz w:val="22"/>
          <w:szCs w:val="22"/>
        </w:rPr>
        <w:t>邀请你单位参加谈判采购活动</w:t>
      </w:r>
      <w:r>
        <w:rPr>
          <w:rFonts w:hint="eastAsia" w:ascii="宋体" w:hAnsi="宋体" w:eastAsia="宋体" w:cs="宋体"/>
          <w:color w:val="auto"/>
          <w:sz w:val="22"/>
          <w:szCs w:val="22"/>
          <w:highlight w:val="none"/>
          <w:lang w:val="en-US" w:eastAsia="zh-CN"/>
        </w:rPr>
        <w:t>。</w:t>
      </w:r>
    </w:p>
    <w:p w14:paraId="4A831917">
      <w:pPr>
        <w:keepNext/>
        <w:keepLines/>
        <w:pageBreakBefore w:val="0"/>
        <w:widowControl w:val="0"/>
        <w:kinsoku/>
        <w:wordWrap/>
        <w:overflowPunct/>
        <w:topLinePunct w:val="0"/>
        <w:autoSpaceDE/>
        <w:autoSpaceDN/>
        <w:bidi w:val="0"/>
        <w:adjustRightInd w:val="0"/>
        <w:snapToGrid w:val="0"/>
        <w:spacing w:line="360" w:lineRule="auto"/>
        <w:textAlignment w:val="auto"/>
        <w:outlineLvl w:val="1"/>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一、项目概况</w:t>
      </w:r>
    </w:p>
    <w:p w14:paraId="1D3AC5AA">
      <w:pPr>
        <w:keepLines w:val="0"/>
        <w:pageBreakBefore w:val="0"/>
        <w:widowControl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1、采购项目名称：</w:t>
      </w:r>
      <w:r>
        <w:rPr>
          <w:rFonts w:hint="eastAsia" w:ascii="宋体" w:hAnsi="宋体" w:eastAsia="宋体" w:cs="宋体"/>
          <w:color w:val="auto"/>
          <w:sz w:val="22"/>
          <w:szCs w:val="22"/>
          <w:highlight w:val="none"/>
          <w:u w:val="single"/>
          <w:lang w:eastAsia="zh-CN"/>
        </w:rPr>
        <w:t>永定区回龙观公园、大栗坡郊野公园综合管理服务项目</w:t>
      </w:r>
    </w:p>
    <w:p w14:paraId="24D1E4D4">
      <w:pPr>
        <w:keepLines w:val="0"/>
        <w:pageBreakBefore w:val="0"/>
        <w:widowControl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2、政府采购计划编号：</w:t>
      </w:r>
      <w:r>
        <w:rPr>
          <w:rFonts w:hint="eastAsia" w:ascii="宋体" w:hAnsi="宋体" w:eastAsia="宋体" w:cs="宋体"/>
          <w:color w:val="auto"/>
          <w:sz w:val="22"/>
          <w:szCs w:val="22"/>
          <w:highlight w:val="none"/>
          <w:u w:val="single"/>
          <w:lang w:eastAsia="zh-CN"/>
        </w:rPr>
        <w:t>(2026)430802000006-1</w:t>
      </w:r>
    </w:p>
    <w:p w14:paraId="34A7ABA5">
      <w:pPr>
        <w:keepLines w:val="0"/>
        <w:pageBreakBefore w:val="0"/>
        <w:widowControl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i/>
          <w:color w:val="000000"/>
          <w:sz w:val="22"/>
          <w:szCs w:val="22"/>
          <w:highlight w:val="none"/>
          <w:lang w:eastAsia="zh-CN"/>
        </w:rPr>
      </w:pPr>
      <w:r>
        <w:rPr>
          <w:rFonts w:hint="eastAsia" w:ascii="宋体" w:hAnsi="宋体" w:eastAsia="宋体" w:cs="宋体"/>
          <w:color w:val="000000"/>
          <w:sz w:val="22"/>
          <w:szCs w:val="22"/>
          <w:highlight w:val="none"/>
        </w:rPr>
        <w:t>3、委托代理编号：</w:t>
      </w:r>
      <w:r>
        <w:rPr>
          <w:rFonts w:hint="eastAsia" w:ascii="宋体" w:hAnsi="宋体" w:cs="宋体"/>
          <w:color w:val="000000"/>
          <w:sz w:val="22"/>
          <w:szCs w:val="22"/>
          <w:highlight w:val="none"/>
          <w:u w:val="single"/>
          <w:lang w:eastAsia="zh-CN"/>
        </w:rPr>
        <w:t>GDZBCG-2026-021</w:t>
      </w:r>
    </w:p>
    <w:p w14:paraId="6F1B2A22">
      <w:pPr>
        <w:keepLines w:val="0"/>
        <w:pageBreakBefore w:val="0"/>
        <w:widowControl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bCs/>
          <w:color w:val="000000"/>
          <w:sz w:val="22"/>
          <w:szCs w:val="22"/>
          <w:highlight w:val="none"/>
          <w:u w:val="single"/>
        </w:rPr>
      </w:pPr>
      <w:r>
        <w:rPr>
          <w:rFonts w:hint="eastAsia" w:ascii="宋体" w:hAnsi="宋体" w:eastAsia="宋体" w:cs="宋体"/>
          <w:bCs/>
          <w:color w:val="000000"/>
          <w:sz w:val="22"/>
          <w:szCs w:val="22"/>
          <w:highlight w:val="none"/>
        </w:rPr>
        <w:t>4、采购项目预算：</w:t>
      </w:r>
      <w:r>
        <w:rPr>
          <w:rFonts w:hint="eastAsia" w:ascii="宋体" w:hAnsi="宋体" w:eastAsia="宋体" w:cs="宋体"/>
          <w:bCs/>
          <w:color w:val="000000"/>
          <w:sz w:val="22"/>
          <w:szCs w:val="22"/>
          <w:highlight w:val="none"/>
          <w:u w:val="single"/>
          <w:lang w:eastAsia="zh-CN"/>
        </w:rPr>
        <w:t>164万元</w:t>
      </w:r>
    </w:p>
    <w:p w14:paraId="096F58DD">
      <w:pPr>
        <w:keepLines w:val="0"/>
        <w:pageBreakBefore w:val="0"/>
        <w:widowControl w:val="0"/>
        <w:kinsoku/>
        <w:wordWrap/>
        <w:overflowPunct/>
        <w:topLinePunct w:val="0"/>
        <w:autoSpaceDE/>
        <w:autoSpaceDN/>
        <w:bidi w:val="0"/>
        <w:adjustRightInd w:val="0"/>
        <w:snapToGrid w:val="0"/>
        <w:spacing w:line="360" w:lineRule="auto"/>
        <w:ind w:firstLine="660" w:firstLineChars="300"/>
        <w:textAlignment w:val="auto"/>
        <w:rPr>
          <w:rFonts w:hint="eastAsia" w:ascii="宋体" w:hAnsi="宋体" w:eastAsia="宋体" w:cs="宋体"/>
          <w:bCs/>
          <w:color w:val="000000"/>
          <w:sz w:val="22"/>
          <w:szCs w:val="22"/>
          <w:highlight w:val="none"/>
          <w:u w:val="single"/>
        </w:rPr>
      </w:pPr>
      <w:r>
        <w:rPr>
          <w:rFonts w:hint="eastAsia" w:ascii="宋体" w:hAnsi="宋体" w:eastAsia="宋体" w:cs="宋体"/>
          <w:color w:val="000000"/>
          <w:sz w:val="22"/>
          <w:szCs w:val="22"/>
          <w:highlight w:val="none"/>
          <w:lang w:eastAsia="zh-CN"/>
        </w:rPr>
        <w:t>☑</w:t>
      </w:r>
      <w:r>
        <w:rPr>
          <w:rFonts w:hint="eastAsia" w:ascii="宋体" w:hAnsi="宋体" w:eastAsia="宋体" w:cs="宋体"/>
          <w:iCs/>
          <w:color w:val="000000"/>
          <w:sz w:val="22"/>
          <w:szCs w:val="22"/>
          <w:highlight w:val="none"/>
        </w:rPr>
        <w:t>支持</w:t>
      </w:r>
      <w:r>
        <w:rPr>
          <w:rFonts w:hint="eastAsia" w:ascii="宋体" w:hAnsi="宋体" w:eastAsia="宋体" w:cs="宋体"/>
          <w:bCs/>
          <w:color w:val="000000"/>
          <w:sz w:val="22"/>
          <w:szCs w:val="22"/>
          <w:highlight w:val="none"/>
        </w:rPr>
        <w:t>预付款，预付比例：</w:t>
      </w:r>
      <w:r>
        <w:rPr>
          <w:rFonts w:hint="eastAsia" w:ascii="宋体" w:hAnsi="宋体" w:eastAsia="宋体" w:cs="宋体"/>
          <w:bCs/>
          <w:color w:val="000000"/>
          <w:sz w:val="22"/>
          <w:szCs w:val="22"/>
          <w:highlight w:val="none"/>
          <w:u w:val="single"/>
          <w:lang w:val="en-US" w:eastAsia="zh-CN"/>
        </w:rPr>
        <w:t xml:space="preserve"> 30% </w:t>
      </w:r>
      <w:r>
        <w:rPr>
          <w:rFonts w:hint="eastAsia" w:ascii="宋体" w:hAnsi="宋体" w:eastAsia="宋体" w:cs="宋体"/>
          <w:bCs/>
          <w:color w:val="000000"/>
          <w:sz w:val="22"/>
          <w:szCs w:val="22"/>
          <w:highlight w:val="none"/>
          <w:u w:val="none"/>
        </w:rPr>
        <w:t xml:space="preserve">   </w:t>
      </w:r>
    </w:p>
    <w:p w14:paraId="157B120C">
      <w:pPr>
        <w:keepLines w:val="0"/>
        <w:pageBreakBefore w:val="0"/>
        <w:widowControl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000000"/>
          <w:sz w:val="22"/>
          <w:szCs w:val="22"/>
          <w:highlight w:val="none"/>
          <w:u w:val="single"/>
        </w:rPr>
      </w:pPr>
      <w:r>
        <w:rPr>
          <w:rFonts w:hint="eastAsia" w:ascii="宋体" w:hAnsi="宋体" w:eastAsia="宋体" w:cs="宋体"/>
          <w:bCs/>
          <w:color w:val="000000"/>
          <w:sz w:val="22"/>
          <w:szCs w:val="22"/>
          <w:highlight w:val="none"/>
        </w:rPr>
        <w:t>5、本项目</w:t>
      </w:r>
      <w:r>
        <w:rPr>
          <w:rFonts w:hint="eastAsia" w:ascii="宋体" w:hAnsi="宋体" w:eastAsia="宋体" w:cs="宋体"/>
          <w:color w:val="000000"/>
          <w:sz w:val="22"/>
          <w:szCs w:val="22"/>
          <w:highlight w:val="none"/>
        </w:rPr>
        <w:t>对应的中小企业划分标准所属行业：</w:t>
      </w:r>
      <w:r>
        <w:rPr>
          <w:rFonts w:hint="eastAsia" w:ascii="宋体" w:hAnsi="宋体" w:eastAsia="宋体" w:cs="宋体"/>
          <w:color w:val="000000"/>
          <w:sz w:val="22"/>
          <w:szCs w:val="22"/>
          <w:highlight w:val="none"/>
          <w:u w:val="single"/>
          <w:lang w:val="en-US" w:eastAsia="zh-CN"/>
        </w:rPr>
        <w:t>其他未列明行业</w:t>
      </w:r>
    </w:p>
    <w:p w14:paraId="6A875C76">
      <w:pPr>
        <w:keepLines w:val="0"/>
        <w:pageBreakBefore w:val="0"/>
        <w:widowControl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bCs/>
          <w:color w:val="auto"/>
          <w:sz w:val="22"/>
          <w:szCs w:val="22"/>
          <w:highlight w:val="none"/>
          <w:u w:val="single"/>
        </w:rPr>
      </w:pPr>
      <w:r>
        <w:rPr>
          <w:rFonts w:hint="eastAsia" w:ascii="宋体" w:hAnsi="宋体" w:eastAsia="宋体" w:cs="宋体"/>
          <w:bCs/>
          <w:color w:val="auto"/>
          <w:sz w:val="22"/>
          <w:szCs w:val="22"/>
          <w:highlight w:val="none"/>
        </w:rPr>
        <w:t>6、合同定价方式：</w:t>
      </w:r>
      <w:r>
        <w:rPr>
          <w:rFonts w:hint="eastAsia" w:ascii="宋体" w:hAnsi="宋体" w:eastAsia="宋体" w:cs="宋体"/>
          <w:sz w:val="22"/>
          <w:szCs w:val="22"/>
          <w:lang w:eastAsia="zh-CN"/>
        </w:rPr>
        <w:t>☑</w:t>
      </w:r>
      <w:r>
        <w:rPr>
          <w:rFonts w:hint="eastAsia" w:ascii="宋体" w:hAnsi="宋体" w:eastAsia="宋体" w:cs="宋体"/>
          <w:iCs/>
          <w:color w:val="auto"/>
          <w:sz w:val="22"/>
          <w:szCs w:val="22"/>
          <w:highlight w:val="none"/>
        </w:rPr>
        <w:t>固定总价</w:t>
      </w:r>
      <w:r>
        <w:rPr>
          <w:rFonts w:hint="eastAsia" w:ascii="宋体" w:hAnsi="宋体" w:cs="宋体"/>
          <w:iCs/>
          <w:color w:val="auto"/>
          <w:sz w:val="22"/>
          <w:szCs w:val="22"/>
          <w:highlight w:val="none"/>
          <w:lang w:val="en-US" w:eastAsia="zh-CN"/>
        </w:rPr>
        <w:t xml:space="preserve"> </w:t>
      </w:r>
      <w:r>
        <w:rPr>
          <w:rFonts w:hint="eastAsia" w:ascii="宋体" w:hAnsi="宋体" w:eastAsia="宋体" w:cs="宋体"/>
          <w:iCs/>
          <w:color w:val="auto"/>
          <w:sz w:val="22"/>
          <w:szCs w:val="22"/>
          <w:highlight w:val="none"/>
        </w:rPr>
        <w:t xml:space="preserve"> </w:t>
      </w:r>
      <w:r>
        <w:rPr>
          <w:rFonts w:hint="eastAsia" w:ascii="宋体" w:hAnsi="宋体" w:eastAsia="宋体" w:cs="宋体"/>
          <w:sz w:val="22"/>
          <w:szCs w:val="22"/>
          <w:lang w:eastAsia="zh-CN"/>
        </w:rPr>
        <w:t>□</w:t>
      </w:r>
      <w:r>
        <w:rPr>
          <w:rFonts w:hint="eastAsia" w:ascii="宋体" w:hAnsi="宋体" w:eastAsia="宋体" w:cs="宋体"/>
          <w:iCs/>
          <w:color w:val="auto"/>
          <w:sz w:val="22"/>
          <w:szCs w:val="22"/>
          <w:highlight w:val="none"/>
        </w:rPr>
        <w:t xml:space="preserve">固定单价 </w:t>
      </w:r>
      <w:r>
        <w:rPr>
          <w:rFonts w:hint="eastAsia" w:ascii="宋体" w:hAnsi="宋体" w:cs="宋体"/>
          <w:iCs/>
          <w:color w:val="auto"/>
          <w:sz w:val="22"/>
          <w:szCs w:val="22"/>
          <w:highlight w:val="none"/>
          <w:lang w:val="en-US" w:eastAsia="zh-CN"/>
        </w:rPr>
        <w:t xml:space="preserve"> </w:t>
      </w:r>
      <w:r>
        <w:rPr>
          <w:rFonts w:hint="eastAsia" w:ascii="宋体" w:hAnsi="宋体" w:eastAsia="宋体" w:cs="宋体"/>
          <w:sz w:val="22"/>
          <w:szCs w:val="22"/>
          <w:lang w:eastAsia="zh-CN"/>
        </w:rPr>
        <w:t>□</w:t>
      </w:r>
      <w:r>
        <w:rPr>
          <w:rFonts w:hint="eastAsia" w:ascii="宋体" w:hAnsi="宋体" w:eastAsia="宋体" w:cs="宋体"/>
          <w:iCs/>
          <w:color w:val="auto"/>
          <w:sz w:val="22"/>
          <w:szCs w:val="22"/>
          <w:highlight w:val="none"/>
        </w:rPr>
        <w:t>成本补偿</w:t>
      </w:r>
      <w:r>
        <w:rPr>
          <w:rFonts w:hint="eastAsia" w:ascii="宋体" w:hAnsi="宋体" w:cs="宋体"/>
          <w:iCs/>
          <w:color w:val="auto"/>
          <w:sz w:val="22"/>
          <w:szCs w:val="22"/>
          <w:highlight w:val="none"/>
          <w:lang w:val="en-US" w:eastAsia="zh-CN"/>
        </w:rPr>
        <w:t xml:space="preserve"> </w:t>
      </w:r>
      <w:r>
        <w:rPr>
          <w:rFonts w:hint="eastAsia" w:ascii="宋体" w:hAnsi="宋体" w:eastAsia="宋体" w:cs="宋体"/>
          <w:iCs/>
          <w:color w:val="auto"/>
          <w:sz w:val="22"/>
          <w:szCs w:val="22"/>
          <w:highlight w:val="none"/>
        </w:rPr>
        <w:t xml:space="preserve"> </w:t>
      </w:r>
      <w:r>
        <w:rPr>
          <w:rFonts w:hint="eastAsia" w:ascii="宋体" w:hAnsi="宋体" w:eastAsia="宋体" w:cs="宋体"/>
          <w:sz w:val="22"/>
          <w:szCs w:val="22"/>
          <w:lang w:eastAsia="zh-CN"/>
        </w:rPr>
        <w:t>□</w:t>
      </w:r>
      <w:r>
        <w:rPr>
          <w:rFonts w:hint="eastAsia" w:ascii="宋体" w:hAnsi="宋体" w:eastAsia="宋体" w:cs="宋体"/>
          <w:iCs/>
          <w:color w:val="auto"/>
          <w:sz w:val="22"/>
          <w:szCs w:val="22"/>
          <w:highlight w:val="none"/>
        </w:rPr>
        <w:t>绩效激励</w:t>
      </w:r>
    </w:p>
    <w:p w14:paraId="1A01D2B9">
      <w:pPr>
        <w:keepLines w:val="0"/>
        <w:pageBreakBefore w:val="0"/>
        <w:widowControl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rPr>
        <w:t>7、合同履行期限：</w:t>
      </w:r>
      <w:r>
        <w:rPr>
          <w:rFonts w:hint="eastAsia" w:ascii="宋体" w:hAnsi="宋体" w:eastAsia="宋体" w:cs="宋体"/>
          <w:bCs/>
          <w:color w:val="000000"/>
          <w:sz w:val="22"/>
          <w:szCs w:val="22"/>
          <w:highlight w:val="none"/>
        </w:rPr>
        <w:t>详见谈判文件</w:t>
      </w:r>
      <w:r>
        <w:rPr>
          <w:rFonts w:hint="eastAsia" w:ascii="宋体" w:hAnsi="宋体" w:eastAsia="宋体" w:cs="宋体"/>
          <w:bCs/>
          <w:color w:val="000000"/>
          <w:sz w:val="22"/>
          <w:szCs w:val="22"/>
          <w:highlight w:val="none"/>
          <w:lang w:eastAsia="zh-CN"/>
        </w:rPr>
        <w:t>。</w:t>
      </w:r>
    </w:p>
    <w:p w14:paraId="712CB4BB">
      <w:pPr>
        <w:keepNext/>
        <w:keepLines w:val="0"/>
        <w:pageBreakBefore w:val="0"/>
        <w:widowControl w:val="0"/>
        <w:kinsoku/>
        <w:wordWrap/>
        <w:overflowPunct/>
        <w:topLinePunct w:val="0"/>
        <w:autoSpaceDE/>
        <w:autoSpaceDN/>
        <w:bidi w:val="0"/>
        <w:spacing w:line="360" w:lineRule="auto"/>
        <w:jc w:val="both"/>
        <w:textAlignment w:val="auto"/>
        <w:outlineLvl w:val="0"/>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 xml:space="preserve">    8、本项目分阶段要求供应商提供以下保证：</w:t>
      </w:r>
    </w:p>
    <w:p w14:paraId="47123EF2">
      <w:pPr>
        <w:keepLines w:val="0"/>
        <w:pageBreakBefore w:val="0"/>
        <w:widowControl w:val="0"/>
        <w:kinsoku/>
        <w:wordWrap/>
        <w:overflowPunct/>
        <w:topLinePunct w:val="0"/>
        <w:autoSpaceDE/>
        <w:autoSpaceDN/>
        <w:bidi w:val="0"/>
        <w:spacing w:line="360" w:lineRule="auto"/>
        <w:textAlignment w:val="auto"/>
        <w:rPr>
          <w:rFonts w:hint="eastAsia" w:ascii="宋体" w:hAnsi="宋体" w:eastAsia="宋体" w:cs="宋体"/>
          <w:color w:val="auto"/>
          <w:sz w:val="22"/>
          <w:szCs w:val="22"/>
          <w:lang w:val="en-US" w:eastAsia="zh-CN"/>
        </w:rPr>
      </w:pPr>
      <w:r>
        <w:rPr>
          <w:rFonts w:hint="eastAsia" w:ascii="宋体" w:hAnsi="宋体" w:eastAsia="宋体" w:cs="宋体"/>
          <w:sz w:val="22"/>
          <w:szCs w:val="22"/>
          <w:lang w:val="en-US" w:eastAsia="zh-CN"/>
        </w:rPr>
        <w:t xml:space="preserve">        </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lang w:val="en-US" w:eastAsia="zh-CN"/>
        </w:rPr>
        <w:t>谈判保证证：</w:t>
      </w:r>
      <w:r>
        <w:rPr>
          <w:rFonts w:hint="eastAsia" w:ascii="宋体" w:hAnsi="宋体" w:eastAsia="宋体" w:cs="宋体"/>
          <w:color w:val="auto"/>
          <w:sz w:val="22"/>
          <w:szCs w:val="22"/>
          <w:u w:val="none"/>
          <w:lang w:val="en-US" w:eastAsia="zh-CN"/>
        </w:rPr>
        <w:t>采购项目预算的</w:t>
      </w:r>
      <w:r>
        <w:rPr>
          <w:rFonts w:hint="eastAsia" w:ascii="宋体" w:hAnsi="宋体" w:eastAsia="宋体" w:cs="宋体"/>
          <w:color w:val="auto"/>
          <w:sz w:val="22"/>
          <w:szCs w:val="22"/>
          <w:u w:val="single"/>
          <w:lang w:val="en-US" w:eastAsia="zh-CN"/>
        </w:rPr>
        <w:t xml:space="preserve"> / </w:t>
      </w:r>
      <w:r>
        <w:rPr>
          <w:rFonts w:hint="eastAsia" w:ascii="宋体" w:hAnsi="宋体" w:eastAsia="宋体" w:cs="宋体"/>
          <w:color w:val="auto"/>
          <w:sz w:val="22"/>
          <w:szCs w:val="22"/>
          <w:u w:val="none"/>
          <w:lang w:val="en-US" w:eastAsia="zh-CN"/>
        </w:rPr>
        <w:t>%</w:t>
      </w:r>
      <w:r>
        <w:rPr>
          <w:rFonts w:hint="eastAsia" w:ascii="宋体" w:hAnsi="宋体" w:eastAsia="宋体" w:cs="宋体"/>
          <w:color w:val="auto"/>
          <w:sz w:val="22"/>
          <w:szCs w:val="22"/>
          <w:lang w:val="en-US" w:eastAsia="zh-CN"/>
        </w:rPr>
        <w:t>；</w:t>
      </w:r>
    </w:p>
    <w:p w14:paraId="25D7248E">
      <w:pPr>
        <w:keepLines w:val="0"/>
        <w:pageBreakBefore w:val="0"/>
        <w:widowControl w:val="0"/>
        <w:kinsoku/>
        <w:wordWrap/>
        <w:overflowPunct/>
        <w:topLinePunct w:val="0"/>
        <w:autoSpaceDE/>
        <w:autoSpaceDN/>
        <w:bidi w:val="0"/>
        <w:spacing w:line="360" w:lineRule="auto"/>
        <w:ind w:firstLine="880" w:firstLineChars="400"/>
        <w:textAlignment w:val="auto"/>
        <w:rPr>
          <w:rFonts w:hint="eastAsia" w:ascii="宋体" w:hAnsi="宋体" w:eastAsia="宋体" w:cs="宋体"/>
          <w:color w:val="auto"/>
          <w:sz w:val="22"/>
          <w:szCs w:val="22"/>
          <w:u w:val="single"/>
          <w:lang w:val="en-US" w:eastAsia="zh-CN"/>
        </w:rPr>
      </w:pP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lang w:val="en-US" w:eastAsia="zh-CN"/>
        </w:rPr>
        <w:t>履约保证金：中标金额的</w:t>
      </w:r>
      <w:r>
        <w:rPr>
          <w:rFonts w:hint="eastAsia" w:ascii="宋体" w:hAnsi="宋体" w:eastAsia="宋体" w:cs="宋体"/>
          <w:color w:val="auto"/>
          <w:sz w:val="22"/>
          <w:szCs w:val="22"/>
          <w:u w:val="single"/>
          <w:lang w:val="en-US" w:eastAsia="zh-CN"/>
        </w:rPr>
        <w:t xml:space="preserve"> 10 </w:t>
      </w:r>
      <w:r>
        <w:rPr>
          <w:rFonts w:hint="eastAsia" w:ascii="宋体" w:hAnsi="宋体" w:eastAsia="宋体" w:cs="宋体"/>
          <w:color w:val="auto"/>
          <w:sz w:val="22"/>
          <w:szCs w:val="22"/>
          <w:u w:val="none"/>
          <w:lang w:val="en-US" w:eastAsia="zh-CN"/>
        </w:rPr>
        <w:t>%；</w:t>
      </w:r>
    </w:p>
    <w:p w14:paraId="52FFA791">
      <w:pPr>
        <w:keepLines w:val="0"/>
        <w:pageBreakBefore w:val="0"/>
        <w:widowControl w:val="0"/>
        <w:kinsoku/>
        <w:wordWrap/>
        <w:overflowPunct/>
        <w:topLinePunct w:val="0"/>
        <w:autoSpaceDE/>
        <w:autoSpaceDN/>
        <w:bidi w:val="0"/>
        <w:spacing w:line="360" w:lineRule="auto"/>
        <w:ind w:firstLine="880" w:firstLineChars="400"/>
        <w:textAlignment w:val="auto"/>
        <w:rPr>
          <w:rFonts w:hint="eastAsia" w:ascii="宋体" w:hAnsi="宋体" w:eastAsia="宋体" w:cs="宋体"/>
          <w:color w:val="auto"/>
          <w:sz w:val="22"/>
          <w:szCs w:val="22"/>
          <w:u w:val="single"/>
          <w:lang w:val="en-US" w:eastAsia="zh-CN"/>
        </w:rPr>
      </w:pPr>
      <w:r>
        <w:rPr>
          <w:rFonts w:hint="eastAsia" w:ascii="宋体" w:hAnsi="宋体" w:cs="宋体"/>
          <w:color w:val="auto"/>
          <w:sz w:val="22"/>
          <w:szCs w:val="22"/>
          <w:lang w:eastAsia="zh-CN"/>
        </w:rPr>
        <w:t>☑</w:t>
      </w:r>
      <w:r>
        <w:rPr>
          <w:rFonts w:hint="eastAsia" w:ascii="宋体" w:hAnsi="宋体" w:eastAsia="宋体" w:cs="宋体"/>
          <w:color w:val="auto"/>
          <w:sz w:val="22"/>
          <w:szCs w:val="22"/>
          <w:lang w:val="en-US" w:eastAsia="zh-CN"/>
        </w:rPr>
        <w:t>预付款保证金：预付款的</w:t>
      </w:r>
      <w:r>
        <w:rPr>
          <w:rFonts w:hint="eastAsia" w:ascii="宋体" w:hAnsi="宋体" w:eastAsia="宋体" w:cs="宋体"/>
          <w:color w:val="auto"/>
          <w:sz w:val="22"/>
          <w:szCs w:val="22"/>
          <w:u w:val="single"/>
          <w:lang w:val="en-US" w:eastAsia="zh-CN"/>
        </w:rPr>
        <w:t xml:space="preserve"> </w:t>
      </w:r>
      <w:r>
        <w:rPr>
          <w:rFonts w:hint="eastAsia" w:ascii="宋体" w:hAnsi="宋体" w:cs="宋体"/>
          <w:color w:val="auto"/>
          <w:sz w:val="22"/>
          <w:szCs w:val="22"/>
          <w:u w:val="single"/>
          <w:lang w:val="en-US" w:eastAsia="zh-CN"/>
        </w:rPr>
        <w:t>100</w:t>
      </w:r>
      <w:r>
        <w:rPr>
          <w:rFonts w:hint="eastAsia" w:ascii="宋体" w:hAnsi="宋体" w:eastAsia="宋体" w:cs="宋体"/>
          <w:color w:val="auto"/>
          <w:sz w:val="22"/>
          <w:szCs w:val="22"/>
          <w:u w:val="single"/>
          <w:lang w:val="en-US" w:eastAsia="zh-CN"/>
        </w:rPr>
        <w:t xml:space="preserve"> </w:t>
      </w:r>
      <w:r>
        <w:rPr>
          <w:rFonts w:hint="eastAsia" w:ascii="宋体" w:hAnsi="宋体" w:eastAsia="宋体" w:cs="宋体"/>
          <w:color w:val="auto"/>
          <w:sz w:val="22"/>
          <w:szCs w:val="22"/>
          <w:u w:val="none"/>
          <w:lang w:val="en-US" w:eastAsia="zh-CN"/>
        </w:rPr>
        <w:t>%；</w:t>
      </w:r>
    </w:p>
    <w:p w14:paraId="2E18078A">
      <w:pPr>
        <w:keepLines w:val="0"/>
        <w:pageBreakBefore w:val="0"/>
        <w:widowControl w:val="0"/>
        <w:kinsoku/>
        <w:wordWrap/>
        <w:overflowPunct/>
        <w:topLinePunct w:val="0"/>
        <w:autoSpaceDE/>
        <w:autoSpaceDN/>
        <w:bidi w:val="0"/>
        <w:spacing w:line="360" w:lineRule="auto"/>
        <w:ind w:firstLine="880" w:firstLineChars="400"/>
        <w:textAlignment w:val="auto"/>
        <w:rPr>
          <w:rFonts w:hint="eastAsia" w:ascii="宋体" w:hAnsi="宋体" w:eastAsia="宋体" w:cs="宋体"/>
          <w:color w:val="auto"/>
          <w:sz w:val="22"/>
          <w:szCs w:val="22"/>
          <w:u w:val="single"/>
          <w:lang w:val="en-US" w:eastAsia="zh-CN"/>
        </w:rPr>
      </w:pPr>
      <w:r>
        <w:rPr>
          <w:rFonts w:hint="eastAsia" w:ascii="宋体" w:hAnsi="宋体" w:cs="宋体"/>
          <w:color w:val="auto"/>
          <w:sz w:val="22"/>
          <w:szCs w:val="22"/>
          <w:lang w:eastAsia="zh-CN"/>
        </w:rPr>
        <w:t>□</w:t>
      </w:r>
      <w:r>
        <w:rPr>
          <w:rFonts w:hint="eastAsia" w:ascii="宋体" w:hAnsi="宋体" w:eastAsia="宋体" w:cs="宋体"/>
          <w:color w:val="auto"/>
          <w:sz w:val="22"/>
          <w:szCs w:val="22"/>
          <w:lang w:val="en-US" w:eastAsia="zh-CN"/>
        </w:rPr>
        <w:t>质量保证金：</w:t>
      </w:r>
      <w:r>
        <w:rPr>
          <w:rFonts w:hint="eastAsia" w:ascii="宋体" w:hAnsi="宋体" w:eastAsia="宋体" w:cs="宋体"/>
          <w:color w:val="auto"/>
          <w:sz w:val="22"/>
          <w:szCs w:val="22"/>
          <w:u w:val="none"/>
          <w:lang w:val="en-US" w:eastAsia="zh-CN"/>
        </w:rPr>
        <w:t>合同金额的</w:t>
      </w:r>
      <w:r>
        <w:rPr>
          <w:rFonts w:hint="eastAsia" w:ascii="宋体" w:hAnsi="宋体" w:eastAsia="宋体" w:cs="宋体"/>
          <w:color w:val="auto"/>
          <w:sz w:val="22"/>
          <w:szCs w:val="22"/>
          <w:u w:val="single"/>
          <w:lang w:val="en-US" w:eastAsia="zh-CN"/>
        </w:rPr>
        <w:t xml:space="preserve">  </w:t>
      </w:r>
      <w:r>
        <w:rPr>
          <w:rFonts w:hint="eastAsia" w:ascii="宋体" w:hAnsi="宋体" w:cs="宋体"/>
          <w:color w:val="auto"/>
          <w:sz w:val="22"/>
          <w:szCs w:val="22"/>
          <w:u w:val="single"/>
          <w:lang w:val="en-US" w:eastAsia="zh-CN"/>
        </w:rPr>
        <w:t>/</w:t>
      </w:r>
      <w:r>
        <w:rPr>
          <w:rFonts w:hint="eastAsia" w:ascii="宋体" w:hAnsi="宋体" w:eastAsia="宋体" w:cs="宋体"/>
          <w:color w:val="auto"/>
          <w:sz w:val="22"/>
          <w:szCs w:val="22"/>
          <w:u w:val="single"/>
          <w:lang w:val="en-US" w:eastAsia="zh-CN"/>
        </w:rPr>
        <w:t xml:space="preserve">  </w:t>
      </w:r>
      <w:r>
        <w:rPr>
          <w:rFonts w:hint="eastAsia" w:ascii="宋体" w:hAnsi="宋体" w:eastAsia="宋体" w:cs="宋体"/>
          <w:color w:val="auto"/>
          <w:sz w:val="22"/>
          <w:szCs w:val="22"/>
          <w:u w:val="none"/>
          <w:lang w:val="en-US" w:eastAsia="zh-CN"/>
        </w:rPr>
        <w:t>%。</w:t>
      </w:r>
    </w:p>
    <w:p w14:paraId="1CBD1B0C">
      <w:pPr>
        <w:keepNext/>
        <w:keepLines/>
        <w:pageBreakBefore w:val="0"/>
        <w:widowControl w:val="0"/>
        <w:kinsoku/>
        <w:wordWrap/>
        <w:overflowPunct/>
        <w:topLinePunct w:val="0"/>
        <w:autoSpaceDE/>
        <w:autoSpaceDN/>
        <w:bidi w:val="0"/>
        <w:adjustRightInd w:val="0"/>
        <w:snapToGrid w:val="0"/>
        <w:spacing w:line="360" w:lineRule="auto"/>
        <w:textAlignment w:val="auto"/>
        <w:outlineLvl w:val="1"/>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二、采购需求</w:t>
      </w:r>
    </w:p>
    <w:tbl>
      <w:tblPr>
        <w:tblStyle w:val="11"/>
        <w:tblW w:w="10315"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108" w:type="dxa"/>
          <w:bottom w:w="0" w:type="dxa"/>
          <w:right w:w="108" w:type="dxa"/>
        </w:tblCellMar>
      </w:tblPr>
      <w:tblGrid>
        <w:gridCol w:w="689"/>
        <w:gridCol w:w="1676"/>
        <w:gridCol w:w="2426"/>
        <w:gridCol w:w="1545"/>
        <w:gridCol w:w="780"/>
        <w:gridCol w:w="1650"/>
        <w:gridCol w:w="825"/>
        <w:gridCol w:w="724"/>
      </w:tblGrid>
      <w:tr w14:paraId="53853B6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556" w:hRule="atLeast"/>
          <w:jc w:val="center"/>
        </w:trPr>
        <w:tc>
          <w:tcPr>
            <w:tcW w:w="689" w:type="dxa"/>
            <w:tcBorders>
              <w:bottom w:val="single" w:color="000000" w:sz="4" w:space="0"/>
              <w:right w:val="single" w:color="000000" w:sz="4" w:space="0"/>
            </w:tcBorders>
            <w:noWrap/>
            <w:vAlign w:val="center"/>
          </w:tcPr>
          <w:p w14:paraId="265416D7">
            <w:pPr>
              <w:widowControl/>
              <w:spacing w:line="360" w:lineRule="auto"/>
              <w:jc w:val="center"/>
              <w:textAlignment w:val="center"/>
              <w:rPr>
                <w:rFonts w:hint="eastAsia" w:ascii="宋体" w:hAnsi="宋体" w:eastAsia="宋体" w:cs="宋体"/>
                <w:b/>
                <w:bCs/>
                <w:color w:val="auto"/>
                <w:sz w:val="22"/>
                <w:szCs w:val="22"/>
                <w:highlight w:val="none"/>
                <w:lang w:eastAsia="zh-CN"/>
              </w:rPr>
            </w:pPr>
            <w:r>
              <w:rPr>
                <w:rFonts w:hint="eastAsia" w:ascii="宋体" w:hAnsi="宋体" w:eastAsia="宋体" w:cs="宋体"/>
                <w:b/>
                <w:bCs/>
                <w:color w:val="auto"/>
                <w:kern w:val="0"/>
                <w:sz w:val="22"/>
                <w:szCs w:val="22"/>
                <w:highlight w:val="none"/>
              </w:rPr>
              <w:t>包</w:t>
            </w:r>
            <w:r>
              <w:rPr>
                <w:rFonts w:hint="eastAsia" w:ascii="宋体" w:hAnsi="宋体" w:eastAsia="宋体" w:cs="宋体"/>
                <w:b/>
                <w:bCs/>
                <w:color w:val="auto"/>
                <w:kern w:val="0"/>
                <w:sz w:val="22"/>
                <w:szCs w:val="22"/>
                <w:highlight w:val="none"/>
                <w:lang w:val="en-US" w:eastAsia="zh-CN"/>
              </w:rPr>
              <w:t>号</w:t>
            </w:r>
          </w:p>
        </w:tc>
        <w:tc>
          <w:tcPr>
            <w:tcW w:w="1676" w:type="dxa"/>
            <w:tcBorders>
              <w:left w:val="single" w:color="000000" w:sz="4" w:space="0"/>
              <w:bottom w:val="single" w:color="000000" w:sz="4" w:space="0"/>
              <w:right w:val="single" w:color="000000" w:sz="4" w:space="0"/>
            </w:tcBorders>
            <w:noWrap/>
            <w:vAlign w:val="center"/>
          </w:tcPr>
          <w:p w14:paraId="364DCBF7">
            <w:pPr>
              <w:widowControl/>
              <w:spacing w:line="360" w:lineRule="auto"/>
              <w:jc w:val="center"/>
              <w:textAlignment w:val="center"/>
              <w:rPr>
                <w:rFonts w:hint="default" w:ascii="宋体" w:hAnsi="宋体" w:eastAsia="宋体" w:cs="宋体"/>
                <w:b/>
                <w:bCs/>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最高限价（元）</w:t>
            </w:r>
          </w:p>
        </w:tc>
        <w:tc>
          <w:tcPr>
            <w:tcW w:w="2426" w:type="dxa"/>
            <w:tcBorders>
              <w:left w:val="single" w:color="000000" w:sz="4" w:space="0"/>
              <w:bottom w:val="single" w:color="000000" w:sz="4" w:space="0"/>
              <w:right w:val="single" w:color="000000" w:sz="4" w:space="0"/>
            </w:tcBorders>
            <w:noWrap/>
            <w:vAlign w:val="center"/>
          </w:tcPr>
          <w:p w14:paraId="22614EF1">
            <w:pPr>
              <w:widowControl/>
              <w:spacing w:line="360" w:lineRule="auto"/>
              <w:jc w:val="center"/>
              <w:textAlignment w:val="center"/>
              <w:rPr>
                <w:rFonts w:hint="eastAsia" w:ascii="宋体" w:hAnsi="宋体" w:eastAsia="宋体" w:cs="宋体"/>
                <w:b/>
                <w:bCs/>
                <w:color w:val="auto"/>
                <w:sz w:val="22"/>
                <w:szCs w:val="22"/>
                <w:highlight w:val="none"/>
              </w:rPr>
            </w:pPr>
            <w:r>
              <w:rPr>
                <w:rFonts w:hint="eastAsia" w:ascii="宋体" w:hAnsi="宋体" w:eastAsia="宋体" w:cs="宋体"/>
                <w:b/>
                <w:bCs/>
                <w:color w:val="auto"/>
                <w:kern w:val="0"/>
                <w:sz w:val="22"/>
                <w:szCs w:val="22"/>
                <w:highlight w:val="none"/>
                <w:lang w:val="en-US" w:eastAsia="zh-CN"/>
              </w:rPr>
              <w:t>包</w:t>
            </w:r>
            <w:r>
              <w:rPr>
                <w:rFonts w:hint="eastAsia" w:ascii="宋体" w:hAnsi="宋体" w:eastAsia="宋体" w:cs="宋体"/>
                <w:b/>
                <w:bCs/>
                <w:color w:val="auto"/>
                <w:kern w:val="0"/>
                <w:sz w:val="22"/>
                <w:szCs w:val="22"/>
                <w:highlight w:val="none"/>
              </w:rPr>
              <w:t>名称</w:t>
            </w:r>
          </w:p>
        </w:tc>
        <w:tc>
          <w:tcPr>
            <w:tcW w:w="1545" w:type="dxa"/>
            <w:tcBorders>
              <w:left w:val="single" w:color="000000" w:sz="4" w:space="0"/>
              <w:bottom w:val="single" w:color="000000" w:sz="4" w:space="0"/>
              <w:right w:val="single" w:color="auto" w:sz="4" w:space="0"/>
            </w:tcBorders>
            <w:noWrap w:val="0"/>
            <w:vAlign w:val="center"/>
          </w:tcPr>
          <w:p w14:paraId="2BF10FB2">
            <w:pPr>
              <w:widowControl/>
              <w:spacing w:line="360" w:lineRule="auto"/>
              <w:jc w:val="center"/>
              <w:textAlignment w:val="center"/>
              <w:rPr>
                <w:rFonts w:hint="eastAsia" w:ascii="宋体" w:hAnsi="宋体" w:eastAsia="宋体" w:cs="宋体"/>
                <w:b/>
                <w:bCs/>
                <w:color w:val="auto"/>
                <w:sz w:val="22"/>
                <w:szCs w:val="22"/>
                <w:highlight w:val="none"/>
              </w:rPr>
            </w:pPr>
            <w:r>
              <w:rPr>
                <w:rFonts w:hint="eastAsia" w:ascii="宋体" w:hAnsi="宋体" w:eastAsia="宋体" w:cs="宋体"/>
                <w:b/>
                <w:bCs/>
                <w:color w:val="auto"/>
                <w:kern w:val="0"/>
                <w:sz w:val="22"/>
                <w:szCs w:val="22"/>
                <w:highlight w:val="none"/>
                <w:lang w:val="en-US" w:eastAsia="zh-CN"/>
              </w:rPr>
              <w:t>简要技术要求</w:t>
            </w:r>
          </w:p>
        </w:tc>
        <w:tc>
          <w:tcPr>
            <w:tcW w:w="780" w:type="dxa"/>
            <w:tcBorders>
              <w:left w:val="single" w:color="auto" w:sz="4" w:space="0"/>
              <w:bottom w:val="single" w:color="000000" w:sz="4" w:space="0"/>
              <w:right w:val="single" w:color="000000" w:sz="4" w:space="0"/>
            </w:tcBorders>
            <w:noWrap/>
            <w:vAlign w:val="center"/>
          </w:tcPr>
          <w:p w14:paraId="6400D572">
            <w:pPr>
              <w:widowControl/>
              <w:spacing w:line="360" w:lineRule="auto"/>
              <w:jc w:val="center"/>
              <w:textAlignment w:val="center"/>
              <w:rPr>
                <w:rFonts w:hint="eastAsia" w:ascii="宋体" w:hAnsi="宋体" w:eastAsia="宋体" w:cs="宋体"/>
                <w:b/>
                <w:bCs/>
                <w:color w:val="auto"/>
                <w:sz w:val="22"/>
                <w:szCs w:val="22"/>
                <w:highlight w:val="none"/>
              </w:rPr>
            </w:pPr>
            <w:r>
              <w:rPr>
                <w:rFonts w:hint="eastAsia" w:ascii="宋体" w:hAnsi="宋体" w:eastAsia="宋体" w:cs="宋体"/>
                <w:b/>
                <w:bCs/>
                <w:color w:val="auto"/>
                <w:kern w:val="0"/>
                <w:sz w:val="22"/>
                <w:szCs w:val="22"/>
                <w:highlight w:val="none"/>
              </w:rPr>
              <w:t>数量</w:t>
            </w:r>
          </w:p>
        </w:tc>
        <w:tc>
          <w:tcPr>
            <w:tcW w:w="1650" w:type="dxa"/>
            <w:tcBorders>
              <w:left w:val="single" w:color="000000" w:sz="4" w:space="0"/>
              <w:bottom w:val="single" w:color="000000" w:sz="4" w:space="0"/>
              <w:right w:val="single" w:color="000000" w:sz="4" w:space="0"/>
            </w:tcBorders>
            <w:noWrap/>
            <w:vAlign w:val="center"/>
          </w:tcPr>
          <w:p w14:paraId="2FCE26A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rPr>
              <w:t>预算金额</w:t>
            </w:r>
            <w:r>
              <w:rPr>
                <w:rFonts w:hint="eastAsia" w:ascii="宋体" w:hAnsi="宋体" w:eastAsia="宋体" w:cs="宋体"/>
                <w:b/>
                <w:bCs/>
                <w:color w:val="auto"/>
                <w:kern w:val="0"/>
                <w:sz w:val="22"/>
                <w:szCs w:val="22"/>
                <w:highlight w:val="none"/>
                <w:lang w:val="en-US" w:eastAsia="zh-CN"/>
              </w:rPr>
              <w:t>（元）</w:t>
            </w:r>
          </w:p>
        </w:tc>
        <w:tc>
          <w:tcPr>
            <w:tcW w:w="825" w:type="dxa"/>
            <w:tcBorders>
              <w:left w:val="single" w:color="000000" w:sz="4" w:space="0"/>
              <w:bottom w:val="single" w:color="000000" w:sz="4" w:space="0"/>
              <w:right w:val="single" w:color="000000" w:sz="4" w:space="0"/>
            </w:tcBorders>
            <w:noWrap/>
            <w:vAlign w:val="center"/>
          </w:tcPr>
          <w:p w14:paraId="6DDE8A9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宋体" w:hAnsi="宋体" w:eastAsia="宋体" w:cs="宋体"/>
                <w:b/>
                <w:bCs/>
                <w:color w:val="auto"/>
                <w:kern w:val="0"/>
                <w:sz w:val="22"/>
                <w:szCs w:val="22"/>
                <w:highlight w:val="none"/>
                <w:lang w:val="en-US" w:eastAsia="zh-CN"/>
              </w:rPr>
            </w:pPr>
            <w:r>
              <w:rPr>
                <w:rFonts w:hint="eastAsia" w:ascii="宋体" w:hAnsi="宋体" w:eastAsia="宋体" w:cs="宋体"/>
                <w:b/>
                <w:bCs/>
                <w:color w:val="auto"/>
                <w:kern w:val="0"/>
                <w:sz w:val="22"/>
                <w:szCs w:val="22"/>
                <w:highlight w:val="none"/>
                <w:lang w:val="en-US" w:eastAsia="zh-CN"/>
              </w:rPr>
              <w:t>节能产品</w:t>
            </w:r>
          </w:p>
        </w:tc>
        <w:tc>
          <w:tcPr>
            <w:tcW w:w="724" w:type="dxa"/>
            <w:tcBorders>
              <w:left w:val="single" w:color="000000" w:sz="4" w:space="0"/>
              <w:bottom w:val="single" w:color="000000" w:sz="4" w:space="0"/>
              <w:right w:val="single" w:color="000000" w:sz="4" w:space="0"/>
            </w:tcBorders>
            <w:noWrap/>
            <w:vAlign w:val="center"/>
          </w:tcPr>
          <w:p w14:paraId="53F2341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宋体" w:hAnsi="宋体" w:eastAsia="宋体" w:cs="宋体"/>
                <w:b/>
                <w:bCs/>
                <w:color w:val="auto"/>
                <w:kern w:val="0"/>
                <w:sz w:val="22"/>
                <w:szCs w:val="22"/>
                <w:highlight w:val="none"/>
                <w:lang w:val="en-US" w:eastAsia="zh-CN"/>
              </w:rPr>
            </w:pPr>
            <w:r>
              <w:rPr>
                <w:rFonts w:hint="eastAsia" w:ascii="宋体" w:hAnsi="宋体" w:eastAsia="宋体" w:cs="宋体"/>
                <w:b/>
                <w:bCs/>
                <w:color w:val="auto"/>
                <w:kern w:val="0"/>
                <w:sz w:val="22"/>
                <w:szCs w:val="22"/>
                <w:highlight w:val="none"/>
                <w:lang w:val="en-US" w:eastAsia="zh-CN"/>
              </w:rPr>
              <w:t>进口产品</w:t>
            </w:r>
          </w:p>
        </w:tc>
      </w:tr>
      <w:tr w14:paraId="36B5B93A">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457" w:hRule="atLeast"/>
          <w:jc w:val="center"/>
        </w:trPr>
        <w:tc>
          <w:tcPr>
            <w:tcW w:w="689" w:type="dxa"/>
            <w:tcBorders>
              <w:top w:val="single" w:color="000000" w:sz="4" w:space="0"/>
              <w:right w:val="single" w:color="000000" w:sz="4" w:space="0"/>
            </w:tcBorders>
            <w:noWrap/>
            <w:vAlign w:val="center"/>
          </w:tcPr>
          <w:p w14:paraId="275BB9F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rPr>
              <w:t>包</w:t>
            </w:r>
            <w:r>
              <w:rPr>
                <w:rFonts w:hint="eastAsia" w:ascii="宋体" w:hAnsi="宋体" w:eastAsia="宋体" w:cs="宋体"/>
                <w:color w:val="auto"/>
                <w:kern w:val="0"/>
                <w:sz w:val="22"/>
                <w:szCs w:val="22"/>
                <w:highlight w:val="none"/>
              </w:rPr>
              <w:t>1</w:t>
            </w:r>
          </w:p>
        </w:tc>
        <w:tc>
          <w:tcPr>
            <w:tcW w:w="1676" w:type="dxa"/>
            <w:tcBorders>
              <w:top w:val="single" w:color="000000" w:sz="4" w:space="0"/>
              <w:left w:val="single" w:color="000000" w:sz="4" w:space="0"/>
              <w:right w:val="single" w:color="000000" w:sz="4" w:space="0"/>
            </w:tcBorders>
            <w:noWrap w:val="0"/>
            <w:vAlign w:val="center"/>
          </w:tcPr>
          <w:p w14:paraId="336E25C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宋体" w:hAnsi="宋体" w:eastAsia="宋体" w:cs="宋体"/>
                <w:color w:val="auto"/>
                <w:sz w:val="22"/>
                <w:szCs w:val="22"/>
                <w:highlight w:val="none"/>
                <w:u w:val="none"/>
                <w:lang w:val="en-US" w:eastAsia="zh-CN"/>
              </w:rPr>
            </w:pPr>
            <w:r>
              <w:rPr>
                <w:rFonts w:hint="eastAsia" w:ascii="宋体" w:hAnsi="宋体" w:eastAsia="宋体" w:cs="宋体"/>
                <w:color w:val="auto"/>
                <w:kern w:val="0"/>
                <w:sz w:val="22"/>
                <w:szCs w:val="22"/>
                <w:highlight w:val="none"/>
                <w:lang w:val="en-US" w:eastAsia="zh-CN"/>
              </w:rPr>
              <w:t>1640000.00</w:t>
            </w:r>
          </w:p>
        </w:tc>
        <w:tc>
          <w:tcPr>
            <w:tcW w:w="2426" w:type="dxa"/>
            <w:tcBorders>
              <w:top w:val="single" w:color="000000" w:sz="4" w:space="0"/>
              <w:left w:val="single" w:color="000000" w:sz="4" w:space="0"/>
              <w:right w:val="single" w:color="000000" w:sz="4" w:space="0"/>
            </w:tcBorders>
            <w:noWrap w:val="0"/>
            <w:vAlign w:val="center"/>
          </w:tcPr>
          <w:p w14:paraId="0EAF1DD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2"/>
                <w:szCs w:val="22"/>
                <w:highlight w:val="none"/>
                <w:u w:val="none"/>
                <w:lang w:eastAsia="zh-CN"/>
              </w:rPr>
            </w:pPr>
            <w:r>
              <w:rPr>
                <w:rFonts w:hint="eastAsia" w:ascii="宋体" w:hAnsi="宋体" w:eastAsia="宋体"/>
                <w:color w:val="auto"/>
                <w:sz w:val="22"/>
                <w:szCs w:val="22"/>
                <w:highlight w:val="none"/>
                <w:u w:val="none"/>
                <w:lang w:eastAsia="zh-CN"/>
              </w:rPr>
              <w:t>永定区回龙观公园、大栗坡郊野公园综合管理服务项目</w:t>
            </w:r>
          </w:p>
        </w:tc>
        <w:tc>
          <w:tcPr>
            <w:tcW w:w="1545" w:type="dxa"/>
            <w:tcBorders>
              <w:top w:val="single" w:color="000000" w:sz="4" w:space="0"/>
              <w:left w:val="single" w:color="000000" w:sz="4" w:space="0"/>
              <w:right w:val="single" w:color="auto" w:sz="4" w:space="0"/>
            </w:tcBorders>
            <w:noWrap/>
            <w:vAlign w:val="center"/>
          </w:tcPr>
          <w:p w14:paraId="0A8E9BF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具体见谈判文件第三章</w:t>
            </w:r>
          </w:p>
        </w:tc>
        <w:tc>
          <w:tcPr>
            <w:tcW w:w="780" w:type="dxa"/>
            <w:tcBorders>
              <w:top w:val="single" w:color="000000" w:sz="4" w:space="0"/>
              <w:left w:val="single" w:color="auto" w:sz="4" w:space="0"/>
              <w:right w:val="single" w:color="000000" w:sz="4" w:space="0"/>
            </w:tcBorders>
            <w:noWrap/>
            <w:vAlign w:val="center"/>
          </w:tcPr>
          <w:p w14:paraId="63E7958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宋体" w:hAnsi="宋体" w:eastAsia="宋体" w:cs="宋体"/>
                <w:color w:val="auto"/>
                <w:sz w:val="22"/>
                <w:szCs w:val="22"/>
                <w:highlight w:val="none"/>
                <w:lang w:val="en-US" w:eastAsia="zh-CN"/>
              </w:rPr>
            </w:pPr>
            <w:r>
              <w:rPr>
                <w:rFonts w:hint="eastAsia" w:ascii="宋体" w:hAnsi="宋体" w:eastAsia="宋体" w:cs="宋体"/>
                <w:color w:val="auto"/>
                <w:kern w:val="0"/>
                <w:sz w:val="22"/>
                <w:szCs w:val="22"/>
                <w:highlight w:val="none"/>
                <w:lang w:val="en-US" w:eastAsia="zh-CN"/>
              </w:rPr>
              <w:t>一批</w:t>
            </w:r>
          </w:p>
        </w:tc>
        <w:tc>
          <w:tcPr>
            <w:tcW w:w="1650" w:type="dxa"/>
            <w:tcBorders>
              <w:top w:val="single" w:color="000000" w:sz="4" w:space="0"/>
              <w:left w:val="single" w:color="000000" w:sz="4" w:space="0"/>
              <w:right w:val="single" w:color="000000" w:sz="4" w:space="0"/>
            </w:tcBorders>
            <w:noWrap/>
            <w:vAlign w:val="center"/>
          </w:tcPr>
          <w:p w14:paraId="335366A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kern w:val="0"/>
                <w:sz w:val="22"/>
                <w:szCs w:val="22"/>
                <w:highlight w:val="none"/>
                <w:lang w:val="en-US" w:eastAsia="zh-CN"/>
              </w:rPr>
              <w:t>1640000.00</w:t>
            </w:r>
          </w:p>
        </w:tc>
        <w:tc>
          <w:tcPr>
            <w:tcW w:w="825" w:type="dxa"/>
            <w:tcBorders>
              <w:top w:val="single" w:color="000000" w:sz="4" w:space="0"/>
              <w:left w:val="single" w:color="000000" w:sz="4" w:space="0"/>
              <w:right w:val="single" w:color="000000" w:sz="4" w:space="0"/>
            </w:tcBorders>
            <w:noWrap/>
            <w:vAlign w:val="center"/>
          </w:tcPr>
          <w:p w14:paraId="3BFEFD4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宋体" w:hAnsi="宋体" w:eastAsia="宋体" w:cs="宋体"/>
                <w:color w:val="auto"/>
                <w:kern w:val="0"/>
                <w:sz w:val="22"/>
                <w:szCs w:val="22"/>
                <w:highlight w:val="none"/>
                <w:lang w:val="en-US" w:eastAsia="zh-CN"/>
              </w:rPr>
            </w:pPr>
            <w:r>
              <w:rPr>
                <w:rFonts w:hint="eastAsia" w:ascii="宋体" w:hAnsi="宋体" w:eastAsia="宋体" w:cs="宋体"/>
                <w:color w:val="auto"/>
                <w:sz w:val="22"/>
                <w:szCs w:val="22"/>
                <w:lang w:eastAsia="zh-CN"/>
              </w:rPr>
              <w:t>□</w:t>
            </w:r>
          </w:p>
        </w:tc>
        <w:tc>
          <w:tcPr>
            <w:tcW w:w="724" w:type="dxa"/>
            <w:tcBorders>
              <w:top w:val="single" w:color="000000" w:sz="4" w:space="0"/>
              <w:left w:val="single" w:color="000000" w:sz="4" w:space="0"/>
              <w:right w:val="single" w:color="000000" w:sz="4" w:space="0"/>
            </w:tcBorders>
            <w:noWrap/>
            <w:vAlign w:val="center"/>
          </w:tcPr>
          <w:p w14:paraId="1BDEAF07">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宋体" w:hAnsi="宋体" w:eastAsia="宋体" w:cs="宋体"/>
                <w:color w:val="auto"/>
                <w:kern w:val="0"/>
                <w:sz w:val="22"/>
                <w:szCs w:val="22"/>
                <w:highlight w:val="none"/>
                <w:lang w:val="en-US" w:eastAsia="zh-CN"/>
              </w:rPr>
            </w:pPr>
            <w:r>
              <w:rPr>
                <w:rFonts w:hint="eastAsia" w:ascii="宋体" w:hAnsi="宋体" w:eastAsia="宋体" w:cs="宋体"/>
                <w:color w:val="auto"/>
                <w:sz w:val="22"/>
                <w:szCs w:val="22"/>
                <w:lang w:eastAsia="zh-CN"/>
              </w:rPr>
              <w:t>□</w:t>
            </w:r>
          </w:p>
        </w:tc>
      </w:tr>
    </w:tbl>
    <w:p w14:paraId="3B59A0F2">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textAlignment w:val="auto"/>
        <w:rPr>
          <w:rFonts w:ascii="宋体" w:hAnsi="宋体" w:eastAsia="宋体"/>
          <w:color w:val="auto"/>
          <w:sz w:val="22"/>
          <w:szCs w:val="22"/>
          <w:highlight w:val="none"/>
        </w:rPr>
      </w:pPr>
      <w:r>
        <w:rPr>
          <w:rFonts w:hint="eastAsia" w:ascii="宋体" w:hAnsi="宋体" w:eastAsia="宋体"/>
          <w:color w:val="auto"/>
          <w:sz w:val="22"/>
          <w:szCs w:val="22"/>
          <w:highlight w:val="none"/>
        </w:rPr>
        <w:t>说明：</w:t>
      </w:r>
    </w:p>
    <w:p w14:paraId="400B2F85">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textAlignment w:val="auto"/>
        <w:rPr>
          <w:rFonts w:ascii="宋体" w:hAnsi="宋体" w:eastAsia="宋体"/>
          <w:color w:val="auto"/>
          <w:sz w:val="22"/>
          <w:szCs w:val="22"/>
          <w:highlight w:val="none"/>
        </w:rPr>
      </w:pPr>
      <w:r>
        <w:rPr>
          <w:rFonts w:hint="eastAsia" w:ascii="宋体" w:hAnsi="宋体" w:eastAsia="宋体"/>
          <w:color w:val="auto"/>
          <w:sz w:val="22"/>
          <w:szCs w:val="22"/>
          <w:highlight w:val="none"/>
        </w:rPr>
        <w:t>1.节能产品实行强制采购的，需提供国家认证机构出具的、处于有效期内的节能产品证书。</w:t>
      </w:r>
    </w:p>
    <w:p w14:paraId="5E6D8B8C">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textAlignment w:val="auto"/>
        <w:rPr>
          <w:rFonts w:ascii="宋体" w:hAnsi="宋体" w:eastAsia="宋体"/>
          <w:b/>
          <w:color w:val="auto"/>
          <w:szCs w:val="21"/>
          <w:highlight w:val="none"/>
        </w:rPr>
      </w:pPr>
      <w:r>
        <w:rPr>
          <w:rFonts w:hint="eastAsia" w:ascii="宋体" w:hAnsi="宋体" w:eastAsia="宋体"/>
          <w:color w:val="auto"/>
          <w:sz w:val="22"/>
          <w:szCs w:val="22"/>
          <w:highlight w:val="none"/>
        </w:rPr>
        <w:t>2.同意购买进口产品的，不限制满足采购需求的国内产品参与谈判。</w:t>
      </w:r>
    </w:p>
    <w:p w14:paraId="5FC59266">
      <w:pPr>
        <w:keepNext/>
        <w:keepLines/>
        <w:pageBreakBefore w:val="0"/>
        <w:widowControl w:val="0"/>
        <w:kinsoku/>
        <w:wordWrap/>
        <w:overflowPunct/>
        <w:topLinePunct w:val="0"/>
        <w:autoSpaceDE/>
        <w:autoSpaceDN/>
        <w:bidi w:val="0"/>
        <w:adjustRightInd w:val="0"/>
        <w:snapToGrid w:val="0"/>
        <w:spacing w:line="360" w:lineRule="auto"/>
        <w:textAlignment w:val="auto"/>
        <w:outlineLvl w:val="1"/>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三、采购项目需落实的政府采购政策</w:t>
      </w:r>
    </w:p>
    <w:p w14:paraId="3B37DB90">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1、优先采购：节能产品、环境标志产品享受加分或价格折扣。</w:t>
      </w:r>
    </w:p>
    <w:p w14:paraId="25564032">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2、支持中小企业：中小企业享受预留采购份额或价格折扣。</w:t>
      </w:r>
    </w:p>
    <w:p w14:paraId="5849E996">
      <w:pPr>
        <w:keepNext/>
        <w:keepLines/>
        <w:adjustRightInd w:val="0"/>
        <w:snapToGrid w:val="0"/>
        <w:spacing w:line="360" w:lineRule="auto"/>
        <w:outlineLvl w:val="1"/>
        <w:rPr>
          <w:rFonts w:hint="eastAsia" w:ascii="宋体" w:hAnsi="宋体" w:eastAsia="宋体" w:cs="宋体"/>
          <w:b/>
          <w:bCs/>
          <w:color w:val="auto"/>
          <w:sz w:val="24"/>
          <w:szCs w:val="32"/>
        </w:rPr>
      </w:pPr>
      <w:bookmarkStart w:id="6" w:name="_Toc3710"/>
      <w:r>
        <w:rPr>
          <w:rFonts w:hint="eastAsia" w:ascii="宋体" w:hAnsi="宋体" w:eastAsia="宋体" w:cs="宋体"/>
          <w:b/>
          <w:bCs/>
          <w:color w:val="auto"/>
          <w:sz w:val="24"/>
          <w:szCs w:val="32"/>
        </w:rPr>
        <w:t>四、供应商的资格要求</w:t>
      </w:r>
      <w:bookmarkEnd w:id="0"/>
      <w:bookmarkEnd w:id="1"/>
      <w:bookmarkEnd w:id="2"/>
      <w:bookmarkEnd w:id="3"/>
      <w:bookmarkEnd w:id="4"/>
      <w:bookmarkEnd w:id="5"/>
      <w:bookmarkEnd w:id="6"/>
    </w:p>
    <w:p w14:paraId="36BB56E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1、供应商的基本资格条件：</w:t>
      </w:r>
    </w:p>
    <w:p w14:paraId="5808DAD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（1）供应商必须是在中华人民共和国境内注册登记的法人、其他组织或者自然人，且应当符合《政府采购法》第二十二条第一款的规定。</w:t>
      </w:r>
    </w:p>
    <w:p w14:paraId="0B8AE13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（2）单位负责人为同一人或者存在直接控股、管理关系的不同供应商，不得参加同一合同项下的政府采购活动。</w:t>
      </w:r>
    </w:p>
    <w:p w14:paraId="54D86F1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为本采购项目提供整体设计、规范编制或者项目管理、监理、检测等服务的，不得再参加此项目的其他采购活动。</w:t>
      </w:r>
    </w:p>
    <w:p w14:paraId="40ACCB7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（4）列入失信被执行人、重大税收违法失信主体名单、政府采购严重违法失信行为记录名单的，拒绝其参与政府采购活动。</w:t>
      </w:r>
    </w:p>
    <w:p w14:paraId="3D797E5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2、落实政府采购政策需满足的资格要求：</w:t>
      </w:r>
    </w:p>
    <w:p w14:paraId="655E5999">
      <w:pPr>
        <w:keepNext w:val="0"/>
        <w:keepLines w:val="0"/>
        <w:pageBreakBefore w:val="0"/>
        <w:widowControl w:val="0"/>
        <w:kinsoku/>
        <w:wordWrap/>
        <w:overflowPunct/>
        <w:topLinePunct w:val="0"/>
        <w:autoSpaceDE/>
        <w:autoSpaceDN/>
        <w:bidi w:val="0"/>
        <w:adjustRightInd w:val="0"/>
        <w:snapToGrid w:val="0"/>
        <w:spacing w:line="360" w:lineRule="auto"/>
        <w:ind w:firstLine="630" w:firstLineChars="300"/>
        <w:textAlignment w:val="auto"/>
        <w:rPr>
          <w:rFonts w:hint="eastAsia" w:ascii="宋体" w:hAnsi="宋体" w:eastAsia="宋体" w:cs="宋体"/>
          <w:color w:val="auto"/>
          <w:szCs w:val="21"/>
          <w:highlight w:val="none"/>
        </w:rPr>
      </w:pPr>
      <w:r>
        <w:rPr>
          <w:rFonts w:hint="eastAsia" w:ascii="宋体" w:hAnsi="宋体" w:eastAsia="宋体" w:cs="宋体"/>
          <w:iCs/>
          <w:color w:val="auto"/>
          <w:szCs w:val="21"/>
          <w:highlight w:val="none"/>
        </w:rPr>
        <w:sym w:font="Wingdings" w:char="00FE"/>
      </w:r>
      <w:r>
        <w:rPr>
          <w:rFonts w:hint="eastAsia" w:ascii="宋体" w:hAnsi="宋体" w:eastAsia="宋体" w:cs="宋体"/>
          <w:iCs/>
          <w:color w:val="auto"/>
          <w:szCs w:val="21"/>
          <w:highlight w:val="none"/>
        </w:rPr>
        <w:t>专门面向</w:t>
      </w:r>
      <w:r>
        <w:rPr>
          <w:rFonts w:hint="eastAsia" w:ascii="宋体" w:hAnsi="宋体" w:eastAsia="宋体" w:cs="宋体"/>
          <w:bCs/>
          <w:color w:val="auto"/>
          <w:szCs w:val="21"/>
          <w:highlight w:val="none"/>
        </w:rPr>
        <w:t>：</w:t>
      </w:r>
      <w:r>
        <w:rPr>
          <w:rFonts w:hint="eastAsia" w:ascii="宋体" w:hAnsi="宋体" w:eastAsia="宋体" w:cs="宋体"/>
          <w:iCs/>
          <w:color w:val="auto"/>
          <w:szCs w:val="21"/>
          <w:highlight w:val="none"/>
        </w:rPr>
        <w:sym w:font="Wingdings" w:char="00FE"/>
      </w:r>
      <w:r>
        <w:rPr>
          <w:rFonts w:hint="eastAsia" w:ascii="宋体" w:hAnsi="宋体" w:eastAsia="宋体" w:cs="宋体"/>
          <w:iCs/>
          <w:color w:val="auto"/>
          <w:szCs w:val="21"/>
          <w:highlight w:val="none"/>
        </w:rPr>
        <w:t xml:space="preserve">中小企业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小微企业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监狱企业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福利性单位</w:t>
      </w:r>
    </w:p>
    <w:p w14:paraId="48C322A8">
      <w:pPr>
        <w:keepNext w:val="0"/>
        <w:keepLines w:val="0"/>
        <w:pageBreakBefore w:val="0"/>
        <w:widowControl w:val="0"/>
        <w:kinsoku/>
        <w:wordWrap/>
        <w:overflowPunct/>
        <w:topLinePunct w:val="0"/>
        <w:autoSpaceDE/>
        <w:autoSpaceDN/>
        <w:bidi w:val="0"/>
        <w:adjustRightInd w:val="0"/>
        <w:snapToGrid w:val="0"/>
        <w:spacing w:line="360" w:lineRule="auto"/>
        <w:ind w:firstLine="630" w:firstLineChars="300"/>
        <w:textAlignment w:val="auto"/>
        <w:rPr>
          <w:rFonts w:hint="eastAsia" w:ascii="宋体" w:hAnsi="宋体" w:eastAsia="宋体" w:cs="宋体"/>
          <w:bCs/>
          <w:color w:val="auto"/>
          <w:szCs w:val="21"/>
          <w:highlight w:val="none"/>
        </w:rPr>
      </w:pP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强制</w:t>
      </w:r>
      <w:r>
        <w:rPr>
          <w:rFonts w:hint="eastAsia" w:ascii="宋体" w:hAnsi="宋体" w:eastAsia="宋体" w:cs="宋体"/>
          <w:bCs/>
          <w:color w:val="auto"/>
          <w:szCs w:val="21"/>
          <w:highlight w:val="none"/>
        </w:rPr>
        <w:t>分包：大型企业应将采购份额的</w:t>
      </w:r>
      <w:r>
        <w:rPr>
          <w:rFonts w:hint="eastAsia" w:ascii="宋体" w:hAnsi="宋体" w:eastAsia="宋体" w:cs="宋体"/>
          <w:bCs/>
          <w:color w:val="auto"/>
          <w:szCs w:val="21"/>
          <w:highlight w:val="none"/>
          <w:u w:val="single"/>
        </w:rPr>
        <w:t xml:space="preserve">  </w:t>
      </w:r>
      <w:r>
        <w:rPr>
          <w:rFonts w:hint="eastAsia" w:ascii="宋体" w:hAnsi="宋体" w:cs="宋体"/>
          <w:bCs/>
          <w:color w:val="auto"/>
          <w:szCs w:val="21"/>
          <w:highlight w:val="none"/>
          <w:u w:val="single"/>
          <w:lang w:val="en-US" w:eastAsia="zh-CN"/>
        </w:rPr>
        <w:t xml:space="preserve">/ </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rPr>
        <w:t>%分包给中小企业。</w:t>
      </w:r>
    </w:p>
    <w:p w14:paraId="4E23A8A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3、本项目的特定资格要求：</w:t>
      </w:r>
    </w:p>
    <w:p w14:paraId="2601D2C6">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hint="default"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（1）供应商具有公安机关核发的《保安服务许可证》；证书处于有效期内。</w:t>
      </w:r>
    </w:p>
    <w:p w14:paraId="11BD4873">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hint="default"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（2）</w:t>
      </w:r>
      <w:r>
        <w:rPr>
          <w:rFonts w:hint="eastAsia" w:ascii="宋体" w:hAnsi="宋体" w:eastAsia="宋体" w:cs="宋体"/>
          <w:b/>
          <w:bCs/>
          <w:color w:val="000000"/>
          <w:szCs w:val="21"/>
          <w:highlight w:val="none"/>
        </w:rPr>
        <w:t>本项目面向中小企业采购，</w:t>
      </w:r>
      <w:r>
        <w:rPr>
          <w:rFonts w:hint="eastAsia" w:ascii="宋体" w:hAnsi="宋体" w:eastAsia="宋体" w:cs="宋体"/>
          <w:b/>
          <w:bCs/>
          <w:color w:val="000000"/>
          <w:szCs w:val="21"/>
          <w:highlight w:val="none"/>
          <w:lang w:val="en-US" w:eastAsia="zh-CN"/>
        </w:rPr>
        <w:t>供应商</w:t>
      </w:r>
      <w:r>
        <w:rPr>
          <w:rFonts w:hint="eastAsia" w:ascii="宋体" w:hAnsi="宋体" w:eastAsia="宋体" w:cs="宋体"/>
          <w:b/>
          <w:bCs/>
          <w:color w:val="000000"/>
          <w:szCs w:val="21"/>
          <w:highlight w:val="none"/>
        </w:rPr>
        <w:t>须提供《湖南省政府采购供应商资格承诺函》和《中小企业声明函》</w:t>
      </w:r>
      <w:r>
        <w:rPr>
          <w:rFonts w:hint="eastAsia" w:ascii="宋体" w:hAnsi="宋体" w:eastAsia="宋体" w:cs="宋体"/>
          <w:b/>
          <w:bCs/>
          <w:color w:val="000000"/>
          <w:szCs w:val="21"/>
          <w:highlight w:val="none"/>
          <w:lang w:eastAsia="zh-CN"/>
        </w:rPr>
        <w:t>。</w:t>
      </w:r>
    </w:p>
    <w:p w14:paraId="2A142C9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、联合体响应。本次采购</w:t>
      </w:r>
      <w:r>
        <w:rPr>
          <w:rFonts w:hint="eastAsia" w:ascii="宋体" w:hAnsi="宋体" w:eastAsia="宋体" w:cs="宋体"/>
          <w:color w:val="auto"/>
          <w:szCs w:val="21"/>
          <w:highlight w:val="none"/>
          <w:u w:val="single"/>
        </w:rPr>
        <w:t xml:space="preserve"> 不接</w:t>
      </w:r>
      <w:r>
        <w:rPr>
          <w:rFonts w:hint="eastAsia" w:ascii="宋体" w:hAnsi="宋体" w:eastAsia="宋体" w:cs="宋体"/>
          <w:color w:val="auto"/>
          <w:szCs w:val="21"/>
          <w:highlight w:val="none"/>
          <w:u w:val="single"/>
          <w:lang w:val="en-US" w:eastAsia="zh-CN"/>
        </w:rPr>
        <w:t>受</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(接受或不接受)联合体响应。接受联合体响应的，联合体应当具备下列条件：</w:t>
      </w:r>
      <w:r>
        <w:rPr>
          <w:rFonts w:hint="eastAsia" w:ascii="宋体" w:hAnsi="宋体" w:eastAsia="宋体" w:cs="宋体"/>
          <w:color w:val="auto"/>
          <w:szCs w:val="21"/>
          <w:highlight w:val="none"/>
          <w:u w:val="single"/>
        </w:rPr>
        <w:t xml:space="preserve">  /  </w:t>
      </w:r>
      <w:r>
        <w:rPr>
          <w:rFonts w:hint="eastAsia" w:ascii="宋体" w:hAnsi="宋体" w:eastAsia="宋体" w:cs="宋体"/>
          <w:color w:val="auto"/>
          <w:szCs w:val="21"/>
          <w:highlight w:val="none"/>
        </w:rPr>
        <w:t>。</w:t>
      </w:r>
    </w:p>
    <w:p w14:paraId="23A3C5EB">
      <w:pPr>
        <w:keepNext/>
        <w:keepLines/>
        <w:adjustRightInd w:val="0"/>
        <w:snapToGrid w:val="0"/>
        <w:spacing w:line="360" w:lineRule="auto"/>
        <w:outlineLvl w:val="1"/>
        <w:rPr>
          <w:rFonts w:hint="eastAsia" w:ascii="宋体" w:hAnsi="宋体" w:eastAsia="宋体" w:cs="宋体"/>
          <w:b/>
          <w:bCs/>
          <w:color w:val="auto"/>
          <w:sz w:val="24"/>
          <w:szCs w:val="32"/>
        </w:rPr>
      </w:pPr>
      <w:bookmarkStart w:id="7" w:name="_Toc25650"/>
      <w:r>
        <w:rPr>
          <w:rFonts w:hint="eastAsia" w:ascii="宋体" w:hAnsi="宋体" w:eastAsia="宋体" w:cs="宋体"/>
          <w:b/>
          <w:bCs/>
          <w:color w:val="auto"/>
          <w:sz w:val="24"/>
          <w:szCs w:val="32"/>
        </w:rPr>
        <w:t>五、供应商应提交的资格证明材料及说明</w:t>
      </w:r>
    </w:p>
    <w:p w14:paraId="68DC28D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s="宋体"/>
          <w:color w:val="000000"/>
          <w:szCs w:val="21"/>
        </w:rPr>
      </w:pPr>
      <w:bookmarkStart w:id="8" w:name="_Toc15608"/>
      <w:bookmarkStart w:id="9" w:name="_Toc22201060"/>
      <w:bookmarkStart w:id="10" w:name="_Toc34637757"/>
      <w:bookmarkStart w:id="11" w:name="_Toc24123"/>
      <w:r>
        <w:rPr>
          <w:rFonts w:hint="default" w:ascii="宋体" w:hAnsi="宋体" w:eastAsia="宋体" w:cs="宋体"/>
          <w:color w:val="000000"/>
          <w:szCs w:val="21"/>
        </w:rPr>
        <w:t>1、供应商应按下列规定提供资格证明文件。</w:t>
      </w:r>
    </w:p>
    <w:p w14:paraId="0296550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s="宋体"/>
          <w:color w:val="000000"/>
          <w:szCs w:val="21"/>
        </w:rPr>
      </w:pPr>
      <w:r>
        <w:rPr>
          <w:rFonts w:hint="default" w:ascii="宋体" w:hAnsi="宋体" w:eastAsia="宋体" w:cs="宋体"/>
          <w:color w:val="000000"/>
          <w:szCs w:val="21"/>
        </w:rPr>
        <w:t>（1）法人或者其他组织的营业执照等主体资格证明文件，自然人的身份证明：供应商为法人的，应提交营业执照或法人登记证书的复印件；供应商为非法人组织的，应提交依法登记证书复印件；供应商为个体工商户的，应提交个体工商户营业执照复印件；供应商为自然人的，应提交自然人的身份证明复印件；</w:t>
      </w:r>
    </w:p>
    <w:p w14:paraId="3504C4B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s="宋体"/>
          <w:color w:val="000000"/>
          <w:szCs w:val="21"/>
        </w:rPr>
      </w:pPr>
      <w:r>
        <w:rPr>
          <w:rFonts w:hint="default" w:ascii="宋体" w:hAnsi="宋体" w:eastAsia="宋体" w:cs="宋体"/>
          <w:color w:val="000000"/>
          <w:szCs w:val="21"/>
        </w:rPr>
        <w:t>（2）湖南省政府采购供应商资格承诺函原件；</w:t>
      </w:r>
    </w:p>
    <w:p w14:paraId="4715F2B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s="宋体"/>
          <w:color w:val="000000"/>
          <w:szCs w:val="21"/>
        </w:rPr>
      </w:pPr>
      <w:r>
        <w:rPr>
          <w:rFonts w:hint="default" w:ascii="宋体" w:hAnsi="宋体" w:eastAsia="宋体" w:cs="宋体"/>
          <w:color w:val="000000"/>
          <w:szCs w:val="21"/>
        </w:rPr>
        <w:t>（3）符合特定资格条件证明材料复印件或者情况说明原件；</w:t>
      </w:r>
    </w:p>
    <w:p w14:paraId="26F5638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s="宋体"/>
          <w:color w:val="000000"/>
          <w:szCs w:val="21"/>
        </w:rPr>
      </w:pPr>
      <w:r>
        <w:rPr>
          <w:rFonts w:hint="default" w:ascii="宋体" w:hAnsi="宋体" w:eastAsia="宋体" w:cs="宋体"/>
          <w:color w:val="000000"/>
          <w:szCs w:val="21"/>
        </w:rPr>
        <w:t>（4）符合采购项目供应商资格要求的其他证明材料：</w:t>
      </w:r>
    </w:p>
    <w:p w14:paraId="488270D8">
      <w:pPr>
        <w:keepNext w:val="0"/>
        <w:keepLines w:val="0"/>
        <w:pageBreakBefore w:val="0"/>
        <w:widowControl w:val="0"/>
        <w:kinsoku/>
        <w:wordWrap/>
        <w:overflowPunct/>
        <w:topLinePunct w:val="0"/>
        <w:autoSpaceDE/>
        <w:autoSpaceDN/>
        <w:bidi w:val="0"/>
        <w:adjustRightInd w:val="0"/>
        <w:snapToGrid w:val="0"/>
        <w:spacing w:line="360" w:lineRule="auto"/>
        <w:ind w:firstLine="945" w:firstLineChars="450"/>
        <w:textAlignment w:val="auto"/>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sym w:font="Wingdings" w:char="00A8"/>
      </w:r>
      <w:r>
        <w:rPr>
          <w:rFonts w:hint="eastAsia" w:asciiTheme="minorEastAsia" w:hAnsiTheme="minorEastAsia" w:eastAsiaTheme="minorEastAsia" w:cstheme="minorEastAsia"/>
          <w:color w:val="000000"/>
          <w:szCs w:val="21"/>
        </w:rPr>
        <w:t>联合体协议书（供应商为联合体形式的）；</w:t>
      </w:r>
    </w:p>
    <w:p w14:paraId="21921DB3">
      <w:pPr>
        <w:keepNext w:val="0"/>
        <w:keepLines w:val="0"/>
        <w:pageBreakBefore w:val="0"/>
        <w:widowControl w:val="0"/>
        <w:kinsoku/>
        <w:wordWrap/>
        <w:overflowPunct/>
        <w:topLinePunct w:val="0"/>
        <w:autoSpaceDE/>
        <w:autoSpaceDN/>
        <w:bidi w:val="0"/>
        <w:adjustRightInd w:val="0"/>
        <w:snapToGrid w:val="0"/>
        <w:spacing w:line="360" w:lineRule="auto"/>
        <w:ind w:firstLine="945" w:firstLineChars="450"/>
        <w:textAlignment w:val="auto"/>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sym w:font="Wingdings" w:char="00A8"/>
      </w:r>
      <w:r>
        <w:rPr>
          <w:rFonts w:hint="eastAsia" w:asciiTheme="minorEastAsia" w:hAnsiTheme="minorEastAsia" w:eastAsiaTheme="minorEastAsia" w:cstheme="minorEastAsia"/>
          <w:color w:val="000000"/>
          <w:szCs w:val="21"/>
        </w:rPr>
        <w:t>分包承诺（执行强制分包的），格式自拟；</w:t>
      </w:r>
    </w:p>
    <w:p w14:paraId="3219789C">
      <w:pPr>
        <w:keepNext w:val="0"/>
        <w:keepLines w:val="0"/>
        <w:pageBreakBefore w:val="0"/>
        <w:widowControl w:val="0"/>
        <w:kinsoku/>
        <w:wordWrap/>
        <w:overflowPunct/>
        <w:topLinePunct w:val="0"/>
        <w:autoSpaceDE/>
        <w:autoSpaceDN/>
        <w:bidi w:val="0"/>
        <w:adjustRightInd w:val="0"/>
        <w:snapToGrid w:val="0"/>
        <w:spacing w:line="360" w:lineRule="auto"/>
        <w:ind w:firstLine="945" w:firstLineChars="450"/>
        <w:textAlignment w:val="auto"/>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sym w:font="Wingdings" w:char="00A8"/>
      </w:r>
      <w:r>
        <w:rPr>
          <w:rFonts w:hint="eastAsia" w:asciiTheme="minorEastAsia" w:hAnsiTheme="minorEastAsia" w:eastAsiaTheme="minorEastAsia" w:cstheme="minorEastAsia"/>
          <w:color w:val="000000"/>
          <w:szCs w:val="21"/>
        </w:rPr>
        <w:t>其他说明；</w:t>
      </w:r>
    </w:p>
    <w:p w14:paraId="0E2A95C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s="宋体"/>
          <w:color w:val="000000"/>
          <w:szCs w:val="21"/>
        </w:rPr>
      </w:pPr>
      <w:r>
        <w:rPr>
          <w:rFonts w:hint="default" w:ascii="宋体" w:hAnsi="宋体" w:eastAsia="宋体" w:cs="宋体"/>
          <w:color w:val="000000"/>
          <w:szCs w:val="21"/>
        </w:rPr>
        <w:t>2、供应商为联合体形式的，除应提交联合协议(格式)外，参加联合体的各方均应提交上款资格证明材料。</w:t>
      </w:r>
    </w:p>
    <w:p w14:paraId="3D330B7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s="宋体"/>
          <w:color w:val="000000"/>
          <w:szCs w:val="21"/>
        </w:rPr>
      </w:pPr>
      <w:r>
        <w:rPr>
          <w:rFonts w:hint="default" w:ascii="宋体" w:hAnsi="宋体" w:eastAsia="宋体" w:cs="宋体"/>
          <w:color w:val="000000"/>
          <w:szCs w:val="21"/>
        </w:rPr>
        <w:t>3、供应商的资格证明文件均应为有效文件并加盖供应商单位公章，并按其规定签署。</w:t>
      </w:r>
    </w:p>
    <w:p w14:paraId="75BF0D57">
      <w:pPr>
        <w:keepNext/>
        <w:keepLines/>
        <w:adjustRightInd w:val="0"/>
        <w:snapToGrid w:val="0"/>
        <w:spacing w:line="360" w:lineRule="auto"/>
        <w:outlineLvl w:val="1"/>
        <w:rPr>
          <w:rFonts w:hint="eastAsia" w:ascii="宋体" w:hAnsi="宋体" w:eastAsia="宋体" w:cs="宋体"/>
          <w:b/>
          <w:bCs/>
          <w:color w:val="auto"/>
          <w:sz w:val="24"/>
          <w:szCs w:val="32"/>
        </w:rPr>
      </w:pPr>
      <w:r>
        <w:rPr>
          <w:rFonts w:hint="eastAsia" w:ascii="宋体" w:hAnsi="宋体" w:eastAsia="宋体" w:cs="宋体"/>
          <w:b/>
          <w:bCs/>
          <w:color w:val="auto"/>
          <w:sz w:val="24"/>
          <w:szCs w:val="32"/>
        </w:rPr>
        <w:t>六、</w:t>
      </w:r>
      <w:bookmarkEnd w:id="8"/>
      <w:bookmarkEnd w:id="9"/>
      <w:bookmarkEnd w:id="10"/>
      <w:bookmarkEnd w:id="11"/>
      <w:r>
        <w:rPr>
          <w:rFonts w:hint="eastAsia" w:ascii="宋体" w:hAnsi="宋体" w:eastAsia="宋体" w:cs="宋体"/>
          <w:b/>
          <w:bCs/>
          <w:color w:val="auto"/>
          <w:sz w:val="24"/>
          <w:szCs w:val="32"/>
        </w:rPr>
        <w:t>资格审查证明材料的递交</w:t>
      </w:r>
    </w:p>
    <w:p w14:paraId="7B467AB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s="宋体"/>
          <w:color w:val="000000"/>
          <w:szCs w:val="21"/>
        </w:rPr>
      </w:pPr>
      <w:r>
        <w:rPr>
          <w:rFonts w:hint="default" w:ascii="宋体" w:hAnsi="宋体" w:eastAsia="宋体" w:cs="宋体"/>
          <w:color w:val="000000"/>
          <w:szCs w:val="21"/>
        </w:rPr>
        <w:t>1、按本公告第五条规定提交的证明材料及说明应装订成册</w:t>
      </w:r>
      <w:r>
        <w:rPr>
          <w:rFonts w:hint="eastAsia" w:ascii="宋体" w:hAnsi="宋体" w:cs="宋体"/>
          <w:color w:val="000000"/>
          <w:szCs w:val="21"/>
          <w:lang w:eastAsia="zh-CN"/>
        </w:rPr>
        <w:t>（</w:t>
      </w:r>
      <w:r>
        <w:rPr>
          <w:rFonts w:hint="eastAsia" w:ascii="宋体" w:hAnsi="宋体" w:cs="宋体"/>
          <w:color w:val="000000"/>
          <w:szCs w:val="21"/>
          <w:lang w:val="en-US" w:eastAsia="zh-CN"/>
        </w:rPr>
        <w:t>胶装</w:t>
      </w:r>
      <w:r>
        <w:rPr>
          <w:rFonts w:hint="eastAsia" w:ascii="宋体" w:hAnsi="宋体" w:cs="宋体"/>
          <w:color w:val="000000"/>
          <w:szCs w:val="21"/>
          <w:lang w:eastAsia="zh-CN"/>
        </w:rPr>
        <w:t>）</w:t>
      </w:r>
      <w:r>
        <w:rPr>
          <w:rFonts w:hint="default" w:ascii="宋体" w:hAnsi="宋体" w:eastAsia="宋体" w:cs="宋体"/>
          <w:color w:val="000000"/>
          <w:szCs w:val="21"/>
        </w:rPr>
        <w:t>，一式</w:t>
      </w:r>
      <w:r>
        <w:rPr>
          <w:rFonts w:hint="eastAsia" w:ascii="宋体" w:hAnsi="宋体" w:cs="宋体"/>
          <w:color w:val="000000"/>
          <w:szCs w:val="21"/>
          <w:lang w:val="en-US" w:eastAsia="zh-CN"/>
        </w:rPr>
        <w:t>3</w:t>
      </w:r>
      <w:r>
        <w:rPr>
          <w:rFonts w:hint="default" w:ascii="宋体" w:hAnsi="宋体" w:eastAsia="宋体" w:cs="宋体"/>
          <w:color w:val="000000"/>
          <w:szCs w:val="21"/>
        </w:rPr>
        <w:t>份</w:t>
      </w:r>
      <w:r>
        <w:rPr>
          <w:rFonts w:hint="eastAsia" w:ascii="宋体" w:hAnsi="宋体" w:eastAsia="宋体" w:cs="宋体"/>
          <w:color w:val="000000"/>
          <w:szCs w:val="21"/>
          <w:lang w:val="en-US" w:eastAsia="zh-CN"/>
        </w:rPr>
        <w:t>。</w:t>
      </w:r>
    </w:p>
    <w:p w14:paraId="44AD5F93">
      <w:pPr>
        <w:adjustRightInd w:val="0"/>
        <w:snapToGrid w:val="0"/>
        <w:spacing w:beforeLines="0" w:afterLines="0" w:line="360" w:lineRule="auto"/>
        <w:ind w:firstLine="420" w:firstLineChars="200"/>
        <w:rPr>
          <w:rFonts w:hint="default" w:ascii="宋体" w:hAnsi="宋体"/>
          <w:color w:val="auto"/>
          <w:sz w:val="21"/>
          <w:szCs w:val="21"/>
        </w:rPr>
      </w:pPr>
      <w:r>
        <w:rPr>
          <w:rFonts w:hint="default" w:ascii="宋体" w:hAnsi="宋体" w:eastAsia="宋体" w:cs="宋体"/>
          <w:color w:val="000000"/>
          <w:szCs w:val="21"/>
          <w:lang w:val="en-US" w:eastAsia="zh-CN"/>
        </w:rPr>
        <w:t>2、资格审查证明材料的递交截止时间为</w:t>
      </w:r>
      <w:r>
        <w:rPr>
          <w:rFonts w:hint="default" w:ascii="宋体" w:hAnsi="宋体" w:eastAsia="宋体" w:cs="宋体"/>
          <w:b/>
          <w:bCs/>
          <w:color w:val="auto"/>
          <w:szCs w:val="21"/>
          <w:highlight w:val="none"/>
          <w:u w:val="single"/>
          <w:lang w:val="en-US" w:eastAsia="zh-CN"/>
        </w:rPr>
        <w:t>202</w:t>
      </w:r>
      <w:r>
        <w:rPr>
          <w:rFonts w:hint="eastAsia" w:ascii="宋体" w:hAnsi="宋体" w:cs="宋体"/>
          <w:b/>
          <w:bCs/>
          <w:color w:val="auto"/>
          <w:szCs w:val="21"/>
          <w:highlight w:val="none"/>
          <w:u w:val="single"/>
          <w:lang w:val="en-US" w:eastAsia="zh-CN"/>
        </w:rPr>
        <w:t>6</w:t>
      </w:r>
      <w:r>
        <w:rPr>
          <w:rFonts w:hint="default" w:ascii="宋体" w:hAnsi="宋体" w:eastAsia="宋体" w:cs="宋体"/>
          <w:b/>
          <w:bCs/>
          <w:color w:val="auto"/>
          <w:szCs w:val="21"/>
          <w:highlight w:val="none"/>
          <w:u w:val="single"/>
          <w:lang w:val="en-US" w:eastAsia="zh-CN"/>
        </w:rPr>
        <w:t>年</w:t>
      </w:r>
      <w:r>
        <w:rPr>
          <w:rFonts w:hint="eastAsia" w:ascii="宋体" w:hAnsi="宋体" w:cs="宋体"/>
          <w:b/>
          <w:bCs/>
          <w:color w:val="auto"/>
          <w:szCs w:val="21"/>
          <w:highlight w:val="none"/>
          <w:u w:val="single"/>
          <w:lang w:val="en-US" w:eastAsia="zh-CN"/>
        </w:rPr>
        <w:t>07</w:t>
      </w:r>
      <w:r>
        <w:rPr>
          <w:rFonts w:hint="default" w:ascii="宋体" w:hAnsi="宋体" w:eastAsia="宋体" w:cs="宋体"/>
          <w:b/>
          <w:bCs/>
          <w:color w:val="auto"/>
          <w:szCs w:val="21"/>
          <w:highlight w:val="none"/>
          <w:u w:val="single"/>
          <w:lang w:val="en-US" w:eastAsia="zh-CN"/>
        </w:rPr>
        <w:t>月</w:t>
      </w:r>
      <w:r>
        <w:rPr>
          <w:rFonts w:hint="eastAsia" w:ascii="宋体" w:hAnsi="宋体" w:cs="宋体"/>
          <w:b/>
          <w:bCs/>
          <w:color w:val="auto"/>
          <w:szCs w:val="21"/>
          <w:highlight w:val="none"/>
          <w:u w:val="single"/>
          <w:lang w:val="en-US" w:eastAsia="zh-CN"/>
        </w:rPr>
        <w:t>27</w:t>
      </w:r>
      <w:r>
        <w:rPr>
          <w:rFonts w:hint="default" w:ascii="宋体" w:hAnsi="宋体" w:eastAsia="宋体" w:cs="宋体"/>
          <w:b/>
          <w:bCs/>
          <w:color w:val="auto"/>
          <w:szCs w:val="21"/>
          <w:highlight w:val="none"/>
          <w:u w:val="single"/>
          <w:lang w:val="en-US" w:eastAsia="zh-CN"/>
        </w:rPr>
        <w:t>日1</w:t>
      </w:r>
      <w:r>
        <w:rPr>
          <w:rFonts w:hint="eastAsia" w:ascii="宋体" w:hAnsi="宋体" w:cs="宋体"/>
          <w:b/>
          <w:bCs/>
          <w:color w:val="auto"/>
          <w:szCs w:val="21"/>
          <w:highlight w:val="none"/>
          <w:u w:val="single"/>
          <w:lang w:val="en-US" w:eastAsia="zh-CN"/>
        </w:rPr>
        <w:t>7</w:t>
      </w:r>
      <w:r>
        <w:rPr>
          <w:rFonts w:hint="default" w:ascii="宋体" w:hAnsi="宋体" w:eastAsia="宋体" w:cs="宋体"/>
          <w:b/>
          <w:bCs/>
          <w:color w:val="auto"/>
          <w:szCs w:val="21"/>
          <w:highlight w:val="none"/>
          <w:u w:val="single"/>
          <w:lang w:val="en-US" w:eastAsia="zh-CN"/>
        </w:rPr>
        <w:t>时</w:t>
      </w:r>
      <w:r>
        <w:rPr>
          <w:rFonts w:hint="eastAsia" w:ascii="宋体" w:hAnsi="宋体" w:cs="宋体"/>
          <w:b/>
          <w:bCs/>
          <w:color w:val="auto"/>
          <w:szCs w:val="21"/>
          <w:highlight w:val="none"/>
          <w:u w:val="single"/>
          <w:lang w:val="en-US" w:eastAsia="zh-CN"/>
        </w:rPr>
        <w:t>3</w:t>
      </w:r>
      <w:r>
        <w:rPr>
          <w:rFonts w:hint="default" w:ascii="宋体" w:hAnsi="宋体" w:eastAsia="宋体" w:cs="宋体"/>
          <w:b/>
          <w:bCs/>
          <w:color w:val="auto"/>
          <w:szCs w:val="21"/>
          <w:highlight w:val="none"/>
          <w:u w:val="single"/>
          <w:lang w:val="en-US" w:eastAsia="zh-CN"/>
        </w:rPr>
        <w:t>0分</w:t>
      </w:r>
      <w:r>
        <w:rPr>
          <w:rFonts w:hint="default" w:ascii="宋体" w:hAnsi="宋体" w:eastAsia="宋体" w:cs="宋体"/>
          <w:color w:val="auto"/>
          <w:szCs w:val="21"/>
          <w:lang w:val="en-US" w:eastAsia="zh-CN"/>
        </w:rPr>
        <w:t>（北京时间）</w:t>
      </w:r>
      <w:r>
        <w:rPr>
          <w:rFonts w:hint="default" w:ascii="宋体" w:hAnsi="宋体" w:eastAsia="宋体" w:cs="宋体"/>
          <w:color w:val="000000"/>
          <w:szCs w:val="21"/>
          <w:lang w:val="en-US" w:eastAsia="zh-CN"/>
        </w:rPr>
        <w:t>，地点为</w:t>
      </w:r>
      <w:r>
        <w:rPr>
          <w:rFonts w:hint="default" w:ascii="宋体" w:hAnsi="宋体" w:eastAsia="宋体" w:cs="宋体"/>
          <w:b/>
          <w:bCs/>
          <w:color w:val="000000"/>
          <w:szCs w:val="21"/>
          <w:u w:val="single"/>
          <w:lang w:val="en-US" w:eastAsia="zh-CN"/>
        </w:rPr>
        <w:t>国鼎和诚项目管理集团有限公司（张家界市永定区御景湾二期金瑞苑一楼S112号）</w:t>
      </w:r>
      <w:r>
        <w:rPr>
          <w:rFonts w:hint="default" w:ascii="宋体" w:hAnsi="宋体" w:eastAsia="宋体" w:cs="宋体"/>
          <w:color w:val="000000"/>
          <w:szCs w:val="21"/>
          <w:lang w:val="en-US" w:eastAsia="zh-CN"/>
        </w:rPr>
        <w:t>，逾期送达的，不予受理。</w:t>
      </w:r>
    </w:p>
    <w:p w14:paraId="6412A9CD">
      <w:pPr>
        <w:keepNext/>
        <w:keepLines/>
        <w:adjustRightInd w:val="0"/>
        <w:snapToGrid w:val="0"/>
        <w:spacing w:line="360" w:lineRule="auto"/>
        <w:outlineLvl w:val="1"/>
        <w:rPr>
          <w:rFonts w:hint="eastAsia" w:ascii="宋体" w:hAnsi="宋体" w:eastAsia="宋体" w:cs="宋体"/>
          <w:b/>
          <w:bCs/>
          <w:color w:val="auto"/>
          <w:sz w:val="24"/>
          <w:szCs w:val="32"/>
        </w:rPr>
      </w:pPr>
      <w:r>
        <w:rPr>
          <w:rFonts w:hint="eastAsia" w:ascii="宋体" w:hAnsi="宋体" w:eastAsia="宋体" w:cs="宋体"/>
          <w:b/>
          <w:bCs/>
          <w:color w:val="auto"/>
          <w:sz w:val="24"/>
          <w:szCs w:val="32"/>
        </w:rPr>
        <w:t>七、资格审查方法及标准</w:t>
      </w:r>
    </w:p>
    <w:p w14:paraId="105C30B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s="宋体"/>
          <w:color w:val="000000"/>
          <w:szCs w:val="21"/>
        </w:rPr>
      </w:pPr>
      <w:r>
        <w:rPr>
          <w:rFonts w:hint="default" w:ascii="宋体" w:hAnsi="宋体" w:eastAsia="宋体" w:cs="宋体"/>
          <w:color w:val="000000"/>
          <w:szCs w:val="21"/>
        </w:rPr>
        <w:t>1、采购人、采购代理机构按本公告第四、五条规定，对供应商提交的资格审查证明材料进行资格审查。</w:t>
      </w:r>
    </w:p>
    <w:p w14:paraId="55AD055A">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s="宋体"/>
          <w:color w:val="000000"/>
          <w:szCs w:val="21"/>
        </w:rPr>
      </w:pPr>
      <w:r>
        <w:rPr>
          <w:rFonts w:hint="default" w:ascii="宋体" w:hAnsi="宋体" w:eastAsia="宋体" w:cs="宋体"/>
          <w:color w:val="000000"/>
          <w:szCs w:val="21"/>
        </w:rPr>
        <w:t>2、供应商提交的资格审查证明材料符合本公告第四、五条规定，采购人或谈判小组按照本公告第七条规定确定拟邀请参加谈判的供应商。</w:t>
      </w:r>
    </w:p>
    <w:p w14:paraId="34A0574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s="宋体"/>
          <w:color w:val="000000"/>
          <w:szCs w:val="21"/>
        </w:rPr>
      </w:pPr>
      <w:r>
        <w:rPr>
          <w:rFonts w:hint="default" w:ascii="宋体" w:hAnsi="宋体" w:eastAsia="宋体" w:cs="宋体"/>
          <w:color w:val="000000"/>
          <w:szCs w:val="21"/>
        </w:rPr>
        <w:t>3、未通过资格审查的供应商，采购人、采购代理机构应当及时告知其未通过的原因。</w:t>
      </w:r>
    </w:p>
    <w:p w14:paraId="3193DA80">
      <w:pPr>
        <w:keepNext/>
        <w:keepLines/>
        <w:adjustRightInd w:val="0"/>
        <w:snapToGrid w:val="0"/>
        <w:spacing w:line="360" w:lineRule="auto"/>
        <w:outlineLvl w:val="1"/>
        <w:rPr>
          <w:rFonts w:hint="eastAsia" w:ascii="宋体" w:hAnsi="宋体" w:eastAsia="宋体" w:cs="宋体"/>
          <w:b/>
          <w:bCs/>
          <w:color w:val="auto"/>
          <w:sz w:val="24"/>
          <w:szCs w:val="32"/>
        </w:rPr>
      </w:pPr>
      <w:r>
        <w:rPr>
          <w:rFonts w:hint="eastAsia" w:ascii="宋体" w:hAnsi="宋体" w:eastAsia="宋体" w:cs="宋体"/>
          <w:b/>
          <w:bCs/>
          <w:color w:val="auto"/>
          <w:sz w:val="24"/>
          <w:szCs w:val="32"/>
        </w:rPr>
        <w:t>八、确定拟邀请供应商</w:t>
      </w:r>
    </w:p>
    <w:p w14:paraId="1014C51B">
      <w:pPr>
        <w:adjustRightInd w:val="0"/>
        <w:snapToGrid w:val="0"/>
        <w:spacing w:beforeLines="0" w:afterLines="0" w:line="360" w:lineRule="auto"/>
        <w:ind w:firstLine="420" w:firstLineChars="200"/>
        <w:rPr>
          <w:rFonts w:hint="default" w:ascii="宋体" w:hAnsi="宋体"/>
          <w:color w:val="auto"/>
          <w:sz w:val="21"/>
          <w:szCs w:val="21"/>
        </w:rPr>
      </w:pPr>
      <w:r>
        <w:rPr>
          <w:rFonts w:hint="default" w:ascii="宋体" w:hAnsi="宋体"/>
          <w:color w:val="auto"/>
          <w:sz w:val="21"/>
          <w:szCs w:val="21"/>
        </w:rPr>
        <w:t>1、采购人确定所有符合相应资格条件的供应商参加谈判，也可以由谈判小组从符合相应资格条件的供应商名单中确定不少于三家的供应商参加谈判。</w:t>
      </w:r>
    </w:p>
    <w:p w14:paraId="1C379042">
      <w:pPr>
        <w:adjustRightInd w:val="0"/>
        <w:snapToGrid w:val="0"/>
        <w:spacing w:beforeLines="0" w:afterLines="0" w:line="360" w:lineRule="auto"/>
        <w:ind w:firstLine="420" w:firstLineChars="200"/>
        <w:rPr>
          <w:rFonts w:hint="default" w:ascii="宋体" w:hAnsi="宋体"/>
          <w:color w:val="auto"/>
          <w:sz w:val="21"/>
          <w:szCs w:val="21"/>
        </w:rPr>
      </w:pPr>
      <w:r>
        <w:rPr>
          <w:rFonts w:hint="default" w:ascii="宋体" w:hAnsi="宋体"/>
          <w:color w:val="auto"/>
          <w:sz w:val="21"/>
          <w:szCs w:val="21"/>
        </w:rPr>
        <w:t>2、采购人、采购代理机构向确定参加谈判的供应商发出谈判邀请，并发出谈判文件。</w:t>
      </w:r>
    </w:p>
    <w:p w14:paraId="10565A9F">
      <w:pPr>
        <w:keepNext/>
        <w:keepLines/>
        <w:adjustRightInd w:val="0"/>
        <w:snapToGrid w:val="0"/>
        <w:spacing w:line="360" w:lineRule="auto"/>
        <w:outlineLvl w:val="1"/>
        <w:rPr>
          <w:rFonts w:hint="eastAsia" w:ascii="宋体" w:hAnsi="宋体" w:eastAsia="宋体" w:cs="宋体"/>
          <w:b/>
          <w:bCs/>
          <w:color w:val="auto"/>
          <w:sz w:val="24"/>
          <w:szCs w:val="32"/>
        </w:rPr>
      </w:pPr>
      <w:r>
        <w:rPr>
          <w:rFonts w:hint="eastAsia" w:ascii="宋体" w:hAnsi="宋体" w:eastAsia="宋体" w:cs="宋体"/>
          <w:b/>
          <w:bCs/>
          <w:color w:val="auto"/>
          <w:sz w:val="24"/>
          <w:szCs w:val="32"/>
        </w:rPr>
        <w:t>九、公告期限</w:t>
      </w:r>
    </w:p>
    <w:p w14:paraId="072A2DF1">
      <w:pPr>
        <w:adjustRightInd w:val="0"/>
        <w:snapToGrid w:val="0"/>
        <w:spacing w:beforeLines="0" w:afterLines="0" w:line="360" w:lineRule="auto"/>
        <w:ind w:firstLine="420" w:firstLineChars="200"/>
        <w:rPr>
          <w:rFonts w:hint="default" w:ascii="宋体" w:hAnsi="宋体"/>
          <w:color w:val="auto"/>
          <w:sz w:val="21"/>
          <w:szCs w:val="21"/>
        </w:rPr>
      </w:pPr>
      <w:r>
        <w:rPr>
          <w:rFonts w:hint="default" w:ascii="宋体" w:hAnsi="宋体"/>
          <w:color w:val="auto"/>
          <w:sz w:val="21"/>
          <w:szCs w:val="21"/>
        </w:rPr>
        <w:t>1、本公告在中国湖南政府采购网（www.ccgp-hunan.gov.cn）发布。公告期限自本公告发布之日起3个工作日。</w:t>
      </w:r>
    </w:p>
    <w:p w14:paraId="1CB4321F">
      <w:pPr>
        <w:adjustRightInd w:val="0"/>
        <w:snapToGrid w:val="0"/>
        <w:spacing w:beforeLines="0" w:afterLines="0" w:line="360" w:lineRule="auto"/>
        <w:ind w:firstLine="420" w:firstLineChars="200"/>
        <w:rPr>
          <w:rFonts w:hint="default" w:ascii="宋体" w:hAnsi="宋体"/>
          <w:color w:val="auto"/>
          <w:sz w:val="21"/>
          <w:szCs w:val="21"/>
        </w:rPr>
      </w:pPr>
      <w:r>
        <w:rPr>
          <w:rFonts w:hint="default" w:ascii="宋体" w:hAnsi="宋体"/>
          <w:color w:val="auto"/>
          <w:sz w:val="21"/>
          <w:szCs w:val="21"/>
        </w:rPr>
        <w:t>2、在其他媒体发布的邀请公告，公告内容以本公告为准。</w:t>
      </w:r>
    </w:p>
    <w:p w14:paraId="366224B9">
      <w:pPr>
        <w:keepNext/>
        <w:keepLines/>
        <w:adjustRightInd w:val="0"/>
        <w:snapToGrid w:val="0"/>
        <w:spacing w:line="360" w:lineRule="auto"/>
        <w:outlineLvl w:val="1"/>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lang w:val="en-US" w:eastAsia="zh-CN"/>
        </w:rPr>
        <w:t>十</w:t>
      </w:r>
      <w:r>
        <w:rPr>
          <w:rFonts w:hint="eastAsia" w:ascii="宋体" w:hAnsi="宋体" w:eastAsia="宋体" w:cs="宋体"/>
          <w:b/>
          <w:bCs/>
          <w:color w:val="auto"/>
          <w:sz w:val="24"/>
          <w:szCs w:val="32"/>
          <w:highlight w:val="none"/>
        </w:rPr>
        <w:t>、提交首次响应文件的截止时间及提交地点、</w:t>
      </w:r>
      <w:r>
        <w:rPr>
          <w:rFonts w:hint="eastAsia" w:ascii="宋体" w:hAnsi="宋体" w:eastAsia="宋体" w:cs="宋体"/>
          <w:b/>
          <w:bCs/>
          <w:color w:val="auto"/>
          <w:sz w:val="24"/>
          <w:szCs w:val="32"/>
          <w:highlight w:val="none"/>
          <w:lang w:eastAsia="zh-CN"/>
        </w:rPr>
        <w:t>谈判</w:t>
      </w:r>
      <w:r>
        <w:rPr>
          <w:rFonts w:hint="eastAsia" w:ascii="宋体" w:hAnsi="宋体" w:eastAsia="宋体" w:cs="宋体"/>
          <w:b/>
          <w:bCs/>
          <w:color w:val="auto"/>
          <w:sz w:val="24"/>
          <w:szCs w:val="32"/>
          <w:highlight w:val="none"/>
        </w:rPr>
        <w:t>时间</w:t>
      </w:r>
      <w:r>
        <w:rPr>
          <w:rFonts w:hint="eastAsia" w:ascii="宋体" w:hAnsi="宋体" w:eastAsia="宋体" w:cs="宋体"/>
          <w:b/>
          <w:bCs/>
          <w:color w:val="auto"/>
          <w:sz w:val="24"/>
          <w:szCs w:val="32"/>
          <w:highlight w:val="none"/>
          <w:lang w:eastAsia="zh-CN"/>
        </w:rPr>
        <w:t>、开启时间</w:t>
      </w:r>
      <w:r>
        <w:rPr>
          <w:rFonts w:hint="eastAsia" w:ascii="宋体" w:hAnsi="宋体" w:eastAsia="宋体" w:cs="宋体"/>
          <w:b/>
          <w:bCs/>
          <w:color w:val="auto"/>
          <w:sz w:val="24"/>
          <w:szCs w:val="32"/>
          <w:highlight w:val="none"/>
        </w:rPr>
        <w:t>及地点</w:t>
      </w:r>
    </w:p>
    <w:p w14:paraId="29D799C3">
      <w:pPr>
        <w:adjustRightInd w:val="0"/>
        <w:snapToGrid w:val="0"/>
        <w:spacing w:beforeLines="0" w:afterLines="0" w:line="360" w:lineRule="auto"/>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w:t>
      </w:r>
      <w:r>
        <w:rPr>
          <w:rFonts w:hint="eastAsia" w:ascii="宋体" w:hAnsi="宋体" w:eastAsia="宋体" w:cs="Times New Roman"/>
          <w:color w:val="auto"/>
          <w:sz w:val="21"/>
          <w:szCs w:val="21"/>
          <w:highlight w:val="none"/>
          <w:lang w:eastAsia="zh-CN"/>
        </w:rPr>
        <w:t>、</w:t>
      </w:r>
      <w:r>
        <w:rPr>
          <w:rFonts w:hint="eastAsia" w:ascii="宋体" w:hAnsi="宋体" w:eastAsia="宋体" w:cs="Times New Roman"/>
          <w:color w:val="auto"/>
          <w:sz w:val="21"/>
          <w:szCs w:val="21"/>
          <w:highlight w:val="none"/>
        </w:rPr>
        <w:t>提交首次响应文件的截止时间（</w:t>
      </w:r>
      <w:r>
        <w:rPr>
          <w:rFonts w:hint="eastAsia" w:ascii="宋体" w:hAnsi="宋体" w:eastAsia="宋体" w:cs="Times New Roman"/>
          <w:color w:val="auto"/>
          <w:sz w:val="21"/>
          <w:szCs w:val="21"/>
          <w:highlight w:val="none"/>
          <w:lang w:eastAsia="zh-CN"/>
        </w:rPr>
        <w:t>谈判</w:t>
      </w:r>
      <w:r>
        <w:rPr>
          <w:rFonts w:hint="eastAsia" w:ascii="宋体" w:hAnsi="宋体" w:eastAsia="宋体" w:cs="Times New Roman"/>
          <w:color w:val="auto"/>
          <w:sz w:val="21"/>
          <w:szCs w:val="21"/>
          <w:highlight w:val="none"/>
        </w:rPr>
        <w:t>时间</w:t>
      </w:r>
      <w:r>
        <w:rPr>
          <w:rFonts w:hint="eastAsia" w:ascii="宋体" w:hAnsi="宋体" w:eastAsia="宋体" w:cs="Times New Roman"/>
          <w:color w:val="auto"/>
          <w:sz w:val="21"/>
          <w:szCs w:val="21"/>
          <w:highlight w:val="none"/>
          <w:lang w:eastAsia="zh-CN"/>
        </w:rPr>
        <w:t>、开启时间</w:t>
      </w:r>
      <w:r>
        <w:rPr>
          <w:rFonts w:hint="eastAsia" w:ascii="宋体" w:hAnsi="宋体" w:eastAsia="宋体" w:cs="Times New Roman"/>
          <w:color w:val="auto"/>
          <w:sz w:val="21"/>
          <w:szCs w:val="21"/>
          <w:highlight w:val="none"/>
        </w:rPr>
        <w:t>）：</w:t>
      </w:r>
      <w:r>
        <w:rPr>
          <w:rFonts w:hint="eastAsia" w:ascii="宋体" w:hAnsi="宋体" w:eastAsia="宋体" w:cs="Times New Roman"/>
          <w:color w:val="auto"/>
          <w:sz w:val="21"/>
          <w:szCs w:val="21"/>
          <w:highlight w:val="none"/>
          <w:lang w:val="en-US" w:eastAsia="zh-CN"/>
        </w:rPr>
        <w:t>详见</w:t>
      </w:r>
      <w:r>
        <w:rPr>
          <w:rFonts w:hint="eastAsia" w:ascii="宋体" w:hAnsi="宋体" w:eastAsia="宋体" w:cs="Times New Roman"/>
          <w:color w:val="auto"/>
          <w:sz w:val="21"/>
          <w:szCs w:val="21"/>
          <w:highlight w:val="none"/>
          <w:u w:val="single"/>
          <w:lang w:val="en-US" w:eastAsia="zh-CN"/>
        </w:rPr>
        <w:t>谈判文件</w:t>
      </w:r>
      <w:r>
        <w:rPr>
          <w:rFonts w:hint="eastAsia" w:ascii="宋体" w:hAnsi="宋体" w:eastAsia="宋体" w:cs="Times New Roman"/>
          <w:color w:val="auto"/>
          <w:sz w:val="21"/>
          <w:szCs w:val="21"/>
          <w:highlight w:val="none"/>
          <w:u w:val="single"/>
        </w:rPr>
        <w:t>（北京时间）</w:t>
      </w:r>
      <w:r>
        <w:rPr>
          <w:rFonts w:hint="eastAsia" w:ascii="宋体" w:hAnsi="宋体" w:eastAsia="宋体" w:cs="Times New Roman"/>
          <w:color w:val="auto"/>
          <w:sz w:val="21"/>
          <w:szCs w:val="21"/>
          <w:highlight w:val="none"/>
        </w:rPr>
        <w:t>。</w:t>
      </w:r>
    </w:p>
    <w:p w14:paraId="65DC036F">
      <w:pPr>
        <w:adjustRightInd w:val="0"/>
        <w:snapToGrid w:val="0"/>
        <w:spacing w:beforeLines="0" w:afterLines="0" w:line="360" w:lineRule="auto"/>
        <w:ind w:firstLine="420" w:firstLineChars="200"/>
        <w:rPr>
          <w:rFonts w:hint="eastAsia" w:ascii="宋体" w:hAnsi="宋体" w:eastAsia="宋体" w:cs="Times New Roman"/>
          <w:color w:val="auto"/>
          <w:sz w:val="21"/>
          <w:szCs w:val="21"/>
          <w:highlight w:val="none"/>
          <w:lang w:eastAsia="zh-CN"/>
        </w:rPr>
      </w:pPr>
      <w:r>
        <w:rPr>
          <w:rFonts w:hint="eastAsia" w:ascii="宋体" w:hAnsi="宋体" w:eastAsia="宋体" w:cs="Times New Roman"/>
          <w:color w:val="auto"/>
          <w:sz w:val="21"/>
          <w:szCs w:val="21"/>
          <w:highlight w:val="none"/>
        </w:rPr>
        <w:t>2</w:t>
      </w:r>
      <w:r>
        <w:rPr>
          <w:rFonts w:hint="eastAsia" w:ascii="宋体" w:hAnsi="宋体" w:eastAsia="宋体" w:cs="Times New Roman"/>
          <w:color w:val="auto"/>
          <w:sz w:val="21"/>
          <w:szCs w:val="21"/>
          <w:highlight w:val="none"/>
          <w:lang w:eastAsia="zh-CN"/>
        </w:rPr>
        <w:t>、</w:t>
      </w:r>
      <w:r>
        <w:rPr>
          <w:rFonts w:hint="eastAsia" w:ascii="宋体" w:hAnsi="宋体" w:eastAsia="宋体" w:cs="Times New Roman"/>
          <w:color w:val="auto"/>
          <w:sz w:val="21"/>
          <w:szCs w:val="21"/>
          <w:highlight w:val="none"/>
        </w:rPr>
        <w:t>提交首次响应文件的地点（</w:t>
      </w:r>
      <w:r>
        <w:rPr>
          <w:rFonts w:hint="eastAsia" w:ascii="宋体" w:hAnsi="宋体" w:eastAsia="宋体" w:cs="Times New Roman"/>
          <w:color w:val="auto"/>
          <w:sz w:val="21"/>
          <w:szCs w:val="21"/>
          <w:highlight w:val="none"/>
          <w:lang w:eastAsia="zh-CN"/>
        </w:rPr>
        <w:t>谈判</w:t>
      </w:r>
      <w:r>
        <w:rPr>
          <w:rFonts w:hint="eastAsia" w:ascii="宋体" w:hAnsi="宋体" w:eastAsia="宋体" w:cs="Times New Roman"/>
          <w:color w:val="auto"/>
          <w:sz w:val="21"/>
          <w:szCs w:val="21"/>
          <w:highlight w:val="none"/>
        </w:rPr>
        <w:t>地点</w:t>
      </w:r>
      <w:r>
        <w:rPr>
          <w:rFonts w:hint="eastAsia" w:ascii="宋体" w:hAnsi="宋体" w:eastAsia="宋体" w:cs="Times New Roman"/>
          <w:color w:val="auto"/>
          <w:sz w:val="21"/>
          <w:szCs w:val="21"/>
          <w:highlight w:val="none"/>
          <w:lang w:eastAsia="zh-CN"/>
        </w:rPr>
        <w:t>，开启地点</w:t>
      </w:r>
      <w:r>
        <w:rPr>
          <w:rFonts w:hint="eastAsia" w:ascii="宋体" w:hAnsi="宋体" w:eastAsia="宋体" w:cs="Times New Roman"/>
          <w:color w:val="auto"/>
          <w:sz w:val="21"/>
          <w:szCs w:val="21"/>
          <w:highlight w:val="none"/>
        </w:rPr>
        <w:t>）：</w:t>
      </w:r>
      <w:r>
        <w:rPr>
          <w:rFonts w:hint="eastAsia" w:ascii="宋体" w:hAnsi="宋体" w:eastAsia="宋体" w:cs="Times New Roman"/>
          <w:color w:val="auto"/>
          <w:sz w:val="21"/>
          <w:szCs w:val="21"/>
          <w:highlight w:val="none"/>
          <w:u w:val="single"/>
          <w:lang w:eastAsia="zh-CN"/>
        </w:rPr>
        <w:t>国鼎和诚项目管理集团有限公司</w:t>
      </w:r>
      <w:r>
        <w:rPr>
          <w:rFonts w:hint="eastAsia" w:ascii="宋体" w:hAnsi="宋体" w:eastAsia="宋体" w:cs="Times New Roman"/>
          <w:color w:val="auto"/>
          <w:sz w:val="21"/>
          <w:szCs w:val="21"/>
          <w:highlight w:val="none"/>
          <w:u w:val="single"/>
          <w:lang w:val="en-US" w:eastAsia="zh-CN"/>
        </w:rPr>
        <w:t>张家界分公司</w:t>
      </w:r>
      <w:r>
        <w:rPr>
          <w:rFonts w:hint="eastAsia" w:ascii="宋体" w:hAnsi="宋体" w:eastAsia="宋体" w:cs="Times New Roman"/>
          <w:color w:val="auto"/>
          <w:sz w:val="21"/>
          <w:szCs w:val="21"/>
          <w:highlight w:val="none"/>
          <w:u w:val="single"/>
          <w:lang w:eastAsia="zh-CN"/>
        </w:rPr>
        <w:t>（张家界市永定区御景湾二期金瑞苑一楼S112号）</w:t>
      </w:r>
      <w:r>
        <w:rPr>
          <w:rFonts w:hint="eastAsia" w:ascii="宋体" w:hAnsi="宋体" w:eastAsia="宋体" w:cs="Times New Roman"/>
          <w:color w:val="auto"/>
          <w:sz w:val="21"/>
          <w:szCs w:val="21"/>
          <w:highlight w:val="none"/>
          <w:lang w:eastAsia="zh-CN"/>
        </w:rPr>
        <w:t>。</w:t>
      </w:r>
    </w:p>
    <w:p w14:paraId="6504FCE0">
      <w:pPr>
        <w:adjustRightInd w:val="0"/>
        <w:snapToGrid w:val="0"/>
        <w:spacing w:beforeLines="0" w:afterLines="0" w:line="360" w:lineRule="auto"/>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3、</w:t>
      </w:r>
      <w:r>
        <w:rPr>
          <w:rFonts w:hint="eastAsia" w:ascii="宋体" w:hAnsi="宋体" w:eastAsia="宋体" w:cs="Times New Roman"/>
          <w:color w:val="auto"/>
          <w:sz w:val="21"/>
          <w:szCs w:val="21"/>
          <w:highlight w:val="none"/>
        </w:rPr>
        <w:t>逾期送达或者不按</w:t>
      </w:r>
      <w:r>
        <w:rPr>
          <w:rFonts w:hint="eastAsia" w:ascii="宋体" w:hAnsi="宋体" w:eastAsia="宋体" w:cs="Times New Roman"/>
          <w:color w:val="auto"/>
          <w:sz w:val="21"/>
          <w:szCs w:val="21"/>
          <w:highlight w:val="none"/>
          <w:lang w:eastAsia="zh-CN"/>
        </w:rPr>
        <w:t>谈判</w:t>
      </w:r>
      <w:r>
        <w:rPr>
          <w:rFonts w:hint="eastAsia" w:ascii="宋体" w:hAnsi="宋体" w:eastAsia="宋体" w:cs="Times New Roman"/>
          <w:color w:val="auto"/>
          <w:sz w:val="21"/>
          <w:szCs w:val="21"/>
          <w:highlight w:val="none"/>
        </w:rPr>
        <w:t>文件要求密封的响应文件，采购人或采购代理机构将拒绝接收。</w:t>
      </w:r>
    </w:p>
    <w:p w14:paraId="3677E535">
      <w:pPr>
        <w:keepNext/>
        <w:keepLines/>
        <w:adjustRightInd w:val="0"/>
        <w:snapToGrid w:val="0"/>
        <w:spacing w:line="360" w:lineRule="auto"/>
        <w:outlineLvl w:val="1"/>
        <w:rPr>
          <w:rFonts w:hint="eastAsia" w:ascii="宋体" w:hAnsi="宋体" w:eastAsia="宋体" w:cs="宋体"/>
          <w:b/>
          <w:bCs/>
          <w:color w:val="auto"/>
          <w:sz w:val="24"/>
          <w:szCs w:val="32"/>
          <w:highlight w:val="none"/>
          <w:lang w:val="en-US" w:eastAsia="zh-CN"/>
        </w:rPr>
      </w:pPr>
      <w:bookmarkStart w:id="12" w:name="_Toc22201059"/>
      <w:bookmarkStart w:id="13" w:name="_Toc19907"/>
      <w:r>
        <w:rPr>
          <w:rFonts w:hint="eastAsia" w:ascii="宋体" w:hAnsi="宋体" w:eastAsia="宋体" w:cs="宋体"/>
          <w:b/>
          <w:bCs/>
          <w:color w:val="auto"/>
          <w:sz w:val="24"/>
          <w:szCs w:val="32"/>
          <w:highlight w:val="none"/>
          <w:lang w:val="en-US" w:eastAsia="zh-CN"/>
        </w:rPr>
        <w:t>十一、</w:t>
      </w:r>
      <w:bookmarkEnd w:id="12"/>
      <w:bookmarkEnd w:id="13"/>
      <w:r>
        <w:rPr>
          <w:rFonts w:hint="eastAsia" w:ascii="宋体" w:hAnsi="宋体" w:eastAsia="宋体" w:cs="宋体"/>
          <w:b/>
          <w:bCs/>
          <w:color w:val="auto"/>
          <w:sz w:val="24"/>
          <w:szCs w:val="32"/>
          <w:highlight w:val="none"/>
          <w:lang w:val="en-US" w:eastAsia="zh-CN"/>
        </w:rPr>
        <w:t>确认</w:t>
      </w:r>
    </w:p>
    <w:p w14:paraId="0B3F6A10">
      <w:pPr>
        <w:adjustRightInd w:val="0"/>
        <w:snapToGrid w:val="0"/>
        <w:spacing w:beforeLines="0" w:afterLines="0" w:line="360" w:lineRule="auto"/>
        <w:ind w:firstLine="420" w:firstLineChars="20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你单位收到本采购邀请后，请于详见</w:t>
      </w:r>
      <w:r>
        <w:rPr>
          <w:rFonts w:hint="eastAsia" w:ascii="宋体" w:hAnsi="宋体" w:eastAsia="宋体" w:cs="Times New Roman"/>
          <w:color w:val="auto"/>
          <w:sz w:val="21"/>
          <w:szCs w:val="21"/>
          <w:highlight w:val="none"/>
          <w:u w:val="single"/>
          <w:lang w:val="en-US" w:eastAsia="zh-CN"/>
        </w:rPr>
        <w:t>谈判文件（时间）</w:t>
      </w:r>
      <w:r>
        <w:rPr>
          <w:rFonts w:hint="eastAsia" w:ascii="宋体" w:hAnsi="宋体" w:eastAsia="宋体" w:cs="Times New Roman"/>
          <w:color w:val="auto"/>
          <w:sz w:val="21"/>
          <w:szCs w:val="21"/>
          <w:highlight w:val="none"/>
          <w:lang w:val="en-US" w:eastAsia="zh-CN"/>
        </w:rPr>
        <w:t>前，以书面或邮件</w:t>
      </w:r>
      <w:bookmarkStart w:id="14" w:name="_GoBack"/>
      <w:bookmarkEnd w:id="14"/>
      <w:r>
        <w:rPr>
          <w:rFonts w:hint="eastAsia" w:ascii="宋体" w:hAnsi="宋体" w:eastAsia="宋体" w:cs="Times New Roman"/>
          <w:color w:val="auto"/>
          <w:sz w:val="21"/>
          <w:szCs w:val="21"/>
          <w:highlight w:val="none"/>
          <w:lang w:val="en-US" w:eastAsia="zh-CN"/>
        </w:rPr>
        <w:t>形式现场递交确认是否参加谈判采购，</w:t>
      </w:r>
      <w:r>
        <w:rPr>
          <w:rFonts w:hint="eastAsia" w:ascii="宋体" w:hAnsi="宋体" w:eastAsia="宋体" w:cs="Times New Roman"/>
          <w:color w:val="auto"/>
          <w:sz w:val="21"/>
          <w:szCs w:val="21"/>
          <w:highlight w:val="none"/>
        </w:rPr>
        <w:t>地址：</w:t>
      </w:r>
      <w:r>
        <w:rPr>
          <w:rFonts w:hint="eastAsia" w:ascii="宋体" w:hAnsi="宋体" w:eastAsia="宋体" w:cs="Times New Roman"/>
          <w:color w:val="auto"/>
          <w:sz w:val="21"/>
          <w:szCs w:val="21"/>
          <w:highlight w:val="none"/>
          <w:u w:val="single"/>
          <w:lang w:eastAsia="zh-CN"/>
        </w:rPr>
        <w:t>国鼎和诚项目管理集团有限公司</w:t>
      </w:r>
      <w:r>
        <w:rPr>
          <w:rFonts w:hint="eastAsia" w:ascii="宋体" w:hAnsi="宋体" w:eastAsia="宋体" w:cs="Times New Roman"/>
          <w:color w:val="auto"/>
          <w:sz w:val="21"/>
          <w:szCs w:val="21"/>
          <w:highlight w:val="none"/>
          <w:u w:val="single"/>
          <w:lang w:val="en-US" w:eastAsia="zh-CN"/>
        </w:rPr>
        <w:t>张家界分公司</w:t>
      </w:r>
      <w:r>
        <w:rPr>
          <w:rFonts w:hint="eastAsia" w:ascii="宋体" w:hAnsi="宋体" w:eastAsia="宋体" w:cs="Times New Roman"/>
          <w:color w:val="auto"/>
          <w:sz w:val="21"/>
          <w:szCs w:val="21"/>
          <w:highlight w:val="none"/>
          <w:u w:val="single"/>
          <w:lang w:eastAsia="zh-CN"/>
        </w:rPr>
        <w:t>（张家界市永定区御景湾二期金瑞苑一楼S112号）</w:t>
      </w:r>
      <w:r>
        <w:rPr>
          <w:rFonts w:hint="eastAsia" w:ascii="宋体" w:hAnsi="宋体" w:eastAsia="宋体" w:cs="Times New Roman"/>
          <w:color w:val="auto"/>
          <w:sz w:val="21"/>
          <w:szCs w:val="21"/>
          <w:highlight w:val="none"/>
          <w:lang w:val="en-US" w:eastAsia="zh-CN"/>
        </w:rPr>
        <w:t>。</w:t>
      </w:r>
    </w:p>
    <w:p w14:paraId="1A7719E6">
      <w:pPr>
        <w:keepNext/>
        <w:keepLines/>
        <w:adjustRightInd w:val="0"/>
        <w:snapToGrid w:val="0"/>
        <w:spacing w:line="360" w:lineRule="auto"/>
        <w:outlineLvl w:val="1"/>
        <w:rPr>
          <w:rFonts w:hint="eastAsia" w:ascii="宋体" w:hAnsi="宋体" w:eastAsia="宋体" w:cs="宋体"/>
          <w:b/>
          <w:bCs/>
          <w:color w:val="auto"/>
          <w:sz w:val="24"/>
          <w:szCs w:val="32"/>
        </w:rPr>
      </w:pPr>
      <w:r>
        <w:rPr>
          <w:rFonts w:hint="eastAsia" w:ascii="宋体" w:hAnsi="宋体" w:eastAsia="宋体" w:cs="宋体"/>
          <w:b/>
          <w:bCs/>
          <w:color w:val="auto"/>
          <w:sz w:val="24"/>
          <w:szCs w:val="32"/>
        </w:rPr>
        <w:t>十</w:t>
      </w:r>
      <w:r>
        <w:rPr>
          <w:rFonts w:hint="eastAsia" w:ascii="宋体" w:hAnsi="宋体" w:cs="宋体"/>
          <w:b/>
          <w:bCs/>
          <w:color w:val="auto"/>
          <w:sz w:val="24"/>
          <w:szCs w:val="32"/>
          <w:lang w:val="en-US" w:eastAsia="zh-CN"/>
        </w:rPr>
        <w:t>二</w:t>
      </w:r>
      <w:r>
        <w:rPr>
          <w:rFonts w:hint="eastAsia" w:ascii="宋体" w:hAnsi="宋体" w:eastAsia="宋体" w:cs="宋体"/>
          <w:b/>
          <w:bCs/>
          <w:color w:val="auto"/>
          <w:sz w:val="24"/>
          <w:szCs w:val="32"/>
        </w:rPr>
        <w:t>、询问及质疑</w:t>
      </w:r>
    </w:p>
    <w:p w14:paraId="519230F7">
      <w:pPr>
        <w:adjustRightInd w:val="0"/>
        <w:snapToGrid w:val="0"/>
        <w:spacing w:beforeLines="0" w:afterLines="0" w:line="360" w:lineRule="auto"/>
        <w:ind w:firstLine="420" w:firstLineChars="200"/>
        <w:rPr>
          <w:rFonts w:hint="default" w:ascii="宋体" w:hAnsi="宋体"/>
          <w:color w:val="auto"/>
          <w:sz w:val="21"/>
          <w:szCs w:val="21"/>
        </w:rPr>
      </w:pPr>
      <w:r>
        <w:rPr>
          <w:rFonts w:hint="default" w:ascii="宋体" w:hAnsi="宋体"/>
          <w:color w:val="auto"/>
          <w:sz w:val="21"/>
          <w:szCs w:val="21"/>
        </w:rPr>
        <w:t>1、供应商对政府采购活动事项如有疑问的，可以向采购人、采购代理机构提出询问。采购人、采购代理机构将在3个工作日内作出答复。</w:t>
      </w:r>
    </w:p>
    <w:p w14:paraId="504A6176">
      <w:pPr>
        <w:adjustRightInd w:val="0"/>
        <w:snapToGrid w:val="0"/>
        <w:spacing w:beforeLines="0" w:afterLines="0" w:line="360" w:lineRule="auto"/>
        <w:ind w:firstLine="420" w:firstLineChars="200"/>
        <w:rPr>
          <w:rFonts w:hint="default" w:ascii="宋体" w:hAnsi="宋体"/>
          <w:color w:val="auto"/>
          <w:sz w:val="21"/>
          <w:szCs w:val="21"/>
        </w:rPr>
      </w:pPr>
      <w:r>
        <w:rPr>
          <w:rFonts w:hint="default" w:ascii="宋体" w:hAnsi="宋体"/>
          <w:color w:val="auto"/>
          <w:sz w:val="21"/>
          <w:szCs w:val="21"/>
        </w:rPr>
        <w:t>2、供应商认为谈判文件或本公告使自己的合法权益受到损害的，可以在收到谈判文件之日或本公告期限届满之日起7个工作日内，按《湖南省财政厅关于印发＜政府采购质疑答复和投诉处理操作规程＞的通知》</w:t>
      </w:r>
      <w:r>
        <w:rPr>
          <w:rFonts w:hint="eastAsia" w:ascii="宋体" w:hAnsi="宋体" w:eastAsia="宋体" w:cs="Times New Roman"/>
          <w:szCs w:val="21"/>
        </w:rPr>
        <w:t>(</w:t>
      </w:r>
      <w:r>
        <w:rPr>
          <w:rFonts w:hint="default" w:ascii="宋体" w:hAnsi="宋体" w:eastAsia="宋体" w:cs="Times New Roman"/>
          <w:szCs w:val="21"/>
        </w:rPr>
        <w:t>湘财</w:t>
      </w:r>
      <w:r>
        <w:rPr>
          <w:rFonts w:hint="eastAsia" w:ascii="宋体" w:hAnsi="宋体" w:eastAsia="宋体" w:cs="Times New Roman"/>
          <w:szCs w:val="21"/>
          <w:lang w:eastAsia="zh-CN"/>
        </w:rPr>
        <w:t>购</w:t>
      </w:r>
      <w:r>
        <w:rPr>
          <w:rFonts w:hint="default" w:ascii="宋体" w:hAnsi="宋体" w:eastAsia="宋体" w:cs="Times New Roman"/>
          <w:szCs w:val="21"/>
        </w:rPr>
        <w:t>〔</w:t>
      </w:r>
      <w:r>
        <w:rPr>
          <w:rFonts w:hint="eastAsia" w:ascii="宋体" w:hAnsi="宋体" w:eastAsia="宋体" w:cs="Times New Roman"/>
          <w:szCs w:val="21"/>
        </w:rPr>
        <w:t>20</w:t>
      </w:r>
      <w:r>
        <w:rPr>
          <w:rFonts w:hint="eastAsia" w:ascii="宋体" w:hAnsi="宋体" w:eastAsia="宋体" w:cs="Times New Roman"/>
          <w:szCs w:val="21"/>
          <w:lang w:eastAsia="zh-CN"/>
        </w:rPr>
        <w:t>2</w:t>
      </w:r>
      <w:r>
        <w:rPr>
          <w:rFonts w:hint="eastAsia" w:ascii="宋体" w:hAnsi="宋体" w:eastAsia="宋体" w:cs="Times New Roman"/>
          <w:szCs w:val="21"/>
          <w:lang w:val="en-US" w:eastAsia="zh-CN"/>
        </w:rPr>
        <w:t>4</w:t>
      </w:r>
      <w:r>
        <w:rPr>
          <w:rFonts w:hint="default" w:ascii="宋体" w:hAnsi="宋体" w:eastAsia="宋体" w:cs="Times New Roman"/>
          <w:szCs w:val="21"/>
        </w:rPr>
        <w:t>〕</w:t>
      </w:r>
      <w:r>
        <w:rPr>
          <w:rFonts w:hint="eastAsia" w:ascii="宋体" w:hAnsi="宋体" w:eastAsia="宋体" w:cs="Times New Roman"/>
          <w:szCs w:val="21"/>
          <w:lang w:eastAsia="zh-CN"/>
        </w:rPr>
        <w:t>6</w:t>
      </w:r>
      <w:r>
        <w:rPr>
          <w:rFonts w:hint="eastAsia" w:ascii="宋体" w:hAnsi="宋体" w:eastAsia="宋体" w:cs="Times New Roman"/>
          <w:szCs w:val="21"/>
          <w:lang w:val="en-US" w:eastAsia="zh-CN"/>
        </w:rPr>
        <w:t>7</w:t>
      </w:r>
      <w:r>
        <w:rPr>
          <w:rFonts w:hint="default" w:ascii="宋体" w:hAnsi="宋体" w:eastAsia="宋体" w:cs="Times New Roman"/>
          <w:szCs w:val="21"/>
        </w:rPr>
        <w:t>号</w:t>
      </w:r>
      <w:r>
        <w:rPr>
          <w:rFonts w:hint="eastAsia" w:ascii="宋体" w:hAnsi="宋体" w:eastAsia="宋体" w:cs="Times New Roman"/>
          <w:szCs w:val="21"/>
        </w:rPr>
        <w:t>)</w:t>
      </w:r>
      <w:r>
        <w:rPr>
          <w:rFonts w:hint="default" w:ascii="宋体" w:hAnsi="宋体"/>
          <w:color w:val="auto"/>
          <w:sz w:val="21"/>
          <w:szCs w:val="21"/>
        </w:rPr>
        <w:t>规定，以纸质书面形式向采购人、采购代理机构提出质疑。</w:t>
      </w:r>
    </w:p>
    <w:p w14:paraId="04DA6A62">
      <w:pPr>
        <w:keepNext/>
        <w:keepLines/>
        <w:adjustRightInd w:val="0"/>
        <w:snapToGrid w:val="0"/>
        <w:spacing w:line="360" w:lineRule="auto"/>
        <w:outlineLvl w:val="1"/>
        <w:rPr>
          <w:rFonts w:hint="eastAsia" w:ascii="宋体" w:hAnsi="宋体" w:eastAsia="宋体" w:cs="宋体"/>
          <w:b/>
          <w:bCs/>
          <w:color w:val="auto"/>
          <w:sz w:val="24"/>
          <w:szCs w:val="32"/>
        </w:rPr>
      </w:pPr>
      <w:r>
        <w:rPr>
          <w:rFonts w:hint="eastAsia" w:ascii="宋体" w:hAnsi="宋体" w:eastAsia="宋体" w:cs="宋体"/>
          <w:b/>
          <w:bCs/>
          <w:color w:val="auto"/>
          <w:sz w:val="24"/>
          <w:szCs w:val="32"/>
        </w:rPr>
        <w:t>十</w:t>
      </w:r>
      <w:r>
        <w:rPr>
          <w:rFonts w:hint="eastAsia" w:ascii="宋体" w:hAnsi="宋体" w:cs="宋体"/>
          <w:b/>
          <w:bCs/>
          <w:color w:val="auto"/>
          <w:sz w:val="24"/>
          <w:szCs w:val="32"/>
          <w:lang w:val="en-US" w:eastAsia="zh-CN"/>
        </w:rPr>
        <w:t>三</w:t>
      </w:r>
      <w:r>
        <w:rPr>
          <w:rFonts w:hint="eastAsia" w:ascii="宋体" w:hAnsi="宋体" w:eastAsia="宋体" w:cs="宋体"/>
          <w:b/>
          <w:bCs/>
          <w:color w:val="auto"/>
          <w:sz w:val="24"/>
          <w:szCs w:val="32"/>
        </w:rPr>
        <w:t>、谈判说明</w:t>
      </w:r>
    </w:p>
    <w:p w14:paraId="5A8FF311">
      <w:pPr>
        <w:adjustRightInd w:val="0"/>
        <w:snapToGrid w:val="0"/>
        <w:spacing w:beforeLines="0" w:afterLines="0" w:line="360" w:lineRule="auto"/>
        <w:ind w:firstLine="420" w:firstLineChars="200"/>
        <w:rPr>
          <w:rFonts w:hint="default" w:ascii="宋体" w:hAnsi="宋体"/>
          <w:color w:val="auto"/>
          <w:sz w:val="21"/>
          <w:szCs w:val="21"/>
        </w:rPr>
      </w:pPr>
      <w:r>
        <w:rPr>
          <w:rFonts w:hint="default" w:ascii="宋体" w:hAnsi="宋体"/>
          <w:color w:val="auto"/>
          <w:sz w:val="21"/>
          <w:szCs w:val="21"/>
        </w:rPr>
        <w:t>1、本公告选项：</w:t>
      </w:r>
      <w:r>
        <w:rPr>
          <w:rFonts w:hint="default" w:ascii="宋体" w:hAnsi="宋体"/>
          <w:color w:val="auto"/>
          <w:sz w:val="21"/>
          <w:szCs w:val="21"/>
        </w:rPr>
        <w:sym w:font="Wingdings" w:char="00FE"/>
      </w:r>
      <w:r>
        <w:rPr>
          <w:rFonts w:hint="default" w:ascii="宋体" w:hAnsi="宋体"/>
          <w:color w:val="auto"/>
          <w:sz w:val="21"/>
          <w:szCs w:val="21"/>
        </w:rPr>
        <w:t>表示选择，</w:t>
      </w:r>
      <w:r>
        <w:rPr>
          <w:rFonts w:hint="default" w:ascii="宋体" w:hAnsi="宋体"/>
          <w:color w:val="auto"/>
          <w:sz w:val="21"/>
          <w:szCs w:val="21"/>
        </w:rPr>
        <w:sym w:font="Wingdings" w:char="00A8"/>
      </w:r>
      <w:r>
        <w:rPr>
          <w:rFonts w:hint="default" w:ascii="宋体" w:hAnsi="宋体"/>
          <w:color w:val="auto"/>
          <w:sz w:val="21"/>
          <w:szCs w:val="21"/>
        </w:rPr>
        <w:t>表示未选择。</w:t>
      </w:r>
    </w:p>
    <w:p w14:paraId="5000F9AF">
      <w:pPr>
        <w:adjustRightInd w:val="0"/>
        <w:snapToGrid w:val="0"/>
        <w:spacing w:beforeLines="0" w:afterLines="0" w:line="360" w:lineRule="auto"/>
        <w:ind w:firstLine="420" w:firstLineChars="200"/>
        <w:rPr>
          <w:rFonts w:hint="default" w:ascii="宋体" w:hAnsi="宋体"/>
          <w:color w:val="auto"/>
          <w:sz w:val="21"/>
          <w:szCs w:val="21"/>
        </w:rPr>
      </w:pPr>
      <w:r>
        <w:rPr>
          <w:rFonts w:hint="default" w:ascii="宋体" w:hAnsi="宋体"/>
          <w:color w:val="auto"/>
          <w:sz w:val="21"/>
          <w:szCs w:val="21"/>
        </w:rPr>
        <w:t>2、供应商参与政府采购活动，无需向采购人、代理机构、交易平台缴纳任何费用。</w:t>
      </w:r>
    </w:p>
    <w:p w14:paraId="44EF4D9A">
      <w:pPr>
        <w:keepNext/>
        <w:keepLines/>
        <w:pageBreakBefore w:val="0"/>
        <w:widowControl w:val="0"/>
        <w:kinsoku/>
        <w:wordWrap/>
        <w:overflowPunct/>
        <w:topLinePunct w:val="0"/>
        <w:autoSpaceDE/>
        <w:autoSpaceDN/>
        <w:bidi w:val="0"/>
        <w:adjustRightInd w:val="0"/>
        <w:snapToGrid w:val="0"/>
        <w:spacing w:line="360" w:lineRule="auto"/>
        <w:textAlignment w:val="auto"/>
        <w:outlineLvl w:val="1"/>
        <w:rPr>
          <w:rFonts w:hint="default" w:ascii="宋体" w:hAnsi="宋体" w:eastAsia="宋体" w:cs="宋体"/>
          <w:b/>
          <w:bCs/>
          <w:color w:val="auto"/>
          <w:sz w:val="24"/>
          <w:szCs w:val="32"/>
          <w:lang w:val="en-US" w:eastAsia="zh-CN"/>
        </w:rPr>
      </w:pPr>
      <w:r>
        <w:rPr>
          <w:rFonts w:hint="eastAsia" w:ascii="宋体" w:hAnsi="宋体" w:cs="宋体"/>
          <w:b/>
          <w:bCs/>
          <w:color w:val="auto"/>
          <w:sz w:val="24"/>
          <w:szCs w:val="32"/>
          <w:lang w:val="en-US" w:eastAsia="zh-CN"/>
        </w:rPr>
        <w:t>十四</w:t>
      </w:r>
      <w:r>
        <w:rPr>
          <w:rFonts w:hint="eastAsia" w:ascii="宋体" w:hAnsi="宋体" w:eastAsia="宋体" w:cs="宋体"/>
          <w:b/>
          <w:bCs/>
          <w:color w:val="auto"/>
          <w:sz w:val="24"/>
          <w:szCs w:val="32"/>
        </w:rPr>
        <w:t>、</w:t>
      </w:r>
      <w:bookmarkEnd w:id="7"/>
      <w:r>
        <w:rPr>
          <w:rFonts w:hint="eastAsia" w:ascii="宋体" w:hAnsi="宋体" w:cs="宋体"/>
          <w:b/>
          <w:bCs/>
          <w:color w:val="auto"/>
          <w:sz w:val="24"/>
          <w:szCs w:val="32"/>
          <w:lang w:val="en-US" w:eastAsia="zh-CN"/>
        </w:rPr>
        <w:t>对本次采购提出询问，请按以下方式联系</w:t>
      </w:r>
    </w:p>
    <w:p w14:paraId="501AE9E9">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ascii="宋体" w:hAnsi="宋体"/>
          <w:b/>
          <w:bCs/>
          <w:color w:val="auto"/>
          <w:szCs w:val="21"/>
        </w:rPr>
      </w:pPr>
      <w:r>
        <w:rPr>
          <w:rFonts w:hint="eastAsia" w:ascii="宋体" w:hAnsi="宋体"/>
          <w:b/>
          <w:bCs/>
          <w:color w:val="auto"/>
          <w:szCs w:val="21"/>
        </w:rPr>
        <w:t>1</w:t>
      </w:r>
      <w:r>
        <w:rPr>
          <w:rFonts w:hint="eastAsia" w:ascii="宋体" w:hAnsi="宋体"/>
          <w:color w:val="auto"/>
          <w:szCs w:val="21"/>
        </w:rPr>
        <w:t>、</w:t>
      </w:r>
      <w:r>
        <w:rPr>
          <w:rFonts w:hint="eastAsia" w:ascii="宋体" w:hAnsi="宋体"/>
          <w:b/>
          <w:bCs/>
          <w:color w:val="auto"/>
          <w:szCs w:val="21"/>
        </w:rPr>
        <w:t>采购人信息</w:t>
      </w:r>
    </w:p>
    <w:p w14:paraId="046A43D6">
      <w:pPr>
        <w:adjustRightInd w:val="0"/>
        <w:snapToGrid w:val="0"/>
        <w:spacing w:line="360" w:lineRule="auto"/>
        <w:ind w:firstLine="431" w:firstLineChars="196"/>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（1）</w:t>
      </w:r>
      <w:r>
        <w:rPr>
          <w:rFonts w:hint="eastAsia" w:ascii="宋体" w:hAnsi="宋体" w:eastAsia="宋体" w:cs="宋体"/>
          <w:bCs/>
          <w:color w:val="auto"/>
          <w:sz w:val="22"/>
          <w:szCs w:val="22"/>
          <w:highlight w:val="none"/>
        </w:rPr>
        <w:t>名  称：</w:t>
      </w:r>
      <w:r>
        <w:rPr>
          <w:rFonts w:hint="eastAsia" w:ascii="宋体" w:hAnsi="宋体" w:eastAsia="宋体" w:cs="宋体"/>
          <w:color w:val="auto"/>
          <w:sz w:val="22"/>
          <w:szCs w:val="22"/>
          <w:highlight w:val="none"/>
          <w:u w:val="single"/>
          <w:lang w:eastAsia="zh-CN"/>
        </w:rPr>
        <w:t>张家界市永定区林业科学研究所</w:t>
      </w:r>
      <w:r>
        <w:rPr>
          <w:rFonts w:hint="eastAsia" w:ascii="宋体" w:hAnsi="宋体" w:eastAsia="宋体" w:cs="宋体"/>
          <w:color w:val="auto"/>
          <w:sz w:val="22"/>
          <w:szCs w:val="22"/>
          <w:highlight w:val="none"/>
          <w:u w:val="single"/>
          <w:lang w:val="en-US" w:eastAsia="zh-CN"/>
        </w:rPr>
        <w:t xml:space="preserve">             </w:t>
      </w:r>
    </w:p>
    <w:p w14:paraId="228F3F68">
      <w:pPr>
        <w:adjustRightInd w:val="0"/>
        <w:snapToGrid w:val="0"/>
        <w:spacing w:line="360" w:lineRule="auto"/>
        <w:ind w:firstLine="440" w:firstLineChars="200"/>
        <w:rPr>
          <w:rFonts w:hint="eastAsia"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rPr>
        <w:t>（2）地  址：</w:t>
      </w:r>
      <w:r>
        <w:rPr>
          <w:rFonts w:hint="eastAsia" w:ascii="宋体" w:hAnsi="宋体" w:eastAsia="宋体" w:cs="宋体"/>
          <w:color w:val="auto"/>
          <w:sz w:val="22"/>
          <w:szCs w:val="22"/>
          <w:highlight w:val="none"/>
          <w:u w:val="single"/>
          <w:lang w:val="en-US" w:eastAsia="zh-CN"/>
        </w:rPr>
        <w:t xml:space="preserve">张家界市永定区崇文办事处禾家山居委会     </w:t>
      </w:r>
    </w:p>
    <w:p w14:paraId="5CB1DA93">
      <w:pPr>
        <w:adjustRightInd w:val="0"/>
        <w:snapToGrid w:val="0"/>
        <w:spacing w:line="360" w:lineRule="auto"/>
        <w:ind w:firstLine="440" w:firstLineChars="2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（3）联系人：</w:t>
      </w:r>
      <w:r>
        <w:rPr>
          <w:rFonts w:hint="eastAsia" w:ascii="宋体" w:hAnsi="宋体" w:cs="宋体"/>
          <w:color w:val="auto"/>
          <w:sz w:val="22"/>
          <w:szCs w:val="22"/>
          <w:highlight w:val="none"/>
          <w:u w:val="single"/>
          <w:lang w:val="en-US" w:eastAsia="zh-CN"/>
        </w:rPr>
        <w:t>廖林</w:t>
      </w:r>
      <w:r>
        <w:rPr>
          <w:rFonts w:hint="eastAsia" w:ascii="宋体" w:hAnsi="宋体" w:eastAsia="宋体" w:cs="宋体"/>
          <w:color w:val="auto"/>
          <w:sz w:val="22"/>
          <w:szCs w:val="22"/>
          <w:highlight w:val="none"/>
          <w:u w:val="single"/>
          <w:lang w:val="en-US" w:eastAsia="zh-CN"/>
        </w:rPr>
        <w:t xml:space="preserve">                                </w:t>
      </w:r>
      <w:r>
        <w:rPr>
          <w:rFonts w:hint="eastAsia" w:ascii="宋体" w:hAnsi="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u w:val="single"/>
          <w:lang w:val="en-US" w:eastAsia="zh-CN"/>
        </w:rPr>
        <w:t xml:space="preserve">   </w:t>
      </w:r>
    </w:p>
    <w:p w14:paraId="3AFC119D">
      <w:pPr>
        <w:adjustRightInd w:val="0"/>
        <w:snapToGrid w:val="0"/>
        <w:spacing w:line="360" w:lineRule="auto"/>
        <w:ind w:firstLine="440" w:firstLineChars="200"/>
        <w:rPr>
          <w:rFonts w:hint="eastAsia" w:ascii="宋体" w:hAnsi="宋体" w:eastAsia="宋体" w:cs="宋体"/>
          <w:color w:val="auto"/>
          <w:sz w:val="22"/>
          <w:szCs w:val="22"/>
          <w:highlight w:val="none"/>
          <w:lang w:val="en-US"/>
        </w:rPr>
      </w:pPr>
      <w:r>
        <w:rPr>
          <w:rFonts w:hint="eastAsia" w:ascii="宋体" w:hAnsi="宋体" w:eastAsia="宋体" w:cs="宋体"/>
          <w:color w:val="auto"/>
          <w:sz w:val="22"/>
          <w:szCs w:val="22"/>
          <w:highlight w:val="none"/>
        </w:rPr>
        <w:t>（</w:t>
      </w:r>
      <w:r>
        <w:rPr>
          <w:rFonts w:hint="eastAsia" w:ascii="宋体" w:hAnsi="宋体" w:cs="宋体"/>
          <w:color w:val="auto"/>
          <w:sz w:val="22"/>
          <w:szCs w:val="22"/>
          <w:highlight w:val="none"/>
          <w:lang w:val="en-US" w:eastAsia="zh-CN"/>
        </w:rPr>
        <w:t>4</w:t>
      </w:r>
      <w:r>
        <w:rPr>
          <w:rFonts w:hint="eastAsia" w:ascii="宋体" w:hAnsi="宋体" w:eastAsia="宋体" w:cs="宋体"/>
          <w:color w:val="auto"/>
          <w:sz w:val="22"/>
          <w:szCs w:val="22"/>
          <w:highlight w:val="none"/>
        </w:rPr>
        <w:t>）电  话：</w:t>
      </w:r>
      <w:r>
        <w:rPr>
          <w:rFonts w:hint="eastAsia" w:ascii="宋体" w:hAnsi="宋体" w:cs="宋体"/>
          <w:color w:val="auto"/>
          <w:sz w:val="22"/>
          <w:szCs w:val="22"/>
          <w:highlight w:val="none"/>
          <w:u w:val="single"/>
          <w:lang w:eastAsia="zh-CN"/>
        </w:rPr>
        <w:t>18874499918</w:t>
      </w:r>
      <w:r>
        <w:rPr>
          <w:rFonts w:hint="eastAsia" w:ascii="宋体" w:hAnsi="宋体" w:eastAsia="宋体" w:cs="宋体"/>
          <w:color w:val="auto"/>
          <w:sz w:val="22"/>
          <w:szCs w:val="22"/>
          <w:highlight w:val="none"/>
          <w:u w:val="single"/>
          <w:lang w:val="en-US" w:eastAsia="zh-CN"/>
        </w:rPr>
        <w:t xml:space="preserve">                              </w:t>
      </w:r>
    </w:p>
    <w:p w14:paraId="795B9594">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ascii="宋体" w:hAnsi="宋体"/>
          <w:b/>
          <w:bCs/>
          <w:color w:val="auto"/>
          <w:szCs w:val="21"/>
        </w:rPr>
      </w:pPr>
      <w:r>
        <w:rPr>
          <w:rFonts w:hint="eastAsia" w:ascii="宋体" w:hAnsi="宋体"/>
          <w:b/>
          <w:bCs/>
          <w:color w:val="auto"/>
          <w:szCs w:val="21"/>
        </w:rPr>
        <w:t>2</w:t>
      </w:r>
      <w:r>
        <w:rPr>
          <w:rFonts w:hint="eastAsia" w:ascii="宋体" w:hAnsi="宋体"/>
          <w:color w:val="auto"/>
          <w:szCs w:val="21"/>
        </w:rPr>
        <w:t>、</w:t>
      </w:r>
      <w:r>
        <w:rPr>
          <w:rFonts w:hint="eastAsia" w:ascii="宋体" w:hAnsi="宋体"/>
          <w:b/>
          <w:bCs/>
          <w:color w:val="auto"/>
          <w:szCs w:val="21"/>
        </w:rPr>
        <w:t>采购代理机构信息</w:t>
      </w:r>
    </w:p>
    <w:p w14:paraId="6328DDCA">
      <w:pPr>
        <w:adjustRightInd w:val="0"/>
        <w:snapToGrid w:val="0"/>
        <w:spacing w:line="360" w:lineRule="auto"/>
        <w:ind w:firstLine="431" w:firstLineChars="196"/>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r>
        <w:rPr>
          <w:rFonts w:hint="eastAsia" w:ascii="宋体" w:hAnsi="宋体" w:eastAsia="宋体" w:cs="宋体"/>
          <w:bCs/>
          <w:color w:val="auto"/>
          <w:sz w:val="22"/>
          <w:szCs w:val="22"/>
          <w:highlight w:val="none"/>
        </w:rPr>
        <w:t>名  称：</w:t>
      </w:r>
      <w:r>
        <w:rPr>
          <w:rFonts w:hint="eastAsia" w:ascii="宋体" w:hAnsi="宋体" w:eastAsia="宋体" w:cs="宋体"/>
          <w:color w:val="auto"/>
          <w:sz w:val="22"/>
          <w:szCs w:val="22"/>
          <w:highlight w:val="none"/>
          <w:u w:val="single"/>
          <w:lang w:eastAsia="zh-CN"/>
        </w:rPr>
        <w:t>国鼎和诚项目管理集团有限公司</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u w:val="single"/>
        </w:rPr>
        <w:t xml:space="preserve"> </w:t>
      </w:r>
    </w:p>
    <w:p w14:paraId="65E7711D">
      <w:pPr>
        <w:adjustRightInd w:val="0"/>
        <w:snapToGrid w:val="0"/>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（2）地  址：</w:t>
      </w:r>
      <w:r>
        <w:rPr>
          <w:rFonts w:hint="eastAsia" w:ascii="宋体" w:hAnsi="宋体" w:eastAsia="宋体" w:cs="宋体"/>
          <w:color w:val="auto"/>
          <w:sz w:val="22"/>
          <w:szCs w:val="22"/>
          <w:highlight w:val="none"/>
          <w:u w:val="single"/>
          <w:lang w:eastAsia="zh-CN"/>
        </w:rPr>
        <w:t>张家界市永定区御景湾二期金瑞苑一楼S112号</w:t>
      </w:r>
    </w:p>
    <w:p w14:paraId="30DF379B">
      <w:pPr>
        <w:adjustRightInd w:val="0"/>
        <w:snapToGrid w:val="0"/>
        <w:spacing w:line="360" w:lineRule="auto"/>
        <w:ind w:firstLine="440" w:firstLineChars="200"/>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（3）联系人：</w:t>
      </w:r>
      <w:r>
        <w:rPr>
          <w:rFonts w:hint="eastAsia" w:ascii="宋体" w:hAnsi="宋体" w:eastAsia="宋体" w:cs="宋体"/>
          <w:color w:val="auto"/>
          <w:sz w:val="22"/>
          <w:szCs w:val="22"/>
          <w:highlight w:val="none"/>
          <w:u w:val="single"/>
          <w:lang w:eastAsia="zh-CN"/>
        </w:rPr>
        <w:t>邹纯意</w:t>
      </w:r>
      <w:r>
        <w:rPr>
          <w:rFonts w:hint="eastAsia" w:ascii="宋体" w:hAnsi="宋体" w:eastAsia="宋体" w:cs="宋体"/>
          <w:color w:val="auto"/>
          <w:sz w:val="22"/>
          <w:szCs w:val="22"/>
          <w:highlight w:val="none"/>
          <w:u w:val="single"/>
          <w:lang w:val="en-US" w:eastAsia="zh-CN"/>
        </w:rPr>
        <w:t xml:space="preserve">                                   </w:t>
      </w:r>
    </w:p>
    <w:p w14:paraId="61109334">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r>
        <w:rPr>
          <w:rFonts w:hint="eastAsia" w:ascii="宋体" w:hAnsi="宋体" w:cs="宋体"/>
          <w:color w:val="auto"/>
          <w:sz w:val="22"/>
          <w:szCs w:val="22"/>
          <w:highlight w:val="none"/>
          <w:lang w:val="en-US" w:eastAsia="zh-CN"/>
        </w:rPr>
        <w:t>4</w:t>
      </w:r>
      <w:r>
        <w:rPr>
          <w:rFonts w:hint="eastAsia" w:ascii="宋体" w:hAnsi="宋体" w:eastAsia="宋体" w:cs="宋体"/>
          <w:color w:val="auto"/>
          <w:sz w:val="22"/>
          <w:szCs w:val="22"/>
          <w:highlight w:val="none"/>
        </w:rPr>
        <w:t>）电  话：</w:t>
      </w:r>
      <w:r>
        <w:rPr>
          <w:rFonts w:hint="eastAsia" w:ascii="宋体" w:hAnsi="宋体" w:cs="宋体"/>
          <w:color w:val="auto"/>
          <w:sz w:val="22"/>
          <w:szCs w:val="22"/>
          <w:highlight w:val="none"/>
          <w:u w:val="single"/>
          <w:lang w:val="en-US" w:eastAsia="zh-CN"/>
        </w:rPr>
        <w:t xml:space="preserve">13974471171 </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rPr>
        <w:t xml:space="preserve"> </w:t>
      </w:r>
    </w:p>
    <w:p w14:paraId="6C833616">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hint="default" w:ascii="宋体" w:hAnsi="宋体" w:eastAsia="宋体" w:cs="Times New Roman"/>
          <w:b/>
          <w:bCs/>
          <w:color w:val="auto"/>
          <w:szCs w:val="21"/>
          <w:lang w:val="en-US" w:eastAsia="zh-CN"/>
        </w:rPr>
      </w:pPr>
      <w:r>
        <w:rPr>
          <w:rFonts w:hint="eastAsia" w:ascii="宋体" w:hAnsi="宋体" w:eastAsia="宋体" w:cs="Times New Roman"/>
          <w:b/>
          <w:bCs/>
          <w:color w:val="auto"/>
          <w:szCs w:val="21"/>
          <w:lang w:val="en-US" w:eastAsia="zh-CN"/>
        </w:rPr>
        <w:t>3</w:t>
      </w:r>
      <w:r>
        <w:rPr>
          <w:rFonts w:hint="eastAsia" w:ascii="宋体" w:hAnsi="宋体" w:eastAsia="宋体" w:cs="Times New Roman"/>
          <w:color w:val="auto"/>
          <w:szCs w:val="21"/>
        </w:rPr>
        <w:t>、</w:t>
      </w:r>
      <w:r>
        <w:rPr>
          <w:rFonts w:hint="eastAsia" w:ascii="宋体" w:hAnsi="宋体" w:eastAsia="宋体" w:cs="Times New Roman"/>
          <w:b/>
          <w:bCs/>
          <w:color w:val="auto"/>
          <w:szCs w:val="21"/>
          <w:lang w:val="en-US" w:eastAsia="zh-CN"/>
        </w:rPr>
        <w:t>项目联系方式</w:t>
      </w:r>
    </w:p>
    <w:p w14:paraId="257DDB67">
      <w:pPr>
        <w:adjustRightInd w:val="0"/>
        <w:snapToGrid w:val="0"/>
        <w:spacing w:line="360" w:lineRule="auto"/>
        <w:ind w:firstLine="420" w:firstLineChars="200"/>
        <w:rPr>
          <w:rFonts w:hint="eastAsia" w:ascii="宋体" w:hAnsi="宋体" w:eastAsia="宋体" w:cs="Times New Roman"/>
          <w:color w:val="auto"/>
          <w:szCs w:val="21"/>
          <w:lang w:eastAsia="zh-CN"/>
        </w:rPr>
      </w:pPr>
      <w:r>
        <w:rPr>
          <w:rFonts w:hint="eastAsia" w:ascii="宋体" w:hAnsi="宋体" w:eastAsia="宋体" w:cs="Times New Roman"/>
          <w:color w:val="auto"/>
          <w:szCs w:val="21"/>
          <w:lang w:val="en-US" w:eastAsia="zh-CN"/>
        </w:rPr>
        <w:t>（1）项目</w:t>
      </w:r>
      <w:r>
        <w:rPr>
          <w:rFonts w:hint="eastAsia" w:ascii="宋体" w:hAnsi="宋体" w:eastAsia="宋体" w:cs="Times New Roman"/>
          <w:color w:val="auto"/>
          <w:szCs w:val="21"/>
        </w:rPr>
        <w:t>联系人：</w:t>
      </w:r>
      <w:r>
        <w:rPr>
          <w:rFonts w:hint="eastAsia" w:ascii="宋体" w:hAnsi="宋体" w:eastAsia="宋体" w:cs="Times New Roman"/>
          <w:color w:val="auto"/>
          <w:szCs w:val="21"/>
          <w:u w:val="single"/>
          <w:lang w:eastAsia="zh-CN"/>
        </w:rPr>
        <w:t>邹纯意</w:t>
      </w:r>
    </w:p>
    <w:p w14:paraId="5C74A0E2">
      <w:pPr>
        <w:adjustRightInd w:val="0"/>
        <w:snapToGrid w:val="0"/>
        <w:spacing w:line="360" w:lineRule="auto"/>
        <w:ind w:firstLine="420" w:firstLineChars="200"/>
        <w:rPr>
          <w:rFonts w:hint="default" w:ascii="宋体" w:hAnsi="宋体" w:eastAsia="宋体" w:cs="Times New Roman"/>
          <w:color w:val="auto"/>
          <w:szCs w:val="21"/>
          <w:lang w:val="en-US" w:eastAsia="zh-CN"/>
        </w:rPr>
      </w:pPr>
      <w:r>
        <w:rPr>
          <w:rFonts w:hint="eastAsia" w:ascii="宋体" w:hAnsi="宋体" w:eastAsia="宋体" w:cs="Times New Roman"/>
          <w:color w:val="auto"/>
          <w:szCs w:val="21"/>
          <w:lang w:eastAsia="zh-CN"/>
        </w:rPr>
        <w:t>（</w:t>
      </w:r>
      <w:r>
        <w:rPr>
          <w:rFonts w:hint="eastAsia" w:ascii="宋体" w:hAnsi="宋体" w:eastAsia="宋体" w:cs="Times New Roman"/>
          <w:color w:val="auto"/>
          <w:szCs w:val="21"/>
          <w:lang w:val="en-US" w:eastAsia="zh-CN"/>
        </w:rPr>
        <w:t>2</w:t>
      </w:r>
      <w:r>
        <w:rPr>
          <w:rFonts w:hint="eastAsia" w:ascii="宋体" w:hAnsi="宋体" w:eastAsia="宋体" w:cs="Times New Roman"/>
          <w:color w:val="auto"/>
          <w:szCs w:val="21"/>
          <w:lang w:eastAsia="zh-CN"/>
        </w:rPr>
        <w:t>）</w:t>
      </w:r>
      <w:r>
        <w:rPr>
          <w:rFonts w:hint="eastAsia" w:ascii="宋体" w:hAnsi="宋体" w:eastAsia="宋体" w:cs="Times New Roman"/>
          <w:color w:val="auto"/>
          <w:szCs w:val="21"/>
        </w:rPr>
        <w:t>电话：</w:t>
      </w:r>
      <w:r>
        <w:rPr>
          <w:rFonts w:hint="eastAsia" w:ascii="宋体" w:hAnsi="宋体" w:eastAsia="宋体" w:cs="Times New Roman"/>
          <w:color w:val="auto"/>
          <w:szCs w:val="21"/>
          <w:u w:val="single"/>
          <w:lang w:val="en-US" w:eastAsia="zh-CN"/>
        </w:rPr>
        <w:t>13974471171</w:t>
      </w:r>
    </w:p>
    <w:p w14:paraId="0FB6296E">
      <w:pPr>
        <w:pStyle w:val="2"/>
        <w:rPr>
          <w:rFonts w:hint="eastAsia"/>
          <w:lang w:val="en-US"/>
        </w:rPr>
      </w:pPr>
    </w:p>
    <w:p w14:paraId="78BB5A1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pPr>
    </w:p>
    <w:sectPr>
      <w:footerReference r:id="rId3" w:type="default"/>
      <w:pgSz w:w="11906" w:h="16838"/>
      <w:pgMar w:top="1134" w:right="1134" w:bottom="1134" w:left="1134" w:header="851" w:footer="62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A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E2D03">
    <w:pPr>
      <w:pStyle w:val="8"/>
      <w:ind w:right="359" w:rightChars="171"/>
      <w:jc w:val="both"/>
    </w:pPr>
    <w:r>
      <w:rPr>
        <w:sz w:val="24"/>
      </w:rPr>
      <mc:AlternateContent>
        <mc:Choice Requires="wps">
          <w:drawing>
            <wp:anchor distT="0" distB="0" distL="114300" distR="114300" simplePos="0" relativeHeight="251659264" behindDoc="0" locked="0" layoutInCell="1" allowOverlap="1">
              <wp:simplePos x="0" y="0"/>
              <wp:positionH relativeFrom="margin">
                <wp:posOffset>3028315</wp:posOffset>
              </wp:positionH>
              <wp:positionV relativeFrom="paragraph">
                <wp:posOffset>-123825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5C6FF07">
                          <w:pPr>
                            <w:pStyle w:val="8"/>
                            <w:rPr>
                              <w:sz w:val="21"/>
                              <w:szCs w:val="21"/>
                            </w:rPr>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238.45pt;margin-top:-9.75pt;height:144pt;width:144pt;mso-position-horizontal-relative:margin;mso-wrap-style:none;z-index:251659264;mso-width-relative:page;mso-height-relative:page;" filled="f" stroked="f" coordsize="21600,21600" o:gfxdata="UEsDBAoAAAAAAIdO4kAAAAAAAAAAAAAAAAAEAAAAZHJzL1BLAwQUAAAACACHTuJACn42ndkAAAAL&#10;AQAADwAAAGRycy9kb3ducmV2LnhtbE2Py07DMBBF90j8gzVI7FonJU3bkEklKsISiYYFSzcekoAf&#10;ke2m4e8xK7qcmaM755b7WSs2kfODNQjpMgFGprVyMB3Ce1MvtsB8EEYKZQ0h/JCHfXV7U4pC2ot5&#10;o+kYOhZDjC8EQh/CWHDu25608Es7kom3T+u0CHF0HZdOXGK4VnyVJDnXYjDxQy9GOvTUfh/PGuFQ&#10;N42byDv1QS/1w9frU0bPM+L9XZo8Ags0h38Y/vSjOlTR6WTPRnqmELJNvosowiLdrYFFYpNncXNC&#10;WOXbNfCq5Ncdql9QSwMEFAAAAAgAh07iQGvk47wyAgAAYwQAAA4AAABkcnMvZTJvRG9jLnhtbK1U&#10;zY7TMBC+I/EOlu80aVlWVdV0VbYqQqrYlRbE2XWcJpL/ZLtNygPAG3Diwp3n6nPw2Wm6aOGwBy7p&#10;2DP+Zr5vZjq/6ZQkB+F8Y3RBx6OcEqG5KRu9K+inj+tXU0p8YLpk0mhR0KPw9Gbx8sW8tTMxMbWR&#10;pXAEINrPWlvQOgQ7yzLPa6GYHxkrNJyVcYoFHN0uKx1rga5kNsnz66w1rrTOcOE9ble9k54R3XMA&#10;TVU1XKwM3yuhQ4/qhGQBlHzdWE8XqdqqEjzcVZUXgciCgmlIXySBvY3fbDFns51jtm74uQT2nBKe&#10;cFKs0Uh6gVqxwMjeNX9BqYY7400VRtyorCeSFAGLcf5Em4eaWZG4QGpvL6L7/wfLPxzuHWnKgl5R&#10;oplCw0/fv51+/Dr9/Equojyt9TNEPVjEhe6t6TA0w73HZWTdVU7FX/Ah8EPc40Vc0QXC46PpZDrN&#10;4eLwDQfgZ4/PrfPhnTCKRKOgDt1LorLDxoc+dAiJ2bRZN1KmDkpN2oJev36TpwcXD8CljrEizcIZ&#10;JlLqS49W6LbdmefWlEfQdKafE2/5ukEpG+bDPXMYDJSP1Ql3+FTSIKU5W5TUxn35132MR7/gpaTF&#10;oBVUY68oke81+gjAMBhuMLaDoffq1mByx1hJy5OJBy7IwaycUZ+xT8uYAy6mOTIVNAzmbeiHHfvI&#10;xXKZgjB5loWNfrA8Qkd5vF3uA+RMKkdReiXQnXjA7KU+nfckDvef5xT1+N+w+A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Kfjad2QAAAAsBAAAPAAAAAAAAAAEAIAAAACIAAABkcnMvZG93bnJldi54&#10;bWxQSwECFAAUAAAACACHTuJAa+TjvDICAABjBAAADgAAAAAAAAABACAAAAAoAQAAZHJzL2Uyb0Rv&#10;Yy54bWxQSwUGAAAAAAYABgBZAQAAzAUAAAAA&#10;">
              <v:fill on="f" focussize="0,0"/>
              <v:stroke on="f" weight="0.5pt"/>
              <v:imagedata o:title=""/>
              <o:lock v:ext="edit" aspectratio="f"/>
              <v:textbox inset="0mm,0mm,0mm,0mm" style="mso-fit-shape-to-text:t;">
                <w:txbxContent>
                  <w:p w14:paraId="65C6FF07">
                    <w:pPr>
                      <w:pStyle w:val="8"/>
                      <w:rPr>
                        <w:sz w:val="21"/>
                        <w:szCs w:val="21"/>
                      </w:rPr>
                    </w:pPr>
                    <w:r>
                      <w:fldChar w:fldCharType="begin"/>
                    </w:r>
                    <w:r>
                      <w:instrText xml:space="preserve"> PAGE  \* MERGEFORMAT </w:instrText>
                    </w:r>
                    <w:r>
                      <w:fldChar w:fldCharType="separate"/>
                    </w:r>
                    <w:r>
                      <w:t>11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2F5A51"/>
    <w:rsid w:val="06E60C00"/>
    <w:rsid w:val="0E5005EE"/>
    <w:rsid w:val="10FA5AB8"/>
    <w:rsid w:val="14071EE2"/>
    <w:rsid w:val="14D1084F"/>
    <w:rsid w:val="1A1F52DA"/>
    <w:rsid w:val="1B6E4BEB"/>
    <w:rsid w:val="20A44A31"/>
    <w:rsid w:val="262C4A94"/>
    <w:rsid w:val="2E0043FB"/>
    <w:rsid w:val="2E8D0BC7"/>
    <w:rsid w:val="2F7A7344"/>
    <w:rsid w:val="336743E3"/>
    <w:rsid w:val="35E9119E"/>
    <w:rsid w:val="37360785"/>
    <w:rsid w:val="3D5C1AB6"/>
    <w:rsid w:val="47C67000"/>
    <w:rsid w:val="4F2F5A51"/>
    <w:rsid w:val="51F94659"/>
    <w:rsid w:val="52405722"/>
    <w:rsid w:val="53CC6149"/>
    <w:rsid w:val="551C1A20"/>
    <w:rsid w:val="5C5B2DB5"/>
    <w:rsid w:val="60550013"/>
    <w:rsid w:val="6C866E88"/>
    <w:rsid w:val="6D97005E"/>
    <w:rsid w:val="6DA0348B"/>
    <w:rsid w:val="77297D8C"/>
    <w:rsid w:val="77650B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7">
    <w:name w:val="heading 2"/>
    <w:basedOn w:val="1"/>
    <w:next w:val="1"/>
    <w:unhideWhenUsed/>
    <w:qFormat/>
    <w:uiPriority w:val="0"/>
    <w:pPr>
      <w:keepNext/>
      <w:keepLines/>
      <w:spacing w:beforeLines="0" w:afterLines="0" w:line="360" w:lineRule="auto"/>
      <w:outlineLvl w:val="1"/>
    </w:pPr>
    <w:rPr>
      <w:rFonts w:hint="default" w:ascii="Arial" w:hAnsi="Arial"/>
      <w:b/>
      <w:sz w:val="24"/>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next w:val="3"/>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customStyle="1" w:styleId="3">
    <w:name w:val="1"/>
    <w:next w:val="4"/>
    <w:qFormat/>
    <w:uiPriority w:val="0"/>
    <w:pPr>
      <w:widowControl w:val="0"/>
      <w:spacing w:afterLines="50" w:line="360" w:lineRule="auto"/>
      <w:jc w:val="both"/>
    </w:pPr>
    <w:rPr>
      <w:rFonts w:ascii="宋体" w:hAnsi="宋体" w:eastAsia="宋体" w:cs="Times New Roman"/>
      <w:b/>
      <w:kern w:val="2"/>
      <w:sz w:val="30"/>
      <w:szCs w:val="21"/>
      <w:lang w:val="en-US" w:eastAsia="zh-CN" w:bidi="ar-SA"/>
    </w:rPr>
  </w:style>
  <w:style w:type="paragraph" w:styleId="4">
    <w:name w:val="Body Text Indent"/>
    <w:next w:val="5"/>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customStyle="1" w:styleId="5">
    <w:name w:val="font5"/>
    <w:qFormat/>
    <w:uiPriority w:val="0"/>
    <w:pPr>
      <w:widowControl/>
      <w:spacing w:before="100" w:beforeAutospacing="1" w:after="100" w:afterAutospacing="1"/>
      <w:jc w:val="left"/>
    </w:pPr>
    <w:rPr>
      <w:rFonts w:ascii="宋体" w:hAnsi="Times New Roman" w:eastAsia="宋体" w:cs="Times New Roman"/>
      <w:kern w:val="0"/>
      <w:sz w:val="18"/>
      <w:szCs w:val="18"/>
      <w:lang w:val="en-US" w:eastAsia="zh-CN" w:bidi="ar-SA"/>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uiPriority w:val="0"/>
    <w:rPr>
      <w:sz w:val="24"/>
    </w:rPr>
  </w:style>
  <w:style w:type="character" w:styleId="13">
    <w:name w:val="Hyperlink"/>
    <w:qFormat/>
    <w:uiPriority w:val="99"/>
    <w:rPr>
      <w:color w:val="136EC2"/>
      <w:u w:val="single"/>
    </w:rPr>
  </w:style>
  <w:style w:type="paragraph" w:customStyle="1" w:styleId="14">
    <w:name w:val="列出段落1"/>
    <w:basedOn w:val="1"/>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2362</Words>
  <Characters>2564</Characters>
  <Lines>0</Lines>
  <Paragraphs>0</Paragraphs>
  <TotalTime>2</TotalTime>
  <ScaleCrop>false</ScaleCrop>
  <LinksUpToDate>false</LinksUpToDate>
  <CharactersWithSpaces>2980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2025-04-16T05:16:00Z</dcterms:created>
  <dc:creator>周主任</dc:creator>
  <cp:lastModifiedBy>Asus</cp:lastModifiedBy>
  <cp:lastPrinted>2026-02-10T09:07:00Z</cp:lastPrinted>
  <dcterms:modified xsi:type="dcterms:W3CDTF">2026-07-20T08:26:51Z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270DD5CD9BA84E949027D0ED199914C5_11</vt:lpwstr>
  </property>
  <property fmtid="{D5CDD505-2E9C-101B-9397-08002B2CF9AE}" pid="4" name="KSOTemplateDocerSaveRecord">
    <vt:lpwstr>eyJoZGlkIjoiYmU0Y2ZiNTIyZDg3ZGFiODIzMDI3NmI2Y2I0MTVlN2YiLCJ1c2VySWQiOiIzMjIxMDcwOTkifQ==</vt:lpwstr>
  </property>
</Properties>
</file>