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82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right="0" w:rightChars="0"/>
        <w:jc w:val="center"/>
        <w:textAlignment w:val="auto"/>
        <w:outlineLvl w:val="0"/>
        <w:rPr>
          <w:rFonts w:hint="eastAsia" w:ascii="宋体" w:hAnsi="宋体" w:eastAsia="楷体" w:cs="Times New Roman"/>
          <w:b/>
          <w:color w:val="auto"/>
          <w:sz w:val="32"/>
          <w:szCs w:val="32"/>
          <w:highlight w:val="none"/>
          <w:lang w:val="en-US" w:eastAsia="zh-CN"/>
        </w:rPr>
      </w:pPr>
      <w:bookmarkStart w:id="0" w:name="_Toc20130"/>
      <w:r>
        <w:rPr>
          <w:rFonts w:hint="eastAsia" w:ascii="宋体" w:hAnsi="宋体" w:eastAsia="楷体" w:cs="Times New Roman"/>
          <w:b/>
          <w:bCs/>
          <w:color w:val="auto"/>
          <w:sz w:val="32"/>
          <w:szCs w:val="32"/>
          <w:highlight w:val="none"/>
        </w:rPr>
        <w:t>龙山县2026年油菜扩种项目</w:t>
      </w:r>
      <w:r>
        <w:rPr>
          <w:rFonts w:hint="eastAsia" w:ascii="宋体" w:hAnsi="宋体" w:eastAsia="楷体" w:cs="Times New Roman"/>
          <w:b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 w:eastAsia="楷体" w:cs="Times New Roman"/>
          <w:b/>
          <w:color w:val="auto"/>
          <w:sz w:val="32"/>
          <w:szCs w:val="32"/>
          <w:highlight w:val="none"/>
          <w:lang w:val="en-US" w:eastAsia="zh-CN"/>
        </w:rPr>
        <w:t>第一包：油菜种子）</w:t>
      </w:r>
    </w:p>
    <w:p w14:paraId="1FD6F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right="0" w:rightChars="0"/>
        <w:jc w:val="center"/>
        <w:textAlignment w:val="auto"/>
        <w:outlineLvl w:val="0"/>
        <w:rPr>
          <w:rFonts w:hint="default" w:ascii="宋体" w:hAnsi="宋体" w:eastAsia="楷体" w:cs="Times New Roman"/>
          <w:b/>
          <w:color w:val="auto"/>
          <w:highlight w:val="none"/>
          <w:lang w:val="en-US" w:eastAsia="zh-CN"/>
        </w:rPr>
      </w:pPr>
      <w:r>
        <w:rPr>
          <w:rFonts w:hint="eastAsia" w:ascii="宋体" w:hAnsi="宋体" w:eastAsia="楷体" w:cs="Times New Roman"/>
          <w:b/>
          <w:color w:val="auto"/>
          <w:sz w:val="32"/>
          <w:szCs w:val="32"/>
          <w:highlight w:val="none"/>
        </w:rPr>
        <w:t>采购需求</w:t>
      </w:r>
      <w:bookmarkEnd w:id="0"/>
    </w:p>
    <w:p w14:paraId="305809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240" w:lineRule="auto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</w:rPr>
      </w:pPr>
      <w:r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lang w:val="en-US" w:eastAsia="zh-CN"/>
        </w:rPr>
        <w:t>一、</w:t>
      </w:r>
      <w:r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</w:rPr>
        <w:t xml:space="preserve">采购项目名称 </w:t>
      </w:r>
    </w:p>
    <w:p w14:paraId="21B2621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240" w:lineRule="auto"/>
        <w:ind w:right="0" w:rightChars="0" w:firstLine="480" w:firstLineChars="200"/>
        <w:textAlignment w:val="auto"/>
        <w:outlineLvl w:val="9"/>
        <w:rPr>
          <w:rFonts w:hint="eastAsia" w:ascii="宋体" w:hAnsi="宋体" w:eastAsia="楷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楷体" w:cs="Times New Roman"/>
          <w:color w:val="auto"/>
          <w:sz w:val="24"/>
          <w:szCs w:val="24"/>
          <w:highlight w:val="none"/>
          <w:u w:val="none"/>
          <w:lang w:val="en-US" w:eastAsia="zh-CN"/>
        </w:rPr>
        <w:t>龙山县2026年油菜扩种项目</w:t>
      </w:r>
      <w:r>
        <w:rPr>
          <w:rFonts w:hint="eastAsia" w:ascii="宋体" w:hAnsi="宋体" w:eastAsia="楷体"/>
          <w:color w:val="auto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楷体" w:cs="楷体"/>
          <w:b w:val="0"/>
          <w:bCs w:val="0"/>
          <w:color w:val="auto"/>
          <w:w w:val="100"/>
          <w:sz w:val="24"/>
          <w:szCs w:val="24"/>
          <w:highlight w:val="none"/>
          <w:lang w:val="en-US" w:eastAsia="zh-CN"/>
        </w:rPr>
        <w:t xml:space="preserve">                                                                           </w:t>
      </w:r>
    </w:p>
    <w:p w14:paraId="1BE5B4B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 w:val="0"/>
        <w:spacing w:line="240" w:lineRule="auto"/>
        <w:ind w:right="0" w:rightChars="0"/>
        <w:textAlignment w:val="auto"/>
        <w:outlineLvl w:val="9"/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lang w:val="en-US" w:eastAsia="zh-CN"/>
        </w:rPr>
        <w:t xml:space="preserve">采购内容 </w:t>
      </w:r>
    </w:p>
    <w:tbl>
      <w:tblPr>
        <w:tblStyle w:val="3"/>
        <w:tblW w:w="103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1252"/>
        <w:gridCol w:w="1616"/>
        <w:gridCol w:w="1739"/>
        <w:gridCol w:w="1412"/>
        <w:gridCol w:w="1162"/>
        <w:gridCol w:w="2091"/>
      </w:tblGrid>
      <w:tr w14:paraId="41736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noWrap w:val="0"/>
            <w:vAlign w:val="center"/>
          </w:tcPr>
          <w:p w14:paraId="02A78D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楷体" w:cs="Times New Roman"/>
                <w:b/>
                <w:bCs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highlight w:val="none"/>
                <w:vertAlign w:val="baseline"/>
                <w:lang w:val="en-US" w:eastAsia="zh-CN"/>
              </w:rPr>
              <w:t>包号</w:t>
            </w:r>
          </w:p>
        </w:tc>
        <w:tc>
          <w:tcPr>
            <w:tcW w:w="1252" w:type="dxa"/>
            <w:noWrap w:val="0"/>
            <w:vAlign w:val="center"/>
          </w:tcPr>
          <w:p w14:paraId="3D0D9C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楷体" w:cs="Times New Roman"/>
                <w:b/>
                <w:bCs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highlight w:val="none"/>
                <w:vertAlign w:val="baseline"/>
                <w:lang w:val="en-US" w:eastAsia="zh-CN"/>
              </w:rPr>
              <w:t>包名称</w:t>
            </w:r>
          </w:p>
        </w:tc>
        <w:tc>
          <w:tcPr>
            <w:tcW w:w="1616" w:type="dxa"/>
            <w:noWrap w:val="0"/>
            <w:vAlign w:val="center"/>
          </w:tcPr>
          <w:p w14:paraId="4A246F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楷体" w:cs="Times New Roman"/>
                <w:b/>
                <w:bCs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highlight w:val="none"/>
                <w:vertAlign w:val="baseline"/>
                <w:lang w:val="en-US" w:eastAsia="zh-CN"/>
              </w:rPr>
              <w:t>标的名称</w:t>
            </w:r>
          </w:p>
        </w:tc>
        <w:tc>
          <w:tcPr>
            <w:tcW w:w="1739" w:type="dxa"/>
            <w:noWrap w:val="0"/>
            <w:vAlign w:val="center"/>
          </w:tcPr>
          <w:p w14:paraId="744650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szCs w:val="24"/>
                <w:highlight w:val="none"/>
              </w:rPr>
              <w:t>规格</w:t>
            </w:r>
            <w:r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及要求</w:t>
            </w:r>
          </w:p>
        </w:tc>
        <w:tc>
          <w:tcPr>
            <w:tcW w:w="1412" w:type="dxa"/>
            <w:noWrap w:val="0"/>
            <w:vAlign w:val="center"/>
          </w:tcPr>
          <w:p w14:paraId="2E3B11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单位</w:t>
            </w:r>
          </w:p>
        </w:tc>
        <w:tc>
          <w:tcPr>
            <w:tcW w:w="1162" w:type="dxa"/>
            <w:noWrap w:val="0"/>
            <w:vAlign w:val="center"/>
          </w:tcPr>
          <w:p w14:paraId="3BAE7C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2091" w:type="dxa"/>
            <w:noWrap w:val="0"/>
            <w:vAlign w:val="top"/>
          </w:tcPr>
          <w:p w14:paraId="07270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楷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楷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采购项目预算</w:t>
            </w:r>
          </w:p>
          <w:p w14:paraId="55D705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（元人民币）</w:t>
            </w:r>
          </w:p>
        </w:tc>
      </w:tr>
      <w:tr w14:paraId="1860B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Merge w:val="restart"/>
            <w:noWrap w:val="0"/>
            <w:vAlign w:val="center"/>
          </w:tcPr>
          <w:p w14:paraId="30B3A6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楷体" w:cs="Times New Roman"/>
                <w:b w:val="0"/>
                <w:bCs w:val="0"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highlight w:val="none"/>
                <w:vertAlign w:val="baseline"/>
                <w:lang w:val="en-US" w:eastAsia="zh-CN"/>
              </w:rPr>
              <w:t>第一包</w:t>
            </w:r>
          </w:p>
        </w:tc>
        <w:tc>
          <w:tcPr>
            <w:tcW w:w="1252" w:type="dxa"/>
            <w:vMerge w:val="restart"/>
            <w:noWrap w:val="0"/>
            <w:vAlign w:val="center"/>
          </w:tcPr>
          <w:p w14:paraId="0067F4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油菜种子</w:t>
            </w:r>
          </w:p>
        </w:tc>
        <w:tc>
          <w:tcPr>
            <w:tcW w:w="1616" w:type="dxa"/>
            <w:noWrap w:val="0"/>
            <w:vAlign w:val="center"/>
          </w:tcPr>
          <w:p w14:paraId="24D6E4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烁沣油18</w:t>
            </w:r>
          </w:p>
        </w:tc>
        <w:tc>
          <w:tcPr>
            <w:tcW w:w="1739" w:type="dxa"/>
            <w:noWrap w:val="0"/>
            <w:vAlign w:val="center"/>
          </w:tcPr>
          <w:p w14:paraId="493583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100g/包</w:t>
            </w:r>
          </w:p>
        </w:tc>
        <w:tc>
          <w:tcPr>
            <w:tcW w:w="1412" w:type="dxa"/>
            <w:noWrap w:val="0"/>
            <w:vAlign w:val="center"/>
          </w:tcPr>
          <w:p w14:paraId="780685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包</w:t>
            </w:r>
          </w:p>
        </w:tc>
        <w:tc>
          <w:tcPr>
            <w:tcW w:w="1162" w:type="dxa"/>
            <w:noWrap w:val="0"/>
            <w:vAlign w:val="center"/>
          </w:tcPr>
          <w:p w14:paraId="596D53C9">
            <w:pPr>
              <w:spacing w:beforeLines="0" w:afterLines="0"/>
              <w:jc w:val="center"/>
              <w:rPr>
                <w:rFonts w:hint="default" w:ascii="宋体" w:hAnsi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55914</w:t>
            </w:r>
          </w:p>
        </w:tc>
        <w:tc>
          <w:tcPr>
            <w:tcW w:w="2091" w:type="dxa"/>
            <w:vMerge w:val="restart"/>
            <w:noWrap w:val="0"/>
            <w:vAlign w:val="center"/>
          </w:tcPr>
          <w:p w14:paraId="3F6D24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highlight w:val="none"/>
                <w:vertAlign w:val="baseline"/>
                <w:lang w:val="en-US" w:eastAsia="zh-CN"/>
              </w:rPr>
              <w:t>1134000.00</w:t>
            </w:r>
          </w:p>
        </w:tc>
      </w:tr>
      <w:tr w14:paraId="64340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95" w:type="dxa"/>
            <w:vMerge w:val="continue"/>
            <w:noWrap w:val="0"/>
            <w:vAlign w:val="center"/>
          </w:tcPr>
          <w:p w14:paraId="5F5D8C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52" w:type="dxa"/>
            <w:vMerge w:val="continue"/>
            <w:noWrap w:val="0"/>
            <w:vAlign w:val="center"/>
          </w:tcPr>
          <w:p w14:paraId="46E56F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5DCEC8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沣油2118</w:t>
            </w:r>
          </w:p>
        </w:tc>
        <w:tc>
          <w:tcPr>
            <w:tcW w:w="1739" w:type="dxa"/>
            <w:noWrap w:val="0"/>
            <w:vAlign w:val="center"/>
          </w:tcPr>
          <w:p w14:paraId="0DDA03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100g/包</w:t>
            </w:r>
          </w:p>
        </w:tc>
        <w:tc>
          <w:tcPr>
            <w:tcW w:w="1412" w:type="dxa"/>
            <w:noWrap w:val="0"/>
            <w:vAlign w:val="center"/>
          </w:tcPr>
          <w:p w14:paraId="00565F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包</w:t>
            </w:r>
          </w:p>
        </w:tc>
        <w:tc>
          <w:tcPr>
            <w:tcW w:w="1162" w:type="dxa"/>
            <w:noWrap w:val="0"/>
            <w:vAlign w:val="center"/>
          </w:tcPr>
          <w:p w14:paraId="4E7D3F1D">
            <w:pPr>
              <w:spacing w:beforeLines="0" w:afterLines="0"/>
              <w:jc w:val="center"/>
              <w:rPr>
                <w:rFonts w:hint="default" w:ascii="宋体" w:hAnsi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64719</w:t>
            </w:r>
          </w:p>
        </w:tc>
        <w:tc>
          <w:tcPr>
            <w:tcW w:w="2091" w:type="dxa"/>
            <w:vMerge w:val="continue"/>
            <w:noWrap w:val="0"/>
            <w:vAlign w:val="top"/>
          </w:tcPr>
          <w:p w14:paraId="4B3757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textAlignment w:val="auto"/>
              <w:outlineLvl w:val="9"/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1A48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Merge w:val="continue"/>
            <w:noWrap w:val="0"/>
            <w:vAlign w:val="center"/>
          </w:tcPr>
          <w:p w14:paraId="40697C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52" w:type="dxa"/>
            <w:vMerge w:val="continue"/>
            <w:noWrap w:val="0"/>
            <w:vAlign w:val="center"/>
          </w:tcPr>
          <w:p w14:paraId="124DBB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459863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汉油1618</w:t>
            </w:r>
          </w:p>
        </w:tc>
        <w:tc>
          <w:tcPr>
            <w:tcW w:w="1739" w:type="dxa"/>
            <w:noWrap w:val="0"/>
            <w:vAlign w:val="center"/>
          </w:tcPr>
          <w:p w14:paraId="167288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100g/包</w:t>
            </w:r>
          </w:p>
        </w:tc>
        <w:tc>
          <w:tcPr>
            <w:tcW w:w="1412" w:type="dxa"/>
            <w:noWrap w:val="0"/>
            <w:vAlign w:val="center"/>
          </w:tcPr>
          <w:p w14:paraId="670742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包</w:t>
            </w:r>
          </w:p>
        </w:tc>
        <w:tc>
          <w:tcPr>
            <w:tcW w:w="1162" w:type="dxa"/>
            <w:noWrap w:val="0"/>
            <w:vAlign w:val="center"/>
          </w:tcPr>
          <w:p w14:paraId="14F18F0D">
            <w:pPr>
              <w:spacing w:beforeLines="0" w:afterLines="0"/>
              <w:jc w:val="center"/>
              <w:rPr>
                <w:rFonts w:hint="default" w:ascii="宋体" w:hAnsi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36583</w:t>
            </w:r>
          </w:p>
        </w:tc>
        <w:tc>
          <w:tcPr>
            <w:tcW w:w="2091" w:type="dxa"/>
            <w:vMerge w:val="continue"/>
            <w:noWrap w:val="0"/>
            <w:vAlign w:val="top"/>
          </w:tcPr>
          <w:p w14:paraId="30EC6C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textAlignment w:val="auto"/>
              <w:outlineLvl w:val="9"/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DA95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Merge w:val="continue"/>
            <w:noWrap w:val="0"/>
            <w:vAlign w:val="center"/>
          </w:tcPr>
          <w:p w14:paraId="29B03C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52" w:type="dxa"/>
            <w:vMerge w:val="continue"/>
            <w:noWrap w:val="0"/>
            <w:vAlign w:val="center"/>
          </w:tcPr>
          <w:p w14:paraId="6798FA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40F19D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垦油杂741R</w:t>
            </w:r>
          </w:p>
        </w:tc>
        <w:tc>
          <w:tcPr>
            <w:tcW w:w="1739" w:type="dxa"/>
            <w:noWrap w:val="0"/>
            <w:vAlign w:val="center"/>
          </w:tcPr>
          <w:p w14:paraId="1A5D4C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100g/包</w:t>
            </w:r>
          </w:p>
        </w:tc>
        <w:tc>
          <w:tcPr>
            <w:tcW w:w="1412" w:type="dxa"/>
            <w:noWrap w:val="0"/>
            <w:vAlign w:val="center"/>
          </w:tcPr>
          <w:p w14:paraId="35C4E5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包</w:t>
            </w:r>
          </w:p>
        </w:tc>
        <w:tc>
          <w:tcPr>
            <w:tcW w:w="1162" w:type="dxa"/>
            <w:noWrap w:val="0"/>
            <w:vAlign w:val="center"/>
          </w:tcPr>
          <w:p w14:paraId="377F2434">
            <w:pPr>
              <w:spacing w:beforeLines="0" w:afterLines="0"/>
              <w:jc w:val="center"/>
              <w:rPr>
                <w:rFonts w:hint="default" w:ascii="宋体" w:hAnsi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52784</w:t>
            </w:r>
          </w:p>
        </w:tc>
        <w:tc>
          <w:tcPr>
            <w:tcW w:w="2091" w:type="dxa"/>
            <w:vMerge w:val="continue"/>
            <w:noWrap w:val="0"/>
            <w:vAlign w:val="top"/>
          </w:tcPr>
          <w:p w14:paraId="55B9D7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textAlignment w:val="auto"/>
              <w:outlineLvl w:val="9"/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C706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67" w:type="dxa"/>
            <w:gridSpan w:val="7"/>
            <w:noWrap w:val="0"/>
            <w:vAlign w:val="top"/>
          </w:tcPr>
          <w:p w14:paraId="16247D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textAlignment w:val="auto"/>
              <w:outlineLvl w:val="9"/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备注：本项目第一包允许投标供应商提供相同品牌货物参与询价。</w:t>
            </w:r>
          </w:p>
        </w:tc>
      </w:tr>
    </w:tbl>
    <w:p w14:paraId="719F2A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lang w:val="en-US" w:eastAsia="zh-CN"/>
        </w:rPr>
        <w:t>三</w:t>
      </w:r>
      <w:r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lang w:eastAsia="zh-CN"/>
        </w:rPr>
        <w:t>、报价要求</w:t>
      </w:r>
    </w:p>
    <w:p w14:paraId="2E791D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right="0" w:rightChars="0" w:firstLine="480" w:firstLineChars="200"/>
        <w:jc w:val="left"/>
        <w:textAlignment w:val="auto"/>
        <w:rPr>
          <w:rFonts w:hint="eastAsia" w:ascii="宋体" w:hAnsi="宋体" w:eastAsia="楷体" w:cs="Times New Roman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  <w:t>1.投标供应商对本项目</w:t>
      </w:r>
      <w:r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lang w:val="en-US" w:eastAsia="zh-CN"/>
        </w:rPr>
        <w:t>第一包</w:t>
      </w:r>
      <w:r>
        <w:rPr>
          <w:rFonts w:hint="eastAsia" w:ascii="宋体" w:hAnsi="宋体" w:eastAsia="楷体" w:cs="Times New Roman"/>
          <w:color w:val="auto"/>
          <w:sz w:val="24"/>
          <w:highlight w:val="none"/>
          <w:lang w:eastAsia="zh-CN"/>
        </w:rPr>
        <w:t>的总报价最高不得超过</w:t>
      </w:r>
      <w:r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vertAlign w:val="baseline"/>
          <w:lang w:val="en-US" w:eastAsia="zh-CN"/>
        </w:rPr>
        <w:t>1134000.00</w:t>
      </w:r>
      <w:r>
        <w:rPr>
          <w:rFonts w:hint="eastAsia" w:ascii="宋体" w:hAnsi="宋体" w:eastAsia="楷体" w:cs="Times New Roman"/>
          <w:color w:val="auto"/>
          <w:sz w:val="24"/>
          <w:highlight w:val="none"/>
          <w:lang w:eastAsia="zh-CN"/>
        </w:rPr>
        <w:t>元整；</w:t>
      </w:r>
      <w:r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  <w:t>否则其投标将被</w:t>
      </w:r>
      <w:r>
        <w:rPr>
          <w:rFonts w:hint="eastAsia" w:ascii="宋体" w:hAnsi="宋体" w:eastAsia="楷体" w:cs="Times New Roman"/>
          <w:color w:val="auto"/>
          <w:sz w:val="24"/>
          <w:highlight w:val="none"/>
          <w:shd w:val="clear" w:color="auto" w:fill="auto"/>
          <w:lang w:val="en-US" w:eastAsia="zh-CN"/>
        </w:rPr>
        <w:t>视为无效投标</w:t>
      </w:r>
      <w:r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  <w:t>；</w:t>
      </w:r>
    </w:p>
    <w:p w14:paraId="39C7AF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right="0" w:rightChars="0" w:firstLine="480" w:firstLineChars="200"/>
        <w:jc w:val="left"/>
        <w:textAlignment w:val="auto"/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  <w:t>2.本项目采用费用包干方式建设，</w:t>
      </w:r>
      <w:r>
        <w:rPr>
          <w:rFonts w:hint="eastAsia" w:ascii="宋体" w:hAnsi="宋体" w:eastAsia="楷体" w:cs="Times New Roman"/>
          <w:color w:val="auto"/>
          <w:sz w:val="24"/>
          <w:highlight w:val="none"/>
        </w:rPr>
        <w:t>投标总报价包括所需货物生产制造费、购置费、税费、运输费、货物所必须的备品备件费、装卸费、保险费、技术培训费、付款方式导致的资金占用利息费、货物质量验收检测所需的费用、其它相关服务及售后服务费</w:t>
      </w:r>
      <w:r>
        <w:rPr>
          <w:rFonts w:hint="eastAsia" w:ascii="宋体" w:hAnsi="宋体" w:eastAsia="楷体" w:cs="Times New Roman"/>
          <w:color w:val="auto"/>
          <w:sz w:val="24"/>
          <w:highlight w:val="none"/>
          <w:shd w:val="clear" w:color="auto" w:fill="auto"/>
        </w:rPr>
        <w:t>等</w:t>
      </w:r>
      <w:r>
        <w:rPr>
          <w:rFonts w:hint="eastAsia" w:ascii="宋体" w:hAnsi="宋体" w:eastAsia="楷体" w:cs="Times New Roman"/>
          <w:color w:val="auto"/>
          <w:sz w:val="24"/>
          <w:highlight w:val="none"/>
          <w:shd w:val="clear" w:color="auto" w:fill="auto"/>
          <w:lang w:val="en-US" w:eastAsia="zh-CN"/>
        </w:rPr>
        <w:t>一切费用</w:t>
      </w:r>
      <w:r>
        <w:rPr>
          <w:rFonts w:hint="eastAsia" w:ascii="宋体" w:hAnsi="宋体" w:eastAsia="楷体" w:cs="Times New Roman"/>
          <w:color w:val="auto"/>
          <w:sz w:val="24"/>
          <w:highlight w:val="none"/>
        </w:rPr>
        <w:t>，采购人不再支付任何费用。</w:t>
      </w:r>
    </w:p>
    <w:p w14:paraId="51F1A2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ind w:right="0" w:rightChars="0"/>
        <w:jc w:val="left"/>
        <w:textAlignment w:val="auto"/>
        <w:rPr>
          <w:rFonts w:hint="eastAsia" w:ascii="宋体" w:hAnsi="宋体" w:eastAsia="楷体" w:cs="Times New Roman"/>
          <w:b/>
          <w:bCs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="宋体" w:hAnsi="宋体" w:eastAsia="楷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四、交货期</w:t>
      </w:r>
      <w:r>
        <w:rPr>
          <w:rFonts w:hint="eastAsia" w:ascii="宋体" w:hAnsi="宋体" w:eastAsia="楷体" w:cs="Times New Roman"/>
          <w:b/>
          <w:bCs/>
          <w:color w:val="auto"/>
          <w:sz w:val="24"/>
          <w:szCs w:val="24"/>
          <w:highlight w:val="none"/>
          <w:lang w:val="zh-CN" w:eastAsia="zh-CN"/>
        </w:rPr>
        <w:t>与付款要求</w:t>
      </w:r>
    </w:p>
    <w:p w14:paraId="5323DE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ind w:firstLine="480"/>
        <w:jc w:val="left"/>
        <w:textAlignment w:val="auto"/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1.交货方式：</w:t>
      </w:r>
    </w:p>
    <w:p w14:paraId="02B2FA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ind w:firstLine="480" w:firstLineChars="200"/>
        <w:jc w:val="left"/>
        <w:textAlignment w:val="auto"/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1.1货物正常使用时所需的附件、工具等；</w:t>
      </w:r>
    </w:p>
    <w:p w14:paraId="266D54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    1.2成交人负责货物的全部运输，包括装卸及现场搬运等；</w:t>
      </w:r>
    </w:p>
    <w:p w14:paraId="58B14F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    1.3成交人负责货物的保管，直至项目验收合格；</w:t>
      </w:r>
    </w:p>
    <w:p w14:paraId="3A9CC4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    1.4成交人须对本项目所供货物的运输、装卸、现场搬运全过程安全负全部责任，并负责其派出人员的人身意外保险。</w:t>
      </w:r>
    </w:p>
    <w:p w14:paraId="3E24BA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right="0" w:rightChars="0" w:firstLine="480" w:firstLineChars="200"/>
        <w:jc w:val="left"/>
        <w:textAlignment w:val="auto"/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2.交货要求：按采购人要求交付至</w:t>
      </w:r>
      <w:r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shd w:val="clear" w:color="auto" w:fill="auto"/>
          <w:lang w:val="en-US" w:eastAsia="zh-CN" w:bidi="ar-SA"/>
        </w:rPr>
        <w:t>各乡、镇指定地点</w:t>
      </w:r>
      <w:r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，具体交付地点、数量由成交人自行与采购人确定。</w:t>
      </w:r>
    </w:p>
    <w:p w14:paraId="11EF4D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right="0" w:rightChars="0" w:firstLine="480" w:firstLineChars="200"/>
        <w:jc w:val="left"/>
        <w:textAlignment w:val="auto"/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3.交货时间：本项目按采购人需求分批次、分地点供货，具体按双方合同约定执行。 </w:t>
      </w:r>
    </w:p>
    <w:p w14:paraId="43E848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4.付款方式：合同签订时另行约定。</w:t>
      </w:r>
    </w:p>
    <w:p w14:paraId="46CC56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ind w:right="0" w:rightChars="0"/>
        <w:jc w:val="left"/>
        <w:textAlignment w:val="auto"/>
        <w:rPr>
          <w:rFonts w:hint="default" w:ascii="宋体" w:hAnsi="宋体" w:eastAsia="楷体" w:cs="Times New Roman"/>
          <w:b/>
          <w:bCs/>
          <w:color w:val="auto"/>
          <w:kern w:val="2"/>
          <w:sz w:val="24"/>
          <w:szCs w:val="24"/>
          <w:highlight w:val="none"/>
          <w:shd w:val="clear" w:color="auto" w:fill="auto"/>
          <w:lang w:val="en-US" w:eastAsia="zh-CN" w:bidi="ar-SA"/>
        </w:rPr>
      </w:pPr>
      <w:r>
        <w:rPr>
          <w:rFonts w:hint="eastAsia" w:ascii="宋体" w:hAnsi="宋体" w:eastAsia="楷体" w:cs="Times New Roman"/>
          <w:b/>
          <w:bCs/>
          <w:color w:val="auto"/>
          <w:kern w:val="2"/>
          <w:sz w:val="24"/>
          <w:szCs w:val="24"/>
          <w:highlight w:val="none"/>
          <w:shd w:val="clear" w:color="auto" w:fill="auto"/>
          <w:lang w:val="en-US" w:eastAsia="zh-CN" w:bidi="ar-SA"/>
        </w:rPr>
        <w:t>五</w:t>
      </w:r>
      <w:r>
        <w:rPr>
          <w:rFonts w:hint="eastAsia" w:ascii="宋体" w:hAnsi="宋体" w:eastAsia="楷体" w:cs="Times New Roman"/>
          <w:b/>
          <w:bCs/>
          <w:color w:val="auto"/>
          <w:kern w:val="2"/>
          <w:sz w:val="24"/>
          <w:szCs w:val="24"/>
          <w:highlight w:val="none"/>
          <w:shd w:val="clear" w:color="auto" w:fill="auto"/>
          <w:lang w:val="zh-CN" w:eastAsia="zh-CN" w:bidi="ar-SA"/>
        </w:rPr>
        <w:t>、验收</w:t>
      </w:r>
      <w:r>
        <w:rPr>
          <w:rFonts w:hint="eastAsia" w:ascii="宋体" w:hAnsi="宋体" w:eastAsia="楷体" w:cs="Times New Roman"/>
          <w:b/>
          <w:bCs/>
          <w:color w:val="auto"/>
          <w:kern w:val="2"/>
          <w:sz w:val="24"/>
          <w:szCs w:val="24"/>
          <w:highlight w:val="none"/>
          <w:shd w:val="clear" w:color="auto" w:fill="auto"/>
          <w:lang w:val="en-US" w:eastAsia="zh-CN" w:bidi="ar-SA"/>
        </w:rPr>
        <w:t>要求</w:t>
      </w:r>
    </w:p>
    <w:p w14:paraId="61EDC9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480" w:firstLineChars="200"/>
        <w:jc w:val="left"/>
        <w:textAlignment w:val="auto"/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  <w:t>产品质量符合国家《种子法》等有关规定，产品交付时，种子标签标识必须符合《种子法》有关规定，标签标识的内容均受种子生产地法定机构的检测检验。</w:t>
      </w:r>
    </w:p>
    <w:p w14:paraId="37DC9907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480" w:firstLineChars="200"/>
        <w:jc w:val="left"/>
        <w:textAlignment w:val="auto"/>
        <w:rPr>
          <w:rFonts w:hint="default" w:ascii="宋体" w:hAnsi="宋体" w:eastAsia="楷体" w:cs="Times New Roman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  <w:t>供种方提供品种的转基因检测报告、检疫证号和品种真实性承诺书，并在油菜生长期进行真实性鉴定。</w:t>
      </w:r>
    </w:p>
    <w:p w14:paraId="11B030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480" w:firstLineChars="200"/>
        <w:jc w:val="left"/>
        <w:textAlignment w:val="auto"/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  <w:t>验收过程中产生纠纷的，由相关产品质量监督部门进行检测，如为采购人原因造成的，由采购人承担检测费用；否则，由成交人承担。</w:t>
      </w:r>
    </w:p>
    <w:p w14:paraId="528772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480" w:firstLineChars="200"/>
        <w:jc w:val="left"/>
        <w:textAlignment w:val="auto"/>
        <w:rPr>
          <w:rFonts w:hint="eastAsia" w:ascii="宋体" w:hAnsi="宋体" w:eastAsia="楷体" w:cs="Times New Roman"/>
          <w:color w:val="auto"/>
          <w:sz w:val="24"/>
          <w:highlight w:val="none"/>
        </w:rPr>
      </w:pPr>
      <w:r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  <w:t>产品验收不合格的，由成交人免费无条件更换直至合格，有关更换再行验收，以及给采购人造成的损失等费用由成交人承担。连续两次产品验收不合格的，采购人可终止合同，另行按规定选择其他供应商采购，由此带来的一切损失由成交人承担。</w:t>
      </w:r>
    </w:p>
    <w:p w14:paraId="4671CD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lang w:val="en-US" w:eastAsia="zh-CN"/>
        </w:rPr>
        <w:t>六、售后服务要求</w:t>
      </w:r>
    </w:p>
    <w:p w14:paraId="329201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1.质量保证</w:t>
      </w:r>
    </w:p>
    <w:p w14:paraId="289225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1.1成交人提供的产品应是原装正品，保证货物的质量，符合国家质量检测标准，具有出厂合格证或国家鉴定合格证。</w:t>
      </w:r>
    </w:p>
    <w:p w14:paraId="61D03E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1.2本项目质保期为1年。质保期内出现任何质量问题（人为破坏或自然灾害等不可抗力除外），由成交人负责全免费更换。</w:t>
      </w:r>
    </w:p>
    <w:p w14:paraId="4CB303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1.3质保期从验收合格后开始计算。</w:t>
      </w:r>
    </w:p>
    <w:p w14:paraId="7BAC94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2.售后响应</w:t>
      </w:r>
    </w:p>
    <w:p w14:paraId="2C3A3A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eastAsia" w:ascii="宋体" w:hAnsi="宋体" w:eastAsia="楷体" w:cs="Times New Roman"/>
          <w:color w:val="auto"/>
          <w:sz w:val="24"/>
          <w:lang w:val="en-US" w:eastAsia="zh-CN"/>
        </w:rPr>
      </w:pPr>
      <w:r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2.1提供7×24小时的售后服务受理</w:t>
      </w:r>
      <w:r>
        <w:rPr>
          <w:rFonts w:hint="eastAsia" w:ascii="宋体" w:hAnsi="宋体" w:eastAsia="楷体" w:cs="Times New Roman"/>
          <w:color w:val="auto"/>
          <w:sz w:val="24"/>
          <w:lang w:val="en-US" w:eastAsia="zh-CN"/>
        </w:rPr>
        <w:t>，售后服务机构的名称、联系方法等应在响应文件中注明。</w:t>
      </w:r>
    </w:p>
    <w:p w14:paraId="714553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lang w:val="en-US" w:eastAsia="zh-CN"/>
        </w:rPr>
        <w:t>七、相关说明</w:t>
      </w:r>
    </w:p>
    <w:p w14:paraId="264DFF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480" w:firstLineChars="200"/>
        <w:textAlignment w:val="auto"/>
        <w:outlineLvl w:val="9"/>
        <w:rPr>
          <w:rFonts w:hint="eastAsia" w:ascii="宋体" w:hAnsi="宋体" w:eastAsia="楷体" w:cs="Times New Roman"/>
          <w:color w:val="auto"/>
          <w:sz w:val="24"/>
          <w:lang w:val="en-US" w:eastAsia="zh-CN"/>
        </w:rPr>
      </w:pPr>
      <w:r>
        <w:rPr>
          <w:rFonts w:hint="eastAsia" w:ascii="宋体" w:hAnsi="宋体" w:eastAsia="楷体" w:cs="Times New Roman"/>
          <w:color w:val="auto"/>
          <w:sz w:val="24"/>
          <w:lang w:val="en-US" w:eastAsia="zh-CN"/>
        </w:rPr>
        <w:t>1.现场踏勘：采购人不另行组织对本项目实施现场进行踏勘，有关踏勘事宜由供应商与采购人联系自行处理；供应商在投标前与采购人联系进行现场勘查，以利于供应商对本项目需求进行全面了解，从而合理制作响应文件和报价。现场勘查费用由供应商自行承担。</w:t>
      </w:r>
    </w:p>
    <w:p w14:paraId="07BF62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480" w:firstLineChars="200"/>
        <w:textAlignment w:val="auto"/>
        <w:outlineLvl w:val="9"/>
        <w:rPr>
          <w:rFonts w:hint="eastAsia" w:ascii="宋体" w:hAnsi="宋体" w:eastAsia="楷体" w:cs="Times New Roman"/>
          <w:color w:val="auto"/>
          <w:sz w:val="24"/>
          <w:lang w:val="en-US" w:eastAsia="zh-CN"/>
        </w:rPr>
      </w:pPr>
      <w:r>
        <w:rPr>
          <w:rFonts w:hint="eastAsia" w:ascii="宋体" w:hAnsi="宋体" w:eastAsia="楷体" w:cs="Times New Roman"/>
          <w:color w:val="auto"/>
          <w:sz w:val="24"/>
          <w:lang w:val="en-US" w:eastAsia="zh-CN"/>
        </w:rPr>
        <w:t>2.成交候选人在领取成交通知书时，须递交2份（不分正副本，至少包含一份原件或彩色扫描件）胶装完好的响应文件（内容须与上传的电子响应文件一致）以供存档，响应文件须加盖投标供应商公章。</w:t>
      </w:r>
    </w:p>
    <w:p w14:paraId="7279D6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480" w:firstLineChars="200"/>
        <w:textAlignment w:val="auto"/>
        <w:outlineLvl w:val="9"/>
        <w:rPr>
          <w:rFonts w:hint="eastAsia" w:ascii="宋体" w:hAnsi="宋体" w:eastAsia="楷体" w:cs="Times New Roman"/>
          <w:color w:val="auto"/>
          <w:sz w:val="24"/>
          <w:lang w:val="en-US" w:eastAsia="zh-CN"/>
        </w:rPr>
      </w:pPr>
      <w:r>
        <w:rPr>
          <w:rFonts w:hint="eastAsia" w:ascii="宋体" w:hAnsi="宋体" w:eastAsia="楷体" w:cs="Times New Roman"/>
          <w:color w:val="auto"/>
          <w:sz w:val="24"/>
          <w:lang w:val="en-US" w:eastAsia="zh-CN"/>
        </w:rPr>
        <w:t>3.对于上述项目要求，供应商应在响应文件中进行回应，作出承诺及说明。</w:t>
      </w:r>
    </w:p>
    <w:p w14:paraId="133451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480" w:firstLineChars="200"/>
        <w:textAlignment w:val="auto"/>
        <w:outlineLvl w:val="9"/>
        <w:rPr>
          <w:rFonts w:hint="eastAsia" w:ascii="宋体" w:hAnsi="宋体" w:eastAsia="楷体" w:cs="Times New Roman"/>
          <w:color w:val="auto"/>
          <w:sz w:val="24"/>
          <w:lang w:val="en-US" w:eastAsia="zh-CN"/>
        </w:rPr>
      </w:pPr>
      <w:r>
        <w:rPr>
          <w:rFonts w:hint="eastAsia" w:ascii="宋体" w:hAnsi="宋体" w:eastAsia="楷体" w:cs="Times New Roman"/>
          <w:color w:val="auto"/>
          <w:sz w:val="24"/>
          <w:lang w:val="en-US" w:eastAsia="zh-CN"/>
        </w:rPr>
        <w:t>4.其他未尽事宜，双方协商解决。</w:t>
      </w:r>
    </w:p>
    <w:p w14:paraId="23F78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right="0" w:rightChars="0"/>
        <w:jc w:val="center"/>
        <w:textAlignment w:val="auto"/>
        <w:outlineLvl w:val="0"/>
        <w:rPr>
          <w:rFonts w:hint="default" w:ascii="宋体" w:hAnsi="宋体" w:eastAsia="楷体" w:cs="Times New Roman"/>
          <w:b/>
          <w:color w:val="auto"/>
          <w:highlight w:val="none"/>
          <w:lang w:val="en-US" w:eastAsia="zh-CN"/>
        </w:rPr>
      </w:pPr>
      <w:r>
        <w:rPr>
          <w:rFonts w:hint="eastAsia" w:ascii="宋体" w:hAnsi="宋体" w:eastAsia="楷体" w:cs="Times New Roman"/>
          <w:b/>
          <w:color w:val="auto"/>
          <w:sz w:val="32"/>
          <w:szCs w:val="32"/>
          <w:highlight w:val="none"/>
        </w:rPr>
        <w:br w:type="page"/>
      </w:r>
      <w:r>
        <w:rPr>
          <w:rFonts w:hint="eastAsia" w:ascii="宋体" w:hAnsi="宋体" w:eastAsia="楷体" w:cs="Times New Roman"/>
          <w:b/>
          <w:color w:val="auto"/>
          <w:sz w:val="32"/>
          <w:szCs w:val="32"/>
          <w:highlight w:val="none"/>
          <w:lang w:val="en-US" w:eastAsia="zh-CN"/>
        </w:rPr>
        <w:t>龙山县2026年油菜扩种项目</w:t>
      </w:r>
      <w:r>
        <w:rPr>
          <w:rFonts w:hint="eastAsia" w:ascii="宋体" w:hAnsi="宋体" w:eastAsia="楷体" w:cs="Times New Roman"/>
          <w:b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 w:eastAsia="楷体" w:cs="Times New Roman"/>
          <w:b/>
          <w:color w:val="auto"/>
          <w:sz w:val="32"/>
          <w:szCs w:val="32"/>
          <w:highlight w:val="none"/>
          <w:lang w:val="en-US" w:eastAsia="zh-CN"/>
        </w:rPr>
        <w:t>第二包：硼肥）</w:t>
      </w:r>
      <w:r>
        <w:rPr>
          <w:rFonts w:hint="eastAsia" w:ascii="宋体" w:hAnsi="宋体" w:eastAsia="楷体" w:cs="Times New Roman"/>
          <w:b/>
          <w:color w:val="auto"/>
          <w:sz w:val="32"/>
          <w:szCs w:val="32"/>
          <w:highlight w:val="none"/>
        </w:rPr>
        <w:t>采购需求</w:t>
      </w:r>
    </w:p>
    <w:p w14:paraId="243B57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240" w:lineRule="auto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</w:rPr>
      </w:pPr>
      <w:r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lang w:val="en-US" w:eastAsia="zh-CN"/>
        </w:rPr>
        <w:t>一、</w:t>
      </w:r>
      <w:r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</w:rPr>
        <w:t xml:space="preserve">采购项目名称 </w:t>
      </w:r>
    </w:p>
    <w:p w14:paraId="18DB62E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240" w:lineRule="auto"/>
        <w:ind w:right="0" w:rightChars="0" w:firstLine="480" w:firstLineChars="200"/>
        <w:textAlignment w:val="auto"/>
        <w:outlineLvl w:val="9"/>
        <w:rPr>
          <w:rFonts w:hint="eastAsia" w:ascii="宋体" w:hAnsi="宋体" w:eastAsia="楷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楷体" w:cs="Times New Roman"/>
          <w:color w:val="auto"/>
          <w:sz w:val="24"/>
          <w:szCs w:val="24"/>
          <w:highlight w:val="none"/>
          <w:u w:val="none"/>
          <w:lang w:val="en-US" w:eastAsia="zh-CN"/>
        </w:rPr>
        <w:t>龙山县2026年油菜扩种项目</w:t>
      </w:r>
      <w:r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楷体" w:cs="楷体"/>
          <w:b w:val="0"/>
          <w:bCs w:val="0"/>
          <w:color w:val="auto"/>
          <w:w w:val="100"/>
          <w:sz w:val="24"/>
          <w:szCs w:val="24"/>
          <w:highlight w:val="none"/>
          <w:lang w:val="en-US" w:eastAsia="zh-CN"/>
        </w:rPr>
        <w:t xml:space="preserve">                                                                           </w:t>
      </w:r>
    </w:p>
    <w:p w14:paraId="34E68D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240" w:lineRule="auto"/>
        <w:ind w:right="0" w:rightChars="0"/>
        <w:textAlignment w:val="auto"/>
        <w:outlineLvl w:val="9"/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lang w:val="en-US" w:eastAsia="zh-CN"/>
        </w:rPr>
        <w:t xml:space="preserve">二、采购内容 </w:t>
      </w:r>
    </w:p>
    <w:tbl>
      <w:tblPr>
        <w:tblStyle w:val="3"/>
        <w:tblW w:w="103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2"/>
        <w:gridCol w:w="1025"/>
        <w:gridCol w:w="1326"/>
        <w:gridCol w:w="2410"/>
        <w:gridCol w:w="1031"/>
        <w:gridCol w:w="1162"/>
        <w:gridCol w:w="2091"/>
      </w:tblGrid>
      <w:tr w14:paraId="0AA9C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" w:type="dxa"/>
            <w:noWrap w:val="0"/>
            <w:vAlign w:val="center"/>
          </w:tcPr>
          <w:p w14:paraId="0F6B05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楷体" w:cs="Times New Roman"/>
                <w:b/>
                <w:bCs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highlight w:val="none"/>
                <w:vertAlign w:val="baseline"/>
                <w:lang w:val="en-US" w:eastAsia="zh-CN"/>
              </w:rPr>
              <w:t>包号</w:t>
            </w:r>
          </w:p>
        </w:tc>
        <w:tc>
          <w:tcPr>
            <w:tcW w:w="1025" w:type="dxa"/>
            <w:noWrap w:val="0"/>
            <w:vAlign w:val="center"/>
          </w:tcPr>
          <w:p w14:paraId="77F3A6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楷体" w:cs="Times New Roman"/>
                <w:b/>
                <w:bCs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highlight w:val="none"/>
                <w:vertAlign w:val="baseline"/>
                <w:lang w:val="en-US" w:eastAsia="zh-CN"/>
              </w:rPr>
              <w:t>包名称</w:t>
            </w:r>
          </w:p>
        </w:tc>
        <w:tc>
          <w:tcPr>
            <w:tcW w:w="1326" w:type="dxa"/>
            <w:noWrap w:val="0"/>
            <w:vAlign w:val="center"/>
          </w:tcPr>
          <w:p w14:paraId="02029D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楷体" w:cs="Times New Roman"/>
                <w:b/>
                <w:bCs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highlight w:val="none"/>
                <w:vertAlign w:val="baseline"/>
                <w:lang w:val="en-US" w:eastAsia="zh-CN"/>
              </w:rPr>
              <w:t>标的名称</w:t>
            </w:r>
          </w:p>
        </w:tc>
        <w:tc>
          <w:tcPr>
            <w:tcW w:w="2410" w:type="dxa"/>
            <w:noWrap w:val="0"/>
            <w:vAlign w:val="center"/>
          </w:tcPr>
          <w:p w14:paraId="3ED367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szCs w:val="24"/>
                <w:highlight w:val="none"/>
              </w:rPr>
              <w:t>规格</w:t>
            </w:r>
            <w:r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及要求</w:t>
            </w:r>
          </w:p>
        </w:tc>
        <w:tc>
          <w:tcPr>
            <w:tcW w:w="1031" w:type="dxa"/>
            <w:noWrap w:val="0"/>
            <w:vAlign w:val="center"/>
          </w:tcPr>
          <w:p w14:paraId="0D3F65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单位</w:t>
            </w:r>
          </w:p>
        </w:tc>
        <w:tc>
          <w:tcPr>
            <w:tcW w:w="1162" w:type="dxa"/>
            <w:noWrap w:val="0"/>
            <w:vAlign w:val="center"/>
          </w:tcPr>
          <w:p w14:paraId="1C9C52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2091" w:type="dxa"/>
            <w:noWrap w:val="0"/>
            <w:vAlign w:val="top"/>
          </w:tcPr>
          <w:p w14:paraId="28A3B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楷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楷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采购项目预算</w:t>
            </w:r>
          </w:p>
          <w:p w14:paraId="5A26DF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（元人民币）</w:t>
            </w:r>
          </w:p>
        </w:tc>
      </w:tr>
      <w:tr w14:paraId="16526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322" w:type="dxa"/>
            <w:noWrap w:val="0"/>
            <w:vAlign w:val="center"/>
          </w:tcPr>
          <w:p w14:paraId="697554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楷体" w:cs="Times New Roman"/>
                <w:b w:val="0"/>
                <w:bCs w:val="0"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highlight w:val="none"/>
                <w:vertAlign w:val="baseline"/>
                <w:lang w:val="en-US" w:eastAsia="zh-CN"/>
              </w:rPr>
              <w:t>第二包</w:t>
            </w:r>
          </w:p>
        </w:tc>
        <w:tc>
          <w:tcPr>
            <w:tcW w:w="1025" w:type="dxa"/>
            <w:noWrap w:val="0"/>
            <w:vAlign w:val="center"/>
          </w:tcPr>
          <w:p w14:paraId="14DC07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 w:cs="楷体"/>
                <w:b w:val="0"/>
                <w:bCs w:val="0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硼肥</w:t>
            </w:r>
          </w:p>
        </w:tc>
        <w:tc>
          <w:tcPr>
            <w:tcW w:w="1326" w:type="dxa"/>
            <w:noWrap w:val="0"/>
            <w:vAlign w:val="center"/>
          </w:tcPr>
          <w:p w14:paraId="1DFE51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楷体" w:cs="楷体"/>
                <w:b w:val="0"/>
                <w:bCs w:val="0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硼肥</w:t>
            </w:r>
          </w:p>
        </w:tc>
        <w:tc>
          <w:tcPr>
            <w:tcW w:w="2410" w:type="dxa"/>
            <w:noWrap w:val="0"/>
            <w:vAlign w:val="center"/>
          </w:tcPr>
          <w:p w14:paraId="14720F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/>
                <w:color w:val="auto"/>
                <w:sz w:val="24"/>
                <w:szCs w:val="24"/>
                <w:highlight w:val="none"/>
                <w:lang w:val="en-US" w:eastAsia="zh-CN"/>
              </w:rPr>
              <w:t>200</w:t>
            </w:r>
            <w:r>
              <w:rPr>
                <w:rFonts w:hint="eastAsia" w:ascii="宋体" w:hAnsi="宋体" w:eastAsia="楷体" w:cs="Times New Roman"/>
                <w:color w:val="auto"/>
                <w:sz w:val="24"/>
                <w:highlight w:val="none"/>
                <w:lang w:val="en-US" w:eastAsia="zh-CN"/>
              </w:rPr>
              <w:t>g</w:t>
            </w:r>
            <w:r>
              <w:rPr>
                <w:rFonts w:hint="eastAsia" w:ascii="宋体" w:hAnsi="宋体" w:eastAsia="楷体"/>
                <w:color w:val="auto"/>
                <w:sz w:val="24"/>
                <w:szCs w:val="24"/>
                <w:highlight w:val="none"/>
                <w:lang w:val="en-US" w:eastAsia="zh-CN"/>
              </w:rPr>
              <w:t>/包，纯硼含量≥15%，小颗粒晶体</w:t>
            </w:r>
          </w:p>
        </w:tc>
        <w:tc>
          <w:tcPr>
            <w:tcW w:w="1031" w:type="dxa"/>
            <w:noWrap w:val="0"/>
            <w:vAlign w:val="center"/>
          </w:tcPr>
          <w:p w14:paraId="597A80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包</w:t>
            </w:r>
          </w:p>
        </w:tc>
        <w:tc>
          <w:tcPr>
            <w:tcW w:w="1162" w:type="dxa"/>
            <w:noWrap w:val="0"/>
            <w:vAlign w:val="center"/>
          </w:tcPr>
          <w:p w14:paraId="04625152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b w:val="0"/>
                <w:bCs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楷体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210000</w:t>
            </w:r>
          </w:p>
        </w:tc>
        <w:tc>
          <w:tcPr>
            <w:tcW w:w="2091" w:type="dxa"/>
            <w:noWrap w:val="0"/>
            <w:vAlign w:val="center"/>
          </w:tcPr>
          <w:p w14:paraId="3EE95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楷体" w:cs="Times New Roman"/>
                <w:b/>
                <w:bCs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楷体"/>
                <w:b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735000.00</w:t>
            </w:r>
          </w:p>
        </w:tc>
      </w:tr>
    </w:tbl>
    <w:p w14:paraId="1E22E8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lang w:val="en-US" w:eastAsia="zh-CN"/>
        </w:rPr>
        <w:t>三</w:t>
      </w:r>
      <w:r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lang w:eastAsia="zh-CN"/>
        </w:rPr>
        <w:t>、报价要求</w:t>
      </w:r>
    </w:p>
    <w:p w14:paraId="4C2CDE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right="0" w:rightChars="0" w:firstLine="480" w:firstLineChars="200"/>
        <w:jc w:val="left"/>
        <w:textAlignment w:val="auto"/>
        <w:rPr>
          <w:rFonts w:hint="eastAsia" w:ascii="宋体" w:hAnsi="宋体" w:eastAsia="楷体" w:cs="Times New Roman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  <w:t>1.投标供应商对本项目</w:t>
      </w:r>
      <w:r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lang w:val="en-US" w:eastAsia="zh-CN"/>
        </w:rPr>
        <w:t>第二包</w:t>
      </w:r>
      <w:r>
        <w:rPr>
          <w:rFonts w:hint="eastAsia" w:ascii="宋体" w:hAnsi="宋体" w:eastAsia="楷体" w:cs="Times New Roman"/>
          <w:color w:val="auto"/>
          <w:sz w:val="24"/>
          <w:highlight w:val="none"/>
          <w:lang w:eastAsia="zh-CN"/>
        </w:rPr>
        <w:t>的总报价最高不得超过</w:t>
      </w:r>
      <w:r>
        <w:rPr>
          <w:rFonts w:hint="eastAsia" w:ascii="宋体" w:hAnsi="宋体" w:eastAsia="楷体"/>
          <w:b/>
          <w:bCs/>
          <w:color w:val="auto"/>
          <w:kern w:val="0"/>
          <w:sz w:val="24"/>
          <w:szCs w:val="24"/>
          <w:highlight w:val="none"/>
          <w:u w:val="none"/>
          <w:lang w:val="en-US" w:eastAsia="zh-CN"/>
        </w:rPr>
        <w:t>735000.00</w:t>
      </w:r>
      <w:r>
        <w:rPr>
          <w:rFonts w:hint="eastAsia" w:ascii="宋体" w:hAnsi="宋体" w:eastAsia="楷体" w:cs="Times New Roman"/>
          <w:color w:val="auto"/>
          <w:sz w:val="24"/>
          <w:highlight w:val="none"/>
          <w:lang w:eastAsia="zh-CN"/>
        </w:rPr>
        <w:t>元整；</w:t>
      </w:r>
      <w:r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  <w:t>否则其投标将被视为无效投标；</w:t>
      </w:r>
    </w:p>
    <w:p w14:paraId="3140B0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right="0" w:rightChars="0" w:firstLine="480" w:firstLineChars="200"/>
        <w:jc w:val="left"/>
        <w:textAlignment w:val="auto"/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  <w:t>2.本项目采用费用包干方式建设，</w:t>
      </w:r>
      <w:r>
        <w:rPr>
          <w:rFonts w:hint="eastAsia" w:ascii="宋体" w:hAnsi="宋体" w:eastAsia="楷体" w:cs="Times New Roman"/>
          <w:color w:val="auto"/>
          <w:sz w:val="24"/>
          <w:highlight w:val="none"/>
        </w:rPr>
        <w:t>投标总报价包括所需货物生产制造费、购置费、税费、运输费、货物所必须的备品备件费、装卸费、保险费、技术培训费、付款方式导致的资金占用利息费、货物质量验收检测所需的费用、其它相关服务及售后服务费等</w:t>
      </w:r>
      <w:r>
        <w:rPr>
          <w:rFonts w:hint="eastAsia" w:ascii="宋体" w:hAnsi="宋体" w:eastAsia="楷体" w:cs="Times New Roman"/>
          <w:color w:val="auto"/>
          <w:sz w:val="24"/>
          <w:highlight w:val="none"/>
          <w:shd w:val="clear" w:color="auto" w:fill="auto"/>
          <w:lang w:val="en-US" w:eastAsia="zh-CN"/>
        </w:rPr>
        <w:t>一切费用</w:t>
      </w:r>
      <w:r>
        <w:rPr>
          <w:rFonts w:hint="eastAsia" w:ascii="宋体" w:hAnsi="宋体" w:eastAsia="楷体" w:cs="Times New Roman"/>
          <w:color w:val="auto"/>
          <w:sz w:val="24"/>
          <w:highlight w:val="none"/>
        </w:rPr>
        <w:t>，采购人不再支付任何费用。</w:t>
      </w:r>
    </w:p>
    <w:p w14:paraId="75217E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ind w:right="0" w:rightChars="0"/>
        <w:jc w:val="left"/>
        <w:textAlignment w:val="auto"/>
        <w:rPr>
          <w:rFonts w:hint="eastAsia" w:ascii="宋体" w:hAnsi="宋体" w:eastAsia="楷体" w:cs="Times New Roman"/>
          <w:b/>
          <w:bCs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="宋体" w:hAnsi="宋体" w:eastAsia="楷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四、交货期</w:t>
      </w:r>
      <w:r>
        <w:rPr>
          <w:rFonts w:hint="eastAsia" w:ascii="宋体" w:hAnsi="宋体" w:eastAsia="楷体" w:cs="Times New Roman"/>
          <w:b/>
          <w:bCs/>
          <w:color w:val="auto"/>
          <w:sz w:val="24"/>
          <w:szCs w:val="24"/>
          <w:highlight w:val="none"/>
          <w:lang w:val="zh-CN" w:eastAsia="zh-CN"/>
        </w:rPr>
        <w:t>与付款要求</w:t>
      </w:r>
    </w:p>
    <w:p w14:paraId="565B3D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ind w:firstLine="480"/>
        <w:jc w:val="left"/>
        <w:textAlignment w:val="auto"/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1.交货方式：</w:t>
      </w:r>
    </w:p>
    <w:p w14:paraId="363881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ind w:firstLine="480" w:firstLineChars="200"/>
        <w:jc w:val="left"/>
        <w:textAlignment w:val="auto"/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1.1货物正常使用时所需的附件、工具等；</w:t>
      </w:r>
    </w:p>
    <w:p w14:paraId="509CF2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    1.2成交人负责货物的全部运输，包括装卸及现场搬运等；</w:t>
      </w:r>
    </w:p>
    <w:p w14:paraId="3723AC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    1.3成交人负责货物的保管，直至项目验收合格；</w:t>
      </w:r>
    </w:p>
    <w:p w14:paraId="05B8D9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    1.4成交人须对本项目所供货物的运输、装卸、现场搬运全过程安全负全部责任，并负责其派出人员的人身意外保险。</w:t>
      </w:r>
    </w:p>
    <w:p w14:paraId="652DAF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right="0" w:rightChars="0" w:firstLine="480" w:firstLineChars="200"/>
        <w:jc w:val="left"/>
        <w:textAlignment w:val="auto"/>
        <w:rPr>
          <w:rFonts w:hint="default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2.交货要求：按采购人要求交付至</w:t>
      </w:r>
      <w:r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shd w:val="clear" w:color="auto" w:fill="auto"/>
          <w:lang w:val="en-US" w:eastAsia="zh-CN" w:bidi="ar-SA"/>
        </w:rPr>
        <w:t>各乡、镇指定地点</w:t>
      </w:r>
      <w:r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，具体交付地点、数量由成交人自行与采购人确定。</w:t>
      </w:r>
    </w:p>
    <w:p w14:paraId="54027F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right="0" w:rightChars="0" w:firstLine="480" w:firstLineChars="200"/>
        <w:jc w:val="left"/>
        <w:textAlignment w:val="auto"/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3.交货时间：本项目按采购人需求分批次、分地点供货，具体按双方合同约定执行。 </w:t>
      </w:r>
    </w:p>
    <w:p w14:paraId="4401C5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楷体" w:cs="Times New Roman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4.付款方式：合同签订时另行约定。</w:t>
      </w:r>
    </w:p>
    <w:p w14:paraId="29A7D6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ind w:right="0" w:rightChars="0"/>
        <w:jc w:val="left"/>
        <w:textAlignment w:val="auto"/>
        <w:rPr>
          <w:rFonts w:hint="eastAsia" w:ascii="宋体" w:hAnsi="宋体" w:eastAsia="楷体" w:cs="Times New Roman"/>
          <w:b/>
          <w:bCs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="宋体" w:hAnsi="宋体" w:eastAsia="楷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五</w:t>
      </w:r>
      <w:r>
        <w:rPr>
          <w:rFonts w:hint="eastAsia" w:ascii="宋体" w:hAnsi="宋体" w:eastAsia="楷体" w:cs="Times New Roman"/>
          <w:b/>
          <w:bCs/>
          <w:color w:val="auto"/>
          <w:sz w:val="24"/>
          <w:szCs w:val="24"/>
          <w:highlight w:val="none"/>
          <w:lang w:val="zh-CN" w:eastAsia="zh-CN"/>
        </w:rPr>
        <w:t>、验收</w:t>
      </w:r>
      <w:r>
        <w:rPr>
          <w:rFonts w:hint="eastAsia" w:ascii="宋体" w:hAnsi="宋体" w:eastAsia="楷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要求</w:t>
      </w:r>
    </w:p>
    <w:p w14:paraId="424DAE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480" w:firstLineChars="200"/>
        <w:jc w:val="left"/>
        <w:textAlignment w:val="auto"/>
        <w:rPr>
          <w:rFonts w:hint="default" w:ascii="宋体" w:hAnsi="宋体" w:eastAsia="楷体" w:cs="Times New Roman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  <w:t>产品交付时，</w:t>
      </w:r>
      <w:r>
        <w:rPr>
          <w:rFonts w:hint="eastAsia" w:ascii="宋体" w:hAnsi="宋体" w:eastAsia="楷体"/>
          <w:color w:val="auto"/>
          <w:sz w:val="24"/>
          <w:szCs w:val="24"/>
          <w:highlight w:val="none"/>
          <w:lang w:val="en-US" w:eastAsia="zh-CN"/>
        </w:rPr>
        <w:t>硼含量达到采购需求要求，并提供具有检测资质单位出具的产品质量检测报告。</w:t>
      </w:r>
    </w:p>
    <w:p w14:paraId="539DC2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480" w:firstLineChars="200"/>
        <w:jc w:val="left"/>
        <w:textAlignment w:val="auto"/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  <w:t>验收过程中产生纠纷的，由相关产品质量监督部门进行检测，如为采购人原因造成的，由采购人承担检测费用；否则，由成交人承担。</w:t>
      </w:r>
    </w:p>
    <w:p w14:paraId="21D626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480" w:firstLineChars="200"/>
        <w:jc w:val="left"/>
        <w:textAlignment w:val="auto"/>
        <w:rPr>
          <w:rFonts w:hint="eastAsia" w:ascii="宋体" w:hAnsi="宋体" w:eastAsia="楷体" w:cs="Times New Roman"/>
          <w:color w:val="auto"/>
          <w:sz w:val="24"/>
          <w:highlight w:val="none"/>
        </w:rPr>
      </w:pPr>
      <w:r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  <w:t>产品验收不合格的，由成交人免费无条件更换直至合格，有关更换再行验收，以及给采购人造成的损失等费用由成交人承担。连续两次产品验收不合格的，采购人可终止合同，另行按规定选择其他供应商采购，由此带来的一切损失由成交人承担。</w:t>
      </w:r>
    </w:p>
    <w:p w14:paraId="74ED06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lang w:val="en-US" w:eastAsia="zh-CN"/>
        </w:rPr>
        <w:t>六</w:t>
      </w:r>
      <w:r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lang w:val="zh-CN" w:eastAsia="zh-CN"/>
        </w:rPr>
        <w:t>、售后服务</w:t>
      </w:r>
      <w:r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lang w:val="en-US" w:eastAsia="zh-CN"/>
        </w:rPr>
        <w:t>要求</w:t>
      </w:r>
    </w:p>
    <w:p w14:paraId="3F5101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480" w:firstLineChars="200"/>
        <w:jc w:val="left"/>
        <w:textAlignment w:val="auto"/>
        <w:rPr>
          <w:rFonts w:hint="eastAsia" w:ascii="宋体" w:hAnsi="宋体" w:eastAsia="楷体" w:cs="Times New Roman"/>
          <w:color w:val="auto"/>
          <w:sz w:val="24"/>
          <w:highlight w:val="none"/>
        </w:rPr>
      </w:pPr>
      <w:r>
        <w:rPr>
          <w:rFonts w:hint="eastAsia" w:ascii="宋体" w:hAnsi="宋体" w:eastAsia="楷体" w:cs="Times New Roman"/>
          <w:color w:val="auto"/>
          <w:sz w:val="24"/>
          <w:highlight w:val="none"/>
        </w:rPr>
        <w:t>1.质量保证</w:t>
      </w:r>
    </w:p>
    <w:p w14:paraId="2F596F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480" w:firstLineChars="200"/>
        <w:jc w:val="left"/>
        <w:textAlignment w:val="auto"/>
        <w:rPr>
          <w:rFonts w:hint="eastAsia" w:ascii="宋体" w:hAnsi="宋体" w:eastAsia="楷体" w:cs="Times New Roman"/>
          <w:color w:val="auto"/>
          <w:sz w:val="24"/>
          <w:highlight w:val="none"/>
        </w:rPr>
      </w:pPr>
      <w:r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  <w:t>1.1</w:t>
      </w:r>
      <w:r>
        <w:rPr>
          <w:rFonts w:hint="eastAsia" w:ascii="宋体" w:hAnsi="宋体" w:eastAsia="楷体" w:cs="Times New Roman"/>
          <w:color w:val="auto"/>
          <w:sz w:val="24"/>
          <w:highlight w:val="none"/>
          <w:lang w:eastAsia="zh-CN"/>
        </w:rPr>
        <w:t>成交</w:t>
      </w:r>
      <w:r>
        <w:rPr>
          <w:rFonts w:hint="eastAsia" w:ascii="宋体" w:hAnsi="宋体" w:eastAsia="楷体" w:cs="Times New Roman"/>
          <w:color w:val="auto"/>
          <w:sz w:val="24"/>
          <w:highlight w:val="none"/>
        </w:rPr>
        <w:t>人提供的产品应是原装正品，保证货物的质量，符合国家质量检测标准，具有出厂合格证或国家鉴定合格证。</w:t>
      </w:r>
    </w:p>
    <w:p w14:paraId="2FF360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480" w:firstLineChars="200"/>
        <w:jc w:val="left"/>
        <w:textAlignment w:val="auto"/>
        <w:rPr>
          <w:rFonts w:hint="eastAsia" w:ascii="宋体" w:hAnsi="宋体" w:eastAsia="楷体" w:cs="Times New Roman"/>
          <w:color w:val="auto"/>
          <w:sz w:val="24"/>
          <w:highlight w:val="none"/>
        </w:rPr>
      </w:pPr>
      <w:r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  <w:t>1.2本项目质保期为3年。</w:t>
      </w:r>
      <w:r>
        <w:rPr>
          <w:rFonts w:hint="eastAsia" w:ascii="宋体" w:hAnsi="宋体" w:eastAsia="楷体" w:cs="Times New Roman"/>
          <w:color w:val="auto"/>
          <w:sz w:val="24"/>
          <w:highlight w:val="none"/>
          <w:lang w:eastAsia="zh-CN"/>
        </w:rPr>
        <w:t>质保期内出现任何质量问题（人为破坏或自然灾害等不可抗力除外），由成交人负责全免费</w:t>
      </w:r>
      <w:r>
        <w:rPr>
          <w:rFonts w:hint="eastAsia" w:ascii="宋体" w:hAnsi="宋体" w:eastAsia="楷体" w:cs="Times New Roman"/>
          <w:color w:val="auto"/>
          <w:spacing w:val="-2"/>
          <w:sz w:val="24"/>
          <w:highlight w:val="none"/>
          <w:lang w:eastAsia="zh-CN"/>
        </w:rPr>
        <w:t>更换。</w:t>
      </w:r>
    </w:p>
    <w:p w14:paraId="0246E2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楷体" w:cs="Times New Roman"/>
          <w:color w:val="auto"/>
          <w:sz w:val="24"/>
          <w:highlight w:val="none"/>
        </w:rPr>
      </w:pPr>
      <w:r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  <w:t>1.3</w:t>
      </w:r>
      <w:r>
        <w:rPr>
          <w:rFonts w:hint="eastAsia" w:ascii="宋体" w:hAnsi="宋体" w:eastAsia="楷体" w:cs="Times New Roman"/>
          <w:color w:val="auto"/>
          <w:sz w:val="24"/>
          <w:highlight w:val="none"/>
        </w:rPr>
        <w:t>质保期从验收合格后开始计算。</w:t>
      </w:r>
    </w:p>
    <w:p w14:paraId="41511B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480" w:firstLineChars="200"/>
        <w:jc w:val="left"/>
        <w:textAlignment w:val="auto"/>
        <w:rPr>
          <w:rFonts w:hint="eastAsia" w:ascii="宋体" w:hAnsi="宋体" w:eastAsia="楷体" w:cs="Times New Roman"/>
          <w:color w:val="auto"/>
          <w:sz w:val="24"/>
          <w:highlight w:val="none"/>
        </w:rPr>
      </w:pPr>
      <w:r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宋体" w:hAnsi="宋体" w:eastAsia="楷体" w:cs="Times New Roman"/>
          <w:color w:val="auto"/>
          <w:sz w:val="24"/>
          <w:highlight w:val="none"/>
        </w:rPr>
        <w:t>.</w:t>
      </w:r>
      <w:r>
        <w:rPr>
          <w:rFonts w:hint="eastAsia" w:ascii="宋体" w:hAnsi="宋体" w:eastAsia="楷体" w:cs="Times New Roman"/>
          <w:color w:val="auto"/>
          <w:sz w:val="24"/>
          <w:highlight w:val="none"/>
          <w:lang w:eastAsia="zh-CN"/>
        </w:rPr>
        <w:t>售后</w:t>
      </w:r>
      <w:r>
        <w:rPr>
          <w:rFonts w:hint="eastAsia" w:ascii="宋体" w:hAnsi="宋体" w:eastAsia="楷体" w:cs="Times New Roman"/>
          <w:color w:val="auto"/>
          <w:sz w:val="24"/>
          <w:highlight w:val="none"/>
        </w:rPr>
        <w:t>响应</w:t>
      </w:r>
    </w:p>
    <w:p w14:paraId="3FD88A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480" w:firstLineChars="200"/>
        <w:jc w:val="left"/>
        <w:textAlignment w:val="auto"/>
        <w:rPr>
          <w:rFonts w:hint="eastAsia" w:ascii="宋体" w:hAnsi="宋体" w:eastAsia="楷体" w:cs="Times New Roman"/>
          <w:color w:val="auto"/>
          <w:sz w:val="24"/>
          <w:highlight w:val="none"/>
        </w:rPr>
      </w:pPr>
      <w:r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  <w:t>2.1</w:t>
      </w:r>
      <w:r>
        <w:rPr>
          <w:rFonts w:hint="eastAsia" w:ascii="宋体" w:hAnsi="宋体" w:eastAsia="楷体" w:cs="宋体"/>
          <w:bCs/>
          <w:color w:val="auto"/>
          <w:sz w:val="24"/>
          <w:szCs w:val="28"/>
          <w:highlight w:val="none"/>
          <w:lang w:val="zh-CN"/>
        </w:rPr>
        <w:t>提供</w:t>
      </w:r>
      <w:r>
        <w:rPr>
          <w:rFonts w:hint="eastAsia" w:ascii="宋体" w:hAnsi="宋体" w:eastAsia="楷体" w:cs="Times New Roman"/>
          <w:color w:val="auto"/>
          <w:sz w:val="24"/>
          <w:highlight w:val="none"/>
        </w:rPr>
        <w:t>7×24小时的售后服务受理，售后服务机构的名称、联系方法等应在响应文件中注明。</w:t>
      </w:r>
    </w:p>
    <w:p w14:paraId="4648E8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lang w:val="zh-CN" w:eastAsia="zh-CN"/>
        </w:rPr>
      </w:pPr>
      <w:r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lang w:val="en-US" w:eastAsia="zh-CN"/>
        </w:rPr>
        <w:t>七</w:t>
      </w:r>
      <w:r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lang w:val="zh-CN" w:eastAsia="zh-CN"/>
        </w:rPr>
        <w:t>、相关说明</w:t>
      </w:r>
    </w:p>
    <w:p w14:paraId="72576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楷体" w:cs="Times New Roman"/>
          <w:color w:val="auto"/>
          <w:sz w:val="24"/>
          <w:highlight w:val="none"/>
        </w:rPr>
      </w:pPr>
      <w:r>
        <w:rPr>
          <w:rFonts w:hint="eastAsia" w:ascii="宋体" w:hAnsi="宋体" w:eastAsia="楷体" w:cs="Times New Roman"/>
          <w:color w:val="auto"/>
          <w:sz w:val="24"/>
          <w:highlight w:val="none"/>
        </w:rPr>
        <w:t>1.现场踏勘：</w:t>
      </w:r>
      <w:r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  <w:t>采购人</w:t>
      </w:r>
      <w:r>
        <w:rPr>
          <w:rFonts w:hint="eastAsia" w:ascii="宋体" w:hAnsi="宋体" w:eastAsia="楷体" w:cs="Times New Roman"/>
          <w:color w:val="auto"/>
          <w:sz w:val="24"/>
          <w:highlight w:val="none"/>
        </w:rPr>
        <w:t>不另行组织对本项目实施现场进行踏勘，有关踏勘事宜由供应商与采购人联系自行处理；</w:t>
      </w:r>
      <w:r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  <w:t>供应商在</w:t>
      </w:r>
      <w:r>
        <w:rPr>
          <w:rFonts w:hint="eastAsia" w:ascii="宋体" w:hAnsi="宋体" w:eastAsia="楷体" w:cs="Times New Roman"/>
          <w:color w:val="auto"/>
          <w:sz w:val="24"/>
          <w:highlight w:val="none"/>
        </w:rPr>
        <w:t>投标前与采购人联系进行现场勘查，以利于</w:t>
      </w:r>
      <w:r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  <w:t>供应商</w:t>
      </w:r>
      <w:r>
        <w:rPr>
          <w:rFonts w:hint="eastAsia" w:ascii="宋体" w:hAnsi="宋体" w:eastAsia="楷体" w:cs="Times New Roman"/>
          <w:color w:val="auto"/>
          <w:sz w:val="24"/>
          <w:highlight w:val="none"/>
        </w:rPr>
        <w:t>对本项目需求进行全面了解，从而合理制作</w:t>
      </w:r>
      <w:r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  <w:t>响应</w:t>
      </w:r>
      <w:r>
        <w:rPr>
          <w:rFonts w:hint="eastAsia" w:ascii="宋体" w:hAnsi="宋体" w:eastAsia="楷体" w:cs="Times New Roman"/>
          <w:color w:val="auto"/>
          <w:sz w:val="24"/>
          <w:highlight w:val="none"/>
        </w:rPr>
        <w:t>文件和报价。现场勘查费用由</w:t>
      </w:r>
      <w:r>
        <w:rPr>
          <w:rFonts w:hint="eastAsia" w:ascii="宋体" w:hAnsi="宋体" w:eastAsia="楷体" w:cs="Times New Roman"/>
          <w:color w:val="auto"/>
          <w:sz w:val="24"/>
          <w:highlight w:val="none"/>
          <w:lang w:val="en-US" w:eastAsia="zh-CN"/>
        </w:rPr>
        <w:t>供应商</w:t>
      </w:r>
      <w:r>
        <w:rPr>
          <w:rFonts w:hint="eastAsia" w:ascii="宋体" w:hAnsi="宋体" w:eastAsia="楷体" w:cs="Times New Roman"/>
          <w:color w:val="auto"/>
          <w:sz w:val="24"/>
          <w:highlight w:val="none"/>
        </w:rPr>
        <w:t>自行承担。</w:t>
      </w:r>
    </w:p>
    <w:p w14:paraId="30442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480" w:firstLineChars="200"/>
        <w:textAlignment w:val="auto"/>
        <w:rPr>
          <w:rFonts w:hint="eastAsia" w:ascii="宋体" w:hAnsi="宋体" w:eastAsia="楷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楷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2.成交候选人在领取成交通知书时，须递交2份（不分正副本，至少包含一份原件或彩色扫描件）胶装完好的响应文件（内容须与上传的电子响应文件一致）以供存档，响应文件须加盖投标供应商公章。</w:t>
      </w:r>
    </w:p>
    <w:p w14:paraId="5FA1E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480" w:firstLineChars="200"/>
        <w:textAlignment w:val="auto"/>
        <w:rPr>
          <w:rFonts w:hint="eastAsia" w:ascii="宋体" w:hAnsi="宋体" w:eastAsia="楷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楷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3.对于上述项目要求，供应商应在响应文件中进行回应，作出承诺及说明。</w:t>
      </w:r>
    </w:p>
    <w:p w14:paraId="7E487B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480" w:firstLineChars="200"/>
        <w:textAlignment w:val="auto"/>
        <w:outlineLvl w:val="9"/>
        <w:rPr>
          <w:rFonts w:hint="eastAsia" w:ascii="宋体" w:hAnsi="宋体" w:eastAsia="楷体" w:cs="Times New Roman"/>
          <w:color w:val="auto"/>
          <w:sz w:val="24"/>
          <w:lang w:val="en-US" w:eastAsia="zh-CN"/>
        </w:rPr>
      </w:pPr>
      <w:r>
        <w:rPr>
          <w:rFonts w:hint="eastAsia" w:ascii="宋体" w:hAnsi="宋体" w:eastAsia="楷体" w:cs="Times New Roman"/>
          <w:color w:val="auto"/>
          <w:sz w:val="24"/>
          <w:lang w:val="en-US" w:eastAsia="zh-CN"/>
        </w:rPr>
        <w:t>4.其他未尽事宜，双方协商解决。</w:t>
      </w:r>
    </w:p>
    <w:p w14:paraId="33251574">
      <w:pPr>
        <w:rPr>
          <w:color w:val="auto"/>
        </w:rPr>
      </w:pPr>
      <w:bookmarkStart w:id="1" w:name="_GoBack"/>
      <w:bookmarkEnd w:id="1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4286C9"/>
    <w:multiLevelType w:val="singleLevel"/>
    <w:tmpl w:val="8C4286C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8B0F7C"/>
    <w:rsid w:val="1D930386"/>
    <w:rsid w:val="387A0BC4"/>
    <w:rsid w:val="468B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955</Words>
  <Characters>1040</Characters>
  <Lines>0</Lines>
  <Paragraphs>0</Paragraphs>
  <TotalTime>0</TotalTime>
  <ScaleCrop>false</ScaleCrop>
  <LinksUpToDate>false</LinksUpToDate>
  <CharactersWithSpaces>1131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2026-08-07T01:28:00Z</dcterms:created>
  <dc:creator>lenovo</dc:creator>
  <cp:lastModifiedBy>lenovo</cp:lastModifiedBy>
  <dcterms:modified xsi:type="dcterms:W3CDTF">2026-08-11T05:09:28Z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C46DF6EC13D94F2AB5CBB172428642B7_11</vt:lpwstr>
  </property>
  <property fmtid="{D5CDD505-2E9C-101B-9397-08002B2CF9AE}" pid="4" name="KSOTemplateDocerSaveRecord">
    <vt:lpwstr>eyJoZGlkIjoiNTU0ZmIwYTQ3NzlmZGUxZmU3Zjk0M2IyZTNmM2IxNjAiLCJ1c2VySWQiOiIyMjk5NzUyMzgifQ==</vt:lpwstr>
  </property>
</Properties>
</file>