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BE65D">
      <w:pPr>
        <w:numPr>
          <w:ilvl w:val="0"/>
          <w:numId w:val="0"/>
        </w:numPr>
        <w:adjustRightInd w:val="0"/>
        <w:snapToGrid w:val="0"/>
        <w:spacing w:line="360" w:lineRule="auto"/>
        <w:jc w:val="center"/>
        <w:outlineLvl w:val="0"/>
        <w:rPr>
          <w:rFonts w:hint="eastAsia" w:ascii="宋体" w:hAnsi="宋体" w:cs="宋体"/>
          <w:b/>
          <w:sz w:val="32"/>
          <w:szCs w:val="32"/>
        </w:rPr>
      </w:pPr>
      <w:r>
        <w:rPr>
          <w:rFonts w:hint="eastAsia" w:ascii="宋体" w:hAnsi="宋体" w:cs="宋体"/>
          <w:b/>
          <w:sz w:val="32"/>
          <w:szCs w:val="32"/>
        </w:rPr>
        <w:t>采购需求</w:t>
      </w:r>
    </w:p>
    <w:p w14:paraId="67D2EE62">
      <w:p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一、项目名称：</w:t>
      </w:r>
      <w:r>
        <w:rPr>
          <w:rFonts w:hint="eastAsia" w:ascii="宋体" w:hAnsi="宋体"/>
          <w:b w:val="0"/>
          <w:bCs w:val="0"/>
          <w:kern w:val="32"/>
          <w:sz w:val="24"/>
          <w:szCs w:val="24"/>
          <w:lang w:val="en-US" w:eastAsia="zh-CN"/>
        </w:rPr>
        <w:t>岳阳县东洞庭湖渔业资源增殖放流项目</w:t>
      </w:r>
    </w:p>
    <w:p w14:paraId="7402980C">
      <w:pPr>
        <w:pStyle w:val="3"/>
        <w:numPr>
          <w:ilvl w:val="0"/>
          <w:numId w:val="0"/>
        </w:numPr>
        <w:spacing w:line="360" w:lineRule="auto"/>
        <w:rPr>
          <w:rFonts w:hint="eastAsia" w:ascii="宋体" w:hAnsi="宋体" w:cs="Times New Roman"/>
          <w:b/>
          <w:bCs/>
          <w:kern w:val="32"/>
          <w:sz w:val="24"/>
          <w:szCs w:val="24"/>
          <w:lang w:val="en-US" w:eastAsia="zh-CN" w:bidi="ar-SA"/>
        </w:rPr>
      </w:pPr>
      <w:r>
        <w:rPr>
          <w:rFonts w:hint="eastAsia" w:ascii="宋体" w:hAnsi="宋体"/>
          <w:b/>
          <w:bCs/>
          <w:kern w:val="32"/>
          <w:sz w:val="24"/>
          <w:szCs w:val="24"/>
          <w:lang w:val="en-US" w:eastAsia="zh-CN"/>
        </w:rPr>
        <w:t>二、项目基本情况：根据渔业资源保护与增殖放流工作安排，计划在东洞庭湖水域开展渔业增殖放流活动，拟采购青鱼、草鱼、鲢鱼、鳙鱼、鱼苗共计80万尾，规格要求≥10cm，数量20万尾，合计80万尾，成活率达到95%以上，出具合格检疫证明。</w:t>
      </w:r>
      <w:r>
        <w:rPr>
          <w:rFonts w:hint="eastAsia" w:ascii="宋体" w:hAnsi="宋体" w:eastAsia="宋体" w:cs="Times New Roman"/>
          <w:b/>
          <w:bCs/>
          <w:kern w:val="32"/>
          <w:sz w:val="24"/>
          <w:szCs w:val="24"/>
          <w:lang w:val="en-US" w:eastAsia="zh-CN" w:bidi="ar-SA"/>
        </w:rPr>
        <w:t>技术要求</w:t>
      </w:r>
      <w:r>
        <w:rPr>
          <w:rFonts w:hint="eastAsia" w:ascii="宋体" w:hAnsi="宋体" w:cs="Times New Roman"/>
          <w:b/>
          <w:bCs/>
          <w:kern w:val="32"/>
          <w:sz w:val="24"/>
          <w:szCs w:val="24"/>
          <w:lang w:val="en-US" w:eastAsia="zh-CN" w:bidi="ar-SA"/>
        </w:rPr>
        <w:t>：</w:t>
      </w:r>
    </w:p>
    <w:p w14:paraId="13716E1C">
      <w:pPr>
        <w:rPr>
          <w:rFonts w:hint="eastAsia"/>
          <w:lang w:val="en-US" w:eastAsia="zh-CN"/>
        </w:rPr>
      </w:pPr>
      <w:r>
        <w:rPr>
          <w:rFonts w:hint="eastAsia" w:ascii="宋体" w:hAnsi="宋体" w:cs="Times New Roman"/>
          <w:b/>
          <w:bCs/>
          <w:kern w:val="32"/>
          <w:sz w:val="24"/>
          <w:szCs w:val="24"/>
          <w:lang w:val="en-US" w:eastAsia="zh-CN" w:bidi="ar-SA"/>
        </w:rPr>
        <w:t>（一）采购需求清单</w:t>
      </w:r>
    </w:p>
    <w:p w14:paraId="2F0F8E79">
      <w:pPr>
        <w:jc w:val="center"/>
        <w:rPr>
          <w:rFonts w:hint="eastAsia"/>
          <w:sz w:val="24"/>
          <w:szCs w:val="32"/>
          <w:lang w:val="en-US" w:eastAsia="zh-CN"/>
        </w:rPr>
      </w:pPr>
      <w:r>
        <w:rPr>
          <w:rFonts w:hint="eastAsia"/>
          <w:sz w:val="24"/>
          <w:szCs w:val="32"/>
          <w:lang w:val="en-US" w:eastAsia="zh-CN"/>
        </w:rPr>
        <w:t>岳阳县东洞庭湖渔业资源增殖放流项目清单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721"/>
        <w:gridCol w:w="1541"/>
        <w:gridCol w:w="1739"/>
        <w:gridCol w:w="2522"/>
      </w:tblGrid>
      <w:tr w14:paraId="4FAF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3" w:type="dxa"/>
            <w:noWrap w:val="0"/>
            <w:vAlign w:val="center"/>
          </w:tcPr>
          <w:p w14:paraId="3D463193">
            <w:pPr>
              <w:numPr>
                <w:ilvl w:val="0"/>
                <w:numId w:val="0"/>
              </w:numPr>
              <w:jc w:val="center"/>
              <w:rPr>
                <w:rFonts w:hint="eastAsia"/>
                <w:vertAlign w:val="baseline"/>
                <w:lang w:val="en-US" w:eastAsia="zh-CN"/>
              </w:rPr>
            </w:pPr>
            <w:r>
              <w:rPr>
                <w:rFonts w:hint="eastAsia"/>
                <w:vertAlign w:val="baseline"/>
                <w:lang w:val="en-US" w:eastAsia="zh-CN"/>
              </w:rPr>
              <w:t>序号</w:t>
            </w:r>
          </w:p>
        </w:tc>
        <w:tc>
          <w:tcPr>
            <w:tcW w:w="1822" w:type="dxa"/>
            <w:noWrap w:val="0"/>
            <w:vAlign w:val="center"/>
          </w:tcPr>
          <w:p w14:paraId="6DC0A7FF">
            <w:pPr>
              <w:numPr>
                <w:ilvl w:val="0"/>
                <w:numId w:val="0"/>
              </w:numPr>
              <w:jc w:val="center"/>
              <w:rPr>
                <w:rFonts w:hint="eastAsia"/>
                <w:vertAlign w:val="baseline"/>
                <w:lang w:val="en-US" w:eastAsia="zh-CN"/>
              </w:rPr>
            </w:pPr>
            <w:r>
              <w:rPr>
                <w:rFonts w:hint="eastAsia"/>
                <w:vertAlign w:val="baseline"/>
                <w:lang w:val="en-US" w:eastAsia="zh-CN"/>
              </w:rPr>
              <w:t>品种</w:t>
            </w:r>
          </w:p>
        </w:tc>
        <w:tc>
          <w:tcPr>
            <w:tcW w:w="1626" w:type="dxa"/>
            <w:noWrap w:val="0"/>
            <w:vAlign w:val="center"/>
          </w:tcPr>
          <w:p w14:paraId="319B8B35">
            <w:pPr>
              <w:numPr>
                <w:ilvl w:val="0"/>
                <w:numId w:val="0"/>
              </w:numPr>
              <w:jc w:val="center"/>
              <w:rPr>
                <w:rFonts w:hint="eastAsia"/>
                <w:vertAlign w:val="baseline"/>
                <w:lang w:val="en-US" w:eastAsia="zh-CN"/>
              </w:rPr>
            </w:pPr>
            <w:r>
              <w:rPr>
                <w:rFonts w:hint="eastAsia"/>
                <w:vertAlign w:val="baseline"/>
                <w:lang w:val="en-US" w:eastAsia="zh-CN"/>
              </w:rPr>
              <w:t>数量（万尾）</w:t>
            </w:r>
          </w:p>
        </w:tc>
        <w:tc>
          <w:tcPr>
            <w:tcW w:w="1838" w:type="dxa"/>
            <w:noWrap w:val="0"/>
            <w:vAlign w:val="center"/>
          </w:tcPr>
          <w:p w14:paraId="510B3557">
            <w:pPr>
              <w:numPr>
                <w:ilvl w:val="0"/>
                <w:numId w:val="0"/>
              </w:numPr>
              <w:jc w:val="center"/>
              <w:rPr>
                <w:rFonts w:hint="eastAsia"/>
                <w:vertAlign w:val="baseline"/>
                <w:lang w:val="en-US" w:eastAsia="zh-CN"/>
              </w:rPr>
            </w:pPr>
            <w:r>
              <w:rPr>
                <w:rFonts w:hint="eastAsia"/>
                <w:vertAlign w:val="baseline"/>
                <w:lang w:val="en-US" w:eastAsia="zh-CN"/>
              </w:rPr>
              <w:t>规格（厘米）</w:t>
            </w:r>
          </w:p>
        </w:tc>
        <w:tc>
          <w:tcPr>
            <w:tcW w:w="2717" w:type="dxa"/>
            <w:noWrap w:val="0"/>
            <w:vAlign w:val="center"/>
          </w:tcPr>
          <w:p w14:paraId="189E84D1">
            <w:pPr>
              <w:numPr>
                <w:ilvl w:val="0"/>
                <w:numId w:val="0"/>
              </w:numPr>
              <w:jc w:val="center"/>
              <w:rPr>
                <w:rFonts w:hint="default"/>
                <w:vertAlign w:val="baseline"/>
                <w:lang w:val="en-US" w:eastAsia="zh-CN"/>
              </w:rPr>
            </w:pPr>
            <w:r>
              <w:rPr>
                <w:rFonts w:hint="eastAsia"/>
                <w:vertAlign w:val="baseline"/>
                <w:lang w:val="en-US" w:eastAsia="zh-CN"/>
              </w:rPr>
              <w:t>备注</w:t>
            </w:r>
          </w:p>
        </w:tc>
      </w:tr>
      <w:tr w14:paraId="0244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3" w:type="dxa"/>
            <w:noWrap w:val="0"/>
            <w:vAlign w:val="center"/>
          </w:tcPr>
          <w:p w14:paraId="5CFA2E6A">
            <w:pPr>
              <w:numPr>
                <w:ilvl w:val="0"/>
                <w:numId w:val="0"/>
              </w:numPr>
              <w:jc w:val="center"/>
              <w:rPr>
                <w:rFonts w:hint="default"/>
                <w:vertAlign w:val="baseline"/>
                <w:lang w:val="en-US" w:eastAsia="zh-CN"/>
              </w:rPr>
            </w:pPr>
            <w:r>
              <w:rPr>
                <w:rFonts w:hint="eastAsia"/>
                <w:vertAlign w:val="baseline"/>
                <w:lang w:val="en-US" w:eastAsia="zh-CN"/>
              </w:rPr>
              <w:t>1</w:t>
            </w:r>
          </w:p>
        </w:tc>
        <w:tc>
          <w:tcPr>
            <w:tcW w:w="1822" w:type="dxa"/>
            <w:noWrap w:val="0"/>
            <w:vAlign w:val="center"/>
          </w:tcPr>
          <w:p w14:paraId="56FBB3DC">
            <w:pPr>
              <w:numPr>
                <w:ilvl w:val="0"/>
                <w:numId w:val="0"/>
              </w:numPr>
              <w:ind w:left="0" w:leftChars="0" w:firstLine="0" w:firstLineChars="0"/>
              <w:jc w:val="center"/>
              <w:rPr>
                <w:rFonts w:hint="eastAsia"/>
                <w:highlight w:val="none"/>
                <w:vertAlign w:val="baseline"/>
                <w:lang w:val="en-US" w:eastAsia="zh-CN"/>
              </w:rPr>
            </w:pPr>
            <w:r>
              <w:rPr>
                <w:rFonts w:hint="eastAsia"/>
                <w:highlight w:val="none"/>
              </w:rPr>
              <w:t>青鱼</w:t>
            </w:r>
          </w:p>
        </w:tc>
        <w:tc>
          <w:tcPr>
            <w:tcW w:w="1626" w:type="dxa"/>
            <w:noWrap w:val="0"/>
            <w:vAlign w:val="center"/>
          </w:tcPr>
          <w:p w14:paraId="7354FD39">
            <w:pPr>
              <w:numPr>
                <w:ilvl w:val="0"/>
                <w:numId w:val="0"/>
              </w:numPr>
              <w:jc w:val="center"/>
              <w:rPr>
                <w:rFonts w:hint="default" w:eastAsia="宋体"/>
                <w:highlight w:val="none"/>
                <w:vertAlign w:val="baseline"/>
                <w:lang w:val="en-US" w:eastAsia="zh-CN"/>
              </w:rPr>
            </w:pPr>
            <w:r>
              <w:rPr>
                <w:rFonts w:hint="eastAsia"/>
                <w:highlight w:val="none"/>
                <w:lang w:val="en-US" w:eastAsia="zh-CN"/>
              </w:rPr>
              <w:t>20</w:t>
            </w:r>
          </w:p>
        </w:tc>
        <w:tc>
          <w:tcPr>
            <w:tcW w:w="1838" w:type="dxa"/>
            <w:noWrap w:val="0"/>
            <w:vAlign w:val="center"/>
          </w:tcPr>
          <w:p w14:paraId="34124DDE">
            <w:pPr>
              <w:numPr>
                <w:ilvl w:val="0"/>
                <w:numId w:val="0"/>
              </w:numPr>
              <w:jc w:val="center"/>
              <w:rPr>
                <w:rFonts w:hint="eastAsia"/>
                <w:vertAlign w:val="baseline"/>
                <w:lang w:val="en-US" w:eastAsia="zh-CN"/>
              </w:rPr>
            </w:pPr>
            <w:r>
              <w:rPr>
                <w:rFonts w:hint="eastAsia" w:ascii="宋体" w:hAnsi="宋体"/>
                <w:b w:val="0"/>
                <w:bCs w:val="0"/>
                <w:kern w:val="32"/>
                <w:sz w:val="24"/>
                <w:szCs w:val="24"/>
                <w:lang w:val="en-US" w:eastAsia="zh-CN"/>
              </w:rPr>
              <w:t>≥</w:t>
            </w:r>
            <w:r>
              <w:rPr>
                <w:rFonts w:hint="eastAsia"/>
              </w:rPr>
              <w:t>10cm</w:t>
            </w:r>
          </w:p>
        </w:tc>
        <w:tc>
          <w:tcPr>
            <w:tcW w:w="2717" w:type="dxa"/>
            <w:noWrap w:val="0"/>
            <w:vAlign w:val="center"/>
          </w:tcPr>
          <w:p w14:paraId="4214C4D7">
            <w:pPr>
              <w:numPr>
                <w:ilvl w:val="0"/>
                <w:numId w:val="0"/>
              </w:numPr>
              <w:jc w:val="center"/>
              <w:rPr>
                <w:rFonts w:hint="default" w:eastAsia="宋体"/>
                <w:lang w:val="en-US" w:eastAsia="zh-CN"/>
              </w:rPr>
            </w:pPr>
            <w:r>
              <w:rPr>
                <w:rFonts w:hint="eastAsia"/>
                <w:lang w:val="en-US" w:eastAsia="zh-CN"/>
              </w:rPr>
              <w:t>具体数量可根据实际分配调整</w:t>
            </w:r>
          </w:p>
        </w:tc>
      </w:tr>
      <w:tr w14:paraId="728E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3" w:type="dxa"/>
            <w:noWrap w:val="0"/>
            <w:vAlign w:val="center"/>
          </w:tcPr>
          <w:p w14:paraId="6B84AC94">
            <w:pPr>
              <w:numPr>
                <w:ilvl w:val="0"/>
                <w:numId w:val="0"/>
              </w:numPr>
              <w:jc w:val="center"/>
              <w:rPr>
                <w:rFonts w:hint="default"/>
                <w:vertAlign w:val="baseline"/>
                <w:lang w:val="en-US" w:eastAsia="zh-CN"/>
              </w:rPr>
            </w:pPr>
            <w:r>
              <w:rPr>
                <w:rFonts w:hint="eastAsia"/>
                <w:vertAlign w:val="baseline"/>
                <w:lang w:val="en-US" w:eastAsia="zh-CN"/>
              </w:rPr>
              <w:t>2</w:t>
            </w:r>
          </w:p>
        </w:tc>
        <w:tc>
          <w:tcPr>
            <w:tcW w:w="1822" w:type="dxa"/>
            <w:noWrap w:val="0"/>
            <w:vAlign w:val="center"/>
          </w:tcPr>
          <w:p w14:paraId="29B38C39">
            <w:pPr>
              <w:numPr>
                <w:ilvl w:val="0"/>
                <w:numId w:val="0"/>
              </w:numPr>
              <w:ind w:left="0" w:leftChars="0" w:firstLine="0" w:firstLineChars="0"/>
              <w:jc w:val="center"/>
              <w:rPr>
                <w:rFonts w:hint="eastAsia"/>
                <w:highlight w:val="none"/>
                <w:vertAlign w:val="baseline"/>
                <w:lang w:val="en-US" w:eastAsia="zh-CN"/>
              </w:rPr>
            </w:pPr>
            <w:r>
              <w:rPr>
                <w:rFonts w:hint="eastAsia"/>
                <w:highlight w:val="none"/>
              </w:rPr>
              <w:t>草鱼</w:t>
            </w:r>
          </w:p>
        </w:tc>
        <w:tc>
          <w:tcPr>
            <w:tcW w:w="1626" w:type="dxa"/>
            <w:noWrap w:val="0"/>
            <w:vAlign w:val="center"/>
          </w:tcPr>
          <w:p w14:paraId="5E59B3DC">
            <w:pPr>
              <w:numPr>
                <w:ilvl w:val="0"/>
                <w:numId w:val="0"/>
              </w:numPr>
              <w:jc w:val="center"/>
              <w:rPr>
                <w:rFonts w:hint="default" w:eastAsia="宋体"/>
                <w:highlight w:val="none"/>
                <w:vertAlign w:val="baseline"/>
                <w:lang w:val="en-US" w:eastAsia="zh-CN"/>
              </w:rPr>
            </w:pPr>
            <w:r>
              <w:rPr>
                <w:rFonts w:hint="eastAsia"/>
                <w:highlight w:val="none"/>
                <w:lang w:val="en-US" w:eastAsia="zh-CN"/>
              </w:rPr>
              <w:t>20</w:t>
            </w:r>
          </w:p>
        </w:tc>
        <w:tc>
          <w:tcPr>
            <w:tcW w:w="1838" w:type="dxa"/>
            <w:noWrap w:val="0"/>
            <w:vAlign w:val="center"/>
          </w:tcPr>
          <w:p w14:paraId="637E3105">
            <w:pPr>
              <w:numPr>
                <w:ilvl w:val="0"/>
                <w:numId w:val="0"/>
              </w:numPr>
              <w:jc w:val="center"/>
              <w:rPr>
                <w:rFonts w:hint="eastAsia"/>
                <w:vertAlign w:val="baseline"/>
                <w:lang w:val="en-US" w:eastAsia="zh-CN"/>
              </w:rPr>
            </w:pPr>
            <w:r>
              <w:rPr>
                <w:rFonts w:hint="eastAsia" w:ascii="宋体" w:hAnsi="宋体"/>
                <w:b w:val="0"/>
                <w:bCs w:val="0"/>
                <w:kern w:val="32"/>
                <w:sz w:val="24"/>
                <w:szCs w:val="24"/>
                <w:lang w:val="en-US" w:eastAsia="zh-CN"/>
              </w:rPr>
              <w:t>≥</w:t>
            </w:r>
            <w:r>
              <w:rPr>
                <w:rFonts w:hint="eastAsia"/>
              </w:rPr>
              <w:t>10cm</w:t>
            </w:r>
          </w:p>
        </w:tc>
        <w:tc>
          <w:tcPr>
            <w:tcW w:w="2717" w:type="dxa"/>
            <w:noWrap w:val="0"/>
            <w:vAlign w:val="center"/>
          </w:tcPr>
          <w:p w14:paraId="3B77C6E2">
            <w:pPr>
              <w:numPr>
                <w:ilvl w:val="0"/>
                <w:numId w:val="0"/>
              </w:numPr>
              <w:jc w:val="center"/>
              <w:rPr>
                <w:rFonts w:hint="eastAsia"/>
              </w:rPr>
            </w:pPr>
            <w:r>
              <w:rPr>
                <w:rFonts w:hint="eastAsia"/>
                <w:lang w:val="en-US" w:eastAsia="zh-CN"/>
              </w:rPr>
              <w:t>具体数量可根据实际分配调整</w:t>
            </w:r>
          </w:p>
        </w:tc>
      </w:tr>
      <w:tr w14:paraId="72BA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3" w:type="dxa"/>
            <w:noWrap w:val="0"/>
            <w:vAlign w:val="center"/>
          </w:tcPr>
          <w:p w14:paraId="043B1F1C">
            <w:pPr>
              <w:numPr>
                <w:ilvl w:val="0"/>
                <w:numId w:val="0"/>
              </w:numPr>
              <w:jc w:val="center"/>
              <w:rPr>
                <w:rFonts w:hint="default"/>
                <w:vertAlign w:val="baseline"/>
                <w:lang w:val="en-US" w:eastAsia="zh-CN"/>
              </w:rPr>
            </w:pPr>
            <w:r>
              <w:rPr>
                <w:rFonts w:hint="eastAsia"/>
                <w:vertAlign w:val="baseline"/>
                <w:lang w:val="en-US" w:eastAsia="zh-CN"/>
              </w:rPr>
              <w:t>3</w:t>
            </w:r>
          </w:p>
        </w:tc>
        <w:tc>
          <w:tcPr>
            <w:tcW w:w="1822" w:type="dxa"/>
            <w:noWrap w:val="0"/>
            <w:vAlign w:val="center"/>
          </w:tcPr>
          <w:p w14:paraId="167ED4B7">
            <w:pPr>
              <w:numPr>
                <w:ilvl w:val="0"/>
                <w:numId w:val="0"/>
              </w:numPr>
              <w:ind w:left="0" w:leftChars="0" w:firstLine="0" w:firstLineChars="0"/>
              <w:jc w:val="center"/>
              <w:rPr>
                <w:rFonts w:hint="eastAsia" w:eastAsia="宋体"/>
                <w:highlight w:val="none"/>
                <w:vertAlign w:val="baseline"/>
                <w:lang w:val="en-US" w:eastAsia="zh-CN"/>
              </w:rPr>
            </w:pPr>
            <w:r>
              <w:rPr>
                <w:rFonts w:hint="eastAsia"/>
                <w:highlight w:val="none"/>
              </w:rPr>
              <w:t>鲢鱼</w:t>
            </w:r>
            <w:r>
              <w:rPr>
                <w:rFonts w:hint="eastAsia"/>
                <w:highlight w:val="none"/>
                <w:lang w:eastAsia="zh-CN"/>
              </w:rPr>
              <w:t>（</w:t>
            </w:r>
            <w:r>
              <w:rPr>
                <w:rFonts w:hint="eastAsia"/>
                <w:highlight w:val="none"/>
                <w:lang w:val="en-US" w:eastAsia="zh-CN"/>
              </w:rPr>
              <w:t>白</w:t>
            </w:r>
            <w:r>
              <w:rPr>
                <w:rFonts w:hint="eastAsia"/>
                <w:highlight w:val="none"/>
              </w:rPr>
              <w:t>鲢</w:t>
            </w:r>
            <w:r>
              <w:rPr>
                <w:rFonts w:hint="eastAsia"/>
                <w:highlight w:val="none"/>
                <w:lang w:eastAsia="zh-CN"/>
              </w:rPr>
              <w:t>）</w:t>
            </w:r>
          </w:p>
        </w:tc>
        <w:tc>
          <w:tcPr>
            <w:tcW w:w="1626" w:type="dxa"/>
            <w:noWrap w:val="0"/>
            <w:vAlign w:val="center"/>
          </w:tcPr>
          <w:p w14:paraId="64AFD0C8">
            <w:pPr>
              <w:numPr>
                <w:ilvl w:val="0"/>
                <w:numId w:val="0"/>
              </w:numPr>
              <w:jc w:val="center"/>
              <w:rPr>
                <w:rFonts w:hint="eastAsia"/>
                <w:highlight w:val="none"/>
                <w:vertAlign w:val="baseline"/>
                <w:lang w:val="en-US" w:eastAsia="zh-CN"/>
              </w:rPr>
            </w:pPr>
            <w:r>
              <w:rPr>
                <w:rFonts w:hint="eastAsia"/>
                <w:highlight w:val="none"/>
              </w:rPr>
              <w:t>20</w:t>
            </w:r>
          </w:p>
        </w:tc>
        <w:tc>
          <w:tcPr>
            <w:tcW w:w="1838" w:type="dxa"/>
            <w:noWrap w:val="0"/>
            <w:vAlign w:val="center"/>
          </w:tcPr>
          <w:p w14:paraId="26961A3C">
            <w:pPr>
              <w:numPr>
                <w:ilvl w:val="0"/>
                <w:numId w:val="0"/>
              </w:numPr>
              <w:jc w:val="center"/>
              <w:rPr>
                <w:rFonts w:hint="eastAsia"/>
                <w:vertAlign w:val="baseline"/>
                <w:lang w:val="en-US" w:eastAsia="zh-CN"/>
              </w:rPr>
            </w:pPr>
            <w:r>
              <w:rPr>
                <w:rFonts w:hint="eastAsia" w:ascii="宋体" w:hAnsi="宋体"/>
                <w:b w:val="0"/>
                <w:bCs w:val="0"/>
                <w:kern w:val="32"/>
                <w:sz w:val="24"/>
                <w:szCs w:val="24"/>
                <w:lang w:val="en-US" w:eastAsia="zh-CN"/>
              </w:rPr>
              <w:t>≥</w:t>
            </w:r>
            <w:r>
              <w:rPr>
                <w:rFonts w:hint="eastAsia"/>
              </w:rPr>
              <w:t>10cm</w:t>
            </w:r>
          </w:p>
        </w:tc>
        <w:tc>
          <w:tcPr>
            <w:tcW w:w="2717" w:type="dxa"/>
            <w:noWrap w:val="0"/>
            <w:vAlign w:val="center"/>
          </w:tcPr>
          <w:p w14:paraId="53827689">
            <w:pPr>
              <w:numPr>
                <w:ilvl w:val="0"/>
                <w:numId w:val="0"/>
              </w:numPr>
              <w:jc w:val="center"/>
              <w:rPr>
                <w:rFonts w:hint="eastAsia"/>
              </w:rPr>
            </w:pPr>
            <w:r>
              <w:rPr>
                <w:rFonts w:hint="eastAsia"/>
                <w:lang w:val="en-US" w:eastAsia="zh-CN"/>
              </w:rPr>
              <w:t>具体数量可根据实际分配调整</w:t>
            </w:r>
          </w:p>
        </w:tc>
      </w:tr>
      <w:tr w14:paraId="4C4D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053" w:type="dxa"/>
            <w:noWrap w:val="0"/>
            <w:vAlign w:val="center"/>
          </w:tcPr>
          <w:p w14:paraId="4151FA00">
            <w:pPr>
              <w:numPr>
                <w:ilvl w:val="0"/>
                <w:numId w:val="0"/>
              </w:numPr>
              <w:jc w:val="center"/>
              <w:rPr>
                <w:rFonts w:hint="default"/>
                <w:vertAlign w:val="baseline"/>
                <w:lang w:val="en-US" w:eastAsia="zh-CN"/>
              </w:rPr>
            </w:pPr>
            <w:r>
              <w:rPr>
                <w:rFonts w:hint="eastAsia"/>
                <w:vertAlign w:val="baseline"/>
                <w:lang w:val="en-US" w:eastAsia="zh-CN"/>
              </w:rPr>
              <w:t>4</w:t>
            </w:r>
          </w:p>
        </w:tc>
        <w:tc>
          <w:tcPr>
            <w:tcW w:w="1822" w:type="dxa"/>
            <w:noWrap w:val="0"/>
            <w:vAlign w:val="center"/>
          </w:tcPr>
          <w:p w14:paraId="128571DB">
            <w:pPr>
              <w:numPr>
                <w:ilvl w:val="0"/>
                <w:numId w:val="0"/>
              </w:numPr>
              <w:ind w:left="0" w:leftChars="0" w:firstLine="0" w:firstLineChars="0"/>
              <w:jc w:val="center"/>
              <w:rPr>
                <w:rFonts w:hint="eastAsia" w:eastAsia="宋体"/>
                <w:highlight w:val="none"/>
                <w:vertAlign w:val="baseline"/>
                <w:lang w:val="en-US" w:eastAsia="zh-CN"/>
              </w:rPr>
            </w:pPr>
            <w:r>
              <w:rPr>
                <w:rFonts w:hint="eastAsia"/>
                <w:highlight w:val="none"/>
              </w:rPr>
              <w:t>鳙鱼</w:t>
            </w:r>
            <w:r>
              <w:rPr>
                <w:rFonts w:hint="eastAsia"/>
                <w:highlight w:val="none"/>
                <w:lang w:eastAsia="zh-CN"/>
              </w:rPr>
              <w:t>（</w:t>
            </w:r>
            <w:r>
              <w:rPr>
                <w:rFonts w:hint="eastAsia"/>
                <w:highlight w:val="none"/>
                <w:lang w:val="en-US" w:eastAsia="zh-CN"/>
              </w:rPr>
              <w:t>花</w:t>
            </w:r>
            <w:r>
              <w:rPr>
                <w:rFonts w:hint="eastAsia"/>
                <w:highlight w:val="none"/>
              </w:rPr>
              <w:t>鲢</w:t>
            </w:r>
            <w:r>
              <w:rPr>
                <w:rFonts w:hint="eastAsia"/>
                <w:highlight w:val="none"/>
                <w:lang w:eastAsia="zh-CN"/>
              </w:rPr>
              <w:t>）</w:t>
            </w:r>
          </w:p>
        </w:tc>
        <w:tc>
          <w:tcPr>
            <w:tcW w:w="1626" w:type="dxa"/>
            <w:noWrap w:val="0"/>
            <w:vAlign w:val="center"/>
          </w:tcPr>
          <w:p w14:paraId="2A0D521F">
            <w:pPr>
              <w:numPr>
                <w:ilvl w:val="0"/>
                <w:numId w:val="0"/>
              </w:numPr>
              <w:jc w:val="center"/>
              <w:rPr>
                <w:rFonts w:hint="eastAsia"/>
                <w:highlight w:val="none"/>
                <w:vertAlign w:val="baseline"/>
                <w:lang w:val="en-US" w:eastAsia="zh-CN"/>
              </w:rPr>
            </w:pPr>
            <w:r>
              <w:rPr>
                <w:rFonts w:hint="eastAsia"/>
                <w:highlight w:val="none"/>
              </w:rPr>
              <w:t>20</w:t>
            </w:r>
          </w:p>
        </w:tc>
        <w:tc>
          <w:tcPr>
            <w:tcW w:w="1838" w:type="dxa"/>
            <w:noWrap w:val="0"/>
            <w:vAlign w:val="center"/>
          </w:tcPr>
          <w:p w14:paraId="34630C01">
            <w:pPr>
              <w:numPr>
                <w:ilvl w:val="0"/>
                <w:numId w:val="0"/>
              </w:numPr>
              <w:jc w:val="center"/>
              <w:rPr>
                <w:rFonts w:hint="eastAsia"/>
                <w:vertAlign w:val="baseline"/>
                <w:lang w:val="en-US" w:eastAsia="zh-CN"/>
              </w:rPr>
            </w:pPr>
            <w:r>
              <w:rPr>
                <w:rFonts w:hint="eastAsia" w:ascii="宋体" w:hAnsi="宋体"/>
                <w:b w:val="0"/>
                <w:bCs w:val="0"/>
                <w:kern w:val="32"/>
                <w:sz w:val="24"/>
                <w:szCs w:val="24"/>
                <w:lang w:val="en-US" w:eastAsia="zh-CN"/>
              </w:rPr>
              <w:t>≥</w:t>
            </w:r>
            <w:r>
              <w:rPr>
                <w:rFonts w:hint="eastAsia"/>
              </w:rPr>
              <w:t>10cm</w:t>
            </w:r>
          </w:p>
        </w:tc>
        <w:tc>
          <w:tcPr>
            <w:tcW w:w="2717" w:type="dxa"/>
            <w:noWrap w:val="0"/>
            <w:vAlign w:val="center"/>
          </w:tcPr>
          <w:p w14:paraId="2F799191">
            <w:pPr>
              <w:numPr>
                <w:ilvl w:val="0"/>
                <w:numId w:val="0"/>
              </w:numPr>
              <w:jc w:val="center"/>
              <w:rPr>
                <w:rFonts w:hint="eastAsia"/>
              </w:rPr>
            </w:pPr>
            <w:r>
              <w:rPr>
                <w:rFonts w:hint="eastAsia"/>
                <w:lang w:val="en-US" w:eastAsia="zh-CN"/>
              </w:rPr>
              <w:t>具体数量可根据实际分配调整</w:t>
            </w:r>
          </w:p>
        </w:tc>
      </w:tr>
      <w:tr w14:paraId="32E9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53" w:type="dxa"/>
            <w:noWrap w:val="0"/>
            <w:vAlign w:val="center"/>
          </w:tcPr>
          <w:p w14:paraId="2277E502">
            <w:pPr>
              <w:numPr>
                <w:ilvl w:val="0"/>
                <w:numId w:val="0"/>
              </w:numPr>
              <w:jc w:val="center"/>
              <w:rPr>
                <w:rFonts w:hint="eastAsia"/>
                <w:vertAlign w:val="baseline"/>
                <w:lang w:val="en-US" w:eastAsia="zh-CN"/>
              </w:rPr>
            </w:pPr>
            <w:r>
              <w:rPr>
                <w:rFonts w:hint="eastAsia"/>
                <w:vertAlign w:val="baseline"/>
                <w:lang w:val="en-US" w:eastAsia="zh-CN"/>
              </w:rPr>
              <w:t>小计</w:t>
            </w:r>
          </w:p>
        </w:tc>
        <w:tc>
          <w:tcPr>
            <w:tcW w:w="1822" w:type="dxa"/>
            <w:noWrap w:val="0"/>
            <w:vAlign w:val="center"/>
          </w:tcPr>
          <w:p w14:paraId="47A9D435">
            <w:pPr>
              <w:numPr>
                <w:ilvl w:val="0"/>
                <w:numId w:val="0"/>
              </w:numPr>
              <w:jc w:val="center"/>
              <w:rPr>
                <w:rFonts w:hint="eastAsia"/>
                <w:vertAlign w:val="baseline"/>
                <w:lang w:val="en-US" w:eastAsia="zh-CN"/>
              </w:rPr>
            </w:pPr>
          </w:p>
        </w:tc>
        <w:tc>
          <w:tcPr>
            <w:tcW w:w="1626" w:type="dxa"/>
            <w:noWrap w:val="0"/>
            <w:vAlign w:val="center"/>
          </w:tcPr>
          <w:p w14:paraId="300E7344">
            <w:pPr>
              <w:numPr>
                <w:ilvl w:val="0"/>
                <w:numId w:val="0"/>
              </w:numPr>
              <w:jc w:val="center"/>
              <w:rPr>
                <w:rFonts w:hint="eastAsia"/>
                <w:vertAlign w:val="baseline"/>
                <w:lang w:val="en-US" w:eastAsia="zh-CN"/>
              </w:rPr>
            </w:pPr>
            <w:r>
              <w:rPr>
                <w:rFonts w:hint="eastAsia"/>
              </w:rPr>
              <w:t>80</w:t>
            </w:r>
          </w:p>
        </w:tc>
        <w:tc>
          <w:tcPr>
            <w:tcW w:w="1838" w:type="dxa"/>
            <w:noWrap w:val="0"/>
            <w:vAlign w:val="center"/>
          </w:tcPr>
          <w:p w14:paraId="7F91EB4C">
            <w:pPr>
              <w:numPr>
                <w:ilvl w:val="0"/>
                <w:numId w:val="0"/>
              </w:numPr>
              <w:jc w:val="center"/>
              <w:rPr>
                <w:rFonts w:hint="eastAsia"/>
                <w:vertAlign w:val="baseline"/>
                <w:lang w:val="en-US" w:eastAsia="zh-CN"/>
              </w:rPr>
            </w:pPr>
          </w:p>
        </w:tc>
        <w:tc>
          <w:tcPr>
            <w:tcW w:w="2717" w:type="dxa"/>
            <w:noWrap w:val="0"/>
            <w:vAlign w:val="center"/>
          </w:tcPr>
          <w:p w14:paraId="217A765F">
            <w:pPr>
              <w:numPr>
                <w:ilvl w:val="0"/>
                <w:numId w:val="0"/>
              </w:numPr>
              <w:jc w:val="center"/>
              <w:rPr>
                <w:rFonts w:hint="eastAsia"/>
                <w:vertAlign w:val="baseline"/>
                <w:lang w:val="en-US" w:eastAsia="zh-CN"/>
              </w:rPr>
            </w:pPr>
          </w:p>
        </w:tc>
      </w:tr>
    </w:tbl>
    <w:p w14:paraId="6285E813">
      <w:pPr>
        <w:numPr>
          <w:ilvl w:val="0"/>
          <w:numId w:val="0"/>
        </w:numPr>
        <w:rPr>
          <w:rFonts w:hint="eastAsia"/>
          <w:lang w:val="en-US" w:eastAsia="zh-CN"/>
        </w:rPr>
      </w:pPr>
    </w:p>
    <w:p w14:paraId="544B959B">
      <w:pPr>
        <w:jc w:val="center"/>
        <w:outlineLvl w:val="0"/>
        <w:rPr>
          <w:rFonts w:hint="eastAsia" w:ascii="华文中宋" w:hAnsi="华文中宋" w:eastAsia="华文中宋" w:cs="华文中宋"/>
          <w:b/>
          <w:sz w:val="32"/>
          <w:szCs w:val="32"/>
        </w:rPr>
      </w:pPr>
    </w:p>
    <w:p w14:paraId="4F8735C0">
      <w:pPr>
        <w:spacing w:line="360" w:lineRule="auto"/>
        <w:rPr>
          <w:rFonts w:hint="eastAsia" w:ascii="宋体" w:hAnsi="宋体" w:cs="Times New Roman"/>
          <w:b/>
          <w:bCs/>
          <w:kern w:val="32"/>
          <w:sz w:val="24"/>
          <w:szCs w:val="24"/>
          <w:lang w:val="en-US" w:eastAsia="zh-CN" w:bidi="ar-SA"/>
        </w:rPr>
      </w:pPr>
      <w:r>
        <w:rPr>
          <w:rFonts w:hint="eastAsia" w:ascii="宋体" w:hAnsi="宋体" w:cs="Times New Roman"/>
          <w:b/>
          <w:bCs/>
          <w:kern w:val="32"/>
          <w:sz w:val="24"/>
          <w:szCs w:val="24"/>
          <w:lang w:val="en-US" w:eastAsia="zh-CN" w:bidi="ar-SA"/>
        </w:rPr>
        <w:t>(二)、鱼苗的质量标准要求</w:t>
      </w:r>
    </w:p>
    <w:p w14:paraId="023D748E">
      <w:pPr>
        <w:numPr>
          <w:ilvl w:val="0"/>
          <w:numId w:val="0"/>
        </w:numPr>
        <w:spacing w:line="360" w:lineRule="auto"/>
        <w:rPr>
          <w:rFonts w:hint="eastAsia" w:ascii="宋体" w:hAnsi="宋体"/>
          <w:b w:val="0"/>
          <w:bCs w:val="0"/>
          <w:kern w:val="32"/>
          <w:sz w:val="24"/>
          <w:szCs w:val="24"/>
          <w:lang w:val="en-US" w:eastAsia="zh-CN"/>
        </w:rPr>
      </w:pPr>
      <w:r>
        <w:rPr>
          <w:rFonts w:hint="eastAsia"/>
          <w:lang w:val="en-US" w:eastAsia="zh-CN"/>
        </w:rPr>
        <w:t>▲</w:t>
      </w:r>
      <w:r>
        <w:rPr>
          <w:rFonts w:hint="eastAsia" w:ascii="宋体" w:hAnsi="宋体"/>
          <w:b w:val="0"/>
          <w:bCs w:val="0"/>
          <w:kern w:val="32"/>
          <w:sz w:val="24"/>
          <w:szCs w:val="24"/>
          <w:lang w:val="en-US" w:eastAsia="zh-CN"/>
        </w:rPr>
        <w:t>1.种源要求:苗种必须为本地种或长江水系鱼种，符合水域生态环境适应性要求。</w:t>
      </w:r>
    </w:p>
    <w:p w14:paraId="1DC85F5E">
      <w:pPr>
        <w:numPr>
          <w:ilvl w:val="0"/>
          <w:numId w:val="0"/>
        </w:numPr>
        <w:spacing w:line="360" w:lineRule="auto"/>
        <w:rPr>
          <w:rFonts w:hint="eastAsia" w:ascii="宋体" w:hAnsi="宋体"/>
          <w:b w:val="0"/>
          <w:bCs w:val="0"/>
          <w:kern w:val="32"/>
          <w:sz w:val="24"/>
          <w:szCs w:val="24"/>
          <w:lang w:val="en-US" w:eastAsia="zh-CN"/>
        </w:rPr>
      </w:pPr>
      <w:r>
        <w:rPr>
          <w:rFonts w:hint="eastAsia"/>
          <w:lang w:val="en-US" w:eastAsia="zh-CN"/>
        </w:rPr>
        <w:t>▲</w:t>
      </w:r>
      <w:r>
        <w:rPr>
          <w:rFonts w:hint="eastAsia" w:ascii="宋体" w:hAnsi="宋体"/>
          <w:b w:val="0"/>
          <w:bCs w:val="0"/>
          <w:kern w:val="32"/>
          <w:sz w:val="24"/>
          <w:szCs w:val="24"/>
          <w:lang w:val="en-US" w:eastAsia="zh-CN"/>
        </w:rPr>
        <w:t>2.规格要求:苗种规格≥10cm/尾，个体规格整齐一致，差异不超过士10%。</w:t>
      </w:r>
    </w:p>
    <w:p w14:paraId="00B7B6CB">
      <w:pPr>
        <w:numPr>
          <w:ilvl w:val="0"/>
          <w:numId w:val="0"/>
        </w:numPr>
        <w:spacing w:line="360" w:lineRule="auto"/>
        <w:rPr>
          <w:rFonts w:hint="eastAsia" w:ascii="宋体" w:hAnsi="宋体"/>
          <w:b w:val="0"/>
          <w:bCs w:val="0"/>
          <w:kern w:val="32"/>
          <w:sz w:val="24"/>
          <w:szCs w:val="24"/>
          <w:lang w:val="en-US" w:eastAsia="zh-CN"/>
        </w:rPr>
      </w:pPr>
      <w:r>
        <w:rPr>
          <w:rFonts w:hint="eastAsia"/>
          <w:lang w:val="en-US" w:eastAsia="zh-CN"/>
        </w:rPr>
        <w:t>▲</w:t>
      </w:r>
      <w:r>
        <w:rPr>
          <w:rFonts w:hint="eastAsia" w:ascii="宋体" w:hAnsi="宋体"/>
          <w:b w:val="0"/>
          <w:bCs w:val="0"/>
          <w:kern w:val="32"/>
          <w:sz w:val="24"/>
          <w:szCs w:val="24"/>
          <w:lang w:val="en-US" w:eastAsia="zh-CN"/>
        </w:rPr>
        <w:t>3.质量要求:色泽正常、体质健壮、无损伤、无畸形、无禁用药物残留，成活率达到95%以上。</w:t>
      </w:r>
    </w:p>
    <w:p w14:paraId="76A0FB3A">
      <w:pPr>
        <w:numPr>
          <w:ilvl w:val="0"/>
          <w:numId w:val="0"/>
        </w:numPr>
        <w:spacing w:line="360" w:lineRule="auto"/>
        <w:rPr>
          <w:rFonts w:hint="eastAsia" w:ascii="宋体" w:hAnsi="宋体"/>
          <w:b w:val="0"/>
          <w:bCs w:val="0"/>
          <w:kern w:val="32"/>
          <w:sz w:val="24"/>
          <w:szCs w:val="24"/>
          <w:lang w:val="en-US" w:eastAsia="zh-CN"/>
        </w:rPr>
      </w:pPr>
      <w:r>
        <w:rPr>
          <w:rFonts w:hint="eastAsia"/>
          <w:lang w:val="en-US" w:eastAsia="zh-CN"/>
        </w:rPr>
        <w:t>▲</w:t>
      </w:r>
      <w:r>
        <w:rPr>
          <w:rFonts w:hint="eastAsia" w:ascii="宋体" w:hAnsi="宋体"/>
          <w:b w:val="0"/>
          <w:bCs w:val="0"/>
          <w:kern w:val="32"/>
          <w:sz w:val="24"/>
          <w:szCs w:val="24"/>
          <w:lang w:val="en-US" w:eastAsia="zh-CN"/>
        </w:rPr>
        <w:t>4.检疫要求:苗种必须经过水产苗种产地检疫，出具检疫合格证明。</w:t>
      </w:r>
    </w:p>
    <w:p w14:paraId="61E3EAA0">
      <w:pPr>
        <w:numPr>
          <w:ilvl w:val="0"/>
          <w:numId w:val="0"/>
        </w:numPr>
        <w:spacing w:line="360" w:lineRule="auto"/>
        <w:rPr>
          <w:rFonts w:hint="eastAsia" w:ascii="宋体" w:hAnsi="宋体"/>
          <w:b w:val="0"/>
          <w:bCs w:val="0"/>
          <w:kern w:val="32"/>
          <w:sz w:val="24"/>
          <w:szCs w:val="24"/>
          <w:lang w:val="en-US" w:eastAsia="zh-CN"/>
        </w:rPr>
      </w:pPr>
      <w:r>
        <w:rPr>
          <w:rFonts w:hint="eastAsia"/>
          <w:lang w:val="en-US" w:eastAsia="zh-CN"/>
        </w:rPr>
        <w:t>▲</w:t>
      </w:r>
      <w:r>
        <w:rPr>
          <w:rFonts w:hint="eastAsia" w:ascii="宋体" w:hAnsi="宋体"/>
          <w:b w:val="0"/>
          <w:bCs w:val="0"/>
          <w:kern w:val="32"/>
          <w:sz w:val="24"/>
          <w:szCs w:val="24"/>
          <w:lang w:val="en-US" w:eastAsia="zh-CN"/>
        </w:rPr>
        <w:t>5.供货要求:成交单位自备运输车辆及保护措施，承担运输过程中的全部风险及损耗。</w:t>
      </w:r>
    </w:p>
    <w:p w14:paraId="224FA809">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(三)、保险</w:t>
      </w:r>
    </w:p>
    <w:p w14:paraId="56C780CF">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成交供应商负责其派出的人员的人身意外保险。</w:t>
      </w:r>
    </w:p>
    <w:p w14:paraId="5B5AD32C">
      <w:pPr>
        <w:numPr>
          <w:ilvl w:val="0"/>
          <w:numId w:val="0"/>
        </w:num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三、商务要求</w:t>
      </w:r>
    </w:p>
    <w:p w14:paraId="57DBD928">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(一)、报价要求</w:t>
      </w:r>
    </w:p>
    <w:p w14:paraId="6F2AF877">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1、本项目执行总价包干，成交供应商不得以任何理由在项目招标范围内提出增加费用的要求，否则采购人有权不予签订政府采购合同，并可向成交供应商索赔因此而造成的损失。</w:t>
      </w:r>
    </w:p>
    <w:p w14:paraId="79416D1F">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2、本次报价须为人民币报价，包含:项目所有费用(货物费、利润、管理费、风险费、搬运费、转运费、费(不含购置税)、劳务费、运输费及相关伴随服务等所有完成本项目相关的一切费用)。如一旦中标，在项目实施中出现任何遗漏，均由成交供应商免费提供，采购人不再支付任何费用。</w:t>
      </w:r>
    </w:p>
    <w:p w14:paraId="1D04C71A">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3、投标人在投标报价表上，应标明拟提供产品的单价和总价，若单价和数量的乘积与总价不符，则以单价为准。只允许有一个报价，任何有可供选择的报价，招标人将不予接受。</w:t>
      </w:r>
    </w:p>
    <w:p w14:paraId="27313B30">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(二)项目交付、验收及结算</w:t>
      </w:r>
    </w:p>
    <w:p w14:paraId="7B1663EF">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1、交付时间与地点:</w:t>
      </w:r>
    </w:p>
    <w:p w14:paraId="1C94FE4F">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1.1交付时间:合同签订30天内接采购人通知，在规定的时间内交付。</w:t>
      </w:r>
    </w:p>
    <w:p w14:paraId="189237D2">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1.2交付地点:岳阳县（飘尾码头）。</w:t>
      </w:r>
    </w:p>
    <w:p w14:paraId="39A3D741">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1.3交付方式:按合同约定时间将所有鱼苗投放到各指定地点（水车带氧运输）；</w:t>
      </w:r>
    </w:p>
    <w:p w14:paraId="577FD39E">
      <w:pPr>
        <w:numPr>
          <w:ilvl w:val="0"/>
          <w:numId w:val="1"/>
        </w:numPr>
        <w:spacing w:line="360" w:lineRule="auto"/>
        <w:rPr>
          <w:rFonts w:hint="eastAsia"/>
          <w:lang w:val="en-US" w:eastAsia="zh-CN"/>
        </w:rPr>
      </w:pPr>
      <w:r>
        <w:rPr>
          <w:rFonts w:hint="eastAsia" w:ascii="宋体" w:hAnsi="宋体"/>
          <w:b w:val="0"/>
          <w:bCs w:val="0"/>
          <w:kern w:val="32"/>
          <w:sz w:val="24"/>
          <w:szCs w:val="24"/>
          <w:lang w:val="en-US" w:eastAsia="zh-CN"/>
        </w:rPr>
        <w:t>验收方式:验收标准按行业具体要求进行验收，供货人须严格按要求供货，供货产品与要求必须一致，否则不予验收。采购方相关人员到供应商渔场现场过数或供应商将鱼种运到采购方指定地点后采购方现场过数。</w:t>
      </w:r>
    </w:p>
    <w:p w14:paraId="792011A7">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3、结算方法:</w:t>
      </w:r>
    </w:p>
    <w:p w14:paraId="3FA63399">
      <w:pPr>
        <w:numPr>
          <w:ilvl w:val="0"/>
          <w:numId w:val="0"/>
        </w:numPr>
        <w:spacing w:line="360" w:lineRule="auto"/>
        <w:rPr>
          <w:rFonts w:hint="eastAsia" w:ascii="宋体" w:hAnsi="宋体"/>
          <w:b w:val="0"/>
          <w:bCs w:val="0"/>
          <w:kern w:val="32"/>
          <w:sz w:val="24"/>
          <w:szCs w:val="24"/>
          <w:lang w:val="en-US" w:eastAsia="zh-CN"/>
        </w:rPr>
      </w:pPr>
      <w:r>
        <w:rPr>
          <w:rFonts w:hint="eastAsia" w:ascii="宋体" w:hAnsi="宋体"/>
          <w:b w:val="0"/>
          <w:bCs w:val="0"/>
          <w:kern w:val="32"/>
          <w:sz w:val="24"/>
          <w:szCs w:val="24"/>
          <w:lang w:val="en-US" w:eastAsia="zh-CN"/>
        </w:rPr>
        <w:t>3.1付款人:岳阳县东洞庭湖事务中心</w:t>
      </w:r>
    </w:p>
    <w:p w14:paraId="48B49C19">
      <w:pPr>
        <w:numPr>
          <w:ilvl w:val="0"/>
          <w:numId w:val="0"/>
        </w:numPr>
        <w:spacing w:line="360" w:lineRule="auto"/>
        <w:rPr>
          <w:rFonts w:hint="eastAsia" w:ascii="宋体" w:hAnsi="宋体"/>
          <w:b w:val="0"/>
          <w:bCs w:val="0"/>
          <w:kern w:val="32"/>
          <w:sz w:val="24"/>
          <w:szCs w:val="24"/>
          <w:highlight w:val="none"/>
          <w:lang w:val="en-US" w:eastAsia="zh-CN"/>
        </w:rPr>
      </w:pPr>
      <w:r>
        <w:rPr>
          <w:rFonts w:hint="eastAsia" w:ascii="宋体" w:hAnsi="宋体"/>
          <w:b w:val="0"/>
          <w:bCs w:val="0"/>
          <w:kern w:val="32"/>
          <w:sz w:val="24"/>
          <w:szCs w:val="24"/>
          <w:highlight w:val="none"/>
          <w:lang w:val="en-US" w:eastAsia="zh-CN"/>
        </w:rPr>
        <w:t>3.2付款方式:经对鱼苗的数量、规格和质量现场验收合格后15个工作日内付清货款。对公开发票</w:t>
      </w:r>
    </w:p>
    <w:p w14:paraId="3221B612">
      <w:pPr>
        <w:pStyle w:val="7"/>
        <w:spacing w:line="360" w:lineRule="auto"/>
        <w:ind w:left="0" w:leftChars="0" w:firstLine="0" w:firstLineChars="0"/>
        <w:rPr>
          <w:rFonts w:hint="default"/>
          <w:lang w:val="en-US" w:eastAsia="zh-CN"/>
        </w:rPr>
      </w:pPr>
      <w:r>
        <w:rPr>
          <w:rFonts w:hint="eastAsia" w:ascii="宋体" w:hAnsi="宋体"/>
          <w:b w:val="0"/>
          <w:bCs w:val="0"/>
          <w:kern w:val="32"/>
          <w:sz w:val="24"/>
          <w:szCs w:val="24"/>
          <w:lang w:val="en-US" w:eastAsia="zh-CN"/>
        </w:rPr>
        <w:t>4、本项目执行总价包干，投标人最后报价包括成本、利润、税收、运输、后服等所有费用。如一旦中标，在项目实施中出现任何遗漏，均由成交供应商免费提供，采购人不再支付任何费用。</w:t>
      </w:r>
    </w:p>
    <w:p w14:paraId="52D854C6">
      <w:pPr>
        <w:bidi w:val="0"/>
        <w:spacing w:line="360" w:lineRule="auto"/>
        <w:rPr>
          <w:rFonts w:hint="eastAsia" w:ascii="宋体" w:hAnsi="宋体" w:eastAsia="宋体" w:cs="宋体"/>
          <w:sz w:val="24"/>
          <w:szCs w:val="24"/>
        </w:rPr>
      </w:pPr>
      <w:r>
        <w:rPr>
          <w:rFonts w:hint="eastAsia" w:ascii="宋体" w:hAnsi="宋体" w:eastAsia="宋体" w:cs="宋体"/>
          <w:sz w:val="24"/>
          <w:szCs w:val="24"/>
        </w:rPr>
        <w:t>(三)履约验收方式:</w:t>
      </w:r>
    </w:p>
    <w:p w14:paraId="6ED05E4A">
      <w:pPr>
        <w:bidi w:val="0"/>
        <w:spacing w:line="360" w:lineRule="auto"/>
        <w:rPr>
          <w:rFonts w:hint="eastAsia" w:ascii="宋体" w:hAnsi="宋体" w:eastAsia="宋体" w:cs="宋体"/>
          <w:sz w:val="24"/>
          <w:szCs w:val="24"/>
        </w:rPr>
      </w:pPr>
      <w:r>
        <w:rPr>
          <w:rFonts w:hint="eastAsia" w:ascii="宋体" w:hAnsi="宋体" w:eastAsia="宋体" w:cs="宋体"/>
          <w:sz w:val="24"/>
          <w:szCs w:val="24"/>
        </w:rPr>
        <w:t>1、鱼苗的检疫、检测、计量、计数由采购方委派有资质的单位进行检验和现场公证，产生的费用由中标单位承担。</w:t>
      </w:r>
    </w:p>
    <w:p w14:paraId="5CF9FE03">
      <w:pPr>
        <w:bidi w:val="0"/>
        <w:spacing w:line="360" w:lineRule="auto"/>
        <w:rPr>
          <w:rFonts w:hint="eastAsia" w:ascii="宋体" w:hAnsi="宋体" w:eastAsia="宋体" w:cs="宋体"/>
          <w:sz w:val="24"/>
          <w:szCs w:val="24"/>
        </w:rPr>
      </w:pPr>
      <w:r>
        <w:rPr>
          <w:rFonts w:hint="eastAsia" w:ascii="宋体" w:hAnsi="宋体" w:eastAsia="宋体" w:cs="宋体"/>
          <w:sz w:val="24"/>
          <w:szCs w:val="24"/>
        </w:rPr>
        <w:t>2、供应商应根据采购人要求，按时交付，并保证货物到达所在地完好无损</w:t>
      </w:r>
      <w:r>
        <w:rPr>
          <w:rFonts w:hint="eastAsia" w:ascii="宋体" w:hAnsi="宋体" w:eastAsia="宋体" w:cs="宋体"/>
          <w:sz w:val="24"/>
          <w:szCs w:val="24"/>
          <w:lang w:eastAsia="zh-CN"/>
        </w:rPr>
        <w:t>；</w:t>
      </w:r>
      <w:r>
        <w:rPr>
          <w:rFonts w:hint="eastAsia" w:ascii="宋体" w:hAnsi="宋体" w:eastAsia="宋体" w:cs="宋体"/>
          <w:sz w:val="24"/>
          <w:szCs w:val="24"/>
        </w:rPr>
        <w:t>如因运输差错出现有缺漏、损坏，概由供应商负责补齐或赔偿。</w:t>
      </w:r>
    </w:p>
    <w:p w14:paraId="33678B5D">
      <w:pPr>
        <w:bidi w:val="0"/>
        <w:spacing w:line="360" w:lineRule="auto"/>
        <w:rPr>
          <w:rFonts w:hint="eastAsia" w:ascii="宋体" w:hAnsi="宋体" w:eastAsia="宋体" w:cs="宋体"/>
          <w:sz w:val="24"/>
          <w:szCs w:val="24"/>
        </w:rPr>
      </w:pPr>
      <w:r>
        <w:rPr>
          <w:rFonts w:hint="eastAsia" w:ascii="宋体" w:hAnsi="宋体" w:eastAsia="宋体" w:cs="宋体"/>
          <w:sz w:val="24"/>
          <w:szCs w:val="24"/>
        </w:rPr>
        <w:t>3、验收标准按行业具体要求进行验收，供货人须严格按要求供货，供货产品与要求必须一致，否则不予验收。采购方相关人员到供应商渔场现场过数或供应商将鱼种运到采购方指定地点后采购方现场过数。</w:t>
      </w:r>
    </w:p>
    <w:p w14:paraId="0E7477C4">
      <w:pPr>
        <w:bidi w:val="0"/>
        <w:spacing w:line="360" w:lineRule="auto"/>
        <w:rPr>
          <w:rFonts w:hint="eastAsia" w:ascii="宋体" w:hAnsi="宋体" w:eastAsia="宋体" w:cs="宋体"/>
          <w:sz w:val="24"/>
          <w:szCs w:val="24"/>
        </w:rPr>
      </w:pPr>
      <w:r>
        <w:rPr>
          <w:rFonts w:hint="eastAsia" w:ascii="宋体" w:hAnsi="宋体" w:eastAsia="宋体" w:cs="宋体"/>
          <w:sz w:val="24"/>
          <w:szCs w:val="24"/>
        </w:rPr>
        <w:t>(四)其他要求:</w:t>
      </w:r>
    </w:p>
    <w:p w14:paraId="11184401">
      <w:pPr>
        <w:bidi w:val="0"/>
        <w:spacing w:line="360" w:lineRule="auto"/>
        <w:rPr>
          <w:rFonts w:hint="eastAsia" w:ascii="宋体" w:hAnsi="宋体" w:eastAsia="宋体" w:cs="宋体"/>
          <w:sz w:val="24"/>
          <w:szCs w:val="24"/>
        </w:rPr>
      </w:pPr>
      <w:r>
        <w:rPr>
          <w:rFonts w:hint="eastAsia" w:ascii="宋体" w:hAnsi="宋体" w:eastAsia="宋体" w:cs="宋体"/>
          <w:sz w:val="24"/>
          <w:szCs w:val="24"/>
        </w:rPr>
        <w:t>1、货物到达现场后，投标人应保证采购人不再进行其他任何购买，货物即可使用。</w:t>
      </w:r>
    </w:p>
    <w:p w14:paraId="47C37BA8">
      <w:pPr>
        <w:bidi w:val="0"/>
        <w:spacing w:line="360" w:lineRule="auto"/>
        <w:rPr>
          <w:rFonts w:hint="eastAsia" w:ascii="宋体" w:hAnsi="宋体" w:eastAsia="宋体" w:cs="宋体"/>
          <w:sz w:val="24"/>
          <w:szCs w:val="24"/>
        </w:rPr>
      </w:pPr>
      <w:r>
        <w:rPr>
          <w:rFonts w:hint="eastAsia" w:ascii="宋体" w:hAnsi="宋体" w:eastAsia="宋体" w:cs="宋体"/>
          <w:sz w:val="24"/>
          <w:szCs w:val="24"/>
        </w:rPr>
        <w:t>2、违约责任与解决争议的方法:采购人所在地进行诉讼。</w:t>
      </w:r>
    </w:p>
    <w:p w14:paraId="0BB8DF5D">
      <w:pPr>
        <w:bidi w:val="0"/>
        <w:spacing w:line="360" w:lineRule="auto"/>
        <w:rPr>
          <w:rFonts w:hint="eastAsia" w:ascii="宋体" w:hAnsi="宋体" w:cs="宋体"/>
          <w:b/>
          <w:sz w:val="32"/>
          <w:szCs w:val="32"/>
        </w:rPr>
      </w:pPr>
      <w:r>
        <w:rPr>
          <w:rFonts w:hint="eastAsia" w:ascii="宋体" w:hAnsi="宋体" w:eastAsia="宋体" w:cs="宋体"/>
          <w:sz w:val="24"/>
          <w:szCs w:val="24"/>
        </w:rPr>
        <w:t>3、其他未尽事宜由采购人和成交供应商双方在采购合同中详细约定。</w:t>
      </w:r>
    </w:p>
    <w:p w14:paraId="6F2AC89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E1098"/>
    <w:multiLevelType w:val="singleLevel"/>
    <w:tmpl w:val="232E109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C55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semiHidden/>
    <w:qFormat/>
    <w:uiPriority w:val="0"/>
    <w:pPr>
      <w:snapToGrid w:val="0"/>
      <w:spacing w:line="360" w:lineRule="auto"/>
      <w:ind w:firstLine="200" w:firstLineChars="20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出段落1"/>
    <w:basedOn w:val="8"/>
    <w:qFormat/>
    <w:uiPriority w:val="0"/>
    <w:pPr>
      <w:ind w:firstLine="420" w:firstLineChars="200"/>
    </w:pPr>
    <w:rPr>
      <w:rFonts w:ascii="Calibri" w:hAnsi="Calibri" w:eastAsia="宋体" w:cs="Times New Roman"/>
    </w:rPr>
  </w:style>
  <w:style w:type="paragraph" w:customStyle="1" w:styleId="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2026-08-13T03:19:07Z</dcterms:created>
  <dc:creator>Administrator</dc:creator>
  <cp:lastModifiedBy>鹿汲</cp:lastModifiedBy>
  <dcterms:modified xsi:type="dcterms:W3CDTF">2026-08-13T03:19:22Z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eyJoZGlkIjoiYjIyN2E5MzFkOGU3ZmIwZmUwMGJjZmIxNWNjN2E3ZjMiLCJ1c2VySWQiOiIzMDc4NDY0OTAifQ==</vt:lpwstr>
  </property>
  <property fmtid="{D5CDD505-2E9C-101B-9397-08002B2CF9AE}" pid="4" name="ICV">
    <vt:lpwstr>549FF05D73E0441E94FA6FF86C648E7A_12</vt:lpwstr>
  </property>
</Properties>
</file>