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31DA6E">
      <w:pPr>
        <w:widowControl/>
        <w:jc w:val="center"/>
        <w:rPr>
          <w:rFonts w:ascii="黑体" w:hAnsi="黑体" w:eastAsia="黑体" w:cs="Times New Roman"/>
          <w:b/>
          <w:bCs/>
          <w:sz w:val="32"/>
          <w:szCs w:val="32"/>
          <w:highlight w:val="none"/>
        </w:rPr>
      </w:pPr>
      <w:bookmarkStart w:id="0" w:name="_Toc7746"/>
      <w:r>
        <w:rPr>
          <w:rFonts w:hint="eastAsia" w:ascii="宋体" w:hAnsi="宋体" w:eastAsia="宋体" w:cs="宋体"/>
          <w:b/>
          <w:bCs/>
          <w:color w:val="auto"/>
          <w:sz w:val="32"/>
          <w:szCs w:val="32"/>
          <w:highlight w:val="none"/>
          <w:lang w:val="en-US" w:eastAsia="zh-CN"/>
        </w:rPr>
        <w:t xml:space="preserve">第三章 </w:t>
      </w:r>
      <w:r>
        <w:rPr>
          <w:rFonts w:hint="eastAsia" w:ascii="黑体" w:hAnsi="黑体" w:eastAsia="黑体" w:cs="Times New Roman"/>
          <w:b/>
          <w:bCs/>
          <w:sz w:val="32"/>
          <w:szCs w:val="32"/>
          <w:highlight w:val="none"/>
        </w:rPr>
        <w:t>采购需求</w:t>
      </w:r>
      <w:bookmarkEnd w:id="0"/>
    </w:p>
    <w:p w14:paraId="42D18C12">
      <w:pPr>
        <w:adjustRightInd w:val="0"/>
        <w:snapToGrid w:val="0"/>
        <w:spacing w:line="360" w:lineRule="auto"/>
        <w:ind w:firstLine="482" w:firstLineChars="200"/>
        <w:rPr>
          <w:rFonts w:hint="eastAsia" w:ascii="宋体" w:hAnsi="宋体" w:eastAsia="宋体" w:cs="Times New Roman"/>
          <w:b/>
          <w:sz w:val="24"/>
        </w:rPr>
      </w:pPr>
      <w:r>
        <w:rPr>
          <w:rFonts w:hint="eastAsia" w:ascii="宋体" w:hAnsi="宋体" w:eastAsia="宋体" w:cs="Times New Roman"/>
          <w:b/>
          <w:sz w:val="24"/>
          <w:lang w:eastAsia="zh-CN"/>
        </w:rPr>
        <w:t>（</w:t>
      </w:r>
      <w:r>
        <w:rPr>
          <w:rFonts w:hint="eastAsia" w:ascii="宋体" w:hAnsi="宋体" w:eastAsia="宋体" w:cs="Times New Roman"/>
          <w:b/>
          <w:sz w:val="24"/>
        </w:rPr>
        <w:t>一</w:t>
      </w:r>
      <w:r>
        <w:rPr>
          <w:rFonts w:hint="eastAsia" w:ascii="宋体" w:hAnsi="宋体" w:eastAsia="宋体" w:cs="Times New Roman"/>
          <w:b/>
          <w:sz w:val="24"/>
          <w:lang w:eastAsia="zh-CN"/>
        </w:rPr>
        <w:t>）</w:t>
      </w:r>
      <w:r>
        <w:rPr>
          <w:rFonts w:hint="eastAsia" w:ascii="宋体" w:hAnsi="宋体" w:eastAsia="宋体" w:cs="Times New Roman"/>
          <w:b/>
          <w:sz w:val="24"/>
        </w:rPr>
        <w:t>、项目概况</w:t>
      </w:r>
    </w:p>
    <w:p w14:paraId="5BCAB9EC">
      <w:pPr>
        <w:adjustRightInd w:val="0"/>
        <w:snapToGrid w:val="0"/>
        <w:spacing w:line="360" w:lineRule="auto"/>
        <w:ind w:left="420" w:leftChars="0" w:firstLine="0" w:firstLineChars="0"/>
        <w:rPr>
          <w:rFonts w:hint="eastAsia" w:ascii="宋体" w:hAnsi="宋体" w:eastAsia="宋体" w:cs="Times New Roman"/>
          <w:szCs w:val="21"/>
          <w:lang w:eastAsia="zh-CN"/>
        </w:rPr>
      </w:pPr>
      <w:r>
        <w:rPr>
          <w:rFonts w:ascii="宋体" w:hAnsi="宋体" w:eastAsia="宋体" w:cs="Times New Roman"/>
          <w:szCs w:val="21"/>
        </w:rPr>
        <w:t>1</w:t>
      </w:r>
      <w:r>
        <w:rPr>
          <w:rFonts w:hint="eastAsia" w:ascii="宋体" w:hAnsi="宋体" w:eastAsia="宋体" w:cs="Times New Roman"/>
          <w:szCs w:val="21"/>
        </w:rPr>
        <w:t>、</w:t>
      </w:r>
      <w:r>
        <w:rPr>
          <w:rFonts w:ascii="宋体" w:hAnsi="宋体" w:eastAsia="宋体" w:cs="Times New Roman"/>
          <w:szCs w:val="21"/>
        </w:rPr>
        <w:t>项目名称：</w:t>
      </w:r>
      <w:r>
        <w:rPr>
          <w:rFonts w:hint="eastAsia" w:ascii="宋体" w:hAnsi="宋体" w:eastAsia="宋体" w:cs="Times New Roman"/>
          <w:szCs w:val="21"/>
          <w:lang w:eastAsia="zh-CN"/>
        </w:rPr>
        <w:t xml:space="preserve">资兴市失能老年人照护中心二期项目 </w:t>
      </w:r>
    </w:p>
    <w:p w14:paraId="7EB06CCC">
      <w:pPr>
        <w:adjustRightInd w:val="0"/>
        <w:snapToGrid w:val="0"/>
        <w:spacing w:line="360" w:lineRule="auto"/>
        <w:ind w:left="420" w:leftChars="0" w:firstLine="0" w:firstLineChars="0"/>
        <w:rPr>
          <w:rFonts w:hint="eastAsia" w:ascii="宋体" w:hAnsi="宋体" w:eastAsia="宋体" w:cs="Times New Roman"/>
          <w:szCs w:val="21"/>
          <w:lang w:eastAsia="zh-CN"/>
        </w:rPr>
      </w:pPr>
      <w:r>
        <w:rPr>
          <w:rFonts w:hint="eastAsia" w:ascii="宋体" w:hAnsi="宋体" w:eastAsia="宋体" w:cs="Times New Roman"/>
          <w:bCs/>
          <w:szCs w:val="21"/>
          <w:highlight w:val="none"/>
          <w:lang w:val="en-US" w:eastAsia="zh-CN"/>
        </w:rPr>
        <w:t>2</w:t>
      </w:r>
      <w:r>
        <w:rPr>
          <w:rFonts w:hint="eastAsia" w:ascii="宋体" w:hAnsi="宋体" w:eastAsia="宋体" w:cs="Times New Roman"/>
          <w:bCs/>
          <w:szCs w:val="21"/>
          <w:highlight w:val="none"/>
        </w:rPr>
        <w:t>、采购项目预算：</w:t>
      </w:r>
      <w:r>
        <w:rPr>
          <w:rFonts w:hint="eastAsia" w:ascii="宋体" w:hAnsi="宋体" w:eastAsia="宋体" w:cs="Times New Roman"/>
          <w:bCs/>
          <w:szCs w:val="21"/>
          <w:highlight w:val="none"/>
          <w:u w:val="none"/>
          <w:lang w:eastAsia="zh-CN"/>
        </w:rPr>
        <w:t>3763365.75</w:t>
      </w:r>
      <w:r>
        <w:rPr>
          <w:rFonts w:hint="eastAsia" w:ascii="宋体" w:hAnsi="宋体" w:eastAsia="宋体" w:cs="Times New Roman"/>
          <w:bCs/>
          <w:szCs w:val="21"/>
          <w:highlight w:val="none"/>
          <w:u w:val="none"/>
          <w:lang w:val="en-US" w:eastAsia="zh-CN"/>
        </w:rPr>
        <w:t>元</w:t>
      </w:r>
      <w:bookmarkStart w:id="1" w:name="_GoBack"/>
      <w:bookmarkEnd w:id="1"/>
    </w:p>
    <w:p w14:paraId="44C03D36">
      <w:pPr>
        <w:adjustRightInd w:val="0"/>
        <w:snapToGrid w:val="0"/>
        <w:spacing w:line="360" w:lineRule="auto"/>
        <w:ind w:firstLine="422" w:firstLineChars="200"/>
        <w:jc w:val="left"/>
        <w:rPr>
          <w:rFonts w:hint="eastAsia" w:ascii="宋体" w:hAnsi="宋体" w:eastAsia="宋体" w:cs="Times New Roman"/>
          <w:szCs w:val="21"/>
          <w:lang w:eastAsia="zh-CN"/>
        </w:rPr>
      </w:pPr>
      <w:r>
        <w:rPr>
          <w:rFonts w:hint="eastAsia" w:ascii="宋体" w:hAnsi="宋体" w:eastAsia="宋体" w:cs="宋体"/>
          <w:b/>
          <w:bCs/>
          <w:color w:val="000000"/>
        </w:rPr>
        <w:t>（二）工程基本情况：</w:t>
      </w:r>
      <w:r>
        <w:rPr>
          <w:rFonts w:hint="eastAsia" w:ascii="宋体" w:hAnsi="宋体" w:eastAsia="宋体" w:cs="Times New Roman"/>
          <w:szCs w:val="21"/>
          <w:lang w:eastAsia="zh-CN"/>
        </w:rPr>
        <w:t>为提高资兴市失能老年人照护中心整体效果要求，对后勤管理房进行拆除(100㎡）、装饰、电气和给排水的安装；门卫室的土建、装饰；连廊的土建、装饰；配套设施（土方、土建围墙、道路的铺设、挡土墙的修建、园林绿化等）。整个二期项目大概3000平方米。详见</w:t>
      </w:r>
      <w:r>
        <w:rPr>
          <w:rFonts w:hint="eastAsia" w:ascii="宋体" w:hAnsi="宋体" w:eastAsia="宋体" w:cs="宋体"/>
          <w:szCs w:val="21"/>
        </w:rPr>
        <w:t>《工程量清单合理定价》</w:t>
      </w:r>
      <w:r>
        <w:rPr>
          <w:rFonts w:hint="eastAsia" w:ascii="宋体" w:hAnsi="宋体" w:eastAsia="宋体" w:cs="宋体"/>
          <w:szCs w:val="21"/>
          <w:lang w:eastAsia="zh-CN"/>
        </w:rPr>
        <w:t>。</w:t>
      </w:r>
    </w:p>
    <w:p w14:paraId="71E2726D">
      <w:pPr>
        <w:adjustRightInd w:val="0"/>
        <w:snapToGrid w:val="0"/>
        <w:spacing w:line="360" w:lineRule="auto"/>
        <w:ind w:firstLine="422" w:firstLineChars="200"/>
        <w:jc w:val="left"/>
        <w:rPr>
          <w:rFonts w:hint="eastAsia" w:ascii="宋体" w:hAnsi="宋体" w:eastAsia="宋体" w:cs="宋体"/>
          <w:lang w:eastAsia="zh-CN"/>
        </w:rPr>
      </w:pPr>
      <w:r>
        <w:rPr>
          <w:rFonts w:hint="eastAsia" w:ascii="宋体" w:hAnsi="宋体" w:eastAsia="宋体" w:cs="宋体"/>
          <w:b/>
          <w:bCs/>
        </w:rPr>
        <w:t>（三）工程</w:t>
      </w:r>
      <w:r>
        <w:rPr>
          <w:rFonts w:hint="eastAsia" w:ascii="宋体" w:hAnsi="宋体" w:eastAsia="宋体" w:cs="宋体"/>
          <w:b/>
          <w:bCs/>
          <w:lang w:eastAsia="zh-CN"/>
        </w:rPr>
        <w:t>施工</w:t>
      </w:r>
      <w:r>
        <w:rPr>
          <w:rFonts w:hint="eastAsia" w:ascii="宋体" w:hAnsi="宋体" w:eastAsia="宋体" w:cs="宋体"/>
          <w:b/>
          <w:bCs/>
        </w:rPr>
        <w:t>范围：</w:t>
      </w:r>
      <w:r>
        <w:rPr>
          <w:rFonts w:hint="eastAsia" w:ascii="宋体" w:hAnsi="宋体" w:eastAsia="宋体" w:cs="Times New Roman"/>
          <w:szCs w:val="21"/>
          <w:lang w:eastAsia="zh-CN"/>
        </w:rPr>
        <w:t>资兴市失能老年人照护中心二期项目，</w:t>
      </w:r>
      <w:r>
        <w:rPr>
          <w:rFonts w:hint="eastAsia" w:ascii="宋体" w:hAnsi="宋体" w:eastAsia="宋体" w:cs="宋体"/>
          <w:szCs w:val="21"/>
        </w:rPr>
        <w:t>其他未尽内容详尽设计图纸和工程量清单预算审核书</w:t>
      </w:r>
      <w:r>
        <w:rPr>
          <w:rFonts w:hint="eastAsia" w:ascii="宋体" w:hAnsi="宋体" w:eastAsia="宋体" w:cs="宋体"/>
          <w:szCs w:val="21"/>
          <w:lang w:eastAsia="zh-CN"/>
        </w:rPr>
        <w:t>。</w:t>
      </w:r>
    </w:p>
    <w:p w14:paraId="13C05104">
      <w:pPr>
        <w:adjustRightInd w:val="0"/>
        <w:snapToGrid w:val="0"/>
        <w:spacing w:line="360" w:lineRule="auto"/>
        <w:ind w:firstLine="422" w:firstLineChars="200"/>
        <w:jc w:val="left"/>
        <w:rPr>
          <w:rFonts w:hint="eastAsia" w:ascii="宋体" w:hAnsi="宋体" w:eastAsia="宋体" w:cs="宋体"/>
          <w:b/>
          <w:bCs/>
          <w:szCs w:val="21"/>
        </w:rPr>
      </w:pPr>
      <w:r>
        <w:rPr>
          <w:rFonts w:hint="eastAsia" w:ascii="宋体" w:hAnsi="宋体" w:eastAsia="宋体" w:cs="宋体"/>
          <w:b/>
          <w:bCs/>
          <w:szCs w:val="21"/>
        </w:rPr>
        <w:t>（四）项目清单及说明：</w:t>
      </w:r>
    </w:p>
    <w:p w14:paraId="05CFC292">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1、详见《工程量清单合理定价》。</w:t>
      </w:r>
    </w:p>
    <w:p w14:paraId="73487093">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2、图纸另附。</w:t>
      </w:r>
    </w:p>
    <w:p w14:paraId="6A458BC5">
      <w:pPr>
        <w:adjustRightInd w:val="0"/>
        <w:snapToGrid w:val="0"/>
        <w:spacing w:line="360" w:lineRule="auto"/>
        <w:ind w:firstLine="422" w:firstLineChars="200"/>
        <w:jc w:val="left"/>
        <w:rPr>
          <w:rFonts w:hint="eastAsia" w:ascii="宋体" w:hAnsi="宋体" w:eastAsia="宋体" w:cs="宋体"/>
          <w:b/>
          <w:bCs/>
          <w:szCs w:val="21"/>
        </w:rPr>
      </w:pPr>
      <w:r>
        <w:rPr>
          <w:rFonts w:hint="eastAsia" w:ascii="宋体" w:hAnsi="宋体" w:eastAsia="宋体" w:cs="宋体"/>
          <w:b/>
          <w:bCs/>
          <w:szCs w:val="21"/>
        </w:rPr>
        <w:t>（五）项目实施要求：</w:t>
      </w:r>
    </w:p>
    <w:p w14:paraId="4B5EDF7B">
      <w:pPr>
        <w:adjustRightInd w:val="0"/>
        <w:snapToGrid w:val="0"/>
        <w:spacing w:line="360" w:lineRule="auto"/>
        <w:ind w:firstLine="422" w:firstLineChars="200"/>
        <w:jc w:val="left"/>
        <w:rPr>
          <w:rFonts w:hint="eastAsia" w:ascii="宋体" w:hAnsi="宋体" w:eastAsia="宋体" w:cs="宋体"/>
          <w:b/>
          <w:bCs/>
          <w:szCs w:val="21"/>
        </w:rPr>
      </w:pPr>
      <w:r>
        <w:rPr>
          <w:rFonts w:hint="eastAsia" w:ascii="宋体" w:hAnsi="宋体" w:eastAsia="宋体" w:cs="宋体"/>
          <w:b/>
          <w:bCs/>
          <w:szCs w:val="21"/>
        </w:rPr>
        <w:t>1、建筑材料运输、保管及保险</w:t>
      </w:r>
    </w:p>
    <w:p w14:paraId="59B97281">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1、建筑材料运输、保管及保险</w:t>
      </w:r>
    </w:p>
    <w:p w14:paraId="571D931C">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1.1、成交供应商负责建筑材料、设备等到施工地点的全部运输，包括装卸及现场搬运等。</w:t>
      </w:r>
    </w:p>
    <w:p w14:paraId="134470AB">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1.2、成交供应商负责建筑材料、设备等在施工地点的保管，直至项目验收合格。</w:t>
      </w:r>
    </w:p>
    <w:p w14:paraId="681FB226">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1.3、成交供应商负责其派出的施工人员的人身意外保险。对于工作人员在工作中引起的各种工伤、安全事件和事故，均由成交供应商承担。</w:t>
      </w:r>
    </w:p>
    <w:p w14:paraId="2BB43F1A">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1.4、成交供应商应保证产品包装完整，到达指定的交货地点前未拆封。</w:t>
      </w:r>
    </w:p>
    <w:p w14:paraId="3068ABA6">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1.5、成交供应商在接到采购人送货通知后，按采购人要求运送至指定地点，货物经采购人现场验收合格后统一签收。</w:t>
      </w:r>
    </w:p>
    <w:p w14:paraId="340356FB">
      <w:pPr>
        <w:adjustRightInd w:val="0"/>
        <w:snapToGrid w:val="0"/>
        <w:spacing w:line="360" w:lineRule="auto"/>
        <w:ind w:firstLine="422" w:firstLineChars="200"/>
        <w:jc w:val="left"/>
        <w:rPr>
          <w:rFonts w:hint="eastAsia" w:ascii="宋体" w:hAnsi="宋体" w:eastAsia="宋体" w:cs="宋体"/>
          <w:b/>
          <w:bCs/>
          <w:szCs w:val="21"/>
        </w:rPr>
      </w:pPr>
      <w:r>
        <w:rPr>
          <w:rFonts w:hint="eastAsia" w:ascii="宋体" w:hAnsi="宋体" w:eastAsia="宋体" w:cs="宋体"/>
          <w:b/>
          <w:bCs/>
          <w:szCs w:val="21"/>
        </w:rPr>
        <w:t>2、施工要求</w:t>
      </w:r>
    </w:p>
    <w:p w14:paraId="3A3B26D2">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2.1、成交供应商须加强施工的组织管理，所有施工人员须遵守文明安全施工的有关规章制度，持证上岗。</w:t>
      </w:r>
    </w:p>
    <w:p w14:paraId="70C65FAB">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2.2、具体施工要求详见施工图纸及现行行业规定。</w:t>
      </w:r>
    </w:p>
    <w:p w14:paraId="4E8295E1">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2.3、设备安装调试要求</w:t>
      </w:r>
    </w:p>
    <w:p w14:paraId="48807AE2">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2.3.1、成交供应商须加强施工的组织管理，所有施工人员须遵守文明安全施工的有关规章制度，持证上岗。</w:t>
      </w:r>
    </w:p>
    <w:p w14:paraId="7E02DA71">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2.3.2、项目完成后，成交供应商应将项目有关的全部资料，包括产品资料、技术文档、施工图纸及相关资料等，移交采购人。</w:t>
      </w:r>
    </w:p>
    <w:p w14:paraId="16824B0D">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2.3.3、成交供应商送达产品及进行安装调试的技术指导，应提前两天以上和采购人取得联系，以便采购人安排验货和安排安装调试等工作。</w:t>
      </w:r>
    </w:p>
    <w:p w14:paraId="5CA1F3A7">
      <w:pPr>
        <w:adjustRightInd w:val="0"/>
        <w:snapToGrid w:val="0"/>
        <w:spacing w:line="360" w:lineRule="auto"/>
        <w:ind w:firstLine="422" w:firstLineChars="200"/>
        <w:jc w:val="left"/>
        <w:rPr>
          <w:rFonts w:hint="eastAsia" w:ascii="宋体" w:hAnsi="宋体" w:eastAsia="宋体" w:cs="宋体"/>
          <w:b/>
          <w:bCs/>
          <w:szCs w:val="21"/>
        </w:rPr>
      </w:pPr>
      <w:r>
        <w:rPr>
          <w:rFonts w:hint="eastAsia" w:ascii="宋体" w:hAnsi="宋体" w:eastAsia="宋体" w:cs="宋体"/>
          <w:b/>
          <w:bCs/>
          <w:szCs w:val="21"/>
        </w:rPr>
        <w:t xml:space="preserve">3、安全文明施工与环境保护 </w:t>
      </w:r>
    </w:p>
    <w:p w14:paraId="64BF72FF">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3.1、安全文明施工</w:t>
      </w:r>
    </w:p>
    <w:p w14:paraId="6F907712">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 xml:space="preserve">3.1.1、项目安全生产的达标目标及相应事项的约定：达标。 </w:t>
      </w:r>
    </w:p>
    <w:p w14:paraId="5140D88D">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3.2、文明施工</w:t>
      </w:r>
    </w:p>
    <w:p w14:paraId="782A6A19">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合同当事人对文明施工的要求：</w:t>
      </w:r>
    </w:p>
    <w:p w14:paraId="5870C49C">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（1）施工期间，承包人应及时整理和安排所有机械、工具、材料、建筑垃圾等，以上物品在不需用时应按发包人要求清理出工地。</w:t>
      </w:r>
    </w:p>
    <w:p w14:paraId="5D2AE8E7">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（2）施工现场各类垃圾应当天清理，否则由发包人指派人员清理。</w:t>
      </w:r>
    </w:p>
    <w:p w14:paraId="16647C7F">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 xml:space="preserve">（3）发包人或监理人有权对承包人的违章现象提出整改，承包人接书面整改通知后24小时内应采取相应整改措施。 </w:t>
      </w:r>
    </w:p>
    <w:p w14:paraId="3E9B07E0">
      <w:pPr>
        <w:adjustRightInd w:val="0"/>
        <w:snapToGrid w:val="0"/>
        <w:spacing w:line="360" w:lineRule="auto"/>
        <w:ind w:firstLine="422" w:firstLineChars="200"/>
        <w:jc w:val="left"/>
        <w:rPr>
          <w:rFonts w:hint="eastAsia" w:ascii="宋体" w:hAnsi="宋体" w:eastAsia="宋体" w:cs="宋体"/>
          <w:b/>
          <w:bCs/>
          <w:szCs w:val="21"/>
        </w:rPr>
      </w:pPr>
      <w:r>
        <w:rPr>
          <w:rFonts w:hint="eastAsia" w:ascii="宋体" w:hAnsi="宋体" w:eastAsia="宋体" w:cs="宋体"/>
          <w:b/>
          <w:bCs/>
          <w:szCs w:val="21"/>
        </w:rPr>
        <w:t>4、验收要求</w:t>
      </w:r>
    </w:p>
    <w:p w14:paraId="52DA5C6C">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4.1、由采购人组织验收活动，成交供应商负责在当地建设行政主管部门办理工程竣工验收备案（如需要）。</w:t>
      </w:r>
    </w:p>
    <w:p w14:paraId="4EAB2BBE">
      <w:pPr>
        <w:adjustRightInd w:val="0"/>
        <w:snapToGrid w:val="0"/>
        <w:spacing w:line="360" w:lineRule="auto"/>
        <w:ind w:firstLine="420" w:firstLineChars="200"/>
        <w:jc w:val="left"/>
        <w:rPr>
          <w:rFonts w:ascii="宋体" w:hAnsi="宋体" w:eastAsia="宋体" w:cs="宋体"/>
          <w:szCs w:val="21"/>
        </w:rPr>
      </w:pPr>
      <w:r>
        <w:rPr>
          <w:rFonts w:hint="eastAsia" w:ascii="宋体" w:hAnsi="宋体" w:eastAsia="宋体" w:cs="宋体"/>
          <w:szCs w:val="21"/>
        </w:rPr>
        <w:t>4.2、项目验收不合格，由中标人返工直至合格，有关返工、再行验收，以及给采购人造成的损失等费用由中标人承担。连续两次项目验收不合格的，采购人可终止合同，另行按规定选择其他供应商采购，由此带来的一切损失由中标人承担。</w:t>
      </w:r>
    </w:p>
    <w:p w14:paraId="413FFB4A">
      <w:pPr>
        <w:wordWrap w:val="0"/>
        <w:overflowPunct w:val="0"/>
        <w:topLinePunct/>
        <w:spacing w:line="360" w:lineRule="auto"/>
        <w:ind w:firstLine="420" w:firstLineChars="200"/>
        <w:jc w:val="left"/>
        <w:textAlignment w:val="top"/>
        <w:rPr>
          <w:rFonts w:hint="eastAsia" w:ascii="宋体" w:hAnsi="宋体" w:eastAsia="宋体" w:cs="宋体"/>
          <w:szCs w:val="21"/>
        </w:rPr>
      </w:pPr>
      <w:r>
        <w:rPr>
          <w:rFonts w:hint="eastAsia" w:ascii="宋体" w:hAnsi="宋体" w:eastAsia="宋体" w:cs="宋体"/>
          <w:szCs w:val="21"/>
        </w:rPr>
        <w:t>（六）项目特别说明（含结算方式、工程变更、工程竣工结算等）：</w:t>
      </w:r>
    </w:p>
    <w:p w14:paraId="452D0217">
      <w:pPr>
        <w:wordWrap w:val="0"/>
        <w:overflowPunct w:val="0"/>
        <w:topLinePunct/>
        <w:spacing w:line="360" w:lineRule="auto"/>
        <w:ind w:firstLine="422" w:firstLineChars="200"/>
        <w:jc w:val="left"/>
        <w:textAlignment w:val="top"/>
        <w:rPr>
          <w:rFonts w:hint="eastAsia" w:ascii="宋体" w:hAnsi="宋体" w:eastAsia="宋体" w:cs="宋体"/>
          <w:b/>
          <w:bCs/>
          <w:kern w:val="21"/>
          <w:szCs w:val="21"/>
          <w:highlight w:val="none"/>
        </w:rPr>
      </w:pPr>
      <w:r>
        <w:rPr>
          <w:rFonts w:hint="eastAsia" w:ascii="宋体" w:hAnsi="宋体" w:eastAsia="宋体" w:cs="宋体"/>
          <w:b/>
          <w:bCs/>
          <w:kern w:val="21"/>
          <w:szCs w:val="21"/>
          <w:highlight w:val="none"/>
        </w:rPr>
        <w:t>1、付款方式：</w:t>
      </w:r>
      <w:r>
        <w:rPr>
          <w:rFonts w:hint="eastAsia" w:ascii="宋体" w:hAnsi="宋体" w:eastAsia="宋体" w:cs="宋体"/>
          <w:b/>
          <w:bCs/>
          <w:kern w:val="21"/>
          <w:szCs w:val="21"/>
          <w:highlight w:val="none"/>
          <w:lang w:eastAsia="zh-CN"/>
        </w:rPr>
        <w:t>工程开工后预付合同总价的30%，项目竣工验收前的工程款累计支付额原则上不低于合同价的 80%，待完成工程竣工结算审查出具审查报告后，拨付至工程结算总金额的97%；工程质量保证金3%，在工程保修期后，经甲方验收确认无质量问题后一次性支付(不计息)。承包方每次申请付款前应提交正式的税务发票给发包方，否则发包方有权拒绝付款</w:t>
      </w:r>
      <w:r>
        <w:rPr>
          <w:rFonts w:hint="eastAsia" w:ascii="宋体" w:hAnsi="宋体" w:eastAsia="宋体" w:cs="宋体"/>
          <w:b/>
          <w:bCs/>
          <w:kern w:val="21"/>
          <w:szCs w:val="21"/>
          <w:highlight w:val="none"/>
        </w:rPr>
        <w:t>。</w:t>
      </w:r>
    </w:p>
    <w:p w14:paraId="0E73C9D8">
      <w:pPr>
        <w:widowControl w:val="0"/>
        <w:spacing w:after="0" w:line="360" w:lineRule="auto"/>
        <w:ind w:firstLine="422" w:firstLineChars="200"/>
        <w:jc w:val="left"/>
        <w:rPr>
          <w:rFonts w:hint="eastAsia" w:ascii="宋体" w:hAnsi="宋体" w:eastAsia="宋体" w:cs="宋体"/>
          <w:kern w:val="2"/>
          <w:sz w:val="21"/>
          <w:szCs w:val="21"/>
          <w:lang w:val="en-US" w:eastAsia="zh-CN" w:bidi="ar-SA"/>
        </w:rPr>
      </w:pPr>
      <w:r>
        <w:rPr>
          <w:rFonts w:hint="eastAsia" w:ascii="宋体" w:hAnsi="宋体" w:eastAsia="宋体" w:cs="宋体"/>
          <w:b/>
          <w:kern w:val="2"/>
          <w:sz w:val="21"/>
          <w:szCs w:val="21"/>
          <w:lang w:val="en-US" w:eastAsia="zh-CN" w:bidi="ar-SA"/>
        </w:rPr>
        <w:t>2、工程变更：</w:t>
      </w:r>
      <w:r>
        <w:rPr>
          <w:rFonts w:hint="eastAsia" w:ascii="宋体" w:hAnsi="宋体" w:eastAsia="宋体" w:cs="宋体"/>
          <w:kern w:val="2"/>
          <w:sz w:val="21"/>
          <w:szCs w:val="21"/>
          <w:lang w:val="en-US" w:eastAsia="zh-CN" w:bidi="ar-SA"/>
        </w:rPr>
        <w:t>原则上工程量和工程内容不作任何调整。</w:t>
      </w:r>
    </w:p>
    <w:p w14:paraId="77295AE5">
      <w:pPr>
        <w:widowControl w:val="0"/>
        <w:spacing w:after="0" w:line="360" w:lineRule="auto"/>
        <w:ind w:firstLine="422" w:firstLineChars="200"/>
        <w:jc w:val="left"/>
        <w:rPr>
          <w:rFonts w:hint="eastAsia" w:ascii="宋体" w:hAnsi="宋体" w:eastAsia="宋体" w:cs="宋体"/>
          <w:b/>
          <w:kern w:val="2"/>
          <w:sz w:val="21"/>
          <w:szCs w:val="21"/>
          <w:lang w:val="en-US" w:eastAsia="zh-CN" w:bidi="ar-SA"/>
        </w:rPr>
      </w:pPr>
      <w:r>
        <w:rPr>
          <w:rFonts w:hint="eastAsia" w:ascii="宋体" w:hAnsi="宋体" w:eastAsia="宋体" w:cs="宋体"/>
          <w:b/>
          <w:kern w:val="2"/>
          <w:sz w:val="21"/>
          <w:szCs w:val="21"/>
          <w:lang w:val="en-US" w:eastAsia="zh-CN" w:bidi="ar-SA"/>
        </w:rPr>
        <w:t>3、工程竣工结算</w:t>
      </w:r>
    </w:p>
    <w:p w14:paraId="54EF9232">
      <w:pPr>
        <w:widowControl w:val="0"/>
        <w:spacing w:after="0" w:line="360" w:lineRule="auto"/>
        <w:ind w:firstLine="420" w:firstLineChars="20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工程竣工后双方应及时办理工程结算，承包人应积极配合，发包人在法定时间内审核认可。工程竣工验收后，承包方应在法定时间内提交完整齐备的工程竣工资料和验收资料装整成册交采购人四套存档，并必须保证所有归档资料的真实性。</w:t>
      </w:r>
    </w:p>
    <w:p w14:paraId="3040EBEF">
      <w:pPr>
        <w:adjustRightInd w:val="0"/>
        <w:snapToGrid w:val="0"/>
        <w:spacing w:line="360" w:lineRule="auto"/>
        <w:ind w:firstLine="420" w:firstLineChars="200"/>
        <w:jc w:val="left"/>
        <w:rPr>
          <w:rFonts w:hint="eastAsia" w:ascii="宋体" w:hAnsi="宋体" w:eastAsia="宋体" w:cs="宋体"/>
          <w:b/>
          <w:bCs/>
          <w:szCs w:val="21"/>
        </w:rPr>
      </w:pPr>
      <w:r>
        <w:rPr>
          <w:rFonts w:hint="eastAsia" w:ascii="宋体" w:hAnsi="宋体" w:eastAsia="宋体" w:cs="宋体"/>
          <w:szCs w:val="21"/>
          <w:lang w:bidi="ar"/>
        </w:rPr>
        <w:t>★</w:t>
      </w:r>
      <w:r>
        <w:rPr>
          <w:rFonts w:hint="eastAsia" w:ascii="宋体" w:hAnsi="宋体" w:eastAsia="宋体" w:cs="宋体"/>
          <w:b/>
          <w:bCs/>
          <w:szCs w:val="21"/>
        </w:rPr>
        <w:t>（七）工期及质量及其他要求：</w:t>
      </w:r>
    </w:p>
    <w:p w14:paraId="00F5A719">
      <w:pPr>
        <w:adjustRightInd w:val="0"/>
        <w:snapToGrid w:val="0"/>
        <w:spacing w:line="360" w:lineRule="auto"/>
        <w:ind w:firstLine="420" w:firstLineChars="200"/>
        <w:jc w:val="left"/>
        <w:rPr>
          <w:rFonts w:ascii="宋体" w:hAnsi="宋体" w:eastAsia="宋体" w:cs="宋体"/>
          <w:b/>
          <w:bCs/>
          <w:szCs w:val="21"/>
          <w:highlight w:val="none"/>
        </w:rPr>
      </w:pPr>
      <w:r>
        <w:rPr>
          <w:rFonts w:hint="eastAsia" w:ascii="宋体" w:hAnsi="宋体" w:eastAsia="宋体" w:cs="宋体"/>
          <w:szCs w:val="21"/>
          <w:highlight w:val="none"/>
        </w:rPr>
        <w:t>1、工期：</w:t>
      </w:r>
      <w:r>
        <w:rPr>
          <w:rFonts w:hint="eastAsia" w:ascii="宋体" w:hAnsi="宋体" w:eastAsia="宋体" w:cs="宋体"/>
          <w:color w:val="auto"/>
          <w:kern w:val="2"/>
          <w:sz w:val="21"/>
          <w:szCs w:val="21"/>
          <w:highlight w:val="none"/>
          <w:lang w:val="en-US" w:eastAsia="zh-CN" w:bidi="ar-SA"/>
        </w:rPr>
        <w:t xml:space="preserve">50日历天 </w:t>
      </w:r>
    </w:p>
    <w:p w14:paraId="2ACC7A3F">
      <w:pPr>
        <w:adjustRightInd w:val="0"/>
        <w:snapToGrid w:val="0"/>
        <w:spacing w:line="360" w:lineRule="auto"/>
        <w:ind w:firstLine="420" w:firstLineChars="200"/>
        <w:jc w:val="left"/>
        <w:rPr>
          <w:rFonts w:hint="eastAsia" w:ascii="宋体" w:hAnsi="宋体" w:eastAsia="宋体" w:cs="宋体"/>
          <w:szCs w:val="21"/>
          <w:lang w:bidi="ar"/>
        </w:rPr>
      </w:pPr>
      <w:r>
        <w:rPr>
          <w:rFonts w:hint="eastAsia" w:ascii="宋体" w:hAnsi="宋体" w:eastAsia="宋体" w:cs="宋体"/>
          <w:szCs w:val="21"/>
          <w:lang w:bidi="ar"/>
        </w:rPr>
        <w:t>2、质量要求：符合《工程施工质量验收规范》要求验收合格；</w:t>
      </w:r>
    </w:p>
    <w:p w14:paraId="2DCE86E6">
      <w:pPr>
        <w:adjustRightInd w:val="0"/>
        <w:snapToGrid w:val="0"/>
        <w:spacing w:line="360" w:lineRule="auto"/>
        <w:ind w:firstLine="420" w:firstLineChars="200"/>
        <w:jc w:val="left"/>
        <w:rPr>
          <w:rFonts w:hint="eastAsia" w:ascii="宋体" w:hAnsi="宋体" w:eastAsia="宋体" w:cs="宋体"/>
          <w:szCs w:val="21"/>
          <w:lang w:bidi="ar"/>
        </w:rPr>
      </w:pPr>
      <w:r>
        <w:rPr>
          <w:rFonts w:hint="eastAsia" w:ascii="宋体" w:hAnsi="宋体" w:eastAsia="宋体" w:cs="宋体"/>
          <w:szCs w:val="21"/>
          <w:lang w:bidi="ar"/>
        </w:rPr>
        <w:t>3、保修要求：按国务院2000年第279号院令发布的《建设工程质量管理条例》有关规定实行工程保修；</w:t>
      </w:r>
    </w:p>
    <w:p w14:paraId="1643F131">
      <w:pPr>
        <w:adjustRightInd w:val="0"/>
        <w:snapToGrid w:val="0"/>
        <w:spacing w:line="360" w:lineRule="auto"/>
        <w:ind w:firstLine="422" w:firstLineChars="200"/>
        <w:jc w:val="left"/>
        <w:rPr>
          <w:rFonts w:hint="eastAsia" w:ascii="宋体" w:hAnsi="宋体" w:eastAsia="宋体" w:cs="宋体"/>
          <w:b/>
          <w:bCs/>
          <w:szCs w:val="21"/>
        </w:rPr>
      </w:pPr>
      <w:r>
        <w:rPr>
          <w:rFonts w:hint="eastAsia" w:ascii="宋体" w:hAnsi="宋体" w:eastAsia="宋体" w:cs="宋体"/>
          <w:b/>
          <w:bCs/>
          <w:szCs w:val="21"/>
        </w:rPr>
        <w:t>（八）其它需要说明的事项：</w:t>
      </w:r>
    </w:p>
    <w:p w14:paraId="19BA69FB">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1、人员配备：拟任本次投标的施工关键岗位人员最低配备标准须满足湘建建[2020]208号文件标准；</w:t>
      </w:r>
    </w:p>
    <w:p w14:paraId="638FCE0F">
      <w:pPr>
        <w:spacing w:line="360" w:lineRule="auto"/>
        <w:ind w:firstLine="420" w:firstLineChars="200"/>
        <w:jc w:val="left"/>
        <w:rPr>
          <w:rFonts w:ascii="宋体" w:hAnsi="宋体" w:eastAsia="宋体" w:cs="Times New Roman"/>
          <w:b/>
          <w:bCs/>
          <w:szCs w:val="21"/>
        </w:rPr>
      </w:pPr>
      <w:r>
        <w:rPr>
          <w:rFonts w:hint="eastAsia" w:ascii="宋体" w:hAnsi="宋体" w:eastAsia="宋体" w:cs="Times New Roman"/>
          <w:bCs/>
          <w:szCs w:val="21"/>
        </w:rPr>
        <w:t>2、本项目采用总费用包干方式，供应商应根据采购人要求，采购人提供的工程量清单若存在漏项、缺项、错项等现象，均由</w:t>
      </w:r>
      <w:r>
        <w:rPr>
          <w:rFonts w:hint="eastAsia" w:ascii="Times New Roman" w:hAnsi="Times New Roman" w:eastAsia="宋体" w:cs="Times New Roman"/>
          <w:bCs/>
          <w:szCs w:val="21"/>
        </w:rPr>
        <w:t>成交供应商</w:t>
      </w:r>
      <w:r>
        <w:rPr>
          <w:rFonts w:hint="eastAsia" w:ascii="宋体" w:hAnsi="宋体" w:eastAsia="宋体" w:cs="Times New Roman"/>
          <w:bCs/>
          <w:szCs w:val="21"/>
        </w:rPr>
        <w:t>免费提供或按图施工，采购人不再支付任何费用。</w:t>
      </w:r>
    </w:p>
    <w:p w14:paraId="75469B9F">
      <w:pPr>
        <w:adjustRightInd w:val="0"/>
        <w:snapToGrid w:val="0"/>
        <w:spacing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★九、对于上述项目要求，投标人应在投标文件中进行回应，作出承诺及说明。</w:t>
      </w:r>
    </w:p>
    <w:p w14:paraId="47EC4EB0">
      <w:pPr>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bCs/>
          <w:szCs w:val="21"/>
        </w:rPr>
        <w:t>十、</w:t>
      </w:r>
      <w:r>
        <w:rPr>
          <w:rFonts w:hint="eastAsia" w:ascii="宋体" w:hAnsi="宋体" w:eastAsia="宋体" w:cs="宋体"/>
          <w:szCs w:val="21"/>
        </w:rPr>
        <w:t>其他未明确事宜由双方协商约定；</w:t>
      </w:r>
    </w:p>
    <w:p w14:paraId="7C66FFBC">
      <w:pPr>
        <w:widowControl w:val="0"/>
        <w:spacing w:after="0" w:line="440" w:lineRule="exact"/>
        <w:ind w:right="23" w:rightChars="11" w:firstLine="420" w:firstLineChars="200"/>
        <w:jc w:val="both"/>
        <w:rPr>
          <w:rFonts w:hint="eastAsia" w:ascii="宋体" w:hAnsi="宋体" w:eastAsia="宋体" w:cs="Times New Roman"/>
          <w:kern w:val="2"/>
          <w:sz w:val="21"/>
          <w:szCs w:val="21"/>
          <w:lang w:val="en-US" w:eastAsia="zh-CN" w:bidi="ar-SA"/>
        </w:rPr>
      </w:pPr>
    </w:p>
    <w:p w14:paraId="402D6BC2">
      <w:r>
        <w:rPr>
          <w:rFonts w:hint="eastAsia" w:ascii="Times New Roman" w:hAnsi="Times New Roman" w:eastAsia="宋体" w:cs="Times New Roman"/>
          <w:b/>
        </w:rPr>
        <w:t>注：</w:t>
      </w:r>
      <w:r>
        <w:rPr>
          <w:rFonts w:hint="eastAsia" w:ascii="宋体" w:hAnsi="宋体" w:eastAsia="宋体" w:cs="宋体"/>
          <w:b/>
          <w:kern w:val="0"/>
          <w:szCs w:val="21"/>
        </w:rPr>
        <w:t>在磋商过程中，磋商文件的技术、服务要求以及合同草案条款可能发生实质性变动。如有，磋商小组将以书面形式告知所有参加磋商的投标人，投标人应以书面形式进行回应和答复。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F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B51410"/>
    <w:rsid w:val="1C1F1D32"/>
    <w:rsid w:val="38B514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2026-10-28T10:58:00Z</dcterms:created>
  <dc:creator>Administrator</dc:creator>
  <cp:lastModifiedBy>Administrator</cp:lastModifiedBy>
  <dcterms:modified xsi:type="dcterms:W3CDTF">2026-10-28T11:16:33Z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EEA061B28817404B909E6AEC8B8CB689_11</vt:lpwstr>
  </property>
  <property fmtid="{D5CDD505-2E9C-101B-9397-08002B2CF9AE}" pid="4" name="KSOTemplateDocerSaveRecord">
    <vt:lpwstr>eyJoZGlkIjoiMWVmOGM0ZDk5NDYxZTZhN2QyNzIzMGNjYjM3M2Y1ZWEiLCJ1c2VySWQiOiIzNDIwMTYzODUifQ==</vt:lpwstr>
  </property>
</Properties>
</file>