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9A49C">
      <w:pPr>
        <w:pStyle w:val="5"/>
        <w:ind w:firstLine="3180" w:firstLineChars="990"/>
        <w:jc w:val="both"/>
        <w:rPr>
          <w:rFonts w:ascii="黑体" w:hAnsi="黑体" w:eastAsia="黑体"/>
          <w:sz w:val="32"/>
          <w:szCs w:val="32"/>
        </w:rPr>
      </w:pPr>
      <w:r>
        <w:rPr>
          <w:rFonts w:hint="eastAsia" w:ascii="黑体" w:hAnsi="黑体" w:eastAsia="黑体"/>
          <w:sz w:val="32"/>
          <w:szCs w:val="32"/>
        </w:rPr>
        <w:t>采购需求</w:t>
      </w:r>
    </w:p>
    <w:p w14:paraId="50BADBD2">
      <w:pPr>
        <w:pStyle w:val="6"/>
        <w:tabs>
          <w:tab w:val="left" w:pos="432"/>
        </w:tabs>
        <w:adjustRightInd w:val="0"/>
        <w:snapToGrid w:val="0"/>
        <w:spacing w:beforeLines="50" w:line="240" w:lineRule="auto"/>
        <w:ind w:left="458" w:hanging="458" w:hangingChars="190"/>
        <w:jc w:val="center"/>
        <w:rPr>
          <w:rFonts w:ascii="黑体" w:hAnsi="黑体"/>
          <w:szCs w:val="28"/>
        </w:rPr>
      </w:pPr>
      <w:bookmarkStart w:id="0" w:name="_Toc63346631"/>
      <w:bookmarkStart w:id="1" w:name="_Toc119401543"/>
      <w:bookmarkStart w:id="2" w:name="_Toc20651234"/>
      <w:bookmarkStart w:id="3" w:name="_Toc63345395"/>
      <w:bookmarkStart w:id="4" w:name="_Toc63343883"/>
      <w:bookmarkStart w:id="5" w:name="_Toc63343531"/>
      <w:bookmarkStart w:id="6" w:name="_Toc63343361"/>
      <w:r>
        <w:rPr>
          <w:rFonts w:hint="eastAsia" w:ascii="黑体" w:hAnsi="黑体"/>
          <w:szCs w:val="28"/>
        </w:rPr>
        <w:t>第一节、采购清单一览表</w:t>
      </w:r>
      <w:bookmarkEnd w:id="0"/>
      <w:bookmarkEnd w:id="1"/>
      <w:bookmarkEnd w:id="2"/>
      <w:bookmarkEnd w:id="3"/>
      <w:bookmarkEnd w:id="4"/>
      <w:bookmarkEnd w:id="5"/>
      <w:bookmarkEnd w:id="6"/>
    </w:p>
    <w:tbl>
      <w:tblPr>
        <w:tblStyle w:val="9"/>
        <w:tblW w:w="9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1407"/>
        <w:gridCol w:w="1499"/>
        <w:gridCol w:w="1116"/>
        <w:gridCol w:w="1406"/>
        <w:gridCol w:w="1216"/>
        <w:gridCol w:w="1345"/>
        <w:gridCol w:w="1459"/>
      </w:tblGrid>
      <w:tr w14:paraId="42FA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 w:hRule="atLeast"/>
          <w:jc w:val="center"/>
        </w:trPr>
        <w:tc>
          <w:tcPr>
            <w:tcW w:w="542" w:type="dxa"/>
            <w:vMerge w:val="restart"/>
            <w:vAlign w:val="center"/>
          </w:tcPr>
          <w:p w14:paraId="557CF8B5">
            <w:pPr>
              <w:adjustRightInd w:val="0"/>
              <w:snapToGrid w:val="0"/>
              <w:spacing w:line="360" w:lineRule="auto"/>
              <w:jc w:val="center"/>
              <w:rPr>
                <w:rFonts w:ascii="宋体" w:hAnsi="宋体"/>
                <w:szCs w:val="21"/>
              </w:rPr>
            </w:pPr>
            <w:r>
              <w:rPr>
                <w:rFonts w:hint="eastAsia" w:ascii="宋体" w:hAnsi="宋体"/>
                <w:szCs w:val="21"/>
              </w:rPr>
              <w:t>包号</w:t>
            </w:r>
          </w:p>
        </w:tc>
        <w:tc>
          <w:tcPr>
            <w:tcW w:w="1407" w:type="dxa"/>
            <w:vMerge w:val="restart"/>
            <w:vAlign w:val="center"/>
          </w:tcPr>
          <w:p w14:paraId="268E95BA">
            <w:pPr>
              <w:adjustRightInd w:val="0"/>
              <w:snapToGrid w:val="0"/>
              <w:spacing w:line="360" w:lineRule="auto"/>
              <w:jc w:val="center"/>
              <w:rPr>
                <w:rFonts w:ascii="宋体" w:hAnsi="宋体"/>
                <w:szCs w:val="21"/>
              </w:rPr>
            </w:pPr>
            <w:r>
              <w:rPr>
                <w:rFonts w:hint="eastAsia" w:ascii="宋体" w:hAnsi="宋体"/>
                <w:szCs w:val="21"/>
              </w:rPr>
              <w:t>包名称</w:t>
            </w:r>
          </w:p>
        </w:tc>
        <w:tc>
          <w:tcPr>
            <w:tcW w:w="1499" w:type="dxa"/>
            <w:vMerge w:val="restart"/>
            <w:vAlign w:val="center"/>
          </w:tcPr>
          <w:p w14:paraId="73DAE65A">
            <w:pPr>
              <w:adjustRightInd w:val="0"/>
              <w:snapToGrid w:val="0"/>
              <w:spacing w:line="360" w:lineRule="auto"/>
              <w:jc w:val="center"/>
              <w:rPr>
                <w:rFonts w:ascii="宋体" w:hAnsi="宋体"/>
                <w:szCs w:val="21"/>
              </w:rPr>
            </w:pPr>
            <w:r>
              <w:rPr>
                <w:rFonts w:hint="eastAsia" w:ascii="宋体" w:hAnsi="宋体"/>
                <w:szCs w:val="21"/>
              </w:rPr>
              <w:t>分项项目名称</w:t>
            </w:r>
          </w:p>
        </w:tc>
        <w:tc>
          <w:tcPr>
            <w:tcW w:w="1116" w:type="dxa"/>
            <w:vMerge w:val="restart"/>
            <w:vAlign w:val="center"/>
          </w:tcPr>
          <w:p w14:paraId="224100D7">
            <w:pPr>
              <w:adjustRightInd w:val="0"/>
              <w:snapToGrid w:val="0"/>
              <w:spacing w:line="360" w:lineRule="auto"/>
              <w:jc w:val="center"/>
              <w:rPr>
                <w:rFonts w:ascii="宋体" w:hAnsi="宋体"/>
                <w:szCs w:val="21"/>
              </w:rPr>
            </w:pPr>
            <w:r>
              <w:rPr>
                <w:rFonts w:hint="eastAsia" w:ascii="宋体" w:hAnsi="宋体"/>
                <w:szCs w:val="21"/>
              </w:rPr>
              <w:t>服务内容</w:t>
            </w:r>
          </w:p>
        </w:tc>
        <w:tc>
          <w:tcPr>
            <w:tcW w:w="1406" w:type="dxa"/>
            <w:vMerge w:val="restart"/>
            <w:vAlign w:val="center"/>
          </w:tcPr>
          <w:p w14:paraId="118E4F62">
            <w:pPr>
              <w:adjustRightInd w:val="0"/>
              <w:snapToGrid w:val="0"/>
              <w:spacing w:line="360" w:lineRule="auto"/>
              <w:jc w:val="center"/>
              <w:rPr>
                <w:rFonts w:ascii="宋体" w:hAnsi="宋体"/>
                <w:szCs w:val="21"/>
              </w:rPr>
            </w:pPr>
            <w:r>
              <w:rPr>
                <w:rFonts w:hint="eastAsia" w:ascii="宋体" w:hAnsi="宋体"/>
                <w:szCs w:val="21"/>
              </w:rPr>
              <w:t>数量</w:t>
            </w:r>
          </w:p>
        </w:tc>
        <w:tc>
          <w:tcPr>
            <w:tcW w:w="2561" w:type="dxa"/>
            <w:gridSpan w:val="2"/>
            <w:vAlign w:val="center"/>
          </w:tcPr>
          <w:p w14:paraId="7FA7D26A">
            <w:pPr>
              <w:adjustRightInd w:val="0"/>
              <w:snapToGrid w:val="0"/>
              <w:spacing w:line="360" w:lineRule="auto"/>
              <w:jc w:val="center"/>
              <w:rPr>
                <w:rFonts w:ascii="宋体" w:hAnsi="宋体"/>
                <w:szCs w:val="21"/>
              </w:rPr>
            </w:pPr>
            <w:r>
              <w:rPr>
                <w:rFonts w:hint="eastAsia" w:ascii="宋体" w:hAnsi="宋体"/>
                <w:szCs w:val="21"/>
              </w:rPr>
              <w:t>服务要求</w:t>
            </w:r>
          </w:p>
        </w:tc>
        <w:tc>
          <w:tcPr>
            <w:tcW w:w="1459" w:type="dxa"/>
            <w:vMerge w:val="restart"/>
            <w:vAlign w:val="center"/>
          </w:tcPr>
          <w:p w14:paraId="3EFD9C63">
            <w:pPr>
              <w:adjustRightInd w:val="0"/>
              <w:snapToGrid w:val="0"/>
              <w:spacing w:line="360" w:lineRule="auto"/>
              <w:jc w:val="center"/>
              <w:rPr>
                <w:rFonts w:ascii="宋体" w:hAnsi="宋体"/>
                <w:szCs w:val="21"/>
              </w:rPr>
            </w:pPr>
            <w:r>
              <w:rPr>
                <w:rFonts w:hint="eastAsia" w:ascii="宋体" w:hAnsi="宋体" w:cs="宋体"/>
                <w:bCs/>
                <w:szCs w:val="21"/>
              </w:rPr>
              <w:t>备注</w:t>
            </w:r>
          </w:p>
        </w:tc>
      </w:tr>
      <w:tr w14:paraId="0551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542" w:type="dxa"/>
            <w:vMerge w:val="continue"/>
            <w:vAlign w:val="center"/>
          </w:tcPr>
          <w:p w14:paraId="2DF0669B">
            <w:pPr>
              <w:widowControl/>
              <w:jc w:val="left"/>
              <w:rPr>
                <w:rFonts w:ascii="宋体" w:hAnsi="宋体"/>
                <w:szCs w:val="21"/>
              </w:rPr>
            </w:pPr>
          </w:p>
        </w:tc>
        <w:tc>
          <w:tcPr>
            <w:tcW w:w="1407" w:type="dxa"/>
            <w:vMerge w:val="continue"/>
            <w:vAlign w:val="center"/>
          </w:tcPr>
          <w:p w14:paraId="6E08AD2E">
            <w:pPr>
              <w:widowControl/>
              <w:jc w:val="left"/>
              <w:rPr>
                <w:rFonts w:ascii="宋体" w:hAnsi="宋体"/>
                <w:szCs w:val="21"/>
              </w:rPr>
            </w:pPr>
          </w:p>
        </w:tc>
        <w:tc>
          <w:tcPr>
            <w:tcW w:w="1499" w:type="dxa"/>
            <w:vMerge w:val="continue"/>
            <w:vAlign w:val="center"/>
          </w:tcPr>
          <w:p w14:paraId="79FFBB6B">
            <w:pPr>
              <w:widowControl/>
              <w:jc w:val="left"/>
              <w:rPr>
                <w:rFonts w:ascii="宋体" w:hAnsi="宋体"/>
                <w:szCs w:val="21"/>
              </w:rPr>
            </w:pPr>
          </w:p>
        </w:tc>
        <w:tc>
          <w:tcPr>
            <w:tcW w:w="1116" w:type="dxa"/>
            <w:vMerge w:val="continue"/>
            <w:vAlign w:val="center"/>
          </w:tcPr>
          <w:p w14:paraId="11217488">
            <w:pPr>
              <w:widowControl/>
              <w:jc w:val="left"/>
              <w:rPr>
                <w:rFonts w:ascii="宋体" w:hAnsi="宋体"/>
                <w:szCs w:val="21"/>
              </w:rPr>
            </w:pPr>
          </w:p>
        </w:tc>
        <w:tc>
          <w:tcPr>
            <w:tcW w:w="1406" w:type="dxa"/>
            <w:vMerge w:val="continue"/>
            <w:vAlign w:val="center"/>
          </w:tcPr>
          <w:p w14:paraId="6F9F612E">
            <w:pPr>
              <w:widowControl/>
              <w:jc w:val="left"/>
              <w:rPr>
                <w:rFonts w:ascii="宋体" w:hAnsi="宋体"/>
                <w:szCs w:val="21"/>
              </w:rPr>
            </w:pPr>
          </w:p>
        </w:tc>
        <w:tc>
          <w:tcPr>
            <w:tcW w:w="1216" w:type="dxa"/>
            <w:vAlign w:val="center"/>
          </w:tcPr>
          <w:p w14:paraId="34D1E663">
            <w:pPr>
              <w:adjustRightInd w:val="0"/>
              <w:snapToGrid w:val="0"/>
              <w:spacing w:beforeLines="50" w:line="360" w:lineRule="auto"/>
              <w:jc w:val="center"/>
              <w:rPr>
                <w:rFonts w:ascii="宋体" w:hAnsi="宋体"/>
                <w:szCs w:val="21"/>
              </w:rPr>
            </w:pPr>
            <w:r>
              <w:rPr>
                <w:rFonts w:hint="eastAsia" w:ascii="宋体" w:hAnsi="宋体"/>
                <w:szCs w:val="21"/>
              </w:rPr>
              <w:t>时间</w:t>
            </w:r>
          </w:p>
        </w:tc>
        <w:tc>
          <w:tcPr>
            <w:tcW w:w="1345" w:type="dxa"/>
            <w:vAlign w:val="center"/>
          </w:tcPr>
          <w:p w14:paraId="4C7F46EE">
            <w:pPr>
              <w:adjustRightInd w:val="0"/>
              <w:snapToGrid w:val="0"/>
              <w:spacing w:beforeLines="50" w:line="360" w:lineRule="auto"/>
              <w:jc w:val="center"/>
              <w:rPr>
                <w:rFonts w:ascii="宋体" w:hAnsi="宋体"/>
                <w:szCs w:val="21"/>
              </w:rPr>
            </w:pPr>
            <w:r>
              <w:rPr>
                <w:rFonts w:hint="eastAsia" w:ascii="宋体" w:hAnsi="宋体"/>
                <w:szCs w:val="21"/>
              </w:rPr>
              <w:t>地点</w:t>
            </w:r>
          </w:p>
        </w:tc>
        <w:tc>
          <w:tcPr>
            <w:tcW w:w="1459" w:type="dxa"/>
            <w:vMerge w:val="continue"/>
            <w:vAlign w:val="center"/>
          </w:tcPr>
          <w:p w14:paraId="7ED42F35">
            <w:pPr>
              <w:widowControl/>
              <w:jc w:val="left"/>
              <w:rPr>
                <w:rFonts w:ascii="宋体" w:hAnsi="宋体"/>
                <w:szCs w:val="21"/>
              </w:rPr>
            </w:pPr>
          </w:p>
        </w:tc>
      </w:tr>
      <w:tr w14:paraId="6FAA3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96" w:hRule="atLeast"/>
          <w:jc w:val="center"/>
        </w:trPr>
        <w:tc>
          <w:tcPr>
            <w:tcW w:w="542" w:type="dxa"/>
            <w:vAlign w:val="center"/>
          </w:tcPr>
          <w:p w14:paraId="2E45884F">
            <w:pPr>
              <w:spacing w:line="360" w:lineRule="auto"/>
              <w:jc w:val="center"/>
              <w:rPr>
                <w:rFonts w:ascii="宋体" w:hAnsi="宋体"/>
                <w:szCs w:val="21"/>
              </w:rPr>
            </w:pPr>
            <w:r>
              <w:rPr>
                <w:rFonts w:hint="eastAsia" w:ascii="宋体" w:hAnsi="宋体"/>
                <w:szCs w:val="21"/>
              </w:rPr>
              <w:t>1</w:t>
            </w:r>
          </w:p>
        </w:tc>
        <w:tc>
          <w:tcPr>
            <w:tcW w:w="1407" w:type="dxa"/>
            <w:vAlign w:val="center"/>
          </w:tcPr>
          <w:p w14:paraId="3F3BC6DF">
            <w:pPr>
              <w:adjustRightInd w:val="0"/>
              <w:snapToGrid w:val="0"/>
              <w:spacing w:beforeLines="50" w:line="360" w:lineRule="auto"/>
              <w:jc w:val="center"/>
              <w:rPr>
                <w:rFonts w:hint="eastAsia" w:ascii="宋体" w:hAnsi="宋体" w:eastAsia="宋体"/>
                <w:szCs w:val="21"/>
                <w:lang w:eastAsia="zh-CN"/>
              </w:rPr>
            </w:pPr>
            <w:r>
              <w:rPr>
                <w:rFonts w:hint="eastAsia" w:ascii="宋体" w:hAnsi="宋体"/>
                <w:szCs w:val="21"/>
                <w:lang w:eastAsia="zh-CN"/>
              </w:rPr>
              <w:t>华容县农村乱占耕地建非住宅类房屋整治工作技术服务项目</w:t>
            </w:r>
          </w:p>
        </w:tc>
        <w:tc>
          <w:tcPr>
            <w:tcW w:w="1499" w:type="dxa"/>
            <w:vAlign w:val="center"/>
          </w:tcPr>
          <w:p w14:paraId="5AFC71A5">
            <w:pPr>
              <w:spacing w:line="360" w:lineRule="auto"/>
              <w:jc w:val="center"/>
              <w:rPr>
                <w:rFonts w:hint="eastAsia" w:ascii="宋体" w:hAnsi="宋体" w:eastAsia="宋体" w:cs="宋体"/>
                <w:bCs/>
                <w:kern w:val="0"/>
                <w:szCs w:val="21"/>
                <w:lang w:eastAsia="zh-CN"/>
              </w:rPr>
            </w:pPr>
            <w:r>
              <w:rPr>
                <w:rFonts w:hint="eastAsia" w:ascii="宋体" w:hAnsi="宋体"/>
                <w:szCs w:val="21"/>
                <w:lang w:eastAsia="zh-CN"/>
              </w:rPr>
              <w:t>华容县农村乱占耕地建非住宅类房屋整治工作技术服务项目</w:t>
            </w:r>
          </w:p>
        </w:tc>
        <w:tc>
          <w:tcPr>
            <w:tcW w:w="1116" w:type="dxa"/>
            <w:vAlign w:val="center"/>
          </w:tcPr>
          <w:p w14:paraId="0CAED9AE">
            <w:pPr>
              <w:jc w:val="center"/>
              <w:textAlignment w:val="center"/>
              <w:rPr>
                <w:rFonts w:ascii="宋体" w:hAnsi="宋体"/>
                <w:szCs w:val="21"/>
              </w:rPr>
            </w:pPr>
            <w:r>
              <w:rPr>
                <w:rFonts w:hint="eastAsia" w:ascii="宋体" w:hAnsi="宋体"/>
                <w:szCs w:val="21"/>
              </w:rPr>
              <w:t>具体服务内容详见第二节技术要求</w:t>
            </w:r>
          </w:p>
        </w:tc>
        <w:tc>
          <w:tcPr>
            <w:tcW w:w="1406" w:type="dxa"/>
            <w:vAlign w:val="center"/>
          </w:tcPr>
          <w:p w14:paraId="0FC52334">
            <w:pPr>
              <w:jc w:val="center"/>
              <w:textAlignment w:val="center"/>
              <w:rPr>
                <w:rFonts w:hint="eastAsia" w:ascii="宋体" w:hAnsi="宋体" w:eastAsiaTheme="majorEastAsia"/>
                <w:szCs w:val="21"/>
                <w:lang w:eastAsia="zh-CN"/>
              </w:rPr>
            </w:pPr>
            <w:r>
              <w:rPr>
                <w:rFonts w:hint="eastAsia" w:asciiTheme="majorEastAsia" w:hAnsiTheme="majorEastAsia" w:eastAsiaTheme="majorEastAsia" w:cstheme="majorEastAsia"/>
                <w:kern w:val="0"/>
                <w:szCs w:val="21"/>
              </w:rPr>
              <w:t>1</w:t>
            </w:r>
            <w:r>
              <w:rPr>
                <w:rFonts w:hint="eastAsia" w:asciiTheme="majorEastAsia" w:hAnsiTheme="majorEastAsia" w:eastAsiaTheme="majorEastAsia" w:cstheme="majorEastAsia"/>
                <w:kern w:val="0"/>
                <w:szCs w:val="21"/>
                <w:lang w:val="en-US" w:eastAsia="zh-CN"/>
              </w:rPr>
              <w:t>项</w:t>
            </w:r>
          </w:p>
        </w:tc>
        <w:tc>
          <w:tcPr>
            <w:tcW w:w="1216" w:type="dxa"/>
            <w:vAlign w:val="center"/>
          </w:tcPr>
          <w:p w14:paraId="15476B44">
            <w:pPr>
              <w:widowControl/>
              <w:jc w:val="center"/>
              <w:textAlignment w:val="center"/>
              <w:rPr>
                <w:rFonts w:ascii="宋体" w:hAnsi="宋体"/>
                <w:szCs w:val="21"/>
              </w:rPr>
            </w:pPr>
            <w:r>
              <w:rPr>
                <w:rFonts w:hint="eastAsia" w:ascii="宋体" w:hAnsi="宋体"/>
                <w:szCs w:val="21"/>
              </w:rPr>
              <w:t>详见第二节技术要求服务期限</w:t>
            </w:r>
          </w:p>
          <w:p w14:paraId="11EB2D8B">
            <w:pPr>
              <w:widowControl/>
              <w:jc w:val="center"/>
              <w:textAlignment w:val="center"/>
              <w:rPr>
                <w:rFonts w:ascii="宋体" w:hAnsi="宋体"/>
                <w:szCs w:val="21"/>
              </w:rPr>
            </w:pPr>
          </w:p>
          <w:p w14:paraId="6886CE86">
            <w:pPr>
              <w:widowControl/>
              <w:jc w:val="center"/>
              <w:textAlignment w:val="center"/>
              <w:rPr>
                <w:rFonts w:ascii="宋体" w:hAnsi="宋体"/>
                <w:szCs w:val="21"/>
              </w:rPr>
            </w:pPr>
          </w:p>
        </w:tc>
        <w:tc>
          <w:tcPr>
            <w:tcW w:w="1345" w:type="dxa"/>
            <w:vAlign w:val="center"/>
          </w:tcPr>
          <w:p w14:paraId="4A2C9DA9">
            <w:pPr>
              <w:widowControl/>
              <w:jc w:val="center"/>
              <w:textAlignment w:val="center"/>
              <w:rPr>
                <w:rFonts w:ascii="宋体" w:hAnsi="宋体"/>
                <w:szCs w:val="21"/>
              </w:rPr>
            </w:pPr>
            <w:r>
              <w:rPr>
                <w:rFonts w:hint="eastAsia" w:ascii="宋体" w:hAnsi="宋体"/>
                <w:szCs w:val="21"/>
              </w:rPr>
              <w:t>采购人指定地点</w:t>
            </w:r>
          </w:p>
          <w:p w14:paraId="1C84F819">
            <w:pPr>
              <w:widowControl/>
              <w:jc w:val="center"/>
              <w:textAlignment w:val="center"/>
              <w:rPr>
                <w:rFonts w:ascii="宋体" w:hAnsi="宋体"/>
                <w:szCs w:val="21"/>
              </w:rPr>
            </w:pPr>
          </w:p>
        </w:tc>
        <w:tc>
          <w:tcPr>
            <w:tcW w:w="1459" w:type="dxa"/>
            <w:vAlign w:val="center"/>
          </w:tcPr>
          <w:p w14:paraId="367DCB4C">
            <w:pPr>
              <w:widowControl/>
              <w:jc w:val="center"/>
              <w:textAlignment w:val="center"/>
              <w:rPr>
                <w:rFonts w:ascii="宋体" w:hAnsi="宋体"/>
                <w:szCs w:val="21"/>
              </w:rPr>
            </w:pPr>
            <w:r>
              <w:rPr>
                <w:rFonts w:hint="eastAsia" w:ascii="宋体" w:hAnsi="宋体"/>
                <w:szCs w:val="21"/>
              </w:rPr>
              <w:t>具体服务要求明细详见第二节技术要求第二点</w:t>
            </w:r>
            <w:r>
              <w:rPr>
                <w:rFonts w:hint="eastAsia"/>
              </w:rPr>
              <w:t>采购清单及技术要求</w:t>
            </w:r>
          </w:p>
        </w:tc>
      </w:tr>
    </w:tbl>
    <w:p w14:paraId="64103ACB">
      <w:pPr>
        <w:adjustRightInd w:val="0"/>
        <w:snapToGrid w:val="0"/>
        <w:spacing w:beforeLines="50" w:line="320" w:lineRule="exact"/>
        <w:rPr>
          <w:rFonts w:ascii="宋体" w:hAnsi="宋体"/>
          <w:szCs w:val="21"/>
        </w:rPr>
      </w:pPr>
      <w:r>
        <w:rPr>
          <w:rFonts w:hint="eastAsia" w:ascii="宋体" w:hAnsi="宋体"/>
          <w:szCs w:val="21"/>
        </w:rPr>
        <w:t>注：1、“包”为最小合同单位（最小额投标单位）。每“包”内容应细化到“品目”（如果分品目的）。</w:t>
      </w:r>
    </w:p>
    <w:p w14:paraId="6BEE2E02">
      <w:pPr>
        <w:adjustRightInd w:val="0"/>
        <w:snapToGrid w:val="0"/>
        <w:spacing w:beforeLines="50" w:line="320" w:lineRule="exact"/>
        <w:rPr>
          <w:rFonts w:ascii="宋体" w:hAnsi="宋体"/>
          <w:szCs w:val="21"/>
        </w:rPr>
      </w:pPr>
      <w:r>
        <w:rPr>
          <w:rFonts w:hint="eastAsia" w:ascii="宋体" w:hAnsi="宋体"/>
          <w:szCs w:val="21"/>
        </w:rPr>
        <w:t>2、投标人必须对一个完整、独立的包进行投标，不得仅对一个包中的部分品目投标，否则投标无效。</w:t>
      </w:r>
    </w:p>
    <w:p w14:paraId="033553B4">
      <w:pPr>
        <w:adjustRightInd w:val="0"/>
        <w:snapToGrid w:val="0"/>
        <w:spacing w:beforeLines="50" w:line="320" w:lineRule="exact"/>
        <w:rPr>
          <w:rFonts w:ascii="宋体" w:hAnsi="宋体" w:cs="宋体"/>
          <w:kern w:val="0"/>
          <w:szCs w:val="21"/>
        </w:rPr>
      </w:pPr>
      <w:r>
        <w:rPr>
          <w:rFonts w:hint="eastAsia" w:ascii="宋体" w:hAnsi="宋体"/>
          <w:szCs w:val="21"/>
        </w:rPr>
        <w:t>3、服务的主要内容：</w:t>
      </w:r>
      <w:r>
        <w:rPr>
          <w:rFonts w:hint="eastAsia" w:ascii="宋体" w:hAnsi="宋体" w:cs="宋体"/>
          <w:kern w:val="0"/>
          <w:szCs w:val="21"/>
        </w:rPr>
        <w:t>详见“技术要求”中的具体技术参数。</w:t>
      </w:r>
    </w:p>
    <w:p w14:paraId="7BECF1BA">
      <w:pPr>
        <w:spacing w:line="440" w:lineRule="exact"/>
        <w:jc w:val="left"/>
        <w:rPr>
          <w:rFonts w:ascii="宋体" w:hAnsi="宋体" w:cs="宋体"/>
          <w:b/>
          <w:szCs w:val="21"/>
        </w:rPr>
      </w:pPr>
      <w:r>
        <w:rPr>
          <w:rFonts w:hint="eastAsia" w:ascii="宋体" w:hAnsi="宋体" w:cs="宋体"/>
          <w:bCs/>
          <w:kern w:val="0"/>
          <w:szCs w:val="21"/>
        </w:rPr>
        <w:t>4、投标人应</w:t>
      </w:r>
      <w:r>
        <w:rPr>
          <w:rFonts w:hint="eastAsia" w:ascii="宋体" w:hAnsi="宋体" w:cs="宋体"/>
          <w:kern w:val="0"/>
          <w:szCs w:val="21"/>
        </w:rPr>
        <w:t>在投标文件“分项报价明细表”中按</w:t>
      </w:r>
      <w:r>
        <w:rPr>
          <w:rFonts w:hint="eastAsia" w:ascii="宋体" w:hAnsi="宋体"/>
          <w:szCs w:val="21"/>
        </w:rPr>
        <w:t>分项项目名称（包括</w:t>
      </w:r>
      <w:r>
        <w:rPr>
          <w:rFonts w:hint="eastAsia" w:ascii="宋体" w:hAnsi="宋体" w:cs="宋体"/>
          <w:kern w:val="0"/>
          <w:szCs w:val="21"/>
        </w:rPr>
        <w:t>条目号/品目名称）顺序逐项填写，且每个品目中的条目均需按招标文件规定报价。</w:t>
      </w:r>
    </w:p>
    <w:p w14:paraId="0743027F">
      <w:pPr>
        <w:pStyle w:val="7"/>
      </w:pPr>
    </w:p>
    <w:p w14:paraId="1DA4B8F6"/>
    <w:p w14:paraId="6A446E01">
      <w:pPr>
        <w:pStyle w:val="7"/>
      </w:pPr>
    </w:p>
    <w:p w14:paraId="5FCB3947">
      <w:pPr>
        <w:pStyle w:val="7"/>
        <w:ind w:left="0" w:leftChars="0"/>
      </w:pPr>
    </w:p>
    <w:p w14:paraId="5FB04925">
      <w:pPr>
        <w:pStyle w:val="8"/>
        <w:rPr>
          <w:rFonts w:ascii="宋体" w:hAnsi="宋体" w:cs="宋体"/>
          <w:sz w:val="21"/>
          <w:szCs w:val="21"/>
        </w:rPr>
      </w:pPr>
    </w:p>
    <w:p w14:paraId="20E4044A">
      <w:pPr>
        <w:pStyle w:val="8"/>
        <w:rPr>
          <w:rFonts w:ascii="宋体" w:hAnsi="宋体" w:cs="宋体"/>
          <w:sz w:val="21"/>
          <w:szCs w:val="21"/>
        </w:rPr>
      </w:pPr>
    </w:p>
    <w:p w14:paraId="4B1A2A20">
      <w:pPr>
        <w:pStyle w:val="8"/>
        <w:rPr>
          <w:rFonts w:ascii="宋体" w:hAnsi="宋体" w:cs="宋体"/>
          <w:sz w:val="21"/>
          <w:szCs w:val="21"/>
        </w:rPr>
      </w:pPr>
    </w:p>
    <w:p w14:paraId="5EC64F5B">
      <w:pPr>
        <w:pStyle w:val="8"/>
        <w:rPr>
          <w:rFonts w:ascii="宋体" w:hAnsi="宋体" w:cs="宋体"/>
          <w:sz w:val="21"/>
          <w:szCs w:val="21"/>
        </w:rPr>
      </w:pPr>
    </w:p>
    <w:p w14:paraId="644188CE"/>
    <w:p w14:paraId="6D5B2858">
      <w:pPr>
        <w:pStyle w:val="8"/>
        <w:rPr>
          <w:rFonts w:ascii="宋体" w:hAnsi="宋体" w:cs="宋体"/>
          <w:sz w:val="21"/>
          <w:szCs w:val="21"/>
        </w:rPr>
      </w:pPr>
    </w:p>
    <w:p w14:paraId="380B9CDC">
      <w:pPr>
        <w:pStyle w:val="8"/>
        <w:rPr>
          <w:rFonts w:hint="eastAsia" w:ascii="宋体" w:hAnsi="宋体" w:cs="宋体"/>
          <w:sz w:val="28"/>
          <w:szCs w:val="28"/>
        </w:rPr>
      </w:pPr>
    </w:p>
    <w:p w14:paraId="0528212D">
      <w:pPr>
        <w:pStyle w:val="8"/>
        <w:rPr>
          <w:rFonts w:ascii="宋体" w:hAnsi="宋体" w:cs="宋体"/>
          <w:sz w:val="28"/>
          <w:szCs w:val="28"/>
        </w:rPr>
      </w:pPr>
      <w:r>
        <w:rPr>
          <w:rFonts w:hint="eastAsia" w:ascii="宋体" w:hAnsi="宋体" w:cs="宋体"/>
          <w:sz w:val="28"/>
          <w:szCs w:val="28"/>
        </w:rPr>
        <w:t>第二节、技术要求</w:t>
      </w:r>
    </w:p>
    <w:p w14:paraId="52EA624A">
      <w:pPr>
        <w:spacing w:line="360" w:lineRule="auto"/>
        <w:rPr>
          <w:rFonts w:ascii="宋体" w:hAnsi="宋体"/>
          <w:b/>
          <w:color w:val="auto"/>
          <w:szCs w:val="21"/>
        </w:rPr>
      </w:pPr>
      <w:r>
        <w:rPr>
          <w:rFonts w:hint="eastAsia" w:ascii="宋体" w:hAnsi="宋体"/>
          <w:b/>
          <w:color w:val="auto"/>
          <w:szCs w:val="21"/>
        </w:rPr>
        <w:t>一、项目名称</w:t>
      </w:r>
    </w:p>
    <w:p w14:paraId="6FBCF58B">
      <w:pPr>
        <w:spacing w:line="360" w:lineRule="auto"/>
        <w:ind w:firstLine="420" w:firstLineChars="200"/>
        <w:rPr>
          <w:rFonts w:hint="eastAsia" w:ascii="宋体" w:hAnsi="宋体" w:eastAsia="宋体" w:cs="宋体"/>
          <w:szCs w:val="21"/>
          <w:lang w:eastAsia="zh-CN"/>
        </w:rPr>
      </w:pPr>
      <w:r>
        <w:rPr>
          <w:rFonts w:hint="eastAsia" w:ascii="宋体" w:hAnsi="宋体" w:cs="宋体"/>
          <w:szCs w:val="21"/>
        </w:rPr>
        <w:t>项目名称：</w:t>
      </w:r>
      <w:r>
        <w:rPr>
          <w:rFonts w:hint="eastAsia" w:ascii="宋体" w:hAnsi="宋体" w:cs="宋体"/>
          <w:szCs w:val="21"/>
          <w:lang w:eastAsia="zh-CN"/>
        </w:rPr>
        <w:t>华容县农村乱占耕地建非住宅类房屋整治工作技术服务项目</w:t>
      </w:r>
    </w:p>
    <w:p w14:paraId="30138B9F">
      <w:pPr>
        <w:adjustRightInd w:val="0"/>
        <w:snapToGrid w:val="0"/>
        <w:spacing w:line="360" w:lineRule="auto"/>
        <w:jc w:val="left"/>
        <w:rPr>
          <w:rFonts w:ascii="宋体" w:hAnsi="宋体"/>
          <w:b/>
          <w:color w:val="auto"/>
          <w:szCs w:val="21"/>
        </w:rPr>
      </w:pPr>
      <w:r>
        <w:rPr>
          <w:rFonts w:hint="eastAsia" w:ascii="宋体" w:hAnsi="宋体"/>
          <w:b/>
          <w:color w:val="auto"/>
          <w:szCs w:val="21"/>
        </w:rPr>
        <w:t>二、采购项目预算</w:t>
      </w:r>
    </w:p>
    <w:p w14:paraId="1576077B">
      <w:pPr>
        <w:adjustRightInd w:val="0"/>
        <w:snapToGrid w:val="0"/>
        <w:spacing w:line="360" w:lineRule="auto"/>
        <w:ind w:firstLine="420" w:firstLineChars="200"/>
        <w:jc w:val="left"/>
        <w:rPr>
          <w:rFonts w:ascii="宋体" w:hAnsi="宋体" w:cs="宋体"/>
          <w:color w:val="auto"/>
          <w:szCs w:val="21"/>
        </w:rPr>
      </w:pPr>
      <w:r>
        <w:rPr>
          <w:rFonts w:hint="eastAsia" w:ascii="宋体" w:hAnsi="宋体" w:cs="宋体"/>
          <w:color w:val="auto"/>
          <w:szCs w:val="21"/>
        </w:rPr>
        <w:t>采购项目预算：</w:t>
      </w:r>
      <w:r>
        <w:rPr>
          <w:rFonts w:hint="eastAsia" w:ascii="宋体" w:hAnsi="宋体" w:cs="宋体"/>
          <w:szCs w:val="21"/>
          <w:lang w:eastAsia="zh-CN"/>
        </w:rPr>
        <w:t>837634</w:t>
      </w:r>
      <w:r>
        <w:rPr>
          <w:rFonts w:hint="eastAsia" w:ascii="宋体" w:hAnsi="宋体" w:cs="宋体"/>
          <w:color w:val="auto"/>
          <w:szCs w:val="21"/>
        </w:rPr>
        <w:t>元，最高控制价为：</w:t>
      </w:r>
      <w:r>
        <w:rPr>
          <w:rFonts w:hint="eastAsia" w:ascii="宋体" w:hAnsi="宋体" w:cs="宋体"/>
          <w:szCs w:val="21"/>
          <w:lang w:eastAsia="zh-CN"/>
        </w:rPr>
        <w:t>837634</w:t>
      </w:r>
      <w:r>
        <w:rPr>
          <w:rFonts w:hint="eastAsia" w:ascii="宋体" w:hAnsi="宋体" w:cs="宋体"/>
          <w:color w:val="auto"/>
          <w:szCs w:val="21"/>
        </w:rPr>
        <w:t>元</w:t>
      </w:r>
    </w:p>
    <w:p w14:paraId="39AD1817">
      <w:pPr>
        <w:adjustRightInd w:val="0"/>
        <w:snapToGrid w:val="0"/>
        <w:spacing w:line="360" w:lineRule="auto"/>
        <w:jc w:val="left"/>
        <w:rPr>
          <w:rFonts w:hint="eastAsia" w:ascii="宋体" w:hAnsi="宋体" w:eastAsia="宋体" w:cs="宋体"/>
          <w:b w:val="0"/>
          <w:bCs w:val="0"/>
          <w:kern w:val="2"/>
          <w:sz w:val="21"/>
          <w:szCs w:val="21"/>
          <w:lang w:val="en-US" w:eastAsia="zh-CN" w:bidi="ar-SA"/>
        </w:rPr>
      </w:pPr>
      <w:r>
        <w:rPr>
          <w:rFonts w:hint="eastAsia" w:ascii="宋体" w:hAnsi="宋体" w:eastAsia="宋体" w:cs="Times New Roman"/>
          <w:b/>
          <w:color w:val="auto"/>
          <w:szCs w:val="21"/>
        </w:rPr>
        <w:t>三、工作具体情况</w:t>
      </w:r>
    </w:p>
    <w:p w14:paraId="493D22E4">
      <w:pPr>
        <w:ind w:firstLine="422" w:firstLineChars="200"/>
        <w:rPr>
          <w:rFonts w:hint="eastAsia" w:ascii="宋体" w:hAnsi="宋体" w:cs="宋体"/>
          <w:b/>
          <w:bCs w:val="0"/>
          <w:kern w:val="2"/>
          <w:sz w:val="21"/>
          <w:szCs w:val="21"/>
          <w:highlight w:val="none"/>
          <w:lang w:val="en-US" w:eastAsia="zh-CN" w:bidi="ar"/>
        </w:rPr>
      </w:pPr>
      <w:r>
        <w:rPr>
          <w:rFonts w:hint="eastAsia" w:ascii="宋体" w:hAnsi="宋体" w:cs="宋体"/>
          <w:b/>
          <w:bCs w:val="0"/>
          <w:kern w:val="2"/>
          <w:sz w:val="21"/>
          <w:szCs w:val="21"/>
          <w:highlight w:val="none"/>
          <w:lang w:val="en-US" w:eastAsia="zh-CN" w:bidi="ar"/>
        </w:rPr>
        <w:t>1.</w:t>
      </w:r>
      <w:r>
        <w:rPr>
          <w:rFonts w:hint="eastAsia" w:ascii="宋体" w:hAnsi="宋体" w:eastAsia="宋体" w:cs="宋体"/>
          <w:b/>
          <w:bCs w:val="0"/>
          <w:kern w:val="2"/>
          <w:sz w:val="21"/>
          <w:szCs w:val="21"/>
          <w:highlight w:val="none"/>
          <w:lang w:val="en-US" w:eastAsia="zh-CN" w:bidi="ar"/>
        </w:rPr>
        <w:t>项目背景</w:t>
      </w:r>
      <w:r>
        <w:rPr>
          <w:rFonts w:hint="eastAsia" w:ascii="宋体" w:hAnsi="宋体" w:cs="宋体"/>
          <w:b/>
          <w:bCs w:val="0"/>
          <w:kern w:val="2"/>
          <w:sz w:val="21"/>
          <w:szCs w:val="21"/>
          <w:highlight w:val="none"/>
          <w:lang w:val="en-US" w:eastAsia="zh-CN" w:bidi="ar"/>
        </w:rPr>
        <w:t>：</w:t>
      </w:r>
    </w:p>
    <w:p w14:paraId="7E2BDDC0">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根据湖南省委办公厅 省政府办公厅开展农村乱占耕地建非住宅类房屋整治工作要求，我县需开展农村乱占耕地建非住宅类房屋整治工作，县委、政府需及时动员部署，有序组织实施，给予必要的经费保障，确保按时完成整治任务。</w:t>
      </w:r>
    </w:p>
    <w:p w14:paraId="1D2EB23F">
      <w:pPr>
        <w:keepNext w:val="0"/>
        <w:keepLines w:val="0"/>
        <w:widowControl w:val="0"/>
        <w:suppressLineNumbers w:val="0"/>
        <w:shd w:val="clear" w:color="auto" w:fill="auto"/>
        <w:spacing w:before="0" w:beforeAutospacing="0" w:after="0" w:afterAutospacing="0" w:line="400" w:lineRule="exact"/>
        <w:ind w:left="420" w:leftChars="200" w:right="0"/>
        <w:jc w:val="both"/>
        <w:outlineLvl w:val="1"/>
        <w:rPr>
          <w:rFonts w:hint="eastAsia" w:ascii="宋体" w:hAnsi="宋体" w:eastAsia="宋体" w:cs="宋体"/>
          <w:b/>
          <w:bCs w:val="0"/>
          <w:kern w:val="2"/>
          <w:sz w:val="21"/>
          <w:szCs w:val="21"/>
          <w:highlight w:val="none"/>
          <w:lang w:val="en-US" w:eastAsia="zh-CN" w:bidi="ar"/>
        </w:rPr>
      </w:pPr>
    </w:p>
    <w:p w14:paraId="1593D896">
      <w:pPr>
        <w:keepNext w:val="0"/>
        <w:keepLines w:val="0"/>
        <w:widowControl w:val="0"/>
        <w:suppressLineNumbers w:val="0"/>
        <w:shd w:val="clear" w:color="auto" w:fill="auto"/>
        <w:spacing w:before="0" w:beforeAutospacing="0" w:after="0" w:afterAutospacing="0" w:line="400" w:lineRule="exact"/>
        <w:ind w:left="420" w:leftChars="200" w:right="0"/>
        <w:jc w:val="both"/>
        <w:outlineLvl w:val="1"/>
        <w:rPr>
          <w:rFonts w:hint="eastAsia" w:ascii="黑体" w:hAnsi="黑体" w:eastAsia="黑体" w:cs="Times New Roman"/>
          <w:color w:val="auto"/>
          <w:sz w:val="30"/>
          <w:szCs w:val="30"/>
          <w:highlight w:val="none"/>
          <w:lang w:val="en-US" w:eastAsia="zh-CN"/>
        </w:rPr>
      </w:pPr>
      <w:r>
        <w:rPr>
          <w:rFonts w:hint="eastAsia" w:ascii="宋体" w:hAnsi="宋体" w:cs="宋体"/>
          <w:b/>
          <w:bCs w:val="0"/>
          <w:kern w:val="2"/>
          <w:sz w:val="21"/>
          <w:szCs w:val="21"/>
          <w:highlight w:val="none"/>
          <w:lang w:val="en-US" w:eastAsia="zh-CN" w:bidi="ar"/>
        </w:rPr>
        <w:t>2.</w:t>
      </w:r>
      <w:r>
        <w:rPr>
          <w:rFonts w:hint="eastAsia" w:ascii="宋体" w:hAnsi="宋体" w:eastAsia="宋体" w:cs="宋体"/>
          <w:b/>
          <w:bCs w:val="0"/>
          <w:kern w:val="2"/>
          <w:sz w:val="21"/>
          <w:szCs w:val="21"/>
          <w:highlight w:val="none"/>
          <w:lang w:val="en-US" w:eastAsia="zh-CN" w:bidi="ar"/>
        </w:rPr>
        <w:t>费用预算明细：</w:t>
      </w:r>
      <w:r>
        <w:rPr>
          <w:rFonts w:hint="eastAsia" w:ascii="黑体" w:hAnsi="黑体" w:eastAsia="黑体" w:cs="Times New Roman"/>
          <w:color w:val="auto"/>
          <w:sz w:val="30"/>
          <w:szCs w:val="30"/>
          <w:highlight w:val="none"/>
          <w:lang w:val="en-US" w:eastAsia="zh-CN"/>
        </w:rPr>
        <w:tab/>
      </w:r>
    </w:p>
    <w:tbl>
      <w:tblPr>
        <w:tblStyle w:val="9"/>
        <w:tblW w:w="490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07"/>
        <w:gridCol w:w="4591"/>
        <w:gridCol w:w="2660"/>
      </w:tblGrid>
      <w:tr w14:paraId="2658A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662" w:type="pct"/>
            <w:noWrap/>
            <w:vAlign w:val="center"/>
          </w:tcPr>
          <w:p w14:paraId="44F8F01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序号</w:t>
            </w:r>
          </w:p>
        </w:tc>
        <w:tc>
          <w:tcPr>
            <w:tcW w:w="2746" w:type="pct"/>
            <w:noWrap w:val="0"/>
            <w:vAlign w:val="center"/>
          </w:tcPr>
          <w:p w14:paraId="18D1502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工作内容</w:t>
            </w:r>
          </w:p>
        </w:tc>
        <w:tc>
          <w:tcPr>
            <w:tcW w:w="1591" w:type="pct"/>
            <w:noWrap/>
            <w:vAlign w:val="center"/>
          </w:tcPr>
          <w:p w14:paraId="32AEEF1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最高限价</w:t>
            </w:r>
          </w:p>
        </w:tc>
      </w:tr>
      <w:tr w14:paraId="13EAA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662" w:type="pct"/>
            <w:tcBorders>
              <w:bottom w:val="single" w:color="auto" w:sz="4" w:space="0"/>
            </w:tcBorders>
            <w:noWrap/>
            <w:vAlign w:val="center"/>
          </w:tcPr>
          <w:p w14:paraId="3F2CA04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1</w:t>
            </w:r>
          </w:p>
        </w:tc>
        <w:tc>
          <w:tcPr>
            <w:tcW w:w="2746" w:type="pct"/>
            <w:noWrap w:val="0"/>
            <w:vAlign w:val="center"/>
          </w:tcPr>
          <w:p w14:paraId="78737C4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信息提取与分析</w:t>
            </w:r>
          </w:p>
        </w:tc>
        <w:tc>
          <w:tcPr>
            <w:tcW w:w="1591" w:type="pct"/>
            <w:noWrap/>
            <w:vAlign w:val="center"/>
          </w:tcPr>
          <w:p w14:paraId="70A3C82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1.9364</w:t>
            </w:r>
          </w:p>
        </w:tc>
      </w:tr>
      <w:tr w14:paraId="2702C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662" w:type="pct"/>
            <w:tcBorders>
              <w:top w:val="single" w:color="auto" w:sz="4" w:space="0"/>
              <w:bottom w:val="single" w:color="auto" w:sz="4" w:space="0"/>
            </w:tcBorders>
            <w:noWrap/>
            <w:vAlign w:val="center"/>
          </w:tcPr>
          <w:p w14:paraId="6FB2E09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2</w:t>
            </w:r>
          </w:p>
        </w:tc>
        <w:tc>
          <w:tcPr>
            <w:tcW w:w="2746" w:type="pct"/>
            <w:noWrap w:val="0"/>
            <w:vAlign w:val="center"/>
          </w:tcPr>
          <w:p w14:paraId="23E2376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基础数据测量</w:t>
            </w:r>
          </w:p>
        </w:tc>
        <w:tc>
          <w:tcPr>
            <w:tcW w:w="1591" w:type="pct"/>
            <w:noWrap/>
            <w:vAlign w:val="center"/>
          </w:tcPr>
          <w:p w14:paraId="08F4AD9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19.7024</w:t>
            </w:r>
          </w:p>
        </w:tc>
      </w:tr>
      <w:tr w14:paraId="746BA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7" w:hRule="atLeast"/>
          <w:jc w:val="center"/>
        </w:trPr>
        <w:tc>
          <w:tcPr>
            <w:tcW w:w="662" w:type="pct"/>
            <w:tcBorders>
              <w:top w:val="single" w:color="auto" w:sz="4" w:space="0"/>
              <w:bottom w:val="single" w:color="auto" w:sz="4" w:space="0"/>
            </w:tcBorders>
            <w:noWrap/>
            <w:vAlign w:val="center"/>
          </w:tcPr>
          <w:p w14:paraId="3D4B1E6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3</w:t>
            </w:r>
          </w:p>
        </w:tc>
        <w:tc>
          <w:tcPr>
            <w:tcW w:w="2746" w:type="pct"/>
            <w:noWrap w:val="0"/>
            <w:vAlign w:val="center"/>
          </w:tcPr>
          <w:p w14:paraId="14D3A09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社会稳定性风险评估服务</w:t>
            </w:r>
          </w:p>
        </w:tc>
        <w:tc>
          <w:tcPr>
            <w:tcW w:w="1591" w:type="pct"/>
            <w:noWrap/>
            <w:vAlign w:val="center"/>
          </w:tcPr>
          <w:p w14:paraId="143BEC4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7.05</w:t>
            </w:r>
          </w:p>
        </w:tc>
      </w:tr>
      <w:tr w14:paraId="4DCBF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662" w:type="pct"/>
            <w:tcBorders>
              <w:top w:val="single" w:color="auto" w:sz="4" w:space="0"/>
              <w:bottom w:val="single" w:color="auto" w:sz="4" w:space="0"/>
            </w:tcBorders>
            <w:noWrap/>
            <w:vAlign w:val="center"/>
          </w:tcPr>
          <w:p w14:paraId="214EBBC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4</w:t>
            </w:r>
          </w:p>
        </w:tc>
        <w:tc>
          <w:tcPr>
            <w:tcW w:w="2746" w:type="pct"/>
            <w:noWrap w:val="0"/>
            <w:vAlign w:val="center"/>
          </w:tcPr>
          <w:p w14:paraId="6CD56D0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实地核查</w:t>
            </w:r>
          </w:p>
        </w:tc>
        <w:tc>
          <w:tcPr>
            <w:tcW w:w="1591" w:type="pct"/>
            <w:noWrap/>
            <w:vAlign w:val="center"/>
          </w:tcPr>
          <w:p w14:paraId="76B3E0C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44.1048</w:t>
            </w:r>
          </w:p>
        </w:tc>
      </w:tr>
      <w:tr w14:paraId="1BEEB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662" w:type="pct"/>
            <w:tcBorders>
              <w:top w:val="single" w:color="auto" w:sz="4" w:space="0"/>
              <w:bottom w:val="single" w:color="auto" w:sz="4" w:space="0"/>
            </w:tcBorders>
            <w:noWrap/>
            <w:vAlign w:val="center"/>
          </w:tcPr>
          <w:p w14:paraId="49671A2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5</w:t>
            </w:r>
          </w:p>
        </w:tc>
        <w:tc>
          <w:tcPr>
            <w:tcW w:w="2746" w:type="pct"/>
            <w:noWrap w:val="0"/>
            <w:vAlign w:val="center"/>
          </w:tcPr>
          <w:p w14:paraId="17FF1B4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一地一策</w:t>
            </w:r>
          </w:p>
        </w:tc>
        <w:tc>
          <w:tcPr>
            <w:tcW w:w="1591" w:type="pct"/>
            <w:noWrap/>
            <w:vAlign w:val="center"/>
          </w:tcPr>
          <w:p w14:paraId="2A35210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7.05</w:t>
            </w:r>
          </w:p>
        </w:tc>
      </w:tr>
      <w:tr w14:paraId="57C06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662" w:type="pct"/>
            <w:tcBorders>
              <w:top w:val="single" w:color="auto" w:sz="4" w:space="0"/>
              <w:bottom w:val="single" w:color="auto" w:sz="4" w:space="0"/>
            </w:tcBorders>
            <w:noWrap/>
            <w:vAlign w:val="center"/>
          </w:tcPr>
          <w:p w14:paraId="4B46CC5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6</w:t>
            </w:r>
          </w:p>
        </w:tc>
        <w:tc>
          <w:tcPr>
            <w:tcW w:w="2746" w:type="pct"/>
            <w:noWrap w:val="0"/>
            <w:vAlign w:val="center"/>
          </w:tcPr>
          <w:p w14:paraId="49066B5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内业数据处理</w:t>
            </w:r>
          </w:p>
        </w:tc>
        <w:tc>
          <w:tcPr>
            <w:tcW w:w="1591" w:type="pct"/>
            <w:noWrap/>
            <w:vAlign w:val="center"/>
          </w:tcPr>
          <w:p w14:paraId="3E30FBE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1.3818</w:t>
            </w:r>
          </w:p>
        </w:tc>
      </w:tr>
      <w:tr w14:paraId="64B57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662" w:type="pct"/>
            <w:tcBorders>
              <w:top w:val="single" w:color="auto" w:sz="4" w:space="0"/>
              <w:bottom w:val="single" w:color="auto" w:sz="4" w:space="0"/>
            </w:tcBorders>
            <w:noWrap/>
            <w:vAlign w:val="center"/>
          </w:tcPr>
          <w:p w14:paraId="78D07B4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7</w:t>
            </w:r>
          </w:p>
        </w:tc>
        <w:tc>
          <w:tcPr>
            <w:tcW w:w="2746" w:type="pct"/>
            <w:noWrap w:val="0"/>
            <w:vAlign w:val="center"/>
          </w:tcPr>
          <w:p w14:paraId="44D59CF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系统上报</w:t>
            </w:r>
          </w:p>
        </w:tc>
        <w:tc>
          <w:tcPr>
            <w:tcW w:w="1591" w:type="pct"/>
            <w:noWrap/>
            <w:vAlign w:val="center"/>
          </w:tcPr>
          <w:p w14:paraId="5FFD0F0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1.598</w:t>
            </w:r>
          </w:p>
        </w:tc>
      </w:tr>
      <w:tr w14:paraId="29872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662" w:type="pct"/>
            <w:tcBorders>
              <w:top w:val="single" w:color="auto" w:sz="4" w:space="0"/>
              <w:bottom w:val="single" w:color="auto" w:sz="4" w:space="0"/>
            </w:tcBorders>
            <w:noWrap/>
            <w:vAlign w:val="center"/>
          </w:tcPr>
          <w:p w14:paraId="0070E6C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8</w:t>
            </w:r>
          </w:p>
        </w:tc>
        <w:tc>
          <w:tcPr>
            <w:tcW w:w="2746" w:type="pct"/>
            <w:noWrap w:val="0"/>
            <w:vAlign w:val="center"/>
          </w:tcPr>
          <w:p w14:paraId="5EE90A3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验收资料编制</w:t>
            </w:r>
          </w:p>
        </w:tc>
        <w:tc>
          <w:tcPr>
            <w:tcW w:w="1591" w:type="pct"/>
            <w:noWrap/>
            <w:vAlign w:val="center"/>
          </w:tcPr>
          <w:p w14:paraId="653F325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0.94</w:t>
            </w:r>
          </w:p>
        </w:tc>
      </w:tr>
      <w:tr w14:paraId="16C90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9" w:hRule="atLeast"/>
          <w:jc w:val="center"/>
        </w:trPr>
        <w:tc>
          <w:tcPr>
            <w:tcW w:w="662" w:type="pct"/>
            <w:tcBorders>
              <w:top w:val="single" w:color="auto" w:sz="4" w:space="0"/>
            </w:tcBorders>
            <w:noWrap/>
            <w:vAlign w:val="center"/>
          </w:tcPr>
          <w:p w14:paraId="6E5E915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9</w:t>
            </w:r>
          </w:p>
        </w:tc>
        <w:tc>
          <w:tcPr>
            <w:tcW w:w="2746" w:type="pct"/>
            <w:noWrap w:val="0"/>
            <w:vAlign w:val="center"/>
          </w:tcPr>
          <w:p w14:paraId="7D70F12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合计</w:t>
            </w:r>
          </w:p>
        </w:tc>
        <w:tc>
          <w:tcPr>
            <w:tcW w:w="1591" w:type="pct"/>
            <w:noWrap/>
            <w:vAlign w:val="center"/>
          </w:tcPr>
          <w:p w14:paraId="55E6145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83.7634万元</w:t>
            </w:r>
          </w:p>
        </w:tc>
      </w:tr>
    </w:tbl>
    <w:p w14:paraId="4D99D308">
      <w:pPr>
        <w:keepNext w:val="0"/>
        <w:keepLines w:val="0"/>
        <w:widowControl w:val="0"/>
        <w:suppressLineNumbers w:val="0"/>
        <w:spacing w:before="0" w:beforeAutospacing="0" w:after="0" w:afterAutospacing="0" w:line="400" w:lineRule="exact"/>
        <w:ind w:right="0"/>
        <w:jc w:val="both"/>
        <w:outlineLvl w:val="1"/>
        <w:rPr>
          <w:rFonts w:hint="eastAsia" w:ascii="宋体" w:hAnsi="宋体" w:eastAsia="宋体" w:cs="宋体"/>
          <w:b/>
          <w:bCs w:val="0"/>
          <w:sz w:val="24"/>
          <w:szCs w:val="24"/>
          <w:highlight w:val="none"/>
          <w:lang w:val="en-US"/>
        </w:rPr>
      </w:pPr>
      <w:r>
        <w:rPr>
          <w:rFonts w:hint="eastAsia" w:ascii="宋体" w:hAnsi="宋体" w:cs="宋体"/>
          <w:b/>
          <w:bCs w:val="0"/>
          <w:kern w:val="2"/>
          <w:sz w:val="24"/>
          <w:szCs w:val="24"/>
          <w:highlight w:val="none"/>
          <w:lang w:val="en-US" w:eastAsia="zh-CN" w:bidi="ar"/>
        </w:rPr>
        <w:t>四、</w:t>
      </w:r>
      <w:r>
        <w:rPr>
          <w:rFonts w:hint="eastAsia" w:ascii="宋体" w:hAnsi="宋体" w:eastAsia="宋体" w:cs="宋体"/>
          <w:b/>
          <w:bCs w:val="0"/>
          <w:kern w:val="2"/>
          <w:sz w:val="24"/>
          <w:szCs w:val="24"/>
          <w:highlight w:val="none"/>
          <w:lang w:val="en-US" w:eastAsia="zh-CN" w:bidi="ar"/>
        </w:rPr>
        <w:t>服务要求：</w:t>
      </w:r>
    </w:p>
    <w:p w14:paraId="05CE9CD5">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600" w:lineRule="exact"/>
        <w:ind w:leftChars="0"/>
        <w:textAlignment w:val="auto"/>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1）供应商应根据国家、湖南省相关技术规范、政策文件以及本合同约定，按时提交全部成果，成果包含矢量数据、测绘图纸、各类报告、台账表格、影像档案、系统佐证材料纸质及电子版本，并对成果的真实性、完整性、准确性、质量负全部责任。</w:t>
      </w:r>
    </w:p>
    <w:p w14:paraId="35AFD2D2">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600" w:lineRule="exact"/>
        <w:ind w:leftChars="0"/>
        <w:textAlignment w:val="auto"/>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2）供应商提交的正式成果出现遗漏、错误、数据不一致等质量问题的，供应商须在采购人规定时限内无偿及时修正、补充完善；如在省级业务系统填报审核不通过，无法完成销号，供应商负责免费修改完善全部资料，反复提交直至图斑审核通过完成销号为止，相关费用全部包含在合同总价内，采购人不再另行付费。</w:t>
      </w:r>
    </w:p>
    <w:p w14:paraId="50D55336">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600" w:lineRule="exact"/>
        <w:ind w:leftChars="0"/>
        <w:textAlignment w:val="auto"/>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3）人员要求：供应商须组建专门项目部，配备项目负责人、测绘技术人员、外业核查人员、内业数据处理人员，项目主要技术人员须为本单位在职人员，不得随意更换；确需更换人员，应提前向采购人报备并提供同等能力人员。项目全过程人员须服从采购人工作调度，保障外业核查人员数量满足项目时间节点要求。</w:t>
      </w:r>
    </w:p>
    <w:p w14:paraId="555844DB">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600" w:lineRule="exact"/>
        <w:ind w:leftChars="0"/>
        <w:textAlignment w:val="auto"/>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（4）设备工具要求：供应商须自备测绘仪器、移动作业终端、拍照设备、车辆等全部外业作业设备，项目实施产生交通、差旅、打印装订、测绘耗材等全部成本均包含在投标总价中。</w:t>
      </w:r>
    </w:p>
    <w:p w14:paraId="44772CD3">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600" w:lineRule="exact"/>
        <w:ind w:leftChars="0"/>
        <w:textAlignment w:val="auto"/>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（5）保密要求：项目涉及土地权属、农户信息、涉密地理空间数据，成交人建立保密管理制度，所有工作人员签订保密协议，严禁外泄项目涉密数据和群众隐私信息。</w:t>
      </w:r>
    </w:p>
    <w:p w14:paraId="059A9918">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600" w:lineRule="exact"/>
        <w:ind w:leftChars="0"/>
        <w:textAlignment w:val="auto"/>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（6）配合检查要求：项目实施期间，积极配合省、市、县主管部门督导、核查、检查工作，按需提供资料，必要时安排技术人员随同现场核验。</w:t>
      </w:r>
    </w:p>
    <w:p w14:paraId="08462732">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600" w:lineRule="exact"/>
        <w:ind w:leftChars="0"/>
        <w:textAlignment w:val="auto"/>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（7）工期管控：严格服从全县整治工作时间节点，除 2027 年 6 月底总体完工外，采购人下达阶段性任务节点，成交人必须按期完成。</w:t>
      </w:r>
    </w:p>
    <w:p w14:paraId="6C3C1D0E">
      <w:pPr>
        <w:keepNext w:val="0"/>
        <w:keepLines w:val="0"/>
        <w:widowControl w:val="0"/>
        <w:suppressLineNumbers w:val="0"/>
        <w:spacing w:before="0" w:beforeAutospacing="0" w:after="0" w:afterAutospacing="0" w:line="400" w:lineRule="exact"/>
        <w:ind w:right="0"/>
        <w:jc w:val="both"/>
        <w:outlineLvl w:val="1"/>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kern w:val="2"/>
          <w:sz w:val="24"/>
          <w:szCs w:val="24"/>
          <w:highlight w:val="none"/>
          <w:lang w:val="en-US" w:eastAsia="zh-CN" w:bidi="ar"/>
        </w:rPr>
        <w:t>五、其他要求</w:t>
      </w:r>
    </w:p>
    <w:p w14:paraId="635F3B7C">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600" w:lineRule="exact"/>
        <w:ind w:leftChars="0"/>
        <w:textAlignment w:val="auto"/>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（1）供应商根据国家法律法规以及相关技术规范的要求完成所有项目成果。</w:t>
      </w:r>
    </w:p>
    <w:p w14:paraId="7D3C4E2C">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600" w:lineRule="exact"/>
        <w:ind w:leftChars="0"/>
        <w:textAlignment w:val="auto"/>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（2）供应商应根据采购人工作要求提供所需成果报告资料。</w:t>
      </w:r>
    </w:p>
    <w:p w14:paraId="7868D13C">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600" w:lineRule="exact"/>
        <w:ind w:leftChars="0"/>
        <w:textAlignment w:val="auto"/>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3）双方确定：本项目获得的所有技术成果归双方所有，未经对方书面同意，任何方不得将本技术成果泄露或转让给任何第三方。供应商为生产和科研项目的需要，享有技术成果的使用权，但不得用于任何商业目的。</w:t>
      </w:r>
    </w:p>
    <w:p w14:paraId="471F7476">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600" w:lineRule="exact"/>
        <w:ind w:leftChars="0"/>
        <w:textAlignment w:val="auto"/>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（4）如供应商提交的成果不符合相关要求或达不到合同约定的其他相关技术服务项目要求，采购人有权取消其成交资格。</w:t>
      </w:r>
    </w:p>
    <w:p w14:paraId="12EB0B90">
      <w:pPr>
        <w:pStyle w:val="2"/>
        <w:rPr>
          <w:rFonts w:hint="eastAsia" w:ascii="Times New Roman" w:hAnsi="Times New Roman" w:eastAsia="宋体" w:cs="宋体"/>
          <w:kern w:val="2"/>
          <w:sz w:val="21"/>
          <w:szCs w:val="24"/>
          <w:highlight w:val="none"/>
          <w:lang w:val="en-US" w:eastAsia="zh-CN" w:bidi="ar"/>
        </w:rPr>
      </w:pPr>
    </w:p>
    <w:p w14:paraId="6D1BFA19">
      <w:pPr>
        <w:pStyle w:val="3"/>
        <w:rPr>
          <w:rFonts w:hint="eastAsia" w:ascii="Times New Roman" w:hAnsi="Times New Roman" w:eastAsia="宋体" w:cs="宋体"/>
          <w:kern w:val="2"/>
          <w:sz w:val="21"/>
          <w:szCs w:val="24"/>
          <w:highlight w:val="none"/>
          <w:lang w:val="en-US" w:eastAsia="zh-CN" w:bidi="ar"/>
        </w:rPr>
      </w:pPr>
    </w:p>
    <w:p w14:paraId="52DF9516">
      <w:pPr>
        <w:pStyle w:val="3"/>
        <w:rPr>
          <w:rFonts w:hint="eastAsia" w:ascii="Times New Roman" w:hAnsi="Times New Roman" w:eastAsia="宋体" w:cs="宋体"/>
          <w:kern w:val="2"/>
          <w:sz w:val="21"/>
          <w:szCs w:val="24"/>
          <w:highlight w:val="none"/>
          <w:lang w:val="en-US" w:eastAsia="zh-CN" w:bidi="ar"/>
        </w:rPr>
      </w:pPr>
    </w:p>
    <w:p w14:paraId="553096E9">
      <w:pPr>
        <w:pStyle w:val="3"/>
        <w:rPr>
          <w:rFonts w:hint="eastAsia" w:ascii="Times New Roman" w:hAnsi="Times New Roman" w:eastAsia="宋体" w:cs="宋体"/>
          <w:kern w:val="2"/>
          <w:sz w:val="21"/>
          <w:szCs w:val="24"/>
          <w:highlight w:val="none"/>
          <w:lang w:val="en-US" w:eastAsia="zh-CN" w:bidi="ar"/>
        </w:rPr>
      </w:pPr>
    </w:p>
    <w:p w14:paraId="02CB54F2">
      <w:pPr>
        <w:pStyle w:val="3"/>
        <w:rPr>
          <w:rFonts w:hint="eastAsia" w:ascii="Times New Roman" w:hAnsi="Times New Roman" w:eastAsia="宋体" w:cs="宋体"/>
          <w:kern w:val="2"/>
          <w:sz w:val="21"/>
          <w:szCs w:val="24"/>
          <w:highlight w:val="none"/>
          <w:lang w:val="en-US" w:eastAsia="zh-CN" w:bidi="ar"/>
        </w:rPr>
      </w:pPr>
    </w:p>
    <w:p w14:paraId="25C686F1">
      <w:pPr>
        <w:pStyle w:val="3"/>
        <w:rPr>
          <w:rFonts w:hint="eastAsia" w:ascii="Times New Roman" w:hAnsi="Times New Roman" w:eastAsia="宋体" w:cs="宋体"/>
          <w:kern w:val="2"/>
          <w:sz w:val="21"/>
          <w:szCs w:val="24"/>
          <w:highlight w:val="none"/>
          <w:lang w:val="en-US" w:eastAsia="zh-CN" w:bidi="ar"/>
        </w:rPr>
      </w:pPr>
    </w:p>
    <w:p w14:paraId="4BDE2C41">
      <w:pPr>
        <w:pStyle w:val="3"/>
        <w:rPr>
          <w:rFonts w:hint="eastAsia" w:ascii="Times New Roman" w:hAnsi="Times New Roman" w:eastAsia="宋体" w:cs="宋体"/>
          <w:kern w:val="2"/>
          <w:sz w:val="21"/>
          <w:szCs w:val="24"/>
          <w:highlight w:val="none"/>
          <w:lang w:val="en-US" w:eastAsia="zh-CN" w:bidi="ar"/>
        </w:rPr>
      </w:pPr>
    </w:p>
    <w:p w14:paraId="377EDCDE">
      <w:pPr>
        <w:pStyle w:val="3"/>
        <w:rPr>
          <w:rFonts w:hint="eastAsia" w:ascii="Times New Roman" w:hAnsi="Times New Roman" w:eastAsia="宋体" w:cs="宋体"/>
          <w:kern w:val="2"/>
          <w:sz w:val="21"/>
          <w:szCs w:val="24"/>
          <w:highlight w:val="none"/>
          <w:lang w:val="en-US" w:eastAsia="zh-CN" w:bidi="ar"/>
        </w:rPr>
      </w:pPr>
    </w:p>
    <w:p w14:paraId="56B29A21">
      <w:pPr>
        <w:pStyle w:val="3"/>
        <w:rPr>
          <w:rFonts w:hint="eastAsia" w:ascii="Times New Roman" w:hAnsi="Times New Roman" w:eastAsia="宋体" w:cs="宋体"/>
          <w:kern w:val="2"/>
          <w:sz w:val="21"/>
          <w:szCs w:val="24"/>
          <w:highlight w:val="none"/>
          <w:lang w:val="en-US" w:eastAsia="zh-CN" w:bidi="ar"/>
        </w:rPr>
      </w:pPr>
    </w:p>
    <w:p w14:paraId="593F5C85">
      <w:pPr>
        <w:pStyle w:val="3"/>
        <w:rPr>
          <w:rFonts w:hint="eastAsia" w:ascii="Times New Roman" w:hAnsi="Times New Roman" w:eastAsia="宋体" w:cs="宋体"/>
          <w:kern w:val="2"/>
          <w:sz w:val="21"/>
          <w:szCs w:val="24"/>
          <w:highlight w:val="none"/>
          <w:lang w:val="en-US" w:eastAsia="zh-CN" w:bidi="ar"/>
        </w:rPr>
      </w:pPr>
    </w:p>
    <w:p w14:paraId="73F078DA">
      <w:pPr>
        <w:pStyle w:val="3"/>
        <w:rPr>
          <w:rFonts w:hint="eastAsia" w:ascii="Times New Roman" w:hAnsi="Times New Roman" w:eastAsia="宋体" w:cs="宋体"/>
          <w:kern w:val="2"/>
          <w:sz w:val="21"/>
          <w:szCs w:val="24"/>
          <w:highlight w:val="none"/>
          <w:lang w:val="en-US" w:eastAsia="zh-CN" w:bidi="ar"/>
        </w:rPr>
      </w:pPr>
    </w:p>
    <w:p w14:paraId="7ADA8EF0">
      <w:pPr>
        <w:pStyle w:val="3"/>
        <w:rPr>
          <w:rFonts w:hint="eastAsia" w:ascii="Times New Roman" w:hAnsi="Times New Roman" w:eastAsia="宋体" w:cs="宋体"/>
          <w:kern w:val="2"/>
          <w:sz w:val="21"/>
          <w:szCs w:val="24"/>
          <w:highlight w:val="none"/>
          <w:lang w:val="en-US" w:eastAsia="zh-CN" w:bidi="ar"/>
        </w:rPr>
      </w:pPr>
    </w:p>
    <w:p w14:paraId="015E73A6">
      <w:pPr>
        <w:pStyle w:val="3"/>
        <w:rPr>
          <w:rFonts w:hint="eastAsia" w:ascii="Times New Roman" w:hAnsi="Times New Roman" w:eastAsia="宋体" w:cs="宋体"/>
          <w:kern w:val="2"/>
          <w:sz w:val="21"/>
          <w:szCs w:val="24"/>
          <w:highlight w:val="none"/>
          <w:lang w:val="en-US" w:eastAsia="zh-CN" w:bidi="ar"/>
        </w:rPr>
      </w:pPr>
    </w:p>
    <w:p w14:paraId="5C993CFA">
      <w:pPr>
        <w:pStyle w:val="3"/>
        <w:rPr>
          <w:rFonts w:hint="eastAsia" w:ascii="Times New Roman" w:hAnsi="Times New Roman" w:eastAsia="宋体" w:cs="宋体"/>
          <w:kern w:val="2"/>
          <w:sz w:val="21"/>
          <w:szCs w:val="24"/>
          <w:highlight w:val="none"/>
          <w:lang w:val="en-US" w:eastAsia="zh-CN" w:bidi="ar"/>
        </w:rPr>
      </w:pPr>
    </w:p>
    <w:p w14:paraId="24A539B9">
      <w:pPr>
        <w:pStyle w:val="3"/>
        <w:rPr>
          <w:rFonts w:hint="eastAsia" w:ascii="Times New Roman" w:hAnsi="Times New Roman" w:eastAsia="宋体" w:cs="宋体"/>
          <w:kern w:val="2"/>
          <w:sz w:val="21"/>
          <w:szCs w:val="24"/>
          <w:highlight w:val="none"/>
          <w:lang w:val="en-US" w:eastAsia="zh-CN" w:bidi="ar"/>
        </w:rPr>
      </w:pPr>
    </w:p>
    <w:p w14:paraId="3C86328D">
      <w:pPr>
        <w:pStyle w:val="3"/>
        <w:rPr>
          <w:rFonts w:hint="eastAsia" w:ascii="Times New Roman" w:hAnsi="Times New Roman" w:eastAsia="宋体" w:cs="宋体"/>
          <w:kern w:val="2"/>
          <w:sz w:val="21"/>
          <w:szCs w:val="24"/>
          <w:highlight w:val="none"/>
          <w:lang w:val="en-US" w:eastAsia="zh-CN" w:bidi="ar"/>
        </w:rPr>
      </w:pPr>
    </w:p>
    <w:p w14:paraId="6D04E11E">
      <w:pPr>
        <w:pStyle w:val="3"/>
        <w:rPr>
          <w:rFonts w:hint="eastAsia" w:ascii="Times New Roman" w:hAnsi="Times New Roman" w:eastAsia="宋体" w:cs="宋体"/>
          <w:kern w:val="2"/>
          <w:sz w:val="21"/>
          <w:szCs w:val="24"/>
          <w:highlight w:val="none"/>
          <w:lang w:val="en-US" w:eastAsia="zh-CN" w:bidi="ar"/>
        </w:rPr>
      </w:pPr>
    </w:p>
    <w:p w14:paraId="65C3F8AA">
      <w:pPr>
        <w:pStyle w:val="2"/>
        <w:rPr>
          <w:rFonts w:hint="eastAsia"/>
          <w:lang w:val="en-US" w:eastAsia="zh-CN"/>
        </w:rPr>
      </w:pPr>
    </w:p>
    <w:p w14:paraId="567DE67F">
      <w:pPr>
        <w:rPr>
          <w:rFonts w:hint="eastAsia" w:ascii="宋体" w:hAnsi="宋体" w:cs="宋体"/>
          <w:color w:val="auto"/>
          <w:szCs w:val="24"/>
        </w:rPr>
      </w:pPr>
    </w:p>
    <w:p w14:paraId="464F0136">
      <w:pPr>
        <w:pStyle w:val="6"/>
        <w:spacing w:line="520" w:lineRule="exact"/>
        <w:jc w:val="center"/>
        <w:rPr>
          <w:rFonts w:ascii="宋体" w:hAnsi="宋体" w:cs="宋体"/>
          <w:color w:val="auto"/>
          <w:szCs w:val="24"/>
        </w:rPr>
      </w:pPr>
      <w:r>
        <w:rPr>
          <w:rFonts w:hint="eastAsia" w:ascii="宋体" w:hAnsi="宋体" w:cs="宋体"/>
          <w:color w:val="auto"/>
          <w:szCs w:val="24"/>
        </w:rPr>
        <w:t>第三节 商务要求</w:t>
      </w:r>
    </w:p>
    <w:p w14:paraId="06F5B49E">
      <w:pPr>
        <w:spacing w:line="360" w:lineRule="auto"/>
        <w:rPr>
          <w:rFonts w:ascii="宋体" w:hAnsi="宋体" w:cs="宋体"/>
          <w:b/>
          <w:bCs/>
          <w:color w:val="auto"/>
          <w:spacing w:val="3"/>
          <w:szCs w:val="21"/>
        </w:rPr>
      </w:pPr>
      <w:r>
        <w:rPr>
          <w:rFonts w:hint="eastAsia" w:ascii="宋体" w:hAnsi="宋体" w:cs="宋体"/>
          <w:b/>
          <w:bCs/>
          <w:color w:val="auto"/>
          <w:spacing w:val="3"/>
          <w:szCs w:val="21"/>
        </w:rPr>
        <w:t>一、服务地点：</w:t>
      </w:r>
    </w:p>
    <w:p w14:paraId="419F071F">
      <w:pPr>
        <w:widowControl/>
        <w:spacing w:line="360" w:lineRule="auto"/>
        <w:ind w:firstLine="480"/>
        <w:jc w:val="left"/>
        <w:rPr>
          <w:rFonts w:hint="eastAsia" w:ascii="宋体" w:hAnsi="宋体" w:cs="Times New Roman" w:eastAsiaTheme="majorEastAsia"/>
          <w:color w:val="auto"/>
          <w:szCs w:val="21"/>
          <w:lang w:eastAsia="zh-CN"/>
        </w:rPr>
      </w:pPr>
      <w:r>
        <w:rPr>
          <w:rFonts w:hint="eastAsia" w:ascii="宋体" w:hAnsi="宋体" w:cs="Times New Roman" w:eastAsiaTheme="majorEastAsia"/>
          <w:color w:val="auto"/>
          <w:szCs w:val="21"/>
          <w:lang w:val="en-US" w:eastAsia="zh-CN"/>
        </w:rPr>
        <w:t>华容县全域</w:t>
      </w:r>
      <w:r>
        <w:rPr>
          <w:rFonts w:hint="eastAsia" w:ascii="宋体" w:hAnsi="宋体" w:cs="Times New Roman" w:eastAsiaTheme="majorEastAsia"/>
          <w:color w:val="auto"/>
          <w:szCs w:val="21"/>
          <w:lang w:eastAsia="zh-CN"/>
        </w:rPr>
        <w:t xml:space="preserve"> 。</w:t>
      </w:r>
    </w:p>
    <w:p w14:paraId="68A86173">
      <w:pPr>
        <w:numPr>
          <w:ilvl w:val="0"/>
          <w:numId w:val="1"/>
        </w:numPr>
        <w:spacing w:line="360" w:lineRule="auto"/>
        <w:rPr>
          <w:rFonts w:ascii="宋体" w:hAnsi="宋体" w:cs="宋体"/>
          <w:b/>
          <w:bCs/>
          <w:color w:val="auto"/>
          <w:szCs w:val="21"/>
        </w:rPr>
      </w:pPr>
      <w:r>
        <w:rPr>
          <w:rFonts w:hint="eastAsia" w:ascii="宋体" w:hAnsi="宋体" w:cs="宋体"/>
          <w:b/>
          <w:bCs/>
          <w:color w:val="auto"/>
          <w:szCs w:val="21"/>
        </w:rPr>
        <w:t>服务期限：</w:t>
      </w:r>
    </w:p>
    <w:p w14:paraId="4F2273E1">
      <w:pPr>
        <w:widowControl/>
        <w:spacing w:line="360" w:lineRule="auto"/>
        <w:ind w:firstLine="480"/>
        <w:jc w:val="left"/>
        <w:rPr>
          <w:color w:val="auto"/>
        </w:rPr>
      </w:pPr>
      <w:r>
        <w:rPr>
          <w:rFonts w:hint="eastAsia" w:ascii="宋体" w:hAnsi="宋体" w:eastAsiaTheme="majorEastAsia"/>
          <w:color w:val="auto"/>
          <w:szCs w:val="21"/>
          <w:lang w:eastAsia="zh-CN"/>
        </w:rPr>
        <w:t>2027年6月底前完成</w:t>
      </w:r>
      <w:r>
        <w:rPr>
          <w:rFonts w:hint="eastAsia" w:ascii="宋体" w:hAnsi="宋体" w:eastAsiaTheme="majorEastAsia"/>
          <w:color w:val="auto"/>
          <w:szCs w:val="21"/>
        </w:rPr>
        <w:t>。</w:t>
      </w:r>
    </w:p>
    <w:p w14:paraId="3110A94D">
      <w:pPr>
        <w:numPr>
          <w:ilvl w:val="0"/>
          <w:numId w:val="1"/>
        </w:numPr>
        <w:spacing w:line="360" w:lineRule="auto"/>
        <w:rPr>
          <w:rFonts w:ascii="宋体" w:hAnsi="宋体" w:cs="宋体"/>
          <w:b/>
          <w:bCs/>
          <w:color w:val="auto"/>
          <w:spacing w:val="-2"/>
          <w:szCs w:val="21"/>
        </w:rPr>
      </w:pPr>
      <w:r>
        <w:rPr>
          <w:rFonts w:hint="eastAsia" w:ascii="宋体" w:hAnsi="宋体" w:cs="宋体"/>
          <w:b/>
          <w:bCs/>
          <w:color w:val="auto"/>
          <w:spacing w:val="-2"/>
          <w:szCs w:val="21"/>
        </w:rPr>
        <w:t>服务标准：</w:t>
      </w:r>
    </w:p>
    <w:p w14:paraId="499FC8DE">
      <w:pPr>
        <w:spacing w:line="360" w:lineRule="auto"/>
        <w:ind w:firstLine="412" w:firstLineChars="200"/>
        <w:rPr>
          <w:rFonts w:ascii="宋体" w:hAnsi="宋体" w:cs="宋体"/>
          <w:color w:val="auto"/>
          <w:spacing w:val="-2"/>
          <w:szCs w:val="21"/>
        </w:rPr>
      </w:pPr>
      <w:r>
        <w:rPr>
          <w:rFonts w:hint="eastAsia" w:ascii="宋体" w:hAnsi="宋体" w:cs="宋体"/>
          <w:color w:val="auto"/>
          <w:spacing w:val="-2"/>
          <w:szCs w:val="21"/>
        </w:rPr>
        <w:t>供应商跟据采购人需求完成相关工作，成果文件需符合法律、法规、行业标准要求。</w:t>
      </w:r>
    </w:p>
    <w:p w14:paraId="5DAF9090">
      <w:pPr>
        <w:spacing w:line="400" w:lineRule="exact"/>
        <w:rPr>
          <w:rFonts w:ascii="宋体" w:hAnsi="宋体" w:cs="宋体"/>
          <w:color w:val="auto"/>
          <w:spacing w:val="-1"/>
          <w:szCs w:val="21"/>
        </w:rPr>
      </w:pPr>
      <w:r>
        <w:rPr>
          <w:rFonts w:hint="eastAsia" w:ascii="宋体" w:hAnsi="宋体" w:cs="宋体"/>
          <w:b/>
          <w:bCs/>
          <w:color w:val="auto"/>
          <w:spacing w:val="-1"/>
          <w:szCs w:val="21"/>
        </w:rPr>
        <w:t>四</w:t>
      </w:r>
      <w:r>
        <w:rPr>
          <w:rFonts w:hint="eastAsia" w:ascii="宋体" w:hAnsi="宋体" w:cs="宋体"/>
          <w:color w:val="auto"/>
          <w:spacing w:val="-1"/>
          <w:szCs w:val="21"/>
        </w:rPr>
        <w:t>、</w:t>
      </w:r>
      <w:r>
        <w:rPr>
          <w:rFonts w:hint="eastAsia" w:ascii="宋体" w:hAnsi="宋体" w:cs="宋体"/>
          <w:b/>
          <w:bCs/>
          <w:color w:val="auto"/>
          <w:spacing w:val="-1"/>
          <w:szCs w:val="21"/>
        </w:rPr>
        <w:t>付款方式：</w:t>
      </w:r>
    </w:p>
    <w:p w14:paraId="07FA86DD">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kern w:val="2"/>
          <w:sz w:val="21"/>
          <w:szCs w:val="21"/>
          <w:highlight w:val="none"/>
          <w:lang w:val="en-US" w:eastAsia="zh-CN" w:bidi="ar"/>
        </w:rPr>
      </w:pPr>
      <w:r>
        <w:rPr>
          <w:rFonts w:hint="eastAsia" w:ascii="宋体" w:hAnsi="宋体" w:eastAsia="宋体" w:cs="宋体"/>
          <w:kern w:val="2"/>
          <w:sz w:val="21"/>
          <w:szCs w:val="21"/>
          <w:highlight w:val="none"/>
          <w:lang w:val="en-US" w:eastAsia="zh-CN" w:bidi="ar"/>
        </w:rPr>
        <w:t>1、签订合同后支付合同款30%；成果提交后验收完成支付合同款70%。</w:t>
      </w:r>
    </w:p>
    <w:p w14:paraId="449C993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cs="宋体"/>
          <w:color w:val="auto"/>
          <w:szCs w:val="21"/>
          <w:highlight w:val="none"/>
        </w:rPr>
        <w:t>2、</w:t>
      </w:r>
      <w:r>
        <w:rPr>
          <w:rFonts w:hint="eastAsia" w:ascii="宋体" w:hAnsi="宋体" w:eastAsia="宋体" w:cs="宋体"/>
          <w:kern w:val="2"/>
          <w:sz w:val="21"/>
          <w:szCs w:val="21"/>
          <w:highlight w:val="none"/>
          <w:lang w:val="en-US" w:eastAsia="zh-CN" w:bidi="ar"/>
        </w:rPr>
        <w:t>费用支付凭成交供应商提供的合法有效增值税发票，采取银行转账方式支付，支付合同款项时，一律不向乙方以外的第三方办理付款手续。</w:t>
      </w:r>
    </w:p>
    <w:p w14:paraId="07CD56D7">
      <w:pPr>
        <w:spacing w:line="400" w:lineRule="exact"/>
        <w:rPr>
          <w:rFonts w:ascii="宋体" w:hAnsi="宋体"/>
          <w:b/>
          <w:color w:val="auto"/>
          <w:szCs w:val="21"/>
          <w:highlight w:val="none"/>
        </w:rPr>
      </w:pPr>
      <w:r>
        <w:rPr>
          <w:rFonts w:hint="eastAsia" w:ascii="宋体" w:hAnsi="宋体"/>
          <w:b/>
          <w:color w:val="auto"/>
          <w:szCs w:val="21"/>
          <w:highlight w:val="none"/>
        </w:rPr>
        <w:t>五、服务售后要求:</w:t>
      </w:r>
    </w:p>
    <w:p w14:paraId="73CB2980">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bookmarkStart w:id="7" w:name="_Toc32482"/>
      <w:r>
        <w:rPr>
          <w:rFonts w:hint="eastAsia" w:ascii="宋体" w:hAnsi="宋体" w:cs="宋体"/>
          <w:kern w:val="2"/>
          <w:sz w:val="21"/>
          <w:szCs w:val="21"/>
          <w:highlight w:val="none"/>
          <w:lang w:val="en-US" w:eastAsia="zh-CN" w:bidi="ar"/>
        </w:rPr>
        <w:t>1.</w:t>
      </w:r>
      <w:r>
        <w:rPr>
          <w:rFonts w:hint="eastAsia" w:ascii="宋体" w:hAnsi="宋体" w:eastAsia="宋体" w:cs="宋体"/>
          <w:kern w:val="2"/>
          <w:sz w:val="21"/>
          <w:szCs w:val="21"/>
          <w:highlight w:val="none"/>
          <w:lang w:val="en-US" w:eastAsia="zh-CN" w:bidi="ar"/>
        </w:rPr>
        <w:t>提交的</w:t>
      </w:r>
      <w:r>
        <w:rPr>
          <w:rFonts w:hint="eastAsia" w:ascii="宋体" w:hAnsi="宋体" w:cs="宋体"/>
          <w:kern w:val="2"/>
          <w:sz w:val="21"/>
          <w:szCs w:val="21"/>
          <w:highlight w:val="none"/>
          <w:lang w:val="en-US" w:eastAsia="zh-CN" w:bidi="ar"/>
        </w:rPr>
        <w:t>成果</w:t>
      </w:r>
      <w:r>
        <w:rPr>
          <w:rFonts w:hint="eastAsia" w:ascii="宋体" w:hAnsi="宋体" w:eastAsia="宋体" w:cs="宋体"/>
          <w:kern w:val="2"/>
          <w:sz w:val="21"/>
          <w:szCs w:val="21"/>
          <w:highlight w:val="none"/>
          <w:lang w:val="en-US" w:eastAsia="zh-CN" w:bidi="ar"/>
        </w:rPr>
        <w:t>符合最新行业规范标准，</w:t>
      </w:r>
    </w:p>
    <w:p w14:paraId="491B4760">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kern w:val="0"/>
          <w:sz w:val="21"/>
          <w:szCs w:val="21"/>
          <w:highlight w:val="none"/>
          <w:lang w:val="en-US" w:eastAsia="zh-CN" w:bidi="ar"/>
        </w:rPr>
      </w:pPr>
      <w:r>
        <w:rPr>
          <w:rFonts w:hint="eastAsia" w:ascii="宋体" w:hAnsi="宋体" w:cs="宋体"/>
          <w:kern w:val="2"/>
          <w:sz w:val="21"/>
          <w:szCs w:val="21"/>
          <w:highlight w:val="none"/>
          <w:lang w:val="en-US" w:eastAsia="zh-CN" w:bidi="ar"/>
        </w:rPr>
        <w:t>2.</w:t>
      </w:r>
      <w:r>
        <w:rPr>
          <w:rFonts w:hint="eastAsia" w:ascii="宋体" w:hAnsi="宋体" w:eastAsia="宋体" w:cs="宋体"/>
          <w:kern w:val="2"/>
          <w:sz w:val="21"/>
          <w:szCs w:val="21"/>
          <w:highlight w:val="none"/>
          <w:lang w:val="en-US" w:eastAsia="zh-CN" w:bidi="ar"/>
        </w:rPr>
        <w:t>后期后续服务保障能快速响应 、及时处理出现的各种突发状况等，并提供服务承诺</w:t>
      </w:r>
      <w:r>
        <w:rPr>
          <w:rFonts w:hint="eastAsia" w:ascii="宋体" w:hAnsi="宋体" w:cs="宋体"/>
          <w:kern w:val="2"/>
          <w:sz w:val="21"/>
          <w:szCs w:val="21"/>
          <w:highlight w:val="none"/>
          <w:lang w:val="en-US" w:eastAsia="zh-CN" w:bidi="ar"/>
        </w:rPr>
        <w:t>。</w:t>
      </w:r>
    </w:p>
    <w:p w14:paraId="120ADF9F">
      <w:pPr>
        <w:spacing w:line="400" w:lineRule="exact"/>
        <w:outlineLvl w:val="1"/>
        <w:rPr>
          <w:rFonts w:ascii="宋体" w:hAnsi="宋体" w:cs="宋体"/>
          <w:b/>
          <w:color w:val="auto"/>
          <w:szCs w:val="21"/>
          <w:highlight w:val="none"/>
        </w:rPr>
      </w:pPr>
      <w:r>
        <w:rPr>
          <w:rFonts w:hint="eastAsia" w:ascii="宋体" w:hAnsi="宋体" w:cs="宋体"/>
          <w:b/>
          <w:color w:val="auto"/>
          <w:szCs w:val="21"/>
          <w:highlight w:val="none"/>
        </w:rPr>
        <w:t>六、其它需要说明的事项</w:t>
      </w:r>
    </w:p>
    <w:bookmarkEnd w:id="7"/>
    <w:p w14:paraId="4FEDAB35">
      <w:pPr>
        <w:keepNext w:val="0"/>
        <w:keepLines w:val="0"/>
        <w:widowControl w:val="0"/>
        <w:suppressLineNumbers w:val="0"/>
        <w:spacing w:before="0" w:beforeAutospacing="0" w:after="0" w:afterAutospacing="0" w:line="400" w:lineRule="exact"/>
        <w:ind w:left="0" w:right="0" w:firstLine="422" w:firstLineChars="200"/>
        <w:jc w:val="both"/>
        <w:rPr>
          <w:rFonts w:hint="eastAsia" w:ascii="宋体" w:hAnsi="宋体" w:eastAsia="宋体" w:cs="宋体"/>
          <w:b/>
          <w:bCs/>
          <w:szCs w:val="21"/>
          <w:highlight w:val="none"/>
          <w:lang w:val="en-US"/>
        </w:rPr>
      </w:pPr>
      <w:r>
        <w:rPr>
          <w:rFonts w:hint="eastAsia" w:ascii="宋体" w:hAnsi="宋体" w:cs="宋体"/>
          <w:b/>
          <w:bCs/>
          <w:kern w:val="2"/>
          <w:sz w:val="21"/>
          <w:szCs w:val="21"/>
          <w:highlight w:val="none"/>
          <w:lang w:val="en-US" w:eastAsia="zh-CN" w:bidi="ar"/>
        </w:rPr>
        <w:t>1.</w:t>
      </w:r>
      <w:r>
        <w:rPr>
          <w:rFonts w:hint="eastAsia" w:ascii="宋体" w:hAnsi="宋体" w:eastAsia="宋体" w:cs="宋体"/>
          <w:b/>
          <w:bCs/>
          <w:kern w:val="2"/>
          <w:sz w:val="21"/>
          <w:szCs w:val="21"/>
          <w:highlight w:val="none"/>
          <w:lang w:val="en-US" w:eastAsia="zh-CN" w:bidi="ar"/>
        </w:rPr>
        <w:t>费用说明</w:t>
      </w:r>
    </w:p>
    <w:p w14:paraId="40A8D5C3">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本项目采用费用包干方式实施，成交供应商应根据项目要求及需要，详细列明项目所需的所有费用，应包括完成合同范围的全部工作内容所发生的全部费用——人工、管理、财务、培训、后续服务等所有费用，如一旦中标，在项目实施中出现任何遗漏，均由成交供应商免费提供，采购人不再支付任何费用。</w:t>
      </w:r>
    </w:p>
    <w:p w14:paraId="1E23D782">
      <w:pPr>
        <w:keepNext w:val="0"/>
        <w:keepLines w:val="0"/>
        <w:widowControl w:val="0"/>
        <w:suppressLineNumbers w:val="0"/>
        <w:spacing w:before="0" w:beforeAutospacing="0" w:after="0" w:afterAutospacing="0" w:line="400" w:lineRule="exact"/>
        <w:ind w:left="0" w:right="0" w:firstLine="422" w:firstLineChars="200"/>
        <w:jc w:val="both"/>
        <w:rPr>
          <w:rFonts w:hint="eastAsia" w:ascii="宋体" w:hAnsi="宋体" w:eastAsia="宋体" w:cs="宋体"/>
          <w:b/>
          <w:bCs/>
          <w:szCs w:val="21"/>
          <w:highlight w:val="none"/>
          <w:lang w:val="en-US"/>
        </w:rPr>
      </w:pPr>
      <w:r>
        <w:rPr>
          <w:rFonts w:hint="eastAsia" w:ascii="宋体" w:hAnsi="宋体" w:cs="宋体"/>
          <w:b/>
          <w:bCs/>
          <w:kern w:val="2"/>
          <w:sz w:val="21"/>
          <w:szCs w:val="21"/>
          <w:highlight w:val="none"/>
          <w:lang w:val="en-US" w:eastAsia="zh-CN" w:bidi="ar"/>
        </w:rPr>
        <w:t>2.</w:t>
      </w:r>
      <w:r>
        <w:rPr>
          <w:rFonts w:hint="eastAsia" w:ascii="宋体" w:hAnsi="宋体" w:eastAsia="宋体" w:cs="宋体"/>
          <w:b/>
          <w:bCs/>
          <w:kern w:val="2"/>
          <w:sz w:val="21"/>
          <w:szCs w:val="21"/>
          <w:highlight w:val="none"/>
          <w:lang w:val="en-US" w:eastAsia="zh-CN" w:bidi="ar"/>
        </w:rPr>
        <w:t>其他要求</w:t>
      </w:r>
    </w:p>
    <w:p w14:paraId="07F5A94D">
      <w:pPr>
        <w:spacing w:line="360" w:lineRule="auto"/>
        <w:ind w:firstLine="420" w:firstLineChars="200"/>
        <w:rPr>
          <w:rFonts w:ascii="宋体" w:hAnsi="宋体" w:cs="宋体"/>
          <w:color w:val="auto"/>
          <w:szCs w:val="21"/>
        </w:rPr>
      </w:pPr>
      <w:r>
        <w:rPr>
          <w:rFonts w:hint="eastAsia" w:ascii="宋体" w:hAnsi="宋体" w:cs="宋体"/>
          <w:color w:val="auto"/>
          <w:szCs w:val="21"/>
        </w:rPr>
        <w:t>其他未尽事宜由采购人和中标（成交）供应商双方在采购合同中详细约定。</w:t>
      </w:r>
    </w:p>
    <w:p w14:paraId="35C7A90E">
      <w:pPr>
        <w:pStyle w:val="11"/>
        <w:rPr>
          <w:rFonts w:hint="eastAsia" w:ascii="宋体" w:hAnsi="宋体"/>
          <w:color w:val="000000" w:themeColor="text1"/>
          <w14:textFill>
            <w14:solidFill>
              <w14:schemeClr w14:val="tx1"/>
            </w14:solidFill>
          </w14:textFill>
        </w:rPr>
      </w:pPr>
    </w:p>
    <w:p w14:paraId="64AEBE24">
      <w:pPr>
        <w:pStyle w:val="11"/>
        <w:rPr>
          <w:rFonts w:hint="eastAsia" w:ascii="宋体" w:hAnsi="宋体"/>
          <w:color w:val="000000" w:themeColor="text1"/>
          <w14:textFill>
            <w14:solidFill>
              <w14:schemeClr w14:val="tx1"/>
            </w14:solidFill>
          </w14:textFill>
        </w:rPr>
      </w:pPr>
    </w:p>
    <w:p w14:paraId="1E33D963">
      <w:pPr>
        <w:widowControl/>
        <w:spacing w:line="360" w:lineRule="auto"/>
        <w:jc w:val="left"/>
        <w:rPr>
          <w:rFonts w:hint="eastAsia" w:ascii="宋体" w:hAnsi="宋体" w:cs="宋体"/>
          <w:color w:val="000000"/>
          <w:kern w:val="0"/>
          <w:szCs w:val="21"/>
        </w:rPr>
      </w:pPr>
    </w:p>
    <w:p w14:paraId="092C020C">
      <w:pPr>
        <w:widowControl/>
        <w:spacing w:line="360" w:lineRule="auto"/>
        <w:jc w:val="left"/>
        <w:rPr>
          <w:rFonts w:ascii="宋体" w:hAnsi="宋体" w:cs="宋体"/>
          <w:color w:val="000000"/>
          <w:kern w:val="0"/>
          <w:szCs w:val="21"/>
        </w:rPr>
      </w:pPr>
      <w:r>
        <w:rPr>
          <w:rFonts w:hint="eastAsia" w:ascii="宋体" w:hAnsi="宋体" w:cs="宋体"/>
          <w:color w:val="000000"/>
          <w:kern w:val="0"/>
          <w:szCs w:val="21"/>
        </w:rPr>
        <w:t>注：在磋商过程中，磋商文件可能发生实质性变动的技术、服务要求以及合同草案条款，请在可能变动的条款旁予以文字注明，并将磋商文件可能变动的内容在磋商须知前附表中明确。</w:t>
      </w:r>
    </w:p>
    <w:p w14:paraId="119C995D">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6DD347"/>
    <w:multiLevelType w:val="singleLevel"/>
    <w:tmpl w:val="CA6DD34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716FB6"/>
    <w:rsid w:val="64716FB6"/>
    <w:rsid w:val="7B816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uiPriority w:val="0"/>
    <w:pPr>
      <w:keepNext/>
      <w:jc w:val="center"/>
      <w:outlineLvl w:val="0"/>
    </w:pPr>
    <w:rPr>
      <w:b/>
      <w:bCs/>
      <w:sz w:val="24"/>
      <w:szCs w:val="20"/>
    </w:rPr>
  </w:style>
  <w:style w:type="paragraph" w:styleId="6">
    <w:name w:val="heading 2"/>
    <w:basedOn w:val="1"/>
    <w:next w:val="1"/>
    <w:qFormat/>
    <w:uiPriority w:val="0"/>
    <w:pPr>
      <w:keepNext/>
      <w:keepLines/>
      <w:spacing w:line="360" w:lineRule="auto"/>
      <w:outlineLvl w:val="1"/>
    </w:pPr>
    <w:rPr>
      <w:rFonts w:ascii="Arial" w:hAnsi="Arial"/>
      <w:b/>
      <w:bCs/>
      <w:sz w:val="24"/>
      <w:szCs w:val="32"/>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w:basedOn w:val="4"/>
    <w:qFormat/>
    <w:uiPriority w:val="0"/>
    <w:pPr>
      <w:ind w:firstLine="420" w:firstLineChars="100"/>
    </w:pPr>
  </w:style>
  <w:style w:type="paragraph" w:styleId="4">
    <w:name w:val="Body Text"/>
    <w:basedOn w:val="1"/>
    <w:next w:val="1"/>
    <w:qFormat/>
    <w:uiPriority w:val="0"/>
    <w:pPr>
      <w:spacing w:after="120"/>
    </w:pPr>
    <w:rPr>
      <w:lang w:val="zh-CN"/>
    </w:rPr>
  </w:style>
  <w:style w:type="paragraph" w:styleId="7">
    <w:name w:val="table of authorities"/>
    <w:basedOn w:val="1"/>
    <w:next w:val="1"/>
    <w:qFormat/>
    <w:uiPriority w:val="0"/>
    <w:pPr>
      <w:ind w:left="420" w:leftChars="200"/>
    </w:pPr>
    <w:rPr>
      <w:rFonts w:ascii="Calibri" w:hAnsi="Calibri"/>
    </w:rPr>
  </w:style>
  <w:style w:type="paragraph" w:styleId="8">
    <w:name w:val="Title"/>
    <w:basedOn w:val="1"/>
    <w:next w:val="1"/>
    <w:qFormat/>
    <w:uiPriority w:val="0"/>
    <w:pPr>
      <w:spacing w:before="240" w:after="60"/>
      <w:jc w:val="center"/>
      <w:outlineLvl w:val="0"/>
    </w:pPr>
    <w:rPr>
      <w:rFonts w:ascii="Cambria" w:hAnsi="Cambria"/>
      <w:b/>
      <w:sz w:val="32"/>
    </w:rPr>
  </w:style>
  <w:style w:type="paragraph" w:customStyle="1" w:styleId="11">
    <w:name w:val="列出段落1"/>
    <w:basedOn w:val="12"/>
    <w:autoRedefine/>
    <w:qFormat/>
    <w:uiPriority w:val="0"/>
    <w:pPr>
      <w:ind w:firstLine="420" w:firstLineChars="200"/>
    </w:pPr>
  </w:style>
  <w:style w:type="paragraph" w:customStyle="1" w:styleId="12">
    <w:name w:val="正文_11_0"/>
    <w:next w:val="11"/>
    <w:qFormat/>
    <w:uiPriority w:val="0"/>
    <w:pPr>
      <w:widowControl w:val="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2026-09-23T07:50:00Z</dcterms:created>
  <dc:creator>Administrator</dc:creator>
  <cp:lastModifiedBy>Administrator</cp:lastModifiedBy>
  <dcterms:modified xsi:type="dcterms:W3CDTF">2026-09-23T07:50:53Z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5D2A94BBB1D3430E81F809A4B280AC53_11</vt:lpwstr>
  </property>
  <property fmtid="{D5CDD505-2E9C-101B-9397-08002B2CF9AE}" pid="4" name="KSOTemplateDocerSaveRecord">
    <vt:lpwstr>eyJoZGlkIjoiOWRmZjc4ODEwN2IwMGU1MTM1MTE1OWZiM2VlY2Q4NjUiLCJ1c2VySWQiOiI1MzQyMDAxNDAifQ==</vt:lpwstr>
  </property>
</Properties>
</file>