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057C5B">
      <w:pPr>
        <w:pStyle w:val="3"/>
        <w:keepNext w:val="0"/>
        <w:adjustRightInd w:val="0"/>
        <w:snapToGrid w:val="0"/>
        <w:spacing w:before="120" w:beforeLines="50" w:line="360" w:lineRule="auto"/>
        <w:rPr>
          <w:rFonts w:hint="eastAsia" w:ascii="黑体" w:hAnsi="华文中宋" w:eastAsia="黑体"/>
          <w:color w:val="auto"/>
          <w:sz w:val="32"/>
          <w:szCs w:val="32"/>
        </w:rPr>
      </w:pPr>
      <w:r>
        <w:rPr>
          <w:rFonts w:hint="eastAsia" w:ascii="黑体" w:hAnsi="华文中宋" w:eastAsia="黑体"/>
          <w:color w:val="auto"/>
          <w:sz w:val="32"/>
          <w:szCs w:val="32"/>
        </w:rPr>
        <w:t xml:space="preserve"> 采购需求</w:t>
      </w:r>
      <w:bookmarkStart w:id="0" w:name="_Toc3070"/>
    </w:p>
    <w:p w14:paraId="2D118B5D">
      <w:pPr>
        <w:pStyle w:val="4"/>
        <w:adjustRightInd w:val="0"/>
        <w:snapToGrid w:val="0"/>
        <w:spacing w:before="120" w:beforeLines="50"/>
        <w:jc w:val="center"/>
        <w:rPr>
          <w:rFonts w:ascii="黑体" w:hAnsi="黑体" w:eastAsia="黑体"/>
          <w:color w:val="auto"/>
          <w:sz w:val="28"/>
          <w:szCs w:val="28"/>
        </w:rPr>
      </w:pPr>
      <w:r>
        <w:rPr>
          <w:rFonts w:hint="eastAsia" w:ascii="黑体" w:hAnsi="黑体" w:eastAsia="黑体"/>
          <w:color w:val="auto"/>
          <w:sz w:val="28"/>
          <w:szCs w:val="28"/>
        </w:rPr>
        <w:t>第一节 采购清单一览表</w:t>
      </w:r>
    </w:p>
    <w:bookmarkEnd w:id="0"/>
    <w:tbl>
      <w:tblPr>
        <w:tblStyle w:val="5"/>
        <w:tblpPr w:leftFromText="180" w:rightFromText="180" w:vertAnchor="text" w:horzAnchor="page" w:tblpXSpec="center" w:tblpY="226"/>
        <w:tblOverlap w:val="never"/>
        <w:tblW w:w="857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02"/>
        <w:gridCol w:w="3343"/>
        <w:gridCol w:w="2440"/>
        <w:gridCol w:w="1175"/>
        <w:gridCol w:w="718"/>
      </w:tblGrid>
      <w:tr w14:paraId="0C3C69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52" w:hRule="atLeast"/>
          <w:jc w:val="center"/>
        </w:trPr>
        <w:tc>
          <w:tcPr>
            <w:tcW w:w="902" w:type="dxa"/>
            <w:noWrap/>
            <w:vAlign w:val="center"/>
          </w:tcPr>
          <w:p w14:paraId="590638E0">
            <w:pPr>
              <w:pageBreakBefore w:val="0"/>
              <w:kinsoku/>
              <w:wordWrap/>
              <w:overflowPunct/>
              <w:topLinePunct w:val="0"/>
              <w:autoSpaceDE/>
              <w:autoSpaceDN/>
              <w:bidi w:val="0"/>
              <w:adjustRightInd w:val="0"/>
              <w:snapToGrid w:val="0"/>
              <w:jc w:val="center"/>
              <w:textAlignment w:val="auto"/>
              <w:rPr>
                <w:rFonts w:ascii="宋体" w:hAnsi="宋体" w:cs="宋体"/>
                <w:color w:val="auto"/>
                <w:szCs w:val="21"/>
              </w:rPr>
            </w:pPr>
            <w:r>
              <w:rPr>
                <w:rFonts w:hint="eastAsia" w:ascii="宋体" w:hAnsi="宋体" w:cs="宋体"/>
                <w:color w:val="auto"/>
                <w:szCs w:val="21"/>
              </w:rPr>
              <w:t xml:space="preserve">序号 </w:t>
            </w:r>
          </w:p>
        </w:tc>
        <w:tc>
          <w:tcPr>
            <w:tcW w:w="3343" w:type="dxa"/>
            <w:noWrap/>
            <w:vAlign w:val="center"/>
          </w:tcPr>
          <w:p w14:paraId="70383006">
            <w:pPr>
              <w:pageBreakBefore w:val="0"/>
              <w:kinsoku/>
              <w:wordWrap/>
              <w:overflowPunct/>
              <w:topLinePunct w:val="0"/>
              <w:autoSpaceDE/>
              <w:autoSpaceDN/>
              <w:bidi w:val="0"/>
              <w:adjustRightInd w:val="0"/>
              <w:snapToGrid w:val="0"/>
              <w:jc w:val="center"/>
              <w:textAlignment w:val="auto"/>
              <w:rPr>
                <w:rFonts w:ascii="宋体" w:hAnsi="宋体" w:cs="宋体"/>
                <w:color w:val="auto"/>
                <w:szCs w:val="21"/>
              </w:rPr>
            </w:pPr>
            <w:r>
              <w:rPr>
                <w:rFonts w:hint="eastAsia" w:ascii="宋体" w:hAnsi="宋体" w:cs="宋体"/>
                <w:color w:val="auto"/>
                <w:szCs w:val="21"/>
              </w:rPr>
              <w:t>标的名称</w:t>
            </w:r>
          </w:p>
        </w:tc>
        <w:tc>
          <w:tcPr>
            <w:tcW w:w="2440" w:type="dxa"/>
            <w:tcBorders>
              <w:left w:val="single" w:color="auto" w:sz="4" w:space="0"/>
            </w:tcBorders>
            <w:noWrap/>
            <w:vAlign w:val="center"/>
          </w:tcPr>
          <w:p w14:paraId="58FC8331">
            <w:pPr>
              <w:pageBreakBefore w:val="0"/>
              <w:kinsoku/>
              <w:wordWrap/>
              <w:overflowPunct/>
              <w:topLinePunct w:val="0"/>
              <w:autoSpaceDE/>
              <w:autoSpaceDN/>
              <w:bidi w:val="0"/>
              <w:adjustRightInd w:val="0"/>
              <w:snapToGrid w:val="0"/>
              <w:jc w:val="center"/>
              <w:textAlignment w:val="auto"/>
              <w:rPr>
                <w:rFonts w:ascii="宋体" w:hAnsi="宋体" w:cs="宋体"/>
                <w:color w:val="auto"/>
                <w:szCs w:val="21"/>
              </w:rPr>
            </w:pPr>
            <w:r>
              <w:rPr>
                <w:rFonts w:hint="eastAsia" w:ascii="宋体" w:hAnsi="宋体" w:cs="宋体"/>
                <w:color w:val="auto"/>
                <w:szCs w:val="21"/>
              </w:rPr>
              <w:t>简要技术要求</w:t>
            </w:r>
          </w:p>
        </w:tc>
        <w:tc>
          <w:tcPr>
            <w:tcW w:w="1175" w:type="dxa"/>
            <w:tcBorders>
              <w:left w:val="single" w:color="auto" w:sz="4" w:space="0"/>
            </w:tcBorders>
            <w:noWrap/>
            <w:vAlign w:val="center"/>
          </w:tcPr>
          <w:p w14:paraId="07DA69A2">
            <w:pPr>
              <w:pageBreakBefore w:val="0"/>
              <w:kinsoku/>
              <w:wordWrap/>
              <w:overflowPunct/>
              <w:topLinePunct w:val="0"/>
              <w:autoSpaceDE/>
              <w:autoSpaceDN/>
              <w:bidi w:val="0"/>
              <w:adjustRightInd w:val="0"/>
              <w:snapToGrid w:val="0"/>
              <w:jc w:val="center"/>
              <w:textAlignment w:val="auto"/>
              <w:rPr>
                <w:rFonts w:ascii="宋体" w:hAnsi="宋体" w:cs="宋体"/>
                <w:color w:val="auto"/>
                <w:kern w:val="0"/>
                <w:szCs w:val="21"/>
              </w:rPr>
            </w:pPr>
            <w:r>
              <w:rPr>
                <w:rFonts w:hint="eastAsia" w:ascii="宋体" w:hAnsi="宋体" w:cs="宋体"/>
                <w:color w:val="auto"/>
                <w:szCs w:val="21"/>
              </w:rPr>
              <w:t>数量</w:t>
            </w:r>
          </w:p>
        </w:tc>
        <w:tc>
          <w:tcPr>
            <w:tcW w:w="718" w:type="dxa"/>
            <w:noWrap/>
            <w:vAlign w:val="center"/>
          </w:tcPr>
          <w:p w14:paraId="37243FAD">
            <w:pPr>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auto"/>
                <w:szCs w:val="21"/>
                <w:lang w:val="en-US" w:eastAsia="zh-CN"/>
              </w:rPr>
            </w:pPr>
            <w:r>
              <w:rPr>
                <w:rFonts w:hint="eastAsia" w:ascii="宋体" w:hAnsi="宋体" w:cs="宋体"/>
                <w:color w:val="auto"/>
                <w:szCs w:val="21"/>
                <w:lang w:val="en-US" w:eastAsia="zh-CN"/>
              </w:rPr>
              <w:t>核心产品</w:t>
            </w:r>
          </w:p>
        </w:tc>
      </w:tr>
      <w:tr w14:paraId="4FDC97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4" w:hRule="atLeast"/>
          <w:jc w:val="center"/>
        </w:trPr>
        <w:tc>
          <w:tcPr>
            <w:tcW w:w="8578" w:type="dxa"/>
            <w:gridSpan w:val="5"/>
            <w:noWrap/>
            <w:vAlign w:val="center"/>
          </w:tcPr>
          <w:p w14:paraId="79509FC2">
            <w:pPr>
              <w:pageBreakBefore w:val="0"/>
              <w:kinsoku/>
              <w:wordWrap/>
              <w:overflowPunct/>
              <w:topLinePunct w:val="0"/>
              <w:autoSpaceDE/>
              <w:autoSpaceDN/>
              <w:bidi w:val="0"/>
              <w:adjustRightInd w:val="0"/>
              <w:snapToGrid w:val="0"/>
              <w:jc w:val="center"/>
              <w:textAlignment w:val="auto"/>
              <w:rPr>
                <w:rFonts w:hint="eastAsia" w:ascii="宋体" w:hAnsi="宋体" w:eastAsia="宋体" w:cs="宋体"/>
                <w:color w:val="auto"/>
                <w:szCs w:val="21"/>
                <w:lang w:val="en-US" w:eastAsia="zh-CN"/>
              </w:rPr>
            </w:pPr>
            <w:r>
              <w:rPr>
                <w:rFonts w:hint="eastAsia" w:ascii="宋体" w:hAnsi="宋体" w:cs="宋体"/>
                <w:color w:val="auto"/>
                <w:szCs w:val="21"/>
                <w:lang w:eastAsia="zh-CN"/>
              </w:rPr>
              <w:t>华容县人民医院紧密型县域医共体暨医疗卫生强基工程提标扩能项目数字减影血管造影系统（DSA）设备采购</w:t>
            </w:r>
          </w:p>
        </w:tc>
      </w:tr>
      <w:tr w14:paraId="125284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75" w:hRule="atLeast"/>
          <w:jc w:val="center"/>
        </w:trPr>
        <w:tc>
          <w:tcPr>
            <w:tcW w:w="902" w:type="dxa"/>
            <w:noWrap/>
            <w:vAlign w:val="center"/>
          </w:tcPr>
          <w:p w14:paraId="63200C4B">
            <w:pPr>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auto"/>
                <w:szCs w:val="21"/>
                <w:lang w:val="en-US" w:eastAsia="zh-CN"/>
              </w:rPr>
            </w:pPr>
            <w:r>
              <w:rPr>
                <w:rFonts w:hint="eastAsia" w:ascii="宋体" w:hAnsi="宋体" w:cs="宋体"/>
                <w:color w:val="auto"/>
                <w:szCs w:val="21"/>
                <w:lang w:val="en-US" w:eastAsia="zh-CN"/>
              </w:rPr>
              <w:t>1</w:t>
            </w:r>
          </w:p>
        </w:tc>
        <w:tc>
          <w:tcPr>
            <w:tcW w:w="3343" w:type="dxa"/>
            <w:noWrap/>
            <w:vAlign w:val="center"/>
          </w:tcPr>
          <w:p w14:paraId="48407F2D">
            <w:pPr>
              <w:pageBreakBefore w:val="0"/>
              <w:kinsoku/>
              <w:wordWrap/>
              <w:overflowPunct/>
              <w:topLinePunct w:val="0"/>
              <w:autoSpaceDE/>
              <w:autoSpaceDN/>
              <w:bidi w:val="0"/>
              <w:adjustRightInd w:val="0"/>
              <w:snapToGrid w:val="0"/>
              <w:jc w:val="left"/>
              <w:textAlignment w:val="auto"/>
              <w:rPr>
                <w:rFonts w:hint="eastAsia" w:ascii="宋体" w:hAnsi="宋体" w:cs="宋体"/>
                <w:color w:val="auto"/>
                <w:szCs w:val="21"/>
                <w:lang w:eastAsia="zh-CN"/>
              </w:rPr>
            </w:pPr>
            <w:r>
              <w:rPr>
                <w:rFonts w:hint="eastAsia" w:ascii="宋体" w:hAnsi="宋体" w:eastAsia="宋体" w:cs="宋体"/>
                <w:b w:val="0"/>
                <w:bCs w:val="0"/>
                <w:color w:val="auto"/>
                <w:spacing w:val="11"/>
                <w:kern w:val="0"/>
                <w:position w:val="0"/>
                <w:sz w:val="21"/>
                <w:szCs w:val="21"/>
                <w:lang w:val="en-US" w:eastAsia="zh-CN" w:bidi="ar"/>
              </w:rPr>
              <w:t>数字减影血管造影系统（DSA）</w:t>
            </w:r>
          </w:p>
        </w:tc>
        <w:tc>
          <w:tcPr>
            <w:tcW w:w="2440" w:type="dxa"/>
            <w:tcBorders>
              <w:left w:val="single" w:color="auto" w:sz="4" w:space="0"/>
            </w:tcBorders>
            <w:noWrap/>
            <w:vAlign w:val="center"/>
          </w:tcPr>
          <w:p w14:paraId="695A40E7">
            <w:pPr>
              <w:pageBreakBefore w:val="0"/>
              <w:kinsoku/>
              <w:wordWrap/>
              <w:overflowPunct/>
              <w:topLinePunct w:val="0"/>
              <w:autoSpaceDE/>
              <w:autoSpaceDN/>
              <w:bidi w:val="0"/>
              <w:adjustRightInd w:val="0"/>
              <w:snapToGrid w:val="0"/>
              <w:jc w:val="left"/>
              <w:textAlignment w:val="auto"/>
              <w:rPr>
                <w:rFonts w:hint="default" w:ascii="宋体" w:hAnsi="宋体" w:eastAsia="宋体" w:cs="宋体"/>
                <w:color w:val="auto"/>
                <w:szCs w:val="21"/>
                <w:lang w:val="en-US" w:eastAsia="zh-CN"/>
              </w:rPr>
            </w:pPr>
            <w:r>
              <w:rPr>
                <w:rFonts w:hint="eastAsia" w:ascii="宋体" w:hAnsi="宋体" w:eastAsia="宋体" w:cs="宋体"/>
                <w:b w:val="0"/>
                <w:bCs w:val="0"/>
                <w:color w:val="auto"/>
                <w:spacing w:val="11"/>
                <w:kern w:val="0"/>
                <w:position w:val="0"/>
                <w:sz w:val="21"/>
                <w:szCs w:val="21"/>
                <w:lang w:val="en-US" w:eastAsia="zh-CN" w:bidi="ar"/>
              </w:rPr>
              <w:t>详见第二节 技术要求</w:t>
            </w:r>
          </w:p>
        </w:tc>
        <w:tc>
          <w:tcPr>
            <w:tcW w:w="1175" w:type="dxa"/>
            <w:tcBorders>
              <w:left w:val="single" w:color="auto" w:sz="4" w:space="0"/>
            </w:tcBorders>
            <w:noWrap/>
            <w:vAlign w:val="center"/>
          </w:tcPr>
          <w:p w14:paraId="7828093C">
            <w:pPr>
              <w:pStyle w:val="4"/>
              <w:pageBreakBefore w:val="0"/>
              <w:kinsoku/>
              <w:wordWrap/>
              <w:overflowPunct/>
              <w:topLinePunct w:val="0"/>
              <w:autoSpaceDE/>
              <w:autoSpaceDN/>
              <w:bidi w:val="0"/>
              <w:spacing w:line="240" w:lineRule="auto"/>
              <w:jc w:val="center"/>
              <w:textAlignment w:val="auto"/>
              <w:rPr>
                <w:rFonts w:hint="default" w:ascii="宋体" w:hAnsi="宋体" w:eastAsia="宋体" w:cs="宋体"/>
                <w:b w:val="0"/>
                <w:bCs w:val="0"/>
                <w:color w:val="auto"/>
                <w:kern w:val="0"/>
                <w:sz w:val="21"/>
                <w:szCs w:val="21"/>
                <w:lang w:val="en-US" w:eastAsia="zh-CN"/>
              </w:rPr>
            </w:pPr>
            <w:r>
              <w:rPr>
                <w:rFonts w:hint="eastAsia" w:ascii="宋体" w:hAnsi="宋体" w:cs="宋体"/>
                <w:b w:val="0"/>
                <w:bCs w:val="0"/>
                <w:color w:val="auto"/>
                <w:kern w:val="0"/>
                <w:sz w:val="21"/>
                <w:szCs w:val="21"/>
                <w:lang w:val="en-US" w:eastAsia="zh-CN"/>
              </w:rPr>
              <w:t>1套</w:t>
            </w:r>
          </w:p>
        </w:tc>
        <w:tc>
          <w:tcPr>
            <w:tcW w:w="718" w:type="dxa"/>
            <w:noWrap/>
            <w:vAlign w:val="center"/>
          </w:tcPr>
          <w:p w14:paraId="56BA7BE1">
            <w:pPr>
              <w:pageBreakBefore w:val="0"/>
              <w:kinsoku/>
              <w:wordWrap/>
              <w:overflowPunct/>
              <w:topLinePunct w:val="0"/>
              <w:autoSpaceDE/>
              <w:autoSpaceDN/>
              <w:bidi w:val="0"/>
              <w:adjustRightInd w:val="0"/>
              <w:snapToGrid w:val="0"/>
              <w:jc w:val="center"/>
              <w:textAlignment w:val="auto"/>
              <w:rPr>
                <w:rFonts w:hint="eastAsia" w:ascii="宋体" w:hAnsi="宋体" w:eastAsia="宋体" w:cs="宋体"/>
                <w:iCs/>
                <w:color w:val="auto"/>
                <w:szCs w:val="21"/>
                <w:lang w:val="en-US" w:eastAsia="zh-CN"/>
              </w:rPr>
            </w:pPr>
            <w:r>
              <w:rPr>
                <w:rFonts w:hint="eastAsia" w:ascii="宋体" w:hAnsi="宋体" w:cs="宋体"/>
                <w:iCs/>
                <w:color w:val="auto"/>
                <w:szCs w:val="21"/>
                <w:lang w:val="en-US" w:eastAsia="zh-CN"/>
              </w:rPr>
              <w:t>是</w:t>
            </w:r>
          </w:p>
        </w:tc>
      </w:tr>
      <w:tr w14:paraId="0DCDF5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91" w:hRule="atLeast"/>
          <w:jc w:val="center"/>
        </w:trPr>
        <w:tc>
          <w:tcPr>
            <w:tcW w:w="8578" w:type="dxa"/>
            <w:gridSpan w:val="5"/>
            <w:noWrap/>
            <w:vAlign w:val="center"/>
          </w:tcPr>
          <w:p w14:paraId="10FC7050">
            <w:pPr>
              <w:pageBreakBefore w:val="0"/>
              <w:kinsoku/>
              <w:wordWrap/>
              <w:overflowPunct/>
              <w:topLinePunct w:val="0"/>
              <w:autoSpaceDE/>
              <w:autoSpaceDN/>
              <w:bidi w:val="0"/>
              <w:adjustRightInd w:val="0"/>
              <w:snapToGrid w:val="0"/>
              <w:jc w:val="center"/>
              <w:textAlignment w:val="auto"/>
              <w:rPr>
                <w:rFonts w:hint="default" w:ascii="宋体" w:hAnsi="宋体" w:cs="宋体"/>
                <w:iCs/>
                <w:color w:val="auto"/>
                <w:szCs w:val="21"/>
                <w:lang w:val="en-US"/>
              </w:rPr>
            </w:pPr>
            <w:r>
              <w:rPr>
                <w:rFonts w:hint="eastAsia" w:ascii="宋体" w:hAnsi="宋体" w:eastAsia="宋体" w:cs="宋体"/>
                <w:b w:val="0"/>
                <w:bCs w:val="0"/>
                <w:color w:val="auto"/>
                <w:spacing w:val="11"/>
                <w:kern w:val="0"/>
                <w:position w:val="0"/>
                <w:sz w:val="21"/>
                <w:szCs w:val="21"/>
                <w:lang w:val="en-US" w:eastAsia="zh-CN" w:bidi="ar"/>
              </w:rPr>
              <w:t>配套设备清单</w:t>
            </w:r>
          </w:p>
        </w:tc>
      </w:tr>
      <w:tr w14:paraId="485C22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75" w:hRule="atLeast"/>
          <w:jc w:val="center"/>
        </w:trPr>
        <w:tc>
          <w:tcPr>
            <w:tcW w:w="902" w:type="dxa"/>
            <w:noWrap/>
            <w:vAlign w:val="center"/>
          </w:tcPr>
          <w:p w14:paraId="1C6D19F2">
            <w:pPr>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auto"/>
                <w:szCs w:val="21"/>
                <w:lang w:val="en-US" w:eastAsia="zh-CN"/>
              </w:rPr>
            </w:pPr>
            <w:r>
              <w:rPr>
                <w:rFonts w:hint="eastAsia" w:ascii="宋体" w:hAnsi="宋体" w:cs="宋体"/>
                <w:color w:val="auto"/>
                <w:szCs w:val="21"/>
                <w:lang w:val="en-US" w:eastAsia="zh-CN"/>
              </w:rPr>
              <w:t>2</w:t>
            </w:r>
          </w:p>
        </w:tc>
        <w:tc>
          <w:tcPr>
            <w:tcW w:w="3343" w:type="dxa"/>
            <w:noWrap/>
            <w:vAlign w:val="center"/>
          </w:tcPr>
          <w:p w14:paraId="0AD5C63A">
            <w:pPr>
              <w:keepNext w:val="0"/>
              <w:keepLines w:val="0"/>
              <w:pageBreakBefore w:val="0"/>
              <w:widowControl/>
              <w:suppressLineNumbers w:val="0"/>
              <w:kinsoku/>
              <w:wordWrap/>
              <w:overflowPunct/>
              <w:topLinePunct w:val="0"/>
              <w:autoSpaceDE/>
              <w:autoSpaceDN/>
              <w:bidi w:val="0"/>
              <w:jc w:val="left"/>
              <w:textAlignment w:val="auto"/>
              <w:rPr>
                <w:rFonts w:hint="eastAsia" w:ascii="宋体" w:hAnsi="宋体" w:cs="宋体"/>
                <w:color w:val="auto"/>
                <w:szCs w:val="21"/>
                <w:lang w:eastAsia="zh-CN"/>
              </w:rPr>
            </w:pPr>
            <w:r>
              <w:rPr>
                <w:rFonts w:hint="eastAsia" w:ascii="宋体" w:hAnsi="宋体" w:eastAsia="宋体" w:cs="宋体"/>
                <w:b w:val="0"/>
                <w:bCs w:val="0"/>
                <w:color w:val="auto"/>
                <w:spacing w:val="11"/>
                <w:kern w:val="0"/>
                <w:position w:val="0"/>
                <w:sz w:val="21"/>
                <w:szCs w:val="21"/>
                <w:lang w:val="en-US" w:eastAsia="zh-CN" w:bidi="ar"/>
              </w:rPr>
              <w:t>高压注射器</w:t>
            </w:r>
          </w:p>
        </w:tc>
        <w:tc>
          <w:tcPr>
            <w:tcW w:w="2440" w:type="dxa"/>
            <w:tcBorders>
              <w:left w:val="single" w:color="auto" w:sz="4" w:space="0"/>
            </w:tcBorders>
            <w:noWrap/>
            <w:vAlign w:val="center"/>
          </w:tcPr>
          <w:p w14:paraId="11CFFC06">
            <w:pPr>
              <w:pageBreakBefore w:val="0"/>
              <w:kinsoku/>
              <w:wordWrap/>
              <w:overflowPunct/>
              <w:topLinePunct w:val="0"/>
              <w:autoSpaceDE/>
              <w:autoSpaceDN/>
              <w:bidi w:val="0"/>
              <w:adjustRightInd w:val="0"/>
              <w:snapToGrid w:val="0"/>
              <w:jc w:val="center"/>
              <w:textAlignment w:val="auto"/>
              <w:rPr>
                <w:rFonts w:hint="eastAsia" w:ascii="宋体" w:hAnsi="宋体" w:cs="宋体"/>
                <w:color w:val="auto"/>
                <w:szCs w:val="21"/>
              </w:rPr>
            </w:pPr>
            <w:r>
              <w:rPr>
                <w:rFonts w:hint="eastAsia" w:ascii="宋体" w:hAnsi="宋体" w:eastAsia="宋体" w:cs="宋体"/>
                <w:b w:val="0"/>
                <w:bCs w:val="0"/>
                <w:color w:val="auto"/>
                <w:spacing w:val="11"/>
                <w:kern w:val="0"/>
                <w:position w:val="0"/>
                <w:sz w:val="21"/>
                <w:szCs w:val="21"/>
                <w:lang w:val="en-US" w:eastAsia="zh-CN" w:bidi="ar"/>
              </w:rPr>
              <w:t>详见第二节 技术要求</w:t>
            </w:r>
          </w:p>
        </w:tc>
        <w:tc>
          <w:tcPr>
            <w:tcW w:w="1175" w:type="dxa"/>
            <w:tcBorders>
              <w:left w:val="single" w:color="auto" w:sz="4" w:space="0"/>
            </w:tcBorders>
            <w:noWrap/>
            <w:vAlign w:val="center"/>
          </w:tcPr>
          <w:p w14:paraId="7DEDB0B9">
            <w:pPr>
              <w:pStyle w:val="4"/>
              <w:pageBreakBefore w:val="0"/>
              <w:kinsoku/>
              <w:wordWrap/>
              <w:overflowPunct/>
              <w:topLinePunct w:val="0"/>
              <w:autoSpaceDE/>
              <w:autoSpaceDN/>
              <w:bidi w:val="0"/>
              <w:spacing w:line="240" w:lineRule="auto"/>
              <w:jc w:val="center"/>
              <w:textAlignment w:val="auto"/>
              <w:rPr>
                <w:rFonts w:hint="eastAsia" w:ascii="宋体" w:hAnsi="宋体" w:cs="宋体"/>
                <w:b w:val="0"/>
                <w:bCs w:val="0"/>
                <w:color w:val="auto"/>
                <w:kern w:val="0"/>
                <w:sz w:val="21"/>
                <w:szCs w:val="21"/>
              </w:rPr>
            </w:pPr>
            <w:r>
              <w:rPr>
                <w:rFonts w:hint="eastAsia" w:ascii="宋体" w:hAnsi="宋体" w:eastAsia="宋体" w:cs="宋体"/>
                <w:b w:val="0"/>
                <w:bCs w:val="0"/>
                <w:color w:val="auto"/>
                <w:spacing w:val="11"/>
                <w:kern w:val="0"/>
                <w:position w:val="0"/>
                <w:sz w:val="21"/>
                <w:szCs w:val="21"/>
                <w:lang w:val="en-US" w:eastAsia="zh-CN" w:bidi="ar"/>
              </w:rPr>
              <w:t>1台</w:t>
            </w:r>
          </w:p>
        </w:tc>
        <w:tc>
          <w:tcPr>
            <w:tcW w:w="718" w:type="dxa"/>
            <w:noWrap/>
            <w:vAlign w:val="center"/>
          </w:tcPr>
          <w:p w14:paraId="22512794">
            <w:pPr>
              <w:pageBreakBefore w:val="0"/>
              <w:kinsoku/>
              <w:wordWrap/>
              <w:overflowPunct/>
              <w:topLinePunct w:val="0"/>
              <w:autoSpaceDE/>
              <w:autoSpaceDN/>
              <w:bidi w:val="0"/>
              <w:adjustRightInd w:val="0"/>
              <w:snapToGrid w:val="0"/>
              <w:jc w:val="center"/>
              <w:textAlignment w:val="auto"/>
              <w:rPr>
                <w:rFonts w:hint="eastAsia" w:ascii="宋体" w:hAnsi="宋体" w:eastAsia="宋体" w:cs="宋体"/>
                <w:iCs/>
                <w:color w:val="auto"/>
                <w:szCs w:val="21"/>
                <w:lang w:val="en-US" w:eastAsia="zh-CN"/>
              </w:rPr>
            </w:pPr>
            <w:r>
              <w:rPr>
                <w:rFonts w:hint="eastAsia" w:ascii="宋体" w:hAnsi="宋体" w:cs="宋体"/>
                <w:iCs/>
                <w:color w:val="auto"/>
                <w:szCs w:val="21"/>
                <w:lang w:val="en-US" w:eastAsia="zh-CN"/>
              </w:rPr>
              <w:t>/</w:t>
            </w:r>
          </w:p>
        </w:tc>
      </w:tr>
      <w:tr w14:paraId="141D9C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75" w:hRule="atLeast"/>
          <w:jc w:val="center"/>
        </w:trPr>
        <w:tc>
          <w:tcPr>
            <w:tcW w:w="902" w:type="dxa"/>
            <w:noWrap/>
            <w:vAlign w:val="center"/>
          </w:tcPr>
          <w:p w14:paraId="354E0FFF">
            <w:pPr>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auto"/>
                <w:szCs w:val="21"/>
                <w:lang w:val="en-US" w:eastAsia="zh-CN"/>
              </w:rPr>
            </w:pPr>
            <w:r>
              <w:rPr>
                <w:rFonts w:hint="eastAsia" w:ascii="宋体" w:hAnsi="宋体" w:cs="宋体"/>
                <w:color w:val="auto"/>
                <w:szCs w:val="21"/>
                <w:lang w:val="en-US" w:eastAsia="zh-CN"/>
              </w:rPr>
              <w:t>3</w:t>
            </w:r>
          </w:p>
        </w:tc>
        <w:tc>
          <w:tcPr>
            <w:tcW w:w="3343" w:type="dxa"/>
            <w:noWrap/>
            <w:vAlign w:val="center"/>
          </w:tcPr>
          <w:p w14:paraId="457428B9">
            <w:pPr>
              <w:keepNext w:val="0"/>
              <w:keepLines w:val="0"/>
              <w:pageBreakBefore w:val="0"/>
              <w:widowControl/>
              <w:suppressLineNumbers w:val="0"/>
              <w:kinsoku/>
              <w:wordWrap/>
              <w:overflowPunct/>
              <w:topLinePunct w:val="0"/>
              <w:autoSpaceDE/>
              <w:autoSpaceDN/>
              <w:bidi w:val="0"/>
              <w:jc w:val="left"/>
              <w:textAlignment w:val="auto"/>
              <w:rPr>
                <w:rFonts w:hint="eastAsia" w:ascii="宋体" w:hAnsi="宋体" w:cs="宋体"/>
                <w:color w:val="auto"/>
                <w:szCs w:val="21"/>
                <w:lang w:eastAsia="zh-CN"/>
              </w:rPr>
            </w:pPr>
            <w:r>
              <w:rPr>
                <w:rFonts w:hint="eastAsia" w:ascii="宋体" w:hAnsi="宋体" w:eastAsia="宋体" w:cs="宋体"/>
                <w:b w:val="0"/>
                <w:bCs w:val="0"/>
                <w:color w:val="auto"/>
                <w:spacing w:val="11"/>
                <w:kern w:val="0"/>
                <w:position w:val="0"/>
                <w:sz w:val="21"/>
                <w:szCs w:val="21"/>
                <w:lang w:val="en-US" w:eastAsia="zh-CN" w:bidi="ar"/>
              </w:rPr>
              <w:t xml:space="preserve"> 监护仪</w:t>
            </w:r>
          </w:p>
        </w:tc>
        <w:tc>
          <w:tcPr>
            <w:tcW w:w="2440" w:type="dxa"/>
            <w:tcBorders>
              <w:left w:val="single" w:color="auto" w:sz="4" w:space="0"/>
            </w:tcBorders>
            <w:noWrap/>
            <w:vAlign w:val="center"/>
          </w:tcPr>
          <w:p w14:paraId="4D20D337">
            <w:pPr>
              <w:pageBreakBefore w:val="0"/>
              <w:kinsoku/>
              <w:wordWrap/>
              <w:overflowPunct/>
              <w:topLinePunct w:val="0"/>
              <w:autoSpaceDE/>
              <w:autoSpaceDN/>
              <w:bidi w:val="0"/>
              <w:adjustRightInd w:val="0"/>
              <w:snapToGrid w:val="0"/>
              <w:jc w:val="center"/>
              <w:textAlignment w:val="auto"/>
              <w:rPr>
                <w:rFonts w:hint="eastAsia" w:ascii="宋体" w:hAnsi="宋体" w:cs="宋体"/>
                <w:color w:val="auto"/>
                <w:szCs w:val="21"/>
              </w:rPr>
            </w:pPr>
            <w:r>
              <w:rPr>
                <w:rFonts w:hint="eastAsia" w:ascii="宋体" w:hAnsi="宋体" w:eastAsia="宋体" w:cs="宋体"/>
                <w:b w:val="0"/>
                <w:bCs w:val="0"/>
                <w:color w:val="auto"/>
                <w:spacing w:val="11"/>
                <w:kern w:val="0"/>
                <w:position w:val="0"/>
                <w:sz w:val="21"/>
                <w:szCs w:val="21"/>
                <w:lang w:val="en-US" w:eastAsia="zh-CN" w:bidi="ar"/>
              </w:rPr>
              <w:t>详见第二节 技术要求</w:t>
            </w:r>
          </w:p>
        </w:tc>
        <w:tc>
          <w:tcPr>
            <w:tcW w:w="1175" w:type="dxa"/>
            <w:tcBorders>
              <w:left w:val="single" w:color="auto" w:sz="4" w:space="0"/>
            </w:tcBorders>
            <w:noWrap/>
            <w:vAlign w:val="center"/>
          </w:tcPr>
          <w:p w14:paraId="07BD5F00">
            <w:pPr>
              <w:pStyle w:val="4"/>
              <w:pageBreakBefore w:val="0"/>
              <w:kinsoku/>
              <w:wordWrap/>
              <w:overflowPunct/>
              <w:topLinePunct w:val="0"/>
              <w:autoSpaceDE/>
              <w:autoSpaceDN/>
              <w:bidi w:val="0"/>
              <w:spacing w:line="240" w:lineRule="auto"/>
              <w:jc w:val="center"/>
              <w:textAlignment w:val="auto"/>
              <w:rPr>
                <w:rFonts w:hint="eastAsia" w:ascii="宋体" w:hAnsi="宋体" w:cs="宋体"/>
                <w:b w:val="0"/>
                <w:bCs w:val="0"/>
                <w:color w:val="auto"/>
                <w:kern w:val="0"/>
                <w:sz w:val="21"/>
                <w:szCs w:val="21"/>
              </w:rPr>
            </w:pPr>
            <w:r>
              <w:rPr>
                <w:rFonts w:hint="eastAsia" w:ascii="宋体" w:hAnsi="宋体" w:eastAsia="宋体" w:cs="宋体"/>
                <w:b w:val="0"/>
                <w:bCs w:val="0"/>
                <w:color w:val="auto"/>
                <w:spacing w:val="11"/>
                <w:kern w:val="0"/>
                <w:position w:val="0"/>
                <w:sz w:val="21"/>
                <w:szCs w:val="21"/>
                <w:lang w:val="en-US" w:eastAsia="zh-CN" w:bidi="ar"/>
              </w:rPr>
              <w:t>1台</w:t>
            </w:r>
          </w:p>
        </w:tc>
        <w:tc>
          <w:tcPr>
            <w:tcW w:w="718" w:type="dxa"/>
            <w:noWrap/>
            <w:vAlign w:val="center"/>
          </w:tcPr>
          <w:p w14:paraId="15B31466">
            <w:pPr>
              <w:pageBreakBefore w:val="0"/>
              <w:kinsoku/>
              <w:wordWrap/>
              <w:overflowPunct/>
              <w:topLinePunct w:val="0"/>
              <w:autoSpaceDE/>
              <w:autoSpaceDN/>
              <w:bidi w:val="0"/>
              <w:adjustRightInd w:val="0"/>
              <w:snapToGrid w:val="0"/>
              <w:jc w:val="center"/>
              <w:textAlignment w:val="auto"/>
              <w:rPr>
                <w:rFonts w:hint="eastAsia" w:ascii="宋体" w:hAnsi="宋体" w:cs="宋体"/>
                <w:iCs/>
                <w:color w:val="auto"/>
                <w:szCs w:val="21"/>
              </w:rPr>
            </w:pPr>
            <w:r>
              <w:rPr>
                <w:rFonts w:hint="eastAsia" w:ascii="宋体" w:hAnsi="宋体" w:cs="宋体"/>
                <w:iCs/>
                <w:color w:val="auto"/>
                <w:szCs w:val="21"/>
                <w:lang w:val="en-US" w:eastAsia="zh-CN"/>
              </w:rPr>
              <w:t>/</w:t>
            </w:r>
          </w:p>
        </w:tc>
      </w:tr>
      <w:tr w14:paraId="2288B0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75" w:hRule="atLeast"/>
          <w:jc w:val="center"/>
        </w:trPr>
        <w:tc>
          <w:tcPr>
            <w:tcW w:w="902" w:type="dxa"/>
            <w:noWrap/>
            <w:vAlign w:val="center"/>
          </w:tcPr>
          <w:p w14:paraId="0E53DD1A">
            <w:pPr>
              <w:pageBreakBefore w:val="0"/>
              <w:kinsoku/>
              <w:wordWrap/>
              <w:overflowPunct/>
              <w:topLinePunct w:val="0"/>
              <w:autoSpaceDE/>
              <w:autoSpaceDN/>
              <w:bidi w:val="0"/>
              <w:adjustRightInd w:val="0"/>
              <w:snapToGrid w:val="0"/>
              <w:jc w:val="center"/>
              <w:textAlignment w:val="auto"/>
              <w:rPr>
                <w:rFonts w:hint="default" w:ascii="宋体" w:hAnsi="宋体" w:eastAsia="宋体" w:cs="宋体"/>
                <w:color w:val="auto"/>
                <w:szCs w:val="21"/>
                <w:lang w:val="en-US" w:eastAsia="zh-CN"/>
              </w:rPr>
            </w:pPr>
            <w:r>
              <w:rPr>
                <w:rFonts w:hint="eastAsia" w:ascii="宋体" w:hAnsi="宋体" w:cs="宋体"/>
                <w:color w:val="auto"/>
                <w:szCs w:val="21"/>
                <w:lang w:val="en-US" w:eastAsia="zh-CN"/>
              </w:rPr>
              <w:t>4</w:t>
            </w:r>
          </w:p>
        </w:tc>
        <w:tc>
          <w:tcPr>
            <w:tcW w:w="3343" w:type="dxa"/>
            <w:noWrap/>
            <w:vAlign w:val="center"/>
          </w:tcPr>
          <w:p w14:paraId="66AC24DC">
            <w:pPr>
              <w:keepNext w:val="0"/>
              <w:keepLines w:val="0"/>
              <w:pageBreakBefore w:val="0"/>
              <w:widowControl/>
              <w:suppressLineNumbers w:val="0"/>
              <w:kinsoku/>
              <w:wordWrap/>
              <w:overflowPunct/>
              <w:topLinePunct w:val="0"/>
              <w:autoSpaceDE/>
              <w:autoSpaceDN/>
              <w:bidi w:val="0"/>
              <w:jc w:val="left"/>
              <w:textAlignment w:val="auto"/>
              <w:rPr>
                <w:rFonts w:hint="eastAsia" w:ascii="宋体" w:hAnsi="宋体" w:cs="宋体"/>
                <w:color w:val="auto"/>
                <w:szCs w:val="21"/>
                <w:lang w:eastAsia="zh-CN"/>
              </w:rPr>
            </w:pPr>
            <w:r>
              <w:rPr>
                <w:rFonts w:hint="eastAsia" w:ascii="宋体" w:hAnsi="宋体" w:eastAsia="宋体" w:cs="宋体"/>
                <w:b w:val="0"/>
                <w:bCs w:val="0"/>
                <w:color w:val="auto"/>
                <w:spacing w:val="11"/>
                <w:kern w:val="0"/>
                <w:position w:val="0"/>
                <w:sz w:val="21"/>
                <w:szCs w:val="21"/>
                <w:lang w:val="en-US" w:eastAsia="zh-CN" w:bidi="ar"/>
              </w:rPr>
              <w:t>除颤仪</w:t>
            </w:r>
          </w:p>
        </w:tc>
        <w:tc>
          <w:tcPr>
            <w:tcW w:w="2440" w:type="dxa"/>
            <w:tcBorders>
              <w:left w:val="single" w:color="auto" w:sz="4" w:space="0"/>
            </w:tcBorders>
            <w:noWrap/>
            <w:vAlign w:val="center"/>
          </w:tcPr>
          <w:p w14:paraId="4EE7679E">
            <w:pPr>
              <w:pageBreakBefore w:val="0"/>
              <w:kinsoku/>
              <w:wordWrap/>
              <w:overflowPunct/>
              <w:topLinePunct w:val="0"/>
              <w:autoSpaceDE/>
              <w:autoSpaceDN/>
              <w:bidi w:val="0"/>
              <w:adjustRightInd w:val="0"/>
              <w:snapToGrid w:val="0"/>
              <w:jc w:val="center"/>
              <w:textAlignment w:val="auto"/>
              <w:rPr>
                <w:rFonts w:hint="eastAsia" w:ascii="宋体" w:hAnsi="宋体" w:cs="宋体"/>
                <w:color w:val="auto"/>
                <w:szCs w:val="21"/>
              </w:rPr>
            </w:pPr>
            <w:r>
              <w:rPr>
                <w:rFonts w:hint="eastAsia" w:ascii="宋体" w:hAnsi="宋体" w:eastAsia="宋体" w:cs="宋体"/>
                <w:b w:val="0"/>
                <w:bCs w:val="0"/>
                <w:color w:val="auto"/>
                <w:spacing w:val="11"/>
                <w:kern w:val="0"/>
                <w:position w:val="0"/>
                <w:sz w:val="21"/>
                <w:szCs w:val="21"/>
                <w:lang w:val="en-US" w:eastAsia="zh-CN" w:bidi="ar"/>
              </w:rPr>
              <w:t>详见第二节 技术要求</w:t>
            </w:r>
          </w:p>
        </w:tc>
        <w:tc>
          <w:tcPr>
            <w:tcW w:w="1175" w:type="dxa"/>
            <w:tcBorders>
              <w:left w:val="single" w:color="auto" w:sz="4" w:space="0"/>
            </w:tcBorders>
            <w:noWrap/>
            <w:vAlign w:val="center"/>
          </w:tcPr>
          <w:p w14:paraId="0900D924">
            <w:pPr>
              <w:pStyle w:val="4"/>
              <w:pageBreakBefore w:val="0"/>
              <w:kinsoku/>
              <w:wordWrap/>
              <w:overflowPunct/>
              <w:topLinePunct w:val="0"/>
              <w:autoSpaceDE/>
              <w:autoSpaceDN/>
              <w:bidi w:val="0"/>
              <w:spacing w:line="240" w:lineRule="auto"/>
              <w:jc w:val="center"/>
              <w:textAlignment w:val="auto"/>
              <w:rPr>
                <w:rFonts w:hint="eastAsia" w:ascii="宋体" w:hAnsi="宋体" w:cs="宋体"/>
                <w:b w:val="0"/>
                <w:bCs w:val="0"/>
                <w:color w:val="auto"/>
                <w:kern w:val="0"/>
                <w:sz w:val="21"/>
                <w:szCs w:val="21"/>
              </w:rPr>
            </w:pPr>
            <w:r>
              <w:rPr>
                <w:rFonts w:hint="eastAsia" w:ascii="宋体" w:hAnsi="宋体" w:eastAsia="宋体" w:cs="宋体"/>
                <w:b w:val="0"/>
                <w:bCs w:val="0"/>
                <w:color w:val="auto"/>
                <w:spacing w:val="11"/>
                <w:kern w:val="0"/>
                <w:position w:val="0"/>
                <w:sz w:val="21"/>
                <w:szCs w:val="21"/>
                <w:lang w:val="en-US" w:eastAsia="zh-CN" w:bidi="ar"/>
              </w:rPr>
              <w:t>1台</w:t>
            </w:r>
          </w:p>
        </w:tc>
        <w:tc>
          <w:tcPr>
            <w:tcW w:w="718" w:type="dxa"/>
            <w:noWrap/>
            <w:vAlign w:val="center"/>
          </w:tcPr>
          <w:p w14:paraId="6D124FCC">
            <w:pPr>
              <w:pageBreakBefore w:val="0"/>
              <w:kinsoku/>
              <w:wordWrap/>
              <w:overflowPunct/>
              <w:topLinePunct w:val="0"/>
              <w:autoSpaceDE/>
              <w:autoSpaceDN/>
              <w:bidi w:val="0"/>
              <w:adjustRightInd w:val="0"/>
              <w:snapToGrid w:val="0"/>
              <w:jc w:val="center"/>
              <w:textAlignment w:val="auto"/>
              <w:rPr>
                <w:rFonts w:hint="eastAsia" w:ascii="宋体" w:hAnsi="宋体" w:cs="宋体"/>
                <w:iCs/>
                <w:color w:val="auto"/>
                <w:szCs w:val="21"/>
              </w:rPr>
            </w:pPr>
            <w:r>
              <w:rPr>
                <w:rFonts w:hint="eastAsia" w:ascii="宋体" w:hAnsi="宋体" w:cs="宋体"/>
                <w:iCs/>
                <w:color w:val="auto"/>
                <w:szCs w:val="21"/>
                <w:lang w:val="en-US" w:eastAsia="zh-CN"/>
              </w:rPr>
              <w:t>/</w:t>
            </w:r>
          </w:p>
        </w:tc>
      </w:tr>
      <w:tr w14:paraId="7C4188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75" w:hRule="atLeast"/>
          <w:jc w:val="center"/>
        </w:trPr>
        <w:tc>
          <w:tcPr>
            <w:tcW w:w="902" w:type="dxa"/>
            <w:noWrap/>
            <w:vAlign w:val="center"/>
          </w:tcPr>
          <w:p w14:paraId="4735735A">
            <w:pPr>
              <w:pageBreakBefore w:val="0"/>
              <w:kinsoku/>
              <w:wordWrap/>
              <w:overflowPunct/>
              <w:topLinePunct w:val="0"/>
              <w:autoSpaceDE/>
              <w:autoSpaceDN/>
              <w:bidi w:val="0"/>
              <w:adjustRightInd w:val="0"/>
              <w:snapToGrid w:val="0"/>
              <w:jc w:val="center"/>
              <w:textAlignment w:val="auto"/>
              <w:rPr>
                <w:rFonts w:hint="default" w:ascii="宋体" w:hAnsi="宋体" w:cs="宋体"/>
                <w:color w:val="auto"/>
                <w:szCs w:val="21"/>
                <w:lang w:val="en-US" w:eastAsia="zh-CN"/>
              </w:rPr>
            </w:pPr>
            <w:r>
              <w:rPr>
                <w:rFonts w:hint="eastAsia" w:ascii="宋体" w:hAnsi="宋体" w:cs="宋体"/>
                <w:color w:val="auto"/>
                <w:szCs w:val="21"/>
                <w:lang w:val="en-US" w:eastAsia="zh-CN"/>
              </w:rPr>
              <w:t>5</w:t>
            </w:r>
          </w:p>
        </w:tc>
        <w:tc>
          <w:tcPr>
            <w:tcW w:w="3343" w:type="dxa"/>
            <w:noWrap/>
            <w:vAlign w:val="center"/>
          </w:tcPr>
          <w:p w14:paraId="5F51EE52">
            <w:pPr>
              <w:keepNext w:val="0"/>
              <w:keepLines w:val="0"/>
              <w:pageBreakBefore w:val="0"/>
              <w:widowControl/>
              <w:suppressLineNumbers w:val="0"/>
              <w:kinsoku/>
              <w:wordWrap/>
              <w:overflowPunct/>
              <w:topLinePunct w:val="0"/>
              <w:autoSpaceDE/>
              <w:autoSpaceDN/>
              <w:bidi w:val="0"/>
              <w:jc w:val="left"/>
              <w:textAlignment w:val="auto"/>
              <w:rPr>
                <w:rFonts w:hint="eastAsia" w:ascii="宋体" w:hAnsi="宋体" w:cs="宋体"/>
                <w:color w:val="auto"/>
                <w:szCs w:val="21"/>
                <w:lang w:eastAsia="zh-CN"/>
              </w:rPr>
            </w:pPr>
            <w:r>
              <w:rPr>
                <w:rFonts w:hint="eastAsia" w:ascii="宋体" w:hAnsi="宋体" w:eastAsia="宋体" w:cs="宋体"/>
                <w:b w:val="0"/>
                <w:bCs w:val="0"/>
                <w:color w:val="auto"/>
                <w:spacing w:val="11"/>
                <w:kern w:val="0"/>
                <w:position w:val="0"/>
                <w:sz w:val="21"/>
                <w:szCs w:val="21"/>
                <w:lang w:val="en-US" w:eastAsia="zh-CN" w:bidi="ar"/>
              </w:rPr>
              <w:t>血管内超声</w:t>
            </w:r>
          </w:p>
        </w:tc>
        <w:tc>
          <w:tcPr>
            <w:tcW w:w="2440" w:type="dxa"/>
            <w:tcBorders>
              <w:left w:val="single" w:color="auto" w:sz="4" w:space="0"/>
            </w:tcBorders>
            <w:noWrap/>
            <w:vAlign w:val="center"/>
          </w:tcPr>
          <w:p w14:paraId="219630B7">
            <w:pPr>
              <w:pageBreakBefore w:val="0"/>
              <w:kinsoku/>
              <w:wordWrap/>
              <w:overflowPunct/>
              <w:topLinePunct w:val="0"/>
              <w:autoSpaceDE/>
              <w:autoSpaceDN/>
              <w:bidi w:val="0"/>
              <w:adjustRightInd w:val="0"/>
              <w:snapToGrid w:val="0"/>
              <w:jc w:val="center"/>
              <w:textAlignment w:val="auto"/>
              <w:rPr>
                <w:rFonts w:hint="eastAsia" w:ascii="宋体" w:hAnsi="宋体" w:cs="宋体"/>
                <w:color w:val="auto"/>
                <w:szCs w:val="21"/>
              </w:rPr>
            </w:pPr>
            <w:r>
              <w:rPr>
                <w:rFonts w:hint="eastAsia" w:ascii="宋体" w:hAnsi="宋体" w:eastAsia="宋体" w:cs="宋体"/>
                <w:b w:val="0"/>
                <w:bCs w:val="0"/>
                <w:color w:val="auto"/>
                <w:spacing w:val="11"/>
                <w:kern w:val="0"/>
                <w:position w:val="0"/>
                <w:sz w:val="21"/>
                <w:szCs w:val="21"/>
                <w:lang w:val="en-US" w:eastAsia="zh-CN" w:bidi="ar"/>
              </w:rPr>
              <w:t>详见第二节 技术要求</w:t>
            </w:r>
          </w:p>
        </w:tc>
        <w:tc>
          <w:tcPr>
            <w:tcW w:w="1175" w:type="dxa"/>
            <w:tcBorders>
              <w:left w:val="single" w:color="auto" w:sz="4" w:space="0"/>
            </w:tcBorders>
            <w:noWrap/>
            <w:vAlign w:val="center"/>
          </w:tcPr>
          <w:p w14:paraId="7ECACF1D">
            <w:pPr>
              <w:pStyle w:val="4"/>
              <w:pageBreakBefore w:val="0"/>
              <w:kinsoku/>
              <w:wordWrap/>
              <w:overflowPunct/>
              <w:topLinePunct w:val="0"/>
              <w:autoSpaceDE/>
              <w:autoSpaceDN/>
              <w:bidi w:val="0"/>
              <w:spacing w:line="240" w:lineRule="auto"/>
              <w:jc w:val="center"/>
              <w:textAlignment w:val="auto"/>
              <w:rPr>
                <w:rFonts w:hint="eastAsia" w:ascii="宋体" w:hAnsi="宋体" w:cs="宋体"/>
                <w:b w:val="0"/>
                <w:bCs w:val="0"/>
                <w:color w:val="auto"/>
                <w:kern w:val="0"/>
                <w:sz w:val="21"/>
                <w:szCs w:val="21"/>
              </w:rPr>
            </w:pPr>
            <w:r>
              <w:rPr>
                <w:rFonts w:hint="eastAsia" w:ascii="宋体" w:hAnsi="宋体" w:eastAsia="宋体" w:cs="宋体"/>
                <w:b w:val="0"/>
                <w:bCs w:val="0"/>
                <w:color w:val="auto"/>
                <w:spacing w:val="11"/>
                <w:kern w:val="0"/>
                <w:position w:val="0"/>
                <w:sz w:val="21"/>
                <w:szCs w:val="21"/>
                <w:lang w:val="en-US" w:eastAsia="zh-CN" w:bidi="ar"/>
              </w:rPr>
              <w:t>1台</w:t>
            </w:r>
          </w:p>
        </w:tc>
        <w:tc>
          <w:tcPr>
            <w:tcW w:w="718" w:type="dxa"/>
            <w:noWrap/>
            <w:vAlign w:val="center"/>
          </w:tcPr>
          <w:p w14:paraId="188BA6E8">
            <w:pPr>
              <w:pageBreakBefore w:val="0"/>
              <w:kinsoku/>
              <w:wordWrap/>
              <w:overflowPunct/>
              <w:topLinePunct w:val="0"/>
              <w:autoSpaceDE/>
              <w:autoSpaceDN/>
              <w:bidi w:val="0"/>
              <w:adjustRightInd w:val="0"/>
              <w:snapToGrid w:val="0"/>
              <w:jc w:val="center"/>
              <w:textAlignment w:val="auto"/>
              <w:rPr>
                <w:rFonts w:hint="eastAsia" w:ascii="宋体" w:hAnsi="宋体" w:cs="宋体"/>
                <w:iCs/>
                <w:color w:val="auto"/>
                <w:szCs w:val="21"/>
              </w:rPr>
            </w:pPr>
            <w:r>
              <w:rPr>
                <w:rFonts w:hint="eastAsia" w:ascii="宋体" w:hAnsi="宋体" w:cs="宋体"/>
                <w:iCs/>
                <w:color w:val="auto"/>
                <w:szCs w:val="21"/>
                <w:lang w:val="en-US" w:eastAsia="zh-CN"/>
              </w:rPr>
              <w:t>/</w:t>
            </w:r>
          </w:p>
        </w:tc>
      </w:tr>
      <w:tr w14:paraId="3632F9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75" w:hRule="atLeast"/>
          <w:jc w:val="center"/>
        </w:trPr>
        <w:tc>
          <w:tcPr>
            <w:tcW w:w="902" w:type="dxa"/>
            <w:noWrap/>
            <w:vAlign w:val="center"/>
          </w:tcPr>
          <w:p w14:paraId="1AB01EF3">
            <w:pPr>
              <w:pageBreakBefore w:val="0"/>
              <w:kinsoku/>
              <w:wordWrap/>
              <w:overflowPunct/>
              <w:topLinePunct w:val="0"/>
              <w:autoSpaceDE/>
              <w:autoSpaceDN/>
              <w:bidi w:val="0"/>
              <w:adjustRightInd w:val="0"/>
              <w:snapToGrid w:val="0"/>
              <w:jc w:val="center"/>
              <w:textAlignment w:val="auto"/>
              <w:rPr>
                <w:rFonts w:hint="default" w:ascii="宋体" w:hAnsi="宋体" w:cs="宋体"/>
                <w:color w:val="auto"/>
                <w:szCs w:val="21"/>
                <w:lang w:val="en-US" w:eastAsia="zh-CN"/>
              </w:rPr>
            </w:pPr>
            <w:r>
              <w:rPr>
                <w:rFonts w:hint="eastAsia" w:ascii="宋体" w:hAnsi="宋体" w:cs="宋体"/>
                <w:color w:val="auto"/>
                <w:szCs w:val="21"/>
                <w:lang w:val="en-US" w:eastAsia="zh-CN"/>
              </w:rPr>
              <w:t>6</w:t>
            </w:r>
          </w:p>
        </w:tc>
        <w:tc>
          <w:tcPr>
            <w:tcW w:w="3343" w:type="dxa"/>
            <w:noWrap/>
            <w:vAlign w:val="center"/>
          </w:tcPr>
          <w:p w14:paraId="1DD8BCE4">
            <w:pPr>
              <w:keepNext w:val="0"/>
              <w:keepLines w:val="0"/>
              <w:pageBreakBefore w:val="0"/>
              <w:widowControl/>
              <w:suppressLineNumbers w:val="0"/>
              <w:kinsoku/>
              <w:wordWrap/>
              <w:overflowPunct/>
              <w:topLinePunct w:val="0"/>
              <w:autoSpaceDE/>
              <w:autoSpaceDN/>
              <w:bidi w:val="0"/>
              <w:jc w:val="left"/>
              <w:textAlignment w:val="auto"/>
              <w:rPr>
                <w:rFonts w:hint="eastAsia" w:ascii="宋体" w:hAnsi="宋体" w:cs="宋体"/>
                <w:color w:val="auto"/>
                <w:szCs w:val="21"/>
                <w:lang w:eastAsia="zh-CN"/>
              </w:rPr>
            </w:pPr>
            <w:r>
              <w:rPr>
                <w:rFonts w:hint="eastAsia" w:ascii="宋体" w:hAnsi="宋体" w:eastAsia="宋体" w:cs="宋体"/>
                <w:b w:val="0"/>
                <w:bCs w:val="0"/>
                <w:color w:val="auto"/>
                <w:spacing w:val="11"/>
                <w:kern w:val="0"/>
                <w:position w:val="0"/>
                <w:sz w:val="21"/>
                <w:szCs w:val="21"/>
                <w:lang w:val="en-US" w:eastAsia="zh-CN" w:bidi="ar"/>
              </w:rPr>
              <w:t>医用吊塔</w:t>
            </w:r>
          </w:p>
        </w:tc>
        <w:tc>
          <w:tcPr>
            <w:tcW w:w="2440" w:type="dxa"/>
            <w:tcBorders>
              <w:left w:val="single" w:color="auto" w:sz="4" w:space="0"/>
            </w:tcBorders>
            <w:noWrap/>
            <w:vAlign w:val="center"/>
          </w:tcPr>
          <w:p w14:paraId="0EF74DBB">
            <w:pPr>
              <w:pageBreakBefore w:val="0"/>
              <w:kinsoku/>
              <w:wordWrap/>
              <w:overflowPunct/>
              <w:topLinePunct w:val="0"/>
              <w:autoSpaceDE/>
              <w:autoSpaceDN/>
              <w:bidi w:val="0"/>
              <w:adjustRightInd w:val="0"/>
              <w:snapToGrid w:val="0"/>
              <w:jc w:val="center"/>
              <w:textAlignment w:val="auto"/>
              <w:rPr>
                <w:rFonts w:hint="eastAsia" w:ascii="宋体" w:hAnsi="宋体" w:cs="宋体"/>
                <w:color w:val="auto"/>
                <w:szCs w:val="21"/>
              </w:rPr>
            </w:pPr>
            <w:r>
              <w:rPr>
                <w:rFonts w:hint="eastAsia" w:ascii="宋体" w:hAnsi="宋体" w:eastAsia="宋体" w:cs="宋体"/>
                <w:b w:val="0"/>
                <w:bCs w:val="0"/>
                <w:color w:val="auto"/>
                <w:spacing w:val="11"/>
                <w:kern w:val="0"/>
                <w:position w:val="0"/>
                <w:sz w:val="21"/>
                <w:szCs w:val="21"/>
                <w:lang w:val="en-US" w:eastAsia="zh-CN" w:bidi="ar"/>
              </w:rPr>
              <w:t>详见第二节 技术要求</w:t>
            </w:r>
          </w:p>
        </w:tc>
        <w:tc>
          <w:tcPr>
            <w:tcW w:w="1175" w:type="dxa"/>
            <w:tcBorders>
              <w:left w:val="single" w:color="auto" w:sz="4" w:space="0"/>
            </w:tcBorders>
            <w:noWrap/>
            <w:vAlign w:val="center"/>
          </w:tcPr>
          <w:p w14:paraId="3871C336">
            <w:pPr>
              <w:pStyle w:val="4"/>
              <w:pageBreakBefore w:val="0"/>
              <w:kinsoku/>
              <w:wordWrap/>
              <w:overflowPunct/>
              <w:topLinePunct w:val="0"/>
              <w:autoSpaceDE/>
              <w:autoSpaceDN/>
              <w:bidi w:val="0"/>
              <w:spacing w:line="240" w:lineRule="auto"/>
              <w:jc w:val="center"/>
              <w:textAlignment w:val="auto"/>
              <w:rPr>
                <w:rFonts w:hint="eastAsia" w:ascii="宋体" w:hAnsi="宋体" w:cs="宋体"/>
                <w:b w:val="0"/>
                <w:bCs w:val="0"/>
                <w:color w:val="auto"/>
                <w:kern w:val="0"/>
                <w:sz w:val="21"/>
                <w:szCs w:val="21"/>
              </w:rPr>
            </w:pPr>
            <w:r>
              <w:rPr>
                <w:rFonts w:hint="eastAsia" w:ascii="宋体" w:hAnsi="宋体" w:eastAsia="宋体" w:cs="宋体"/>
                <w:b w:val="0"/>
                <w:bCs w:val="0"/>
                <w:color w:val="auto"/>
                <w:spacing w:val="11"/>
                <w:kern w:val="0"/>
                <w:position w:val="0"/>
                <w:sz w:val="21"/>
                <w:szCs w:val="21"/>
                <w:lang w:val="en-US" w:eastAsia="zh-CN" w:bidi="ar"/>
              </w:rPr>
              <w:t>1套</w:t>
            </w:r>
          </w:p>
        </w:tc>
        <w:tc>
          <w:tcPr>
            <w:tcW w:w="718" w:type="dxa"/>
            <w:noWrap/>
            <w:vAlign w:val="center"/>
          </w:tcPr>
          <w:p w14:paraId="44568D08">
            <w:pPr>
              <w:pageBreakBefore w:val="0"/>
              <w:kinsoku/>
              <w:wordWrap/>
              <w:overflowPunct/>
              <w:topLinePunct w:val="0"/>
              <w:autoSpaceDE/>
              <w:autoSpaceDN/>
              <w:bidi w:val="0"/>
              <w:adjustRightInd w:val="0"/>
              <w:snapToGrid w:val="0"/>
              <w:jc w:val="center"/>
              <w:textAlignment w:val="auto"/>
              <w:rPr>
                <w:rFonts w:hint="eastAsia" w:ascii="宋体" w:hAnsi="宋体" w:cs="宋体"/>
                <w:iCs/>
                <w:color w:val="auto"/>
                <w:szCs w:val="21"/>
              </w:rPr>
            </w:pPr>
            <w:r>
              <w:rPr>
                <w:rFonts w:hint="eastAsia" w:ascii="宋体" w:hAnsi="宋体" w:cs="宋体"/>
                <w:iCs/>
                <w:color w:val="auto"/>
                <w:szCs w:val="21"/>
                <w:lang w:val="en-US" w:eastAsia="zh-CN"/>
              </w:rPr>
              <w:t>/</w:t>
            </w:r>
          </w:p>
        </w:tc>
      </w:tr>
      <w:tr w14:paraId="3ED196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44" w:hRule="atLeast"/>
          <w:jc w:val="center"/>
        </w:trPr>
        <w:tc>
          <w:tcPr>
            <w:tcW w:w="902" w:type="dxa"/>
            <w:noWrap/>
            <w:vAlign w:val="center"/>
          </w:tcPr>
          <w:p w14:paraId="1E6B55E8">
            <w:pPr>
              <w:pageBreakBefore w:val="0"/>
              <w:kinsoku/>
              <w:wordWrap/>
              <w:overflowPunct/>
              <w:topLinePunct w:val="0"/>
              <w:autoSpaceDE/>
              <w:autoSpaceDN/>
              <w:bidi w:val="0"/>
              <w:adjustRightInd w:val="0"/>
              <w:snapToGrid w:val="0"/>
              <w:jc w:val="center"/>
              <w:textAlignment w:val="auto"/>
              <w:rPr>
                <w:rFonts w:hint="default" w:ascii="宋体" w:hAnsi="宋体" w:cs="宋体"/>
                <w:color w:val="auto"/>
                <w:szCs w:val="21"/>
                <w:lang w:val="en-US" w:eastAsia="zh-CN"/>
              </w:rPr>
            </w:pPr>
            <w:r>
              <w:rPr>
                <w:rFonts w:hint="eastAsia" w:ascii="宋体" w:hAnsi="宋体" w:cs="宋体"/>
                <w:color w:val="auto"/>
                <w:szCs w:val="21"/>
                <w:lang w:val="en-US" w:eastAsia="zh-CN"/>
              </w:rPr>
              <w:t>7</w:t>
            </w:r>
          </w:p>
        </w:tc>
        <w:tc>
          <w:tcPr>
            <w:tcW w:w="3343" w:type="dxa"/>
            <w:noWrap/>
            <w:vAlign w:val="center"/>
          </w:tcPr>
          <w:p w14:paraId="50587235">
            <w:pPr>
              <w:keepNext w:val="0"/>
              <w:keepLines w:val="0"/>
              <w:pageBreakBefore w:val="0"/>
              <w:widowControl/>
              <w:suppressLineNumbers w:val="0"/>
              <w:kinsoku/>
              <w:wordWrap/>
              <w:overflowPunct/>
              <w:topLinePunct w:val="0"/>
              <w:autoSpaceDE/>
              <w:autoSpaceDN/>
              <w:bidi w:val="0"/>
              <w:jc w:val="left"/>
              <w:textAlignment w:val="auto"/>
              <w:rPr>
                <w:rFonts w:hint="eastAsia" w:ascii="宋体" w:hAnsi="宋体" w:cs="宋体"/>
                <w:color w:val="auto"/>
                <w:szCs w:val="21"/>
                <w:lang w:eastAsia="zh-CN"/>
              </w:rPr>
            </w:pPr>
            <w:r>
              <w:rPr>
                <w:rFonts w:hint="eastAsia" w:ascii="宋体" w:hAnsi="宋体" w:eastAsia="宋体" w:cs="宋体"/>
                <w:b w:val="0"/>
                <w:bCs w:val="0"/>
                <w:color w:val="auto"/>
                <w:spacing w:val="11"/>
                <w:kern w:val="0"/>
                <w:position w:val="0"/>
                <w:sz w:val="21"/>
                <w:szCs w:val="21"/>
                <w:lang w:val="en-US" w:eastAsia="zh-CN" w:bidi="ar"/>
              </w:rPr>
              <w:t>铅衣/铅帽/围脖</w:t>
            </w:r>
          </w:p>
        </w:tc>
        <w:tc>
          <w:tcPr>
            <w:tcW w:w="2440" w:type="dxa"/>
            <w:tcBorders>
              <w:left w:val="single" w:color="auto" w:sz="4" w:space="0"/>
            </w:tcBorders>
            <w:noWrap/>
            <w:vAlign w:val="center"/>
          </w:tcPr>
          <w:p w14:paraId="77DFF64F">
            <w:pPr>
              <w:pageBreakBefore w:val="0"/>
              <w:kinsoku/>
              <w:wordWrap/>
              <w:overflowPunct/>
              <w:topLinePunct w:val="0"/>
              <w:autoSpaceDE/>
              <w:autoSpaceDN/>
              <w:bidi w:val="0"/>
              <w:adjustRightInd w:val="0"/>
              <w:snapToGrid w:val="0"/>
              <w:jc w:val="center"/>
              <w:textAlignment w:val="auto"/>
              <w:rPr>
                <w:rFonts w:hint="eastAsia" w:ascii="宋体" w:hAnsi="宋体" w:cs="宋体"/>
                <w:color w:val="auto"/>
                <w:szCs w:val="21"/>
              </w:rPr>
            </w:pPr>
            <w:r>
              <w:rPr>
                <w:rFonts w:hint="eastAsia" w:ascii="宋体" w:hAnsi="宋体" w:eastAsia="宋体" w:cs="宋体"/>
                <w:b w:val="0"/>
                <w:bCs w:val="0"/>
                <w:color w:val="auto"/>
                <w:spacing w:val="11"/>
                <w:kern w:val="0"/>
                <w:position w:val="0"/>
                <w:sz w:val="21"/>
                <w:szCs w:val="21"/>
                <w:lang w:val="en-US" w:eastAsia="zh-CN" w:bidi="ar"/>
              </w:rPr>
              <w:t>详见第二节 技术要求</w:t>
            </w:r>
          </w:p>
        </w:tc>
        <w:tc>
          <w:tcPr>
            <w:tcW w:w="1175" w:type="dxa"/>
            <w:tcBorders>
              <w:left w:val="single" w:color="auto" w:sz="4" w:space="0"/>
            </w:tcBorders>
            <w:noWrap/>
            <w:vAlign w:val="center"/>
          </w:tcPr>
          <w:p w14:paraId="3ED28C85">
            <w:pPr>
              <w:pStyle w:val="4"/>
              <w:pageBreakBefore w:val="0"/>
              <w:kinsoku/>
              <w:wordWrap/>
              <w:overflowPunct/>
              <w:topLinePunct w:val="0"/>
              <w:autoSpaceDE/>
              <w:autoSpaceDN/>
              <w:bidi w:val="0"/>
              <w:spacing w:line="240" w:lineRule="auto"/>
              <w:jc w:val="center"/>
              <w:textAlignment w:val="auto"/>
              <w:rPr>
                <w:rFonts w:hint="eastAsia" w:ascii="宋体" w:hAnsi="宋体" w:cs="宋体"/>
                <w:b w:val="0"/>
                <w:bCs w:val="0"/>
                <w:color w:val="auto"/>
                <w:kern w:val="0"/>
                <w:sz w:val="21"/>
                <w:szCs w:val="21"/>
              </w:rPr>
            </w:pPr>
            <w:r>
              <w:rPr>
                <w:rFonts w:hint="eastAsia" w:ascii="宋体" w:hAnsi="宋体" w:eastAsia="宋体" w:cs="宋体"/>
                <w:b w:val="0"/>
                <w:bCs w:val="0"/>
                <w:color w:val="auto"/>
                <w:spacing w:val="11"/>
                <w:kern w:val="0"/>
                <w:position w:val="0"/>
                <w:sz w:val="21"/>
                <w:szCs w:val="21"/>
                <w:lang w:val="en-US" w:eastAsia="zh-CN" w:bidi="ar"/>
              </w:rPr>
              <w:t>各4套</w:t>
            </w:r>
          </w:p>
        </w:tc>
        <w:tc>
          <w:tcPr>
            <w:tcW w:w="718" w:type="dxa"/>
            <w:noWrap/>
            <w:vAlign w:val="center"/>
          </w:tcPr>
          <w:p w14:paraId="45E949E3">
            <w:pPr>
              <w:pageBreakBefore w:val="0"/>
              <w:kinsoku/>
              <w:wordWrap/>
              <w:overflowPunct/>
              <w:topLinePunct w:val="0"/>
              <w:autoSpaceDE/>
              <w:autoSpaceDN/>
              <w:bidi w:val="0"/>
              <w:adjustRightInd w:val="0"/>
              <w:snapToGrid w:val="0"/>
              <w:jc w:val="center"/>
              <w:textAlignment w:val="auto"/>
              <w:rPr>
                <w:rFonts w:hint="eastAsia" w:ascii="宋体" w:hAnsi="宋体" w:cs="宋体"/>
                <w:iCs/>
                <w:color w:val="auto"/>
                <w:szCs w:val="21"/>
              </w:rPr>
            </w:pPr>
            <w:r>
              <w:rPr>
                <w:rFonts w:hint="eastAsia" w:ascii="宋体" w:hAnsi="宋体" w:cs="宋体"/>
                <w:iCs/>
                <w:color w:val="auto"/>
                <w:szCs w:val="21"/>
                <w:lang w:val="en-US" w:eastAsia="zh-CN"/>
              </w:rPr>
              <w:t>/</w:t>
            </w:r>
          </w:p>
        </w:tc>
      </w:tr>
      <w:tr w14:paraId="282063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75" w:hRule="atLeast"/>
          <w:jc w:val="center"/>
        </w:trPr>
        <w:tc>
          <w:tcPr>
            <w:tcW w:w="902" w:type="dxa"/>
            <w:noWrap/>
            <w:vAlign w:val="center"/>
          </w:tcPr>
          <w:p w14:paraId="04C0540F">
            <w:pPr>
              <w:pageBreakBefore w:val="0"/>
              <w:kinsoku/>
              <w:wordWrap/>
              <w:overflowPunct/>
              <w:topLinePunct w:val="0"/>
              <w:autoSpaceDE/>
              <w:autoSpaceDN/>
              <w:bidi w:val="0"/>
              <w:adjustRightInd w:val="0"/>
              <w:snapToGrid w:val="0"/>
              <w:jc w:val="center"/>
              <w:textAlignment w:val="auto"/>
              <w:rPr>
                <w:rFonts w:hint="default" w:ascii="宋体" w:hAnsi="宋体" w:cs="宋体"/>
                <w:color w:val="auto"/>
                <w:szCs w:val="21"/>
                <w:lang w:val="en-US" w:eastAsia="zh-CN"/>
              </w:rPr>
            </w:pPr>
            <w:r>
              <w:rPr>
                <w:rFonts w:hint="eastAsia" w:ascii="宋体" w:hAnsi="宋体" w:cs="宋体"/>
                <w:color w:val="auto"/>
                <w:szCs w:val="21"/>
                <w:lang w:val="en-US" w:eastAsia="zh-CN"/>
              </w:rPr>
              <w:t>8</w:t>
            </w:r>
          </w:p>
        </w:tc>
        <w:tc>
          <w:tcPr>
            <w:tcW w:w="3343" w:type="dxa"/>
            <w:noWrap/>
            <w:vAlign w:val="center"/>
          </w:tcPr>
          <w:p w14:paraId="3B007E66">
            <w:pPr>
              <w:keepNext w:val="0"/>
              <w:keepLines w:val="0"/>
              <w:pageBreakBefore w:val="0"/>
              <w:widowControl/>
              <w:suppressLineNumbers w:val="0"/>
              <w:kinsoku/>
              <w:wordWrap/>
              <w:overflowPunct/>
              <w:topLinePunct w:val="0"/>
              <w:autoSpaceDE/>
              <w:autoSpaceDN/>
              <w:bidi w:val="0"/>
              <w:jc w:val="left"/>
              <w:textAlignment w:val="auto"/>
              <w:rPr>
                <w:rFonts w:hint="eastAsia" w:ascii="宋体" w:hAnsi="宋体" w:cs="宋体"/>
                <w:color w:val="auto"/>
                <w:szCs w:val="21"/>
                <w:lang w:eastAsia="zh-CN"/>
              </w:rPr>
            </w:pPr>
            <w:r>
              <w:rPr>
                <w:rFonts w:hint="eastAsia" w:ascii="宋体" w:hAnsi="宋体" w:eastAsia="宋体" w:cs="宋体"/>
                <w:b w:val="0"/>
                <w:bCs w:val="0"/>
                <w:color w:val="auto"/>
                <w:spacing w:val="11"/>
                <w:kern w:val="0"/>
                <w:position w:val="0"/>
                <w:sz w:val="21"/>
                <w:szCs w:val="21"/>
                <w:lang w:val="en-US" w:eastAsia="zh-CN" w:bidi="ar"/>
              </w:rPr>
              <w:t>除湿机</w:t>
            </w:r>
          </w:p>
        </w:tc>
        <w:tc>
          <w:tcPr>
            <w:tcW w:w="2440" w:type="dxa"/>
            <w:tcBorders>
              <w:left w:val="single" w:color="auto" w:sz="4" w:space="0"/>
            </w:tcBorders>
            <w:noWrap/>
            <w:vAlign w:val="center"/>
          </w:tcPr>
          <w:p w14:paraId="0F93C838">
            <w:pPr>
              <w:pageBreakBefore w:val="0"/>
              <w:kinsoku/>
              <w:wordWrap/>
              <w:overflowPunct/>
              <w:topLinePunct w:val="0"/>
              <w:autoSpaceDE/>
              <w:autoSpaceDN/>
              <w:bidi w:val="0"/>
              <w:adjustRightInd w:val="0"/>
              <w:snapToGrid w:val="0"/>
              <w:jc w:val="center"/>
              <w:textAlignment w:val="auto"/>
              <w:rPr>
                <w:rFonts w:hint="eastAsia" w:ascii="宋体" w:hAnsi="宋体" w:cs="宋体"/>
                <w:color w:val="auto"/>
                <w:szCs w:val="21"/>
              </w:rPr>
            </w:pPr>
            <w:r>
              <w:rPr>
                <w:rFonts w:hint="eastAsia" w:ascii="宋体" w:hAnsi="宋体" w:eastAsia="宋体" w:cs="宋体"/>
                <w:b w:val="0"/>
                <w:bCs w:val="0"/>
                <w:color w:val="auto"/>
                <w:spacing w:val="11"/>
                <w:kern w:val="0"/>
                <w:position w:val="0"/>
                <w:sz w:val="21"/>
                <w:szCs w:val="21"/>
                <w:lang w:val="en-US" w:eastAsia="zh-CN" w:bidi="ar"/>
              </w:rPr>
              <w:t>详见第二节 技术要求</w:t>
            </w:r>
          </w:p>
        </w:tc>
        <w:tc>
          <w:tcPr>
            <w:tcW w:w="1175" w:type="dxa"/>
            <w:tcBorders>
              <w:left w:val="single" w:color="auto" w:sz="4" w:space="0"/>
            </w:tcBorders>
            <w:noWrap/>
            <w:vAlign w:val="center"/>
          </w:tcPr>
          <w:p w14:paraId="39C5C37F">
            <w:pPr>
              <w:pStyle w:val="4"/>
              <w:pageBreakBefore w:val="0"/>
              <w:kinsoku/>
              <w:wordWrap/>
              <w:overflowPunct/>
              <w:topLinePunct w:val="0"/>
              <w:autoSpaceDE/>
              <w:autoSpaceDN/>
              <w:bidi w:val="0"/>
              <w:spacing w:line="240" w:lineRule="auto"/>
              <w:jc w:val="center"/>
              <w:textAlignment w:val="auto"/>
              <w:rPr>
                <w:rFonts w:hint="eastAsia" w:ascii="宋体" w:hAnsi="宋体" w:cs="宋体"/>
                <w:b w:val="0"/>
                <w:bCs w:val="0"/>
                <w:color w:val="auto"/>
                <w:kern w:val="0"/>
                <w:sz w:val="21"/>
                <w:szCs w:val="21"/>
              </w:rPr>
            </w:pPr>
            <w:r>
              <w:rPr>
                <w:rFonts w:hint="eastAsia" w:ascii="宋体" w:hAnsi="宋体" w:eastAsia="宋体" w:cs="宋体"/>
                <w:b w:val="0"/>
                <w:bCs w:val="0"/>
                <w:color w:val="auto"/>
                <w:spacing w:val="11"/>
                <w:kern w:val="0"/>
                <w:position w:val="0"/>
                <w:sz w:val="21"/>
                <w:szCs w:val="21"/>
                <w:lang w:val="en-US" w:eastAsia="zh-CN" w:bidi="ar"/>
              </w:rPr>
              <w:t>1台</w:t>
            </w:r>
          </w:p>
        </w:tc>
        <w:tc>
          <w:tcPr>
            <w:tcW w:w="718" w:type="dxa"/>
            <w:noWrap/>
            <w:vAlign w:val="center"/>
          </w:tcPr>
          <w:p w14:paraId="1A30EFA6">
            <w:pPr>
              <w:pageBreakBefore w:val="0"/>
              <w:kinsoku/>
              <w:wordWrap/>
              <w:overflowPunct/>
              <w:topLinePunct w:val="0"/>
              <w:autoSpaceDE/>
              <w:autoSpaceDN/>
              <w:bidi w:val="0"/>
              <w:adjustRightInd w:val="0"/>
              <w:snapToGrid w:val="0"/>
              <w:jc w:val="center"/>
              <w:textAlignment w:val="auto"/>
              <w:rPr>
                <w:rFonts w:hint="eastAsia" w:ascii="宋体" w:hAnsi="宋体" w:cs="宋体"/>
                <w:iCs/>
                <w:color w:val="auto"/>
                <w:szCs w:val="21"/>
              </w:rPr>
            </w:pPr>
            <w:r>
              <w:rPr>
                <w:rFonts w:hint="eastAsia" w:ascii="宋体" w:hAnsi="宋体" w:cs="宋体"/>
                <w:iCs/>
                <w:color w:val="auto"/>
                <w:szCs w:val="21"/>
                <w:lang w:val="en-US" w:eastAsia="zh-CN"/>
              </w:rPr>
              <w:t>/</w:t>
            </w:r>
          </w:p>
        </w:tc>
      </w:tr>
      <w:tr w14:paraId="4DF6D5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94" w:hRule="atLeast"/>
          <w:jc w:val="center"/>
        </w:trPr>
        <w:tc>
          <w:tcPr>
            <w:tcW w:w="902" w:type="dxa"/>
            <w:noWrap/>
            <w:vAlign w:val="center"/>
          </w:tcPr>
          <w:p w14:paraId="12613635">
            <w:pPr>
              <w:pageBreakBefore w:val="0"/>
              <w:kinsoku/>
              <w:wordWrap/>
              <w:overflowPunct/>
              <w:topLinePunct w:val="0"/>
              <w:autoSpaceDE/>
              <w:autoSpaceDN/>
              <w:bidi w:val="0"/>
              <w:adjustRightInd w:val="0"/>
              <w:snapToGrid w:val="0"/>
              <w:jc w:val="center"/>
              <w:textAlignment w:val="auto"/>
              <w:rPr>
                <w:rFonts w:hint="default" w:ascii="宋体" w:hAnsi="宋体" w:cs="宋体"/>
                <w:color w:val="auto"/>
                <w:szCs w:val="21"/>
                <w:lang w:val="en-US" w:eastAsia="zh-CN"/>
              </w:rPr>
            </w:pPr>
            <w:r>
              <w:rPr>
                <w:rFonts w:hint="eastAsia" w:ascii="宋体" w:hAnsi="宋体" w:cs="宋体"/>
                <w:color w:val="auto"/>
                <w:szCs w:val="21"/>
                <w:lang w:val="en-US" w:eastAsia="zh-CN"/>
              </w:rPr>
              <w:t>9</w:t>
            </w:r>
          </w:p>
        </w:tc>
        <w:tc>
          <w:tcPr>
            <w:tcW w:w="3343" w:type="dxa"/>
            <w:noWrap/>
            <w:vAlign w:val="center"/>
          </w:tcPr>
          <w:p w14:paraId="003ACFA6">
            <w:pPr>
              <w:keepNext w:val="0"/>
              <w:keepLines w:val="0"/>
              <w:pageBreakBefore w:val="0"/>
              <w:widowControl/>
              <w:suppressLineNumbers w:val="0"/>
              <w:kinsoku/>
              <w:wordWrap/>
              <w:overflowPunct/>
              <w:topLinePunct w:val="0"/>
              <w:autoSpaceDE/>
              <w:autoSpaceDN/>
              <w:bidi w:val="0"/>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spacing w:val="11"/>
                <w:kern w:val="0"/>
                <w:position w:val="0"/>
                <w:sz w:val="21"/>
                <w:szCs w:val="21"/>
                <w:lang w:val="en-US" w:eastAsia="zh-CN" w:bidi="ar"/>
              </w:rPr>
              <w:t>空气消毒机</w:t>
            </w:r>
          </w:p>
        </w:tc>
        <w:tc>
          <w:tcPr>
            <w:tcW w:w="2440" w:type="dxa"/>
            <w:tcBorders>
              <w:left w:val="single" w:color="auto" w:sz="4" w:space="0"/>
            </w:tcBorders>
            <w:noWrap/>
            <w:vAlign w:val="center"/>
          </w:tcPr>
          <w:p w14:paraId="1E7B38FC">
            <w:pPr>
              <w:keepNext w:val="0"/>
              <w:keepLines w:val="0"/>
              <w:pageBreakBefore w:val="0"/>
              <w:widowControl/>
              <w:suppressLineNumbers w:val="0"/>
              <w:kinsoku/>
              <w:wordWrap/>
              <w:overflowPunct/>
              <w:topLinePunct w:val="0"/>
              <w:autoSpaceDE/>
              <w:autoSpaceDN/>
              <w:bidi w:val="0"/>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spacing w:val="11"/>
                <w:kern w:val="0"/>
                <w:position w:val="0"/>
                <w:sz w:val="21"/>
                <w:szCs w:val="21"/>
                <w:lang w:val="en-US" w:eastAsia="zh-CN" w:bidi="ar"/>
              </w:rPr>
              <w:t>详见第二节 技术要求</w:t>
            </w:r>
          </w:p>
        </w:tc>
        <w:tc>
          <w:tcPr>
            <w:tcW w:w="1175" w:type="dxa"/>
            <w:tcBorders>
              <w:left w:val="single" w:color="auto" w:sz="4" w:space="0"/>
            </w:tcBorders>
            <w:noWrap/>
            <w:vAlign w:val="center"/>
          </w:tcPr>
          <w:p w14:paraId="447AF77B">
            <w:pPr>
              <w:pStyle w:val="4"/>
              <w:pageBreakBefore w:val="0"/>
              <w:kinsoku/>
              <w:wordWrap/>
              <w:overflowPunct/>
              <w:topLinePunct w:val="0"/>
              <w:autoSpaceDE/>
              <w:autoSpaceDN/>
              <w:bidi w:val="0"/>
              <w:spacing w:line="240" w:lineRule="auto"/>
              <w:jc w:val="center"/>
              <w:textAlignment w:val="auto"/>
              <w:rPr>
                <w:rFonts w:hint="eastAsia" w:ascii="宋体" w:hAnsi="宋体" w:eastAsia="宋体" w:cs="宋体"/>
                <w:b w:val="0"/>
                <w:bCs w:val="0"/>
                <w:color w:val="auto"/>
                <w:spacing w:val="11"/>
                <w:kern w:val="0"/>
                <w:position w:val="0"/>
                <w:sz w:val="21"/>
                <w:szCs w:val="21"/>
                <w:lang w:val="en-US" w:eastAsia="zh-CN" w:bidi="ar"/>
              </w:rPr>
            </w:pPr>
            <w:r>
              <w:rPr>
                <w:rFonts w:hint="eastAsia" w:ascii="宋体" w:hAnsi="宋体" w:eastAsia="宋体" w:cs="宋体"/>
                <w:b w:val="0"/>
                <w:bCs w:val="0"/>
                <w:color w:val="auto"/>
                <w:spacing w:val="11"/>
                <w:kern w:val="0"/>
                <w:position w:val="0"/>
                <w:sz w:val="21"/>
                <w:szCs w:val="21"/>
                <w:highlight w:val="none"/>
                <w:lang w:val="en-US" w:eastAsia="zh-CN" w:bidi="ar"/>
              </w:rPr>
              <w:t>2台</w:t>
            </w:r>
          </w:p>
        </w:tc>
        <w:tc>
          <w:tcPr>
            <w:tcW w:w="718" w:type="dxa"/>
            <w:noWrap/>
            <w:vAlign w:val="center"/>
          </w:tcPr>
          <w:p w14:paraId="11E846F9">
            <w:pPr>
              <w:pageBreakBefore w:val="0"/>
              <w:kinsoku/>
              <w:wordWrap/>
              <w:overflowPunct/>
              <w:topLinePunct w:val="0"/>
              <w:autoSpaceDE/>
              <w:autoSpaceDN/>
              <w:bidi w:val="0"/>
              <w:adjustRightInd w:val="0"/>
              <w:snapToGrid w:val="0"/>
              <w:jc w:val="center"/>
              <w:textAlignment w:val="auto"/>
              <w:rPr>
                <w:rFonts w:hint="eastAsia" w:ascii="宋体" w:hAnsi="宋体" w:cs="宋体"/>
                <w:iCs/>
                <w:color w:val="auto"/>
                <w:szCs w:val="21"/>
              </w:rPr>
            </w:pPr>
            <w:r>
              <w:rPr>
                <w:rFonts w:hint="eastAsia" w:ascii="宋体" w:hAnsi="宋体" w:cs="宋体"/>
                <w:iCs/>
                <w:color w:val="auto"/>
                <w:szCs w:val="21"/>
                <w:lang w:val="en-US" w:eastAsia="zh-CN"/>
              </w:rPr>
              <w:t>/</w:t>
            </w:r>
          </w:p>
        </w:tc>
      </w:tr>
    </w:tbl>
    <w:p w14:paraId="7B7B1C10">
      <w:pPr>
        <w:adjustRightInd w:val="0"/>
        <w:snapToGrid w:val="0"/>
        <w:spacing w:before="120" w:beforeLines="50" w:line="360" w:lineRule="auto"/>
        <w:rPr>
          <w:rFonts w:hint="eastAsia" w:ascii="宋体" w:hAnsi="宋体"/>
          <w:color w:val="auto"/>
          <w:szCs w:val="21"/>
        </w:rPr>
      </w:pPr>
    </w:p>
    <w:p w14:paraId="32382D3E">
      <w:pPr>
        <w:adjustRightInd w:val="0"/>
        <w:snapToGrid w:val="0"/>
        <w:spacing w:before="120" w:beforeLines="50"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注:(1)投标人须对以上内容同时进行投标，不得拆分，否则其投标将被否决。</w:t>
      </w:r>
    </w:p>
    <w:p w14:paraId="5D829CE6">
      <w:pPr>
        <w:adjustRightInd w:val="0"/>
        <w:snapToGrid w:val="0"/>
        <w:spacing w:before="120" w:beforeLines="50" w:line="360" w:lineRule="auto"/>
        <w:ind w:firstLine="630" w:firstLineChars="300"/>
        <w:rPr>
          <w:rFonts w:hint="eastAsia" w:ascii="宋体" w:hAnsi="宋体" w:eastAsia="宋体" w:cs="Times New Roman"/>
          <w:color w:val="auto"/>
          <w:szCs w:val="21"/>
        </w:rPr>
      </w:pPr>
      <w:r>
        <w:rPr>
          <w:rFonts w:hint="eastAsia" w:ascii="宋体" w:hAnsi="宋体" w:eastAsia="宋体" w:cs="Times New Roman"/>
          <w:color w:val="auto"/>
          <w:szCs w:val="21"/>
        </w:rPr>
        <w:t>(2)各投标人投标报价不得超过招标文件中规定的最高限价，否则其投标将被否决。</w:t>
      </w:r>
    </w:p>
    <w:p w14:paraId="21ED31F0">
      <w:pPr>
        <w:adjustRightInd w:val="0"/>
        <w:snapToGrid w:val="0"/>
        <w:spacing w:before="120" w:beforeLines="50" w:line="360" w:lineRule="auto"/>
        <w:ind w:firstLine="630" w:firstLineChars="300"/>
        <w:rPr>
          <w:rFonts w:hint="eastAsia" w:ascii="宋体" w:hAnsi="宋体" w:eastAsia="宋体" w:cs="Times New Roman"/>
          <w:color w:val="auto"/>
          <w:szCs w:val="21"/>
        </w:rPr>
      </w:pPr>
      <w:r>
        <w:rPr>
          <w:rFonts w:hint="eastAsia" w:ascii="宋体" w:hAnsi="宋体" w:eastAsia="宋体" w:cs="Times New Roman"/>
          <w:color w:val="auto"/>
          <w:szCs w:val="21"/>
        </w:rPr>
        <w:t>(3)各投标人所投核心产品的制造商如为同一品牌，则按一家投标人计算，按一家计算后本项目投标人不足三家的，作废标处理。</w:t>
      </w:r>
    </w:p>
    <w:p w14:paraId="45D3053C">
      <w:pPr>
        <w:pStyle w:val="2"/>
        <w:rPr>
          <w:rFonts w:hint="eastAsia" w:ascii="宋体" w:hAnsi="宋体"/>
          <w:color w:val="auto"/>
          <w:szCs w:val="21"/>
        </w:rPr>
      </w:pPr>
    </w:p>
    <w:p w14:paraId="4E179DE4">
      <w:pPr>
        <w:pStyle w:val="2"/>
        <w:rPr>
          <w:rFonts w:hint="eastAsia" w:ascii="宋体" w:hAnsi="宋体"/>
          <w:color w:val="auto"/>
          <w:szCs w:val="21"/>
        </w:rPr>
      </w:pPr>
    </w:p>
    <w:p w14:paraId="396D8256">
      <w:pPr>
        <w:pStyle w:val="7"/>
        <w:ind w:firstLine="480"/>
        <w:rPr>
          <w:rFonts w:ascii="宋体" w:hAnsi="宋体" w:cs="宋体"/>
          <w:color w:val="auto"/>
          <w:kern w:val="0"/>
        </w:rPr>
      </w:pPr>
    </w:p>
    <w:p w14:paraId="509CEADF">
      <w:pPr>
        <w:pStyle w:val="7"/>
        <w:ind w:firstLine="480"/>
        <w:rPr>
          <w:rFonts w:ascii="宋体" w:hAnsi="宋体" w:cs="宋体"/>
          <w:color w:val="auto"/>
          <w:kern w:val="0"/>
        </w:rPr>
      </w:pPr>
    </w:p>
    <w:p w14:paraId="493E367F">
      <w:pPr>
        <w:pStyle w:val="7"/>
        <w:ind w:firstLine="480"/>
        <w:rPr>
          <w:rFonts w:hint="eastAsia" w:ascii="宋体" w:hAnsi="宋体" w:cs="宋体"/>
          <w:color w:val="auto"/>
          <w:kern w:val="0"/>
        </w:rPr>
      </w:pPr>
      <w:bookmarkStart w:id="1" w:name="_Toc13301"/>
    </w:p>
    <w:p w14:paraId="28F4C7EF">
      <w:pPr>
        <w:pStyle w:val="7"/>
        <w:ind w:firstLine="480"/>
        <w:rPr>
          <w:rFonts w:hint="eastAsia" w:ascii="宋体" w:hAnsi="宋体" w:cs="宋体"/>
          <w:color w:val="auto"/>
          <w:kern w:val="0"/>
        </w:rPr>
      </w:pPr>
    </w:p>
    <w:p w14:paraId="510C468C">
      <w:pPr>
        <w:pStyle w:val="7"/>
        <w:ind w:firstLine="480"/>
        <w:rPr>
          <w:rFonts w:hint="eastAsia" w:ascii="宋体" w:hAnsi="宋体" w:cs="宋体"/>
          <w:color w:val="auto"/>
          <w:kern w:val="0"/>
        </w:rPr>
      </w:pPr>
    </w:p>
    <w:p w14:paraId="1EF8CF10">
      <w:pPr>
        <w:pStyle w:val="7"/>
        <w:ind w:firstLine="480"/>
        <w:rPr>
          <w:rFonts w:hint="eastAsia" w:ascii="宋体" w:hAnsi="宋体" w:cs="宋体"/>
          <w:color w:val="auto"/>
          <w:kern w:val="0"/>
        </w:rPr>
      </w:pPr>
    </w:p>
    <w:p w14:paraId="7C373177">
      <w:pPr>
        <w:pStyle w:val="7"/>
        <w:ind w:firstLine="480"/>
        <w:rPr>
          <w:rFonts w:hint="eastAsia" w:ascii="宋体" w:hAnsi="宋体" w:cs="宋体"/>
          <w:color w:val="auto"/>
          <w:kern w:val="0"/>
        </w:rPr>
      </w:pPr>
    </w:p>
    <w:p w14:paraId="3B365CB6">
      <w:pPr>
        <w:pStyle w:val="7"/>
        <w:ind w:firstLine="480"/>
        <w:rPr>
          <w:rFonts w:hint="eastAsia" w:ascii="宋体" w:hAnsi="宋体" w:cs="宋体"/>
          <w:color w:val="auto"/>
          <w:kern w:val="0"/>
        </w:rPr>
      </w:pPr>
    </w:p>
    <w:p w14:paraId="4202C8B7">
      <w:pPr>
        <w:pStyle w:val="4"/>
        <w:adjustRightInd w:val="0"/>
        <w:snapToGrid w:val="0"/>
        <w:spacing w:before="120" w:beforeLines="50"/>
        <w:jc w:val="center"/>
        <w:rPr>
          <w:rFonts w:hint="eastAsia" w:ascii="宋体" w:hAnsi="宋体"/>
          <w:b w:val="0"/>
          <w:bCs w:val="0"/>
          <w:color w:val="auto"/>
          <w:szCs w:val="21"/>
        </w:rPr>
      </w:pPr>
      <w:r>
        <w:rPr>
          <w:rFonts w:hint="eastAsia" w:ascii="黑体" w:hAnsi="黑体" w:eastAsia="黑体"/>
          <w:color w:val="auto"/>
          <w:sz w:val="28"/>
          <w:szCs w:val="28"/>
        </w:rPr>
        <w:t xml:space="preserve">第二节 </w:t>
      </w:r>
      <w:r>
        <w:rPr>
          <w:rFonts w:ascii="黑体" w:hAnsi="黑体" w:eastAsia="黑体"/>
          <w:color w:val="auto"/>
          <w:sz w:val="28"/>
          <w:szCs w:val="28"/>
        </w:rPr>
        <w:t>技术要</w:t>
      </w:r>
      <w:bookmarkEnd w:id="1"/>
      <w:r>
        <w:rPr>
          <w:rFonts w:ascii="黑体" w:hAnsi="黑体" w:eastAsia="黑体"/>
          <w:color w:val="auto"/>
          <w:sz w:val="28"/>
          <w:szCs w:val="28"/>
        </w:rPr>
        <w:t>求</w:t>
      </w:r>
      <w:bookmarkStart w:id="2" w:name="_Toc119401544"/>
      <w:bookmarkStart w:id="3" w:name="_Toc430953303"/>
    </w:p>
    <w:p w14:paraId="4168939B">
      <w:pPr>
        <w:spacing w:line="360" w:lineRule="auto"/>
        <w:rPr>
          <w:rFonts w:hint="eastAsia"/>
          <w:b/>
          <w:bCs/>
          <w:color w:val="auto"/>
        </w:rPr>
      </w:pPr>
      <w:r>
        <w:rPr>
          <w:rFonts w:hint="eastAsia" w:ascii="宋体" w:hAnsi="宋体"/>
          <w:b/>
          <w:bCs/>
          <w:color w:val="auto"/>
          <w:szCs w:val="21"/>
        </w:rPr>
        <w:t>一、</w:t>
      </w:r>
      <w:bookmarkEnd w:id="2"/>
      <w:bookmarkEnd w:id="3"/>
      <w:r>
        <w:rPr>
          <w:rFonts w:hint="eastAsia"/>
          <w:b/>
          <w:bCs/>
          <w:color w:val="auto"/>
        </w:rPr>
        <w:t>采购清单及技术参数要求</w:t>
      </w:r>
    </w:p>
    <w:p w14:paraId="104533BD">
      <w:pPr>
        <w:keepNext w:val="0"/>
        <w:keepLines w:val="0"/>
        <w:pageBreakBefore w:val="0"/>
        <w:widowControl/>
        <w:kinsoku/>
        <w:wordWrap/>
        <w:overflowPunct/>
        <w:topLinePunct w:val="0"/>
        <w:autoSpaceDE/>
        <w:autoSpaceDN/>
        <w:bidi w:val="0"/>
        <w:adjustRightInd/>
        <w:snapToGrid/>
        <w:spacing w:line="430" w:lineRule="exact"/>
        <w:jc w:val="left"/>
        <w:textAlignment w:val="auto"/>
        <w:rPr>
          <w:rFonts w:hint="eastAsia"/>
          <w:color w:val="auto"/>
          <w:lang w:val="en-US" w:eastAsia="zh-CN"/>
        </w:rPr>
      </w:pPr>
      <w:bookmarkStart w:id="4" w:name="_Toc3995"/>
      <w:r>
        <w:rPr>
          <w:rFonts w:hint="eastAsia" w:ascii="宋体" w:hAnsi="宋体" w:eastAsia="宋体" w:cs="宋体"/>
          <w:b w:val="0"/>
          <w:bCs w:val="0"/>
          <w:color w:val="auto"/>
          <w:sz w:val="21"/>
          <w:szCs w:val="21"/>
        </w:rPr>
        <w:t>总体要求</w:t>
      </w:r>
      <w:r>
        <w:rPr>
          <w:rFonts w:hint="eastAsia" w:ascii="宋体" w:hAnsi="宋体" w:eastAsia="宋体" w:cs="宋体"/>
          <w:b w:val="0"/>
          <w:bCs w:val="0"/>
          <w:color w:val="auto"/>
          <w:sz w:val="21"/>
          <w:szCs w:val="21"/>
          <w:lang w:val="en-US" w:eastAsia="zh-CN"/>
        </w:rPr>
        <w:t>:</w:t>
      </w:r>
    </w:p>
    <w:tbl>
      <w:tblPr>
        <w:tblStyle w:val="5"/>
        <w:tblW w:w="80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046"/>
        <w:gridCol w:w="5967"/>
      </w:tblGrid>
      <w:tr w14:paraId="1F9B7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2046" w:type="dxa"/>
            <w:tcBorders>
              <w:tl2br w:val="nil"/>
              <w:tr2bl w:val="nil"/>
            </w:tcBorders>
            <w:noWrap w:val="0"/>
            <w:tcMar>
              <w:top w:w="150" w:type="dxa"/>
              <w:left w:w="0" w:type="dxa"/>
              <w:bottom w:w="150" w:type="dxa"/>
              <w:right w:w="240" w:type="dxa"/>
            </w:tcMar>
            <w:vAlign w:val="center"/>
          </w:tcPr>
          <w:p w14:paraId="6DF6F5C4">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序号</w:t>
            </w:r>
          </w:p>
        </w:tc>
        <w:tc>
          <w:tcPr>
            <w:tcW w:w="5967" w:type="dxa"/>
            <w:tcBorders>
              <w:tl2br w:val="nil"/>
              <w:tr2bl w:val="nil"/>
            </w:tcBorders>
            <w:noWrap w:val="0"/>
            <w:tcMar>
              <w:top w:w="150" w:type="dxa"/>
              <w:left w:w="240" w:type="dxa"/>
              <w:bottom w:w="150" w:type="dxa"/>
              <w:right w:w="240" w:type="dxa"/>
            </w:tcMar>
            <w:vAlign w:val="center"/>
          </w:tcPr>
          <w:p w14:paraId="387F29F6">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技术规格内容</w:t>
            </w:r>
          </w:p>
        </w:tc>
      </w:tr>
      <w:tr w14:paraId="28EE7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2A3BB096">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一、设备名称</w:t>
            </w:r>
          </w:p>
        </w:tc>
        <w:tc>
          <w:tcPr>
            <w:tcW w:w="5967" w:type="dxa"/>
            <w:tcBorders>
              <w:tl2br w:val="nil"/>
              <w:tr2bl w:val="nil"/>
            </w:tcBorders>
            <w:noWrap w:val="0"/>
            <w:tcMar>
              <w:top w:w="150" w:type="dxa"/>
              <w:left w:w="240" w:type="dxa"/>
              <w:bottom w:w="150" w:type="dxa"/>
              <w:right w:w="0" w:type="dxa"/>
            </w:tcMar>
            <w:vAlign w:val="center"/>
          </w:tcPr>
          <w:p w14:paraId="65DDE7FF">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数字减影血管造影系统（DSA）</w:t>
            </w:r>
          </w:p>
        </w:tc>
      </w:tr>
      <w:tr w14:paraId="59569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678CFDCD">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二、数量</w:t>
            </w:r>
          </w:p>
        </w:tc>
        <w:tc>
          <w:tcPr>
            <w:tcW w:w="5967" w:type="dxa"/>
            <w:tcBorders>
              <w:tl2br w:val="nil"/>
              <w:tr2bl w:val="nil"/>
            </w:tcBorders>
            <w:noWrap w:val="0"/>
            <w:tcMar>
              <w:top w:w="150" w:type="dxa"/>
              <w:left w:w="240" w:type="dxa"/>
              <w:bottom w:w="150" w:type="dxa"/>
              <w:right w:w="0" w:type="dxa"/>
            </w:tcMar>
            <w:vAlign w:val="center"/>
          </w:tcPr>
          <w:p w14:paraId="7EB21A5D">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一套</w:t>
            </w:r>
          </w:p>
        </w:tc>
      </w:tr>
      <w:tr w14:paraId="11BB6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1980F7C8">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三、设备用途</w:t>
            </w:r>
          </w:p>
        </w:tc>
        <w:tc>
          <w:tcPr>
            <w:tcW w:w="5967" w:type="dxa"/>
            <w:tcBorders>
              <w:tl2br w:val="nil"/>
              <w:tr2bl w:val="nil"/>
            </w:tcBorders>
            <w:noWrap w:val="0"/>
            <w:tcMar>
              <w:top w:w="150" w:type="dxa"/>
              <w:left w:w="240" w:type="dxa"/>
              <w:bottom w:w="150" w:type="dxa"/>
              <w:right w:w="0" w:type="dxa"/>
            </w:tcMar>
            <w:vAlign w:val="center"/>
          </w:tcPr>
          <w:p w14:paraId="57F6B02B">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用于心、脑和外周血管疾病的诊断和治疗，可满足临床对血管造影和介入治疗的各种要求。能进行胸部、四肢、神经血管造影，具有血管的实时减影。具备高清成像、低剂量辐射、智能后处理等功能。</w:t>
            </w:r>
          </w:p>
        </w:tc>
      </w:tr>
      <w:tr w14:paraId="76BDC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17" w:hRule="atLeast"/>
        </w:trPr>
        <w:tc>
          <w:tcPr>
            <w:tcW w:w="2046" w:type="dxa"/>
            <w:tcBorders>
              <w:tl2br w:val="nil"/>
              <w:tr2bl w:val="nil"/>
            </w:tcBorders>
            <w:noWrap w:val="0"/>
            <w:tcMar>
              <w:top w:w="150" w:type="dxa"/>
              <w:left w:w="0" w:type="dxa"/>
              <w:bottom w:w="150" w:type="dxa"/>
              <w:right w:w="240" w:type="dxa"/>
            </w:tcMar>
            <w:vAlign w:val="center"/>
          </w:tcPr>
          <w:p w14:paraId="60D13470">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四、要求</w:t>
            </w:r>
          </w:p>
        </w:tc>
        <w:tc>
          <w:tcPr>
            <w:tcW w:w="5967" w:type="dxa"/>
            <w:tcBorders>
              <w:tl2br w:val="nil"/>
              <w:tr2bl w:val="nil"/>
            </w:tcBorders>
            <w:noWrap w:val="0"/>
            <w:tcMar>
              <w:top w:w="150" w:type="dxa"/>
              <w:left w:w="240" w:type="dxa"/>
              <w:bottom w:w="150" w:type="dxa"/>
              <w:right w:w="0" w:type="dxa"/>
            </w:tcMar>
            <w:vAlign w:val="center"/>
          </w:tcPr>
          <w:p w14:paraId="50DF92AA">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投标设备必须是原厂全新在售高阶机型，提供相应NMPA（原CFDA）认证文件。</w:t>
            </w:r>
          </w:p>
        </w:tc>
      </w:tr>
      <w:tr w14:paraId="6738C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04DAD058">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五、技术参数要求</w:t>
            </w:r>
          </w:p>
        </w:tc>
        <w:tc>
          <w:tcPr>
            <w:tcW w:w="5967" w:type="dxa"/>
            <w:tcBorders>
              <w:tl2br w:val="nil"/>
              <w:tr2bl w:val="nil"/>
            </w:tcBorders>
            <w:noWrap w:val="0"/>
            <w:tcMar>
              <w:top w:w="150" w:type="dxa"/>
              <w:left w:w="240" w:type="dxa"/>
              <w:bottom w:w="150" w:type="dxa"/>
              <w:right w:w="0" w:type="dxa"/>
            </w:tcMar>
            <w:vAlign w:val="center"/>
          </w:tcPr>
          <w:p w14:paraId="6A5093CB">
            <w:pPr>
              <w:rPr>
                <w:rFonts w:hint="eastAsia" w:ascii="宋体" w:hAnsi="宋体" w:eastAsia="宋体" w:cs="宋体"/>
                <w:b w:val="0"/>
                <w:bCs w:val="0"/>
                <w:color w:val="auto"/>
                <w:sz w:val="21"/>
                <w:szCs w:val="21"/>
              </w:rPr>
            </w:pPr>
          </w:p>
        </w:tc>
      </w:tr>
      <w:tr w14:paraId="6DB29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013" w:type="dxa"/>
            <w:gridSpan w:val="2"/>
            <w:tcBorders>
              <w:tl2br w:val="nil"/>
              <w:tr2bl w:val="nil"/>
            </w:tcBorders>
            <w:noWrap w:val="0"/>
            <w:tcMar>
              <w:top w:w="150" w:type="dxa"/>
              <w:left w:w="0" w:type="dxa"/>
              <w:bottom w:w="150" w:type="dxa"/>
              <w:right w:w="240" w:type="dxa"/>
            </w:tcMar>
            <w:vAlign w:val="center"/>
          </w:tcPr>
          <w:p w14:paraId="309D44EE">
            <w:pPr>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数字减影血管造影系统（DSA）</w:t>
            </w:r>
          </w:p>
        </w:tc>
      </w:tr>
      <w:tr w14:paraId="5C2CD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1DB7DD52">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 机架系统</w:t>
            </w:r>
          </w:p>
        </w:tc>
        <w:tc>
          <w:tcPr>
            <w:tcW w:w="5967" w:type="dxa"/>
            <w:tcBorders>
              <w:tl2br w:val="nil"/>
              <w:tr2bl w:val="nil"/>
            </w:tcBorders>
            <w:noWrap w:val="0"/>
            <w:tcMar>
              <w:top w:w="150" w:type="dxa"/>
              <w:left w:w="240" w:type="dxa"/>
              <w:bottom w:w="150" w:type="dxa"/>
              <w:right w:w="0" w:type="dxa"/>
            </w:tcMar>
            <w:vAlign w:val="center"/>
          </w:tcPr>
          <w:p w14:paraId="2D177567">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满足心、脑、周围血管的造影和介入治疗需要</w:t>
            </w:r>
          </w:p>
        </w:tc>
      </w:tr>
      <w:tr w14:paraId="0D679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3039F8B8">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1.1</w:t>
            </w:r>
          </w:p>
        </w:tc>
        <w:tc>
          <w:tcPr>
            <w:tcW w:w="5967" w:type="dxa"/>
            <w:tcBorders>
              <w:tl2br w:val="nil"/>
              <w:tr2bl w:val="nil"/>
            </w:tcBorders>
            <w:noWrap w:val="0"/>
            <w:tcMar>
              <w:top w:w="150" w:type="dxa"/>
              <w:left w:w="240" w:type="dxa"/>
              <w:bottom w:w="150" w:type="dxa"/>
              <w:right w:w="0" w:type="dxa"/>
            </w:tcMar>
            <w:vAlign w:val="center"/>
          </w:tcPr>
          <w:p w14:paraId="23E02710">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多轴式机架，能覆盖全身</w:t>
            </w:r>
          </w:p>
        </w:tc>
      </w:tr>
      <w:tr w14:paraId="125FE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755654D4">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1.2</w:t>
            </w:r>
          </w:p>
        </w:tc>
        <w:tc>
          <w:tcPr>
            <w:tcW w:w="5967" w:type="dxa"/>
            <w:tcBorders>
              <w:tl2br w:val="nil"/>
              <w:tr2bl w:val="nil"/>
            </w:tcBorders>
            <w:noWrap w:val="0"/>
            <w:tcMar>
              <w:top w:w="150" w:type="dxa"/>
              <w:left w:w="240" w:type="dxa"/>
              <w:bottom w:w="150" w:type="dxa"/>
              <w:right w:w="0" w:type="dxa"/>
            </w:tcMar>
            <w:vAlign w:val="center"/>
          </w:tcPr>
          <w:p w14:paraId="0E0CDA9C">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机架可进行等中心旋转</w:t>
            </w:r>
          </w:p>
        </w:tc>
      </w:tr>
      <w:tr w14:paraId="45F37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7D6FA1F9">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1.3</w:t>
            </w:r>
          </w:p>
        </w:tc>
        <w:tc>
          <w:tcPr>
            <w:tcW w:w="5967" w:type="dxa"/>
            <w:tcBorders>
              <w:tl2br w:val="nil"/>
              <w:tr2bl w:val="nil"/>
            </w:tcBorders>
            <w:noWrap w:val="0"/>
            <w:tcMar>
              <w:top w:w="150" w:type="dxa"/>
              <w:left w:w="240" w:type="dxa"/>
              <w:bottom w:w="150" w:type="dxa"/>
              <w:right w:w="0" w:type="dxa"/>
            </w:tcMar>
            <w:vAlign w:val="center"/>
          </w:tcPr>
          <w:p w14:paraId="276EECEB">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机架运动包括电动和手动两种方式</w:t>
            </w:r>
          </w:p>
        </w:tc>
      </w:tr>
      <w:tr w14:paraId="16737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22DABDFA">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1.4</w:t>
            </w:r>
          </w:p>
        </w:tc>
        <w:tc>
          <w:tcPr>
            <w:tcW w:w="5967" w:type="dxa"/>
            <w:tcBorders>
              <w:tl2br w:val="nil"/>
              <w:tr2bl w:val="nil"/>
            </w:tcBorders>
            <w:noWrap w:val="0"/>
            <w:tcMar>
              <w:top w:w="150" w:type="dxa"/>
              <w:left w:w="240" w:type="dxa"/>
              <w:bottom w:w="150" w:type="dxa"/>
              <w:right w:w="0" w:type="dxa"/>
            </w:tcMar>
            <w:vAlign w:val="center"/>
          </w:tcPr>
          <w:p w14:paraId="776DCF12">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C型臂旋转速度（LAO/RAO，非旋转采集模式）≥25°/s</w:t>
            </w:r>
          </w:p>
        </w:tc>
      </w:tr>
      <w:tr w14:paraId="1F627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6C76C5C7">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1.5</w:t>
            </w:r>
          </w:p>
        </w:tc>
        <w:tc>
          <w:tcPr>
            <w:tcW w:w="5967" w:type="dxa"/>
            <w:tcBorders>
              <w:tl2br w:val="nil"/>
              <w:tr2bl w:val="nil"/>
            </w:tcBorders>
            <w:noWrap w:val="0"/>
            <w:tcMar>
              <w:top w:w="150" w:type="dxa"/>
              <w:left w:w="240" w:type="dxa"/>
              <w:bottom w:w="150" w:type="dxa"/>
              <w:right w:w="0" w:type="dxa"/>
            </w:tcMar>
            <w:vAlign w:val="center"/>
          </w:tcPr>
          <w:p w14:paraId="5E75FD5C">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C型臂环内滑动速度（CRAN/CAU，非旋转采集模式）≥25°/s</w:t>
            </w:r>
          </w:p>
        </w:tc>
      </w:tr>
      <w:tr w14:paraId="667BF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6CC6BB2F">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1.6</w:t>
            </w:r>
          </w:p>
        </w:tc>
        <w:tc>
          <w:tcPr>
            <w:tcW w:w="5967" w:type="dxa"/>
            <w:tcBorders>
              <w:tl2br w:val="nil"/>
              <w:tr2bl w:val="nil"/>
            </w:tcBorders>
            <w:noWrap w:val="0"/>
            <w:tcMar>
              <w:top w:w="150" w:type="dxa"/>
              <w:left w:w="240" w:type="dxa"/>
              <w:bottom w:w="150" w:type="dxa"/>
              <w:right w:w="0" w:type="dxa"/>
            </w:tcMar>
            <w:vAlign w:val="center"/>
          </w:tcPr>
          <w:p w14:paraId="64B2765C">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CRA（头位）角度≥80°</w:t>
            </w:r>
          </w:p>
        </w:tc>
      </w:tr>
      <w:tr w14:paraId="603C7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77B11B63">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1.7</w:t>
            </w:r>
          </w:p>
        </w:tc>
        <w:tc>
          <w:tcPr>
            <w:tcW w:w="5967" w:type="dxa"/>
            <w:tcBorders>
              <w:tl2br w:val="nil"/>
              <w:tr2bl w:val="nil"/>
            </w:tcBorders>
            <w:noWrap w:val="0"/>
            <w:tcMar>
              <w:top w:w="150" w:type="dxa"/>
              <w:left w:w="240" w:type="dxa"/>
              <w:bottom w:w="150" w:type="dxa"/>
              <w:right w:w="0" w:type="dxa"/>
            </w:tcMar>
            <w:vAlign w:val="center"/>
          </w:tcPr>
          <w:p w14:paraId="7C9BE995">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CAU（足位）角度≥80°</w:t>
            </w:r>
          </w:p>
        </w:tc>
      </w:tr>
      <w:tr w14:paraId="78991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3FC081F0">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▲1.8</w:t>
            </w:r>
          </w:p>
        </w:tc>
        <w:tc>
          <w:tcPr>
            <w:tcW w:w="5967" w:type="dxa"/>
            <w:tcBorders>
              <w:tl2br w:val="nil"/>
              <w:tr2bl w:val="nil"/>
            </w:tcBorders>
            <w:noWrap w:val="0"/>
            <w:tcMar>
              <w:top w:w="150" w:type="dxa"/>
              <w:left w:w="240" w:type="dxa"/>
              <w:bottom w:w="150" w:type="dxa"/>
              <w:right w:w="0" w:type="dxa"/>
            </w:tcMar>
            <w:vAlign w:val="center"/>
          </w:tcPr>
          <w:p w14:paraId="1A734BA8">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RAO（右前斜）角度≥185°</w:t>
            </w:r>
          </w:p>
        </w:tc>
      </w:tr>
      <w:tr w14:paraId="0A1AC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37A69AE9">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1.9</w:t>
            </w:r>
          </w:p>
        </w:tc>
        <w:tc>
          <w:tcPr>
            <w:tcW w:w="5967" w:type="dxa"/>
            <w:tcBorders>
              <w:tl2br w:val="nil"/>
              <w:tr2bl w:val="nil"/>
            </w:tcBorders>
            <w:noWrap w:val="0"/>
            <w:tcMar>
              <w:top w:w="150" w:type="dxa"/>
              <w:left w:w="240" w:type="dxa"/>
              <w:bottom w:w="150" w:type="dxa"/>
              <w:right w:w="0" w:type="dxa"/>
            </w:tcMar>
            <w:vAlign w:val="center"/>
          </w:tcPr>
          <w:p w14:paraId="4FBE4649">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LAO（左前斜）角度≥120°</w:t>
            </w:r>
          </w:p>
        </w:tc>
      </w:tr>
      <w:tr w14:paraId="1677C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24456C91">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1.10</w:t>
            </w:r>
          </w:p>
        </w:tc>
        <w:tc>
          <w:tcPr>
            <w:tcW w:w="5967" w:type="dxa"/>
            <w:tcBorders>
              <w:tl2br w:val="nil"/>
              <w:tr2bl w:val="nil"/>
            </w:tcBorders>
            <w:noWrap w:val="0"/>
            <w:tcMar>
              <w:top w:w="150" w:type="dxa"/>
              <w:left w:w="240" w:type="dxa"/>
              <w:bottom w:w="150" w:type="dxa"/>
              <w:right w:w="0" w:type="dxa"/>
            </w:tcMar>
            <w:vAlign w:val="center"/>
          </w:tcPr>
          <w:p w14:paraId="476F826B">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旋转采集角度范围≥200°</w:t>
            </w:r>
          </w:p>
        </w:tc>
      </w:tr>
      <w:tr w14:paraId="7D74B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5F641E99">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1.11</w:t>
            </w:r>
          </w:p>
        </w:tc>
        <w:tc>
          <w:tcPr>
            <w:tcW w:w="5967" w:type="dxa"/>
            <w:tcBorders>
              <w:tl2br w:val="nil"/>
              <w:tr2bl w:val="nil"/>
            </w:tcBorders>
            <w:noWrap w:val="0"/>
            <w:tcMar>
              <w:top w:w="150" w:type="dxa"/>
              <w:left w:w="240" w:type="dxa"/>
              <w:bottom w:w="150" w:type="dxa"/>
              <w:right w:w="0" w:type="dxa"/>
            </w:tcMar>
            <w:vAlign w:val="center"/>
          </w:tcPr>
          <w:p w14:paraId="0B24A19C">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C型臂弧深≥90cm（不含L臂补偿）</w:t>
            </w:r>
          </w:p>
        </w:tc>
      </w:tr>
      <w:tr w14:paraId="785DA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3D8576B4">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2. 导管床</w:t>
            </w:r>
          </w:p>
        </w:tc>
        <w:tc>
          <w:tcPr>
            <w:tcW w:w="5967" w:type="dxa"/>
            <w:tcBorders>
              <w:tl2br w:val="nil"/>
              <w:tr2bl w:val="nil"/>
            </w:tcBorders>
            <w:noWrap w:val="0"/>
            <w:tcMar>
              <w:top w:w="150" w:type="dxa"/>
              <w:left w:w="240" w:type="dxa"/>
              <w:bottom w:w="150" w:type="dxa"/>
              <w:right w:w="0" w:type="dxa"/>
            </w:tcMar>
            <w:vAlign w:val="center"/>
          </w:tcPr>
          <w:p w14:paraId="41C53475">
            <w:pPr>
              <w:rPr>
                <w:rFonts w:hint="eastAsia" w:ascii="宋体" w:hAnsi="宋体" w:eastAsia="宋体" w:cs="宋体"/>
                <w:b w:val="0"/>
                <w:bCs w:val="0"/>
                <w:color w:val="auto"/>
                <w:sz w:val="21"/>
                <w:szCs w:val="21"/>
              </w:rPr>
            </w:pPr>
          </w:p>
        </w:tc>
      </w:tr>
      <w:tr w14:paraId="45BD0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4C6FE036">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2.1</w:t>
            </w:r>
          </w:p>
        </w:tc>
        <w:tc>
          <w:tcPr>
            <w:tcW w:w="5967" w:type="dxa"/>
            <w:tcBorders>
              <w:tl2br w:val="nil"/>
              <w:tr2bl w:val="nil"/>
            </w:tcBorders>
            <w:noWrap w:val="0"/>
            <w:tcMar>
              <w:top w:w="150" w:type="dxa"/>
              <w:left w:w="240" w:type="dxa"/>
              <w:bottom w:w="150" w:type="dxa"/>
              <w:right w:w="0" w:type="dxa"/>
            </w:tcMar>
            <w:vAlign w:val="center"/>
          </w:tcPr>
          <w:p w14:paraId="566857F2">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满足全身检查、治疗的要求</w:t>
            </w:r>
          </w:p>
        </w:tc>
      </w:tr>
      <w:tr w14:paraId="2E951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5A80384F">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2.2</w:t>
            </w:r>
          </w:p>
        </w:tc>
        <w:tc>
          <w:tcPr>
            <w:tcW w:w="5967" w:type="dxa"/>
            <w:tcBorders>
              <w:tl2br w:val="nil"/>
              <w:tr2bl w:val="nil"/>
            </w:tcBorders>
            <w:noWrap w:val="0"/>
            <w:tcMar>
              <w:top w:w="150" w:type="dxa"/>
              <w:left w:w="240" w:type="dxa"/>
              <w:bottom w:w="150" w:type="dxa"/>
              <w:right w:w="0" w:type="dxa"/>
            </w:tcMar>
            <w:vAlign w:val="center"/>
          </w:tcPr>
          <w:p w14:paraId="1BE4192B">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床面为全碳纤维材料</w:t>
            </w:r>
          </w:p>
        </w:tc>
      </w:tr>
      <w:tr w14:paraId="35AA3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4C8A0AD8">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2.3</w:t>
            </w:r>
          </w:p>
        </w:tc>
        <w:tc>
          <w:tcPr>
            <w:tcW w:w="5967" w:type="dxa"/>
            <w:tcBorders>
              <w:tl2br w:val="nil"/>
              <w:tr2bl w:val="nil"/>
            </w:tcBorders>
            <w:noWrap w:val="0"/>
            <w:tcMar>
              <w:top w:w="150" w:type="dxa"/>
              <w:left w:w="240" w:type="dxa"/>
              <w:bottom w:w="150" w:type="dxa"/>
              <w:right w:w="0" w:type="dxa"/>
            </w:tcMar>
            <w:vAlign w:val="center"/>
          </w:tcPr>
          <w:p w14:paraId="707DE4C8">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纵向运动范围≥120cm</w:t>
            </w:r>
          </w:p>
        </w:tc>
      </w:tr>
      <w:tr w14:paraId="2F712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6967E4AF">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2.4</w:t>
            </w:r>
          </w:p>
        </w:tc>
        <w:tc>
          <w:tcPr>
            <w:tcW w:w="5967" w:type="dxa"/>
            <w:tcBorders>
              <w:tl2br w:val="nil"/>
              <w:tr2bl w:val="nil"/>
            </w:tcBorders>
            <w:noWrap w:val="0"/>
            <w:tcMar>
              <w:top w:w="150" w:type="dxa"/>
              <w:left w:w="240" w:type="dxa"/>
              <w:bottom w:w="150" w:type="dxa"/>
              <w:right w:w="0" w:type="dxa"/>
            </w:tcMar>
            <w:vAlign w:val="center"/>
          </w:tcPr>
          <w:p w14:paraId="14BE904B">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横向运动范围≥36cm</w:t>
            </w:r>
          </w:p>
        </w:tc>
      </w:tr>
      <w:tr w14:paraId="2753D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428A2448">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2.5</w:t>
            </w:r>
          </w:p>
        </w:tc>
        <w:tc>
          <w:tcPr>
            <w:tcW w:w="5967" w:type="dxa"/>
            <w:tcBorders>
              <w:tl2br w:val="nil"/>
              <w:tr2bl w:val="nil"/>
            </w:tcBorders>
            <w:noWrap w:val="0"/>
            <w:tcMar>
              <w:top w:w="150" w:type="dxa"/>
              <w:left w:w="240" w:type="dxa"/>
              <w:bottom w:w="150" w:type="dxa"/>
              <w:right w:w="0" w:type="dxa"/>
            </w:tcMar>
            <w:vAlign w:val="center"/>
          </w:tcPr>
          <w:p w14:paraId="6DC639A2">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床面升降范围≥28cm</w:t>
            </w:r>
          </w:p>
        </w:tc>
      </w:tr>
      <w:tr w14:paraId="679DF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3453859B">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2.6</w:t>
            </w:r>
          </w:p>
        </w:tc>
        <w:tc>
          <w:tcPr>
            <w:tcW w:w="5967" w:type="dxa"/>
            <w:tcBorders>
              <w:tl2br w:val="nil"/>
              <w:tr2bl w:val="nil"/>
            </w:tcBorders>
            <w:noWrap w:val="0"/>
            <w:tcMar>
              <w:top w:w="150" w:type="dxa"/>
              <w:left w:w="240" w:type="dxa"/>
              <w:bottom w:w="150" w:type="dxa"/>
              <w:right w:w="0" w:type="dxa"/>
            </w:tcMar>
            <w:vAlign w:val="center"/>
          </w:tcPr>
          <w:p w14:paraId="66C75C63">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床面最低高度≤81cm</w:t>
            </w:r>
          </w:p>
        </w:tc>
      </w:tr>
      <w:tr w14:paraId="22256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780BA905">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2.7</w:t>
            </w:r>
          </w:p>
        </w:tc>
        <w:tc>
          <w:tcPr>
            <w:tcW w:w="5967" w:type="dxa"/>
            <w:tcBorders>
              <w:tl2br w:val="nil"/>
              <w:tr2bl w:val="nil"/>
            </w:tcBorders>
            <w:noWrap w:val="0"/>
            <w:tcMar>
              <w:top w:w="150" w:type="dxa"/>
              <w:left w:w="240" w:type="dxa"/>
              <w:bottom w:w="150" w:type="dxa"/>
              <w:right w:w="0" w:type="dxa"/>
            </w:tcMar>
            <w:vAlign w:val="center"/>
          </w:tcPr>
          <w:p w14:paraId="4F085D6D">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床最大承重≥275kg</w:t>
            </w:r>
          </w:p>
        </w:tc>
      </w:tr>
      <w:tr w14:paraId="6062A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0F60BFB1">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2.8</w:t>
            </w:r>
          </w:p>
        </w:tc>
        <w:tc>
          <w:tcPr>
            <w:tcW w:w="5967" w:type="dxa"/>
            <w:tcBorders>
              <w:tl2br w:val="nil"/>
              <w:tr2bl w:val="nil"/>
            </w:tcBorders>
            <w:noWrap w:val="0"/>
            <w:tcMar>
              <w:top w:w="150" w:type="dxa"/>
              <w:left w:w="240" w:type="dxa"/>
              <w:bottom w:w="150" w:type="dxa"/>
              <w:right w:w="0" w:type="dxa"/>
            </w:tcMar>
            <w:vAlign w:val="center"/>
          </w:tcPr>
          <w:p w14:paraId="029A55A4">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任意位置承重≥250kg，且可额外承受500N的CPR负荷</w:t>
            </w:r>
          </w:p>
        </w:tc>
      </w:tr>
      <w:tr w14:paraId="06CB5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7508763C">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2.9</w:t>
            </w:r>
          </w:p>
        </w:tc>
        <w:tc>
          <w:tcPr>
            <w:tcW w:w="5967" w:type="dxa"/>
            <w:tcBorders>
              <w:tl2br w:val="nil"/>
              <w:tr2bl w:val="nil"/>
            </w:tcBorders>
            <w:noWrap w:val="0"/>
            <w:tcMar>
              <w:top w:w="150" w:type="dxa"/>
              <w:left w:w="240" w:type="dxa"/>
              <w:bottom w:w="150" w:type="dxa"/>
              <w:right w:w="0" w:type="dxa"/>
            </w:tcMar>
            <w:vAlign w:val="center"/>
          </w:tcPr>
          <w:p w14:paraId="5D65D961">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床长度≥310cm</w:t>
            </w:r>
          </w:p>
        </w:tc>
      </w:tr>
      <w:tr w14:paraId="27E17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4057C999">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2.10</w:t>
            </w:r>
          </w:p>
        </w:tc>
        <w:tc>
          <w:tcPr>
            <w:tcW w:w="5967" w:type="dxa"/>
            <w:tcBorders>
              <w:tl2br w:val="nil"/>
              <w:tr2bl w:val="nil"/>
            </w:tcBorders>
            <w:noWrap w:val="0"/>
            <w:tcMar>
              <w:top w:w="150" w:type="dxa"/>
              <w:left w:w="240" w:type="dxa"/>
              <w:bottom w:w="150" w:type="dxa"/>
              <w:right w:w="0" w:type="dxa"/>
            </w:tcMar>
            <w:vAlign w:val="center"/>
          </w:tcPr>
          <w:p w14:paraId="7722FA7C">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床宽度≥50cm</w:t>
            </w:r>
          </w:p>
        </w:tc>
      </w:tr>
      <w:tr w14:paraId="2AEFE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1C16F904">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2.11</w:t>
            </w:r>
          </w:p>
        </w:tc>
        <w:tc>
          <w:tcPr>
            <w:tcW w:w="5967" w:type="dxa"/>
            <w:tcBorders>
              <w:tl2br w:val="nil"/>
              <w:tr2bl w:val="nil"/>
            </w:tcBorders>
            <w:noWrap w:val="0"/>
            <w:tcMar>
              <w:top w:w="150" w:type="dxa"/>
              <w:left w:w="240" w:type="dxa"/>
              <w:bottom w:w="150" w:type="dxa"/>
              <w:right w:w="0" w:type="dxa"/>
            </w:tcMar>
            <w:vAlign w:val="center"/>
          </w:tcPr>
          <w:p w14:paraId="0B6D16DE">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床面患者最大有效覆盖长度≥210cm</w:t>
            </w:r>
          </w:p>
        </w:tc>
      </w:tr>
      <w:tr w14:paraId="20E35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48C69111">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2.12</w:t>
            </w:r>
          </w:p>
        </w:tc>
        <w:tc>
          <w:tcPr>
            <w:tcW w:w="5967" w:type="dxa"/>
            <w:tcBorders>
              <w:tl2br w:val="nil"/>
              <w:tr2bl w:val="nil"/>
            </w:tcBorders>
            <w:noWrap w:val="0"/>
            <w:tcMar>
              <w:top w:w="150" w:type="dxa"/>
              <w:left w:w="240" w:type="dxa"/>
              <w:bottom w:w="150" w:type="dxa"/>
              <w:right w:w="0" w:type="dxa"/>
            </w:tcMar>
            <w:vAlign w:val="center"/>
          </w:tcPr>
          <w:p w14:paraId="7BE4CCE9">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床面旋转角度≥270°</w:t>
            </w:r>
          </w:p>
        </w:tc>
      </w:tr>
      <w:tr w14:paraId="53C5F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34B5433F">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2.13</w:t>
            </w:r>
          </w:p>
        </w:tc>
        <w:tc>
          <w:tcPr>
            <w:tcW w:w="5967" w:type="dxa"/>
            <w:tcBorders>
              <w:tl2br w:val="nil"/>
              <w:tr2bl w:val="nil"/>
            </w:tcBorders>
            <w:noWrap w:val="0"/>
            <w:tcMar>
              <w:top w:w="150" w:type="dxa"/>
              <w:left w:w="240" w:type="dxa"/>
              <w:bottom w:w="150" w:type="dxa"/>
              <w:right w:w="0" w:type="dxa"/>
            </w:tcMar>
            <w:vAlign w:val="center"/>
          </w:tcPr>
          <w:p w14:paraId="72B8C73F">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配备原厂导管床床垫、轨道夹、输液架、病人绑带及线缆拖链</w:t>
            </w:r>
          </w:p>
        </w:tc>
      </w:tr>
      <w:tr w14:paraId="0D85B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14DE2CE9">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3. 检查室内控制系统</w:t>
            </w:r>
          </w:p>
        </w:tc>
        <w:tc>
          <w:tcPr>
            <w:tcW w:w="5967" w:type="dxa"/>
            <w:tcBorders>
              <w:tl2br w:val="nil"/>
              <w:tr2bl w:val="nil"/>
            </w:tcBorders>
            <w:noWrap w:val="0"/>
            <w:tcMar>
              <w:top w:w="150" w:type="dxa"/>
              <w:left w:w="240" w:type="dxa"/>
              <w:bottom w:w="150" w:type="dxa"/>
              <w:right w:w="0" w:type="dxa"/>
            </w:tcMar>
            <w:vAlign w:val="center"/>
          </w:tcPr>
          <w:p w14:paraId="2AD02801">
            <w:pPr>
              <w:rPr>
                <w:rFonts w:hint="eastAsia" w:ascii="宋体" w:hAnsi="宋体" w:eastAsia="宋体" w:cs="宋体"/>
                <w:b w:val="0"/>
                <w:bCs w:val="0"/>
                <w:color w:val="auto"/>
                <w:sz w:val="21"/>
                <w:szCs w:val="21"/>
              </w:rPr>
            </w:pPr>
          </w:p>
        </w:tc>
      </w:tr>
      <w:tr w14:paraId="53473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0EB6578C">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3.1</w:t>
            </w:r>
          </w:p>
        </w:tc>
        <w:tc>
          <w:tcPr>
            <w:tcW w:w="5967" w:type="dxa"/>
            <w:tcBorders>
              <w:tl2br w:val="nil"/>
              <w:tr2bl w:val="nil"/>
            </w:tcBorders>
            <w:noWrap w:val="0"/>
            <w:tcMar>
              <w:top w:w="150" w:type="dxa"/>
              <w:left w:w="240" w:type="dxa"/>
              <w:bottom w:w="150" w:type="dxa"/>
              <w:right w:w="0" w:type="dxa"/>
            </w:tcMar>
            <w:vAlign w:val="center"/>
          </w:tcPr>
          <w:p w14:paraId="60F1B1C3">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提供床旁液晶触摸控制屏一套</w:t>
            </w:r>
          </w:p>
        </w:tc>
      </w:tr>
      <w:tr w14:paraId="4406B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42A6096C">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3.2</w:t>
            </w:r>
          </w:p>
        </w:tc>
        <w:tc>
          <w:tcPr>
            <w:tcW w:w="5967" w:type="dxa"/>
            <w:tcBorders>
              <w:tl2br w:val="nil"/>
              <w:tr2bl w:val="nil"/>
            </w:tcBorders>
            <w:noWrap w:val="0"/>
            <w:tcMar>
              <w:top w:w="150" w:type="dxa"/>
              <w:left w:w="240" w:type="dxa"/>
              <w:bottom w:w="150" w:type="dxa"/>
              <w:right w:w="0" w:type="dxa"/>
            </w:tcMar>
            <w:vAlign w:val="center"/>
          </w:tcPr>
          <w:p w14:paraId="3E173019">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控制屏可置于导管床三侧或控制室内，便于医生操作</w:t>
            </w:r>
          </w:p>
        </w:tc>
      </w:tr>
      <w:tr w14:paraId="4C256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7AB87958">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3.3</w:t>
            </w:r>
          </w:p>
        </w:tc>
        <w:tc>
          <w:tcPr>
            <w:tcW w:w="5967" w:type="dxa"/>
            <w:tcBorders>
              <w:tl2br w:val="nil"/>
              <w:tr2bl w:val="nil"/>
            </w:tcBorders>
            <w:noWrap w:val="0"/>
            <w:tcMar>
              <w:top w:w="150" w:type="dxa"/>
              <w:left w:w="240" w:type="dxa"/>
              <w:bottom w:w="150" w:type="dxa"/>
              <w:right w:w="0" w:type="dxa"/>
            </w:tcMar>
            <w:vAlign w:val="center"/>
          </w:tcPr>
          <w:p w14:paraId="09C640B1">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可进行图像采集条件控制</w:t>
            </w:r>
          </w:p>
        </w:tc>
      </w:tr>
      <w:tr w14:paraId="177C1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43E87590">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3.4</w:t>
            </w:r>
          </w:p>
        </w:tc>
        <w:tc>
          <w:tcPr>
            <w:tcW w:w="5967" w:type="dxa"/>
            <w:tcBorders>
              <w:tl2br w:val="nil"/>
              <w:tr2bl w:val="nil"/>
            </w:tcBorders>
            <w:noWrap w:val="0"/>
            <w:tcMar>
              <w:top w:w="150" w:type="dxa"/>
              <w:left w:w="240" w:type="dxa"/>
              <w:bottom w:w="150" w:type="dxa"/>
              <w:right w:w="0" w:type="dxa"/>
            </w:tcMar>
            <w:vAlign w:val="center"/>
          </w:tcPr>
          <w:p w14:paraId="42B50671">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可进行图像后处理及量化分析控制</w:t>
            </w:r>
          </w:p>
        </w:tc>
      </w:tr>
      <w:tr w14:paraId="334C7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5ECE96E1">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4. 控制室并行处理工作站</w:t>
            </w:r>
          </w:p>
        </w:tc>
        <w:tc>
          <w:tcPr>
            <w:tcW w:w="5967" w:type="dxa"/>
            <w:tcBorders>
              <w:tl2br w:val="nil"/>
              <w:tr2bl w:val="nil"/>
            </w:tcBorders>
            <w:noWrap w:val="0"/>
            <w:tcMar>
              <w:top w:w="150" w:type="dxa"/>
              <w:left w:w="240" w:type="dxa"/>
              <w:bottom w:w="150" w:type="dxa"/>
              <w:right w:w="0" w:type="dxa"/>
            </w:tcMar>
            <w:vAlign w:val="center"/>
          </w:tcPr>
          <w:p w14:paraId="47A23A9C">
            <w:pPr>
              <w:rPr>
                <w:rFonts w:hint="eastAsia" w:ascii="宋体" w:hAnsi="宋体" w:eastAsia="宋体" w:cs="宋体"/>
                <w:b w:val="0"/>
                <w:bCs w:val="0"/>
                <w:color w:val="auto"/>
                <w:sz w:val="21"/>
                <w:szCs w:val="21"/>
              </w:rPr>
            </w:pPr>
          </w:p>
        </w:tc>
      </w:tr>
      <w:tr w14:paraId="5B1CF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6AC0EFBD">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4.1</w:t>
            </w:r>
          </w:p>
        </w:tc>
        <w:tc>
          <w:tcPr>
            <w:tcW w:w="5967" w:type="dxa"/>
            <w:tcBorders>
              <w:tl2br w:val="nil"/>
              <w:tr2bl w:val="nil"/>
            </w:tcBorders>
            <w:noWrap w:val="0"/>
            <w:tcMar>
              <w:top w:w="150" w:type="dxa"/>
              <w:left w:w="240" w:type="dxa"/>
              <w:bottom w:w="150" w:type="dxa"/>
              <w:right w:w="0" w:type="dxa"/>
            </w:tcMar>
            <w:vAlign w:val="center"/>
          </w:tcPr>
          <w:p w14:paraId="6916D32B">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透视或曝光时可进行图像处理和存档浏览等工作，可独立运行</w:t>
            </w:r>
          </w:p>
        </w:tc>
      </w:tr>
      <w:tr w14:paraId="6C600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5817D660">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4.2</w:t>
            </w:r>
          </w:p>
        </w:tc>
        <w:tc>
          <w:tcPr>
            <w:tcW w:w="5967" w:type="dxa"/>
            <w:tcBorders>
              <w:tl2br w:val="nil"/>
              <w:tr2bl w:val="nil"/>
            </w:tcBorders>
            <w:noWrap w:val="0"/>
            <w:tcMar>
              <w:top w:w="150" w:type="dxa"/>
              <w:left w:w="240" w:type="dxa"/>
              <w:bottom w:w="150" w:type="dxa"/>
              <w:right w:w="0" w:type="dxa"/>
            </w:tcMar>
            <w:vAlign w:val="center"/>
          </w:tcPr>
          <w:p w14:paraId="07634B3C">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术中可执行像素位移和测量分析功能</w:t>
            </w:r>
          </w:p>
        </w:tc>
      </w:tr>
      <w:tr w14:paraId="1E08B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2285B1A9">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4.3</w:t>
            </w:r>
          </w:p>
        </w:tc>
        <w:tc>
          <w:tcPr>
            <w:tcW w:w="5967" w:type="dxa"/>
            <w:tcBorders>
              <w:tl2br w:val="nil"/>
              <w:tr2bl w:val="nil"/>
            </w:tcBorders>
            <w:noWrap w:val="0"/>
            <w:tcMar>
              <w:top w:w="150" w:type="dxa"/>
              <w:left w:w="240" w:type="dxa"/>
              <w:bottom w:w="150" w:type="dxa"/>
              <w:right w:w="0" w:type="dxa"/>
            </w:tcMar>
            <w:vAlign w:val="center"/>
          </w:tcPr>
          <w:p w14:paraId="565B4DD8">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可同时浏览两个序列</w:t>
            </w:r>
          </w:p>
        </w:tc>
      </w:tr>
      <w:tr w14:paraId="7C7D3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13C33014">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4.4</w:t>
            </w:r>
          </w:p>
        </w:tc>
        <w:tc>
          <w:tcPr>
            <w:tcW w:w="5967" w:type="dxa"/>
            <w:tcBorders>
              <w:tl2br w:val="nil"/>
              <w:tr2bl w:val="nil"/>
            </w:tcBorders>
            <w:noWrap w:val="0"/>
            <w:tcMar>
              <w:top w:w="150" w:type="dxa"/>
              <w:left w:w="240" w:type="dxa"/>
              <w:bottom w:w="150" w:type="dxa"/>
              <w:right w:w="0" w:type="dxa"/>
            </w:tcMar>
            <w:vAlign w:val="center"/>
          </w:tcPr>
          <w:p w14:paraId="4EA01058">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可同时处理不同病人的信息</w:t>
            </w:r>
          </w:p>
        </w:tc>
      </w:tr>
      <w:tr w14:paraId="1878F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2F015432">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4.5</w:t>
            </w:r>
          </w:p>
        </w:tc>
        <w:tc>
          <w:tcPr>
            <w:tcW w:w="5967" w:type="dxa"/>
            <w:tcBorders>
              <w:tl2br w:val="nil"/>
              <w:tr2bl w:val="nil"/>
            </w:tcBorders>
            <w:noWrap w:val="0"/>
            <w:tcMar>
              <w:top w:w="150" w:type="dxa"/>
              <w:left w:w="240" w:type="dxa"/>
              <w:bottom w:w="150" w:type="dxa"/>
              <w:right w:w="0" w:type="dxa"/>
            </w:tcMar>
            <w:vAlign w:val="center"/>
          </w:tcPr>
          <w:p w14:paraId="122474D4">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进行QCA后，可立即与检查室分享</w:t>
            </w:r>
          </w:p>
        </w:tc>
      </w:tr>
      <w:tr w14:paraId="54673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7F7A3F03">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5. 高压发生器</w:t>
            </w:r>
          </w:p>
        </w:tc>
        <w:tc>
          <w:tcPr>
            <w:tcW w:w="5967" w:type="dxa"/>
            <w:tcBorders>
              <w:tl2br w:val="nil"/>
              <w:tr2bl w:val="nil"/>
            </w:tcBorders>
            <w:noWrap w:val="0"/>
            <w:tcMar>
              <w:top w:w="150" w:type="dxa"/>
              <w:left w:w="240" w:type="dxa"/>
              <w:bottom w:w="150" w:type="dxa"/>
              <w:right w:w="0" w:type="dxa"/>
            </w:tcMar>
            <w:vAlign w:val="center"/>
          </w:tcPr>
          <w:p w14:paraId="251761D0">
            <w:pPr>
              <w:rPr>
                <w:rFonts w:hint="eastAsia" w:ascii="宋体" w:hAnsi="宋体" w:eastAsia="宋体" w:cs="宋体"/>
                <w:b w:val="0"/>
                <w:bCs w:val="0"/>
                <w:color w:val="auto"/>
                <w:sz w:val="21"/>
                <w:szCs w:val="21"/>
              </w:rPr>
            </w:pPr>
          </w:p>
        </w:tc>
      </w:tr>
      <w:tr w14:paraId="536C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7AC92FDE">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5.1</w:t>
            </w:r>
          </w:p>
        </w:tc>
        <w:tc>
          <w:tcPr>
            <w:tcW w:w="5967" w:type="dxa"/>
            <w:tcBorders>
              <w:tl2br w:val="nil"/>
              <w:tr2bl w:val="nil"/>
            </w:tcBorders>
            <w:noWrap w:val="0"/>
            <w:tcMar>
              <w:top w:w="150" w:type="dxa"/>
              <w:left w:w="240" w:type="dxa"/>
              <w:bottom w:w="150" w:type="dxa"/>
              <w:right w:w="0" w:type="dxa"/>
            </w:tcMar>
            <w:vAlign w:val="center"/>
          </w:tcPr>
          <w:p w14:paraId="43A168EB">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高频逆变发生器，功率≥100kW</w:t>
            </w:r>
          </w:p>
        </w:tc>
      </w:tr>
      <w:tr w14:paraId="52C76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7DB75338">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5.2</w:t>
            </w:r>
          </w:p>
        </w:tc>
        <w:tc>
          <w:tcPr>
            <w:tcW w:w="5967" w:type="dxa"/>
            <w:tcBorders>
              <w:tl2br w:val="nil"/>
              <w:tr2bl w:val="nil"/>
            </w:tcBorders>
            <w:noWrap w:val="0"/>
            <w:tcMar>
              <w:top w:w="150" w:type="dxa"/>
              <w:left w:w="240" w:type="dxa"/>
              <w:bottom w:w="150" w:type="dxa"/>
              <w:right w:w="0" w:type="dxa"/>
            </w:tcMar>
            <w:vAlign w:val="center"/>
          </w:tcPr>
          <w:p w14:paraId="627049F4">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最大管电流≥1000mA</w:t>
            </w:r>
          </w:p>
        </w:tc>
      </w:tr>
      <w:tr w14:paraId="3FCAA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57EAB5B7">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5.3</w:t>
            </w:r>
          </w:p>
        </w:tc>
        <w:tc>
          <w:tcPr>
            <w:tcW w:w="5967" w:type="dxa"/>
            <w:tcBorders>
              <w:tl2br w:val="nil"/>
              <w:tr2bl w:val="nil"/>
            </w:tcBorders>
            <w:noWrap w:val="0"/>
            <w:tcMar>
              <w:top w:w="150" w:type="dxa"/>
              <w:left w:w="240" w:type="dxa"/>
              <w:bottom w:w="150" w:type="dxa"/>
              <w:right w:w="0" w:type="dxa"/>
            </w:tcMar>
            <w:vAlign w:val="center"/>
          </w:tcPr>
          <w:p w14:paraId="35E18112">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逆变频率≥100kHz</w:t>
            </w:r>
          </w:p>
        </w:tc>
      </w:tr>
      <w:tr w14:paraId="76B35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0688B340">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5.4</w:t>
            </w:r>
          </w:p>
        </w:tc>
        <w:tc>
          <w:tcPr>
            <w:tcW w:w="5967" w:type="dxa"/>
            <w:tcBorders>
              <w:tl2br w:val="nil"/>
              <w:tr2bl w:val="nil"/>
            </w:tcBorders>
            <w:noWrap w:val="0"/>
            <w:tcMar>
              <w:top w:w="150" w:type="dxa"/>
              <w:left w:w="240" w:type="dxa"/>
              <w:bottom w:w="150" w:type="dxa"/>
              <w:right w:w="0" w:type="dxa"/>
            </w:tcMar>
            <w:vAlign w:val="center"/>
          </w:tcPr>
          <w:p w14:paraId="2BD10D0B">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最小管电压≤40kV</w:t>
            </w:r>
          </w:p>
        </w:tc>
      </w:tr>
      <w:tr w14:paraId="52599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5A431B8F">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5.5</w:t>
            </w:r>
          </w:p>
        </w:tc>
        <w:tc>
          <w:tcPr>
            <w:tcW w:w="5967" w:type="dxa"/>
            <w:tcBorders>
              <w:tl2br w:val="nil"/>
              <w:tr2bl w:val="nil"/>
            </w:tcBorders>
            <w:noWrap w:val="0"/>
            <w:tcMar>
              <w:top w:w="150" w:type="dxa"/>
              <w:left w:w="240" w:type="dxa"/>
              <w:bottom w:w="150" w:type="dxa"/>
              <w:right w:w="0" w:type="dxa"/>
            </w:tcMar>
            <w:vAlign w:val="center"/>
          </w:tcPr>
          <w:p w14:paraId="77142E4A">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最大管电压≥125kV</w:t>
            </w:r>
          </w:p>
        </w:tc>
      </w:tr>
      <w:tr w14:paraId="1F3E8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62B939E5">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5.6</w:t>
            </w:r>
          </w:p>
        </w:tc>
        <w:tc>
          <w:tcPr>
            <w:tcW w:w="5967" w:type="dxa"/>
            <w:tcBorders>
              <w:tl2br w:val="nil"/>
              <w:tr2bl w:val="nil"/>
            </w:tcBorders>
            <w:noWrap w:val="0"/>
            <w:tcMar>
              <w:top w:w="150" w:type="dxa"/>
              <w:left w:w="240" w:type="dxa"/>
              <w:bottom w:w="150" w:type="dxa"/>
              <w:right w:w="0" w:type="dxa"/>
            </w:tcMar>
            <w:vAlign w:val="center"/>
          </w:tcPr>
          <w:p w14:paraId="183B3D95">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最短曝光时间≤1ms</w:t>
            </w:r>
          </w:p>
        </w:tc>
      </w:tr>
      <w:tr w14:paraId="79991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58484F3E">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6. X线球管</w:t>
            </w:r>
          </w:p>
        </w:tc>
        <w:tc>
          <w:tcPr>
            <w:tcW w:w="5967" w:type="dxa"/>
            <w:tcBorders>
              <w:tl2br w:val="nil"/>
              <w:tr2bl w:val="nil"/>
            </w:tcBorders>
            <w:noWrap w:val="0"/>
            <w:tcMar>
              <w:top w:w="150" w:type="dxa"/>
              <w:left w:w="240" w:type="dxa"/>
              <w:bottom w:w="150" w:type="dxa"/>
              <w:right w:w="0" w:type="dxa"/>
            </w:tcMar>
            <w:vAlign w:val="center"/>
          </w:tcPr>
          <w:p w14:paraId="35CBF48A">
            <w:pPr>
              <w:rPr>
                <w:rFonts w:hint="eastAsia" w:ascii="宋体" w:hAnsi="宋体" w:eastAsia="宋体" w:cs="宋体"/>
                <w:b w:val="0"/>
                <w:bCs w:val="0"/>
                <w:color w:val="auto"/>
                <w:sz w:val="21"/>
                <w:szCs w:val="21"/>
              </w:rPr>
            </w:pPr>
          </w:p>
        </w:tc>
      </w:tr>
      <w:tr w14:paraId="32A4A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1E3F1DE7">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▲6.1</w:t>
            </w:r>
          </w:p>
        </w:tc>
        <w:tc>
          <w:tcPr>
            <w:tcW w:w="5967" w:type="dxa"/>
            <w:tcBorders>
              <w:tl2br w:val="nil"/>
              <w:tr2bl w:val="nil"/>
            </w:tcBorders>
            <w:noWrap w:val="0"/>
            <w:tcMar>
              <w:top w:w="150" w:type="dxa"/>
              <w:left w:w="240" w:type="dxa"/>
              <w:bottom w:w="150" w:type="dxa"/>
              <w:right w:w="0" w:type="dxa"/>
            </w:tcMar>
            <w:vAlign w:val="center"/>
          </w:tcPr>
          <w:p w14:paraId="30FA07D7">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球管阳极热容量≥4.5MHU</w:t>
            </w:r>
          </w:p>
        </w:tc>
      </w:tr>
      <w:tr w14:paraId="4C4AD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63667DA0">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▲6.2</w:t>
            </w:r>
          </w:p>
        </w:tc>
        <w:tc>
          <w:tcPr>
            <w:tcW w:w="5967" w:type="dxa"/>
            <w:tcBorders>
              <w:tl2br w:val="nil"/>
              <w:tr2bl w:val="nil"/>
            </w:tcBorders>
            <w:noWrap w:val="0"/>
            <w:tcMar>
              <w:top w:w="150" w:type="dxa"/>
              <w:left w:w="240" w:type="dxa"/>
              <w:bottom w:w="150" w:type="dxa"/>
              <w:right w:w="0" w:type="dxa"/>
            </w:tcMar>
            <w:vAlign w:val="center"/>
          </w:tcPr>
          <w:p w14:paraId="540EA580">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球管管套热容量≥7.1MHU</w:t>
            </w:r>
          </w:p>
        </w:tc>
      </w:tr>
      <w:tr w14:paraId="381F8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167B8E07">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6.3</w:t>
            </w:r>
          </w:p>
        </w:tc>
        <w:tc>
          <w:tcPr>
            <w:tcW w:w="5967" w:type="dxa"/>
            <w:tcBorders>
              <w:tl2br w:val="nil"/>
              <w:tr2bl w:val="nil"/>
            </w:tcBorders>
            <w:noWrap w:val="0"/>
            <w:tcMar>
              <w:top w:w="150" w:type="dxa"/>
              <w:left w:w="240" w:type="dxa"/>
              <w:bottom w:w="150" w:type="dxa"/>
              <w:right w:w="0" w:type="dxa"/>
            </w:tcMar>
            <w:vAlign w:val="center"/>
          </w:tcPr>
          <w:p w14:paraId="5E46B312">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最大阳极冷却速率≥1100kHU/min</w:t>
            </w:r>
          </w:p>
        </w:tc>
      </w:tr>
      <w:tr w14:paraId="6DDDD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5535DD16">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▲6.4</w:t>
            </w:r>
          </w:p>
        </w:tc>
        <w:tc>
          <w:tcPr>
            <w:tcW w:w="5967" w:type="dxa"/>
            <w:tcBorders>
              <w:tl2br w:val="nil"/>
              <w:tr2bl w:val="nil"/>
            </w:tcBorders>
            <w:noWrap w:val="0"/>
            <w:tcMar>
              <w:top w:w="150" w:type="dxa"/>
              <w:left w:w="240" w:type="dxa"/>
              <w:bottom w:w="150" w:type="dxa"/>
              <w:right w:w="0" w:type="dxa"/>
            </w:tcMar>
            <w:vAlign w:val="center"/>
          </w:tcPr>
          <w:p w14:paraId="303AE32F">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球管阳极散热率≥11000W</w:t>
            </w:r>
          </w:p>
        </w:tc>
      </w:tr>
      <w:tr w14:paraId="20D05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57975564">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6.5</w:t>
            </w:r>
          </w:p>
        </w:tc>
        <w:tc>
          <w:tcPr>
            <w:tcW w:w="5967" w:type="dxa"/>
            <w:tcBorders>
              <w:tl2br w:val="nil"/>
              <w:tr2bl w:val="nil"/>
            </w:tcBorders>
            <w:noWrap w:val="0"/>
            <w:tcMar>
              <w:top w:w="150" w:type="dxa"/>
              <w:left w:w="240" w:type="dxa"/>
              <w:bottom w:w="150" w:type="dxa"/>
              <w:right w:w="0" w:type="dxa"/>
            </w:tcMar>
            <w:vAlign w:val="center"/>
          </w:tcPr>
          <w:p w14:paraId="4399ABF4">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金属陶瓷外壳</w:t>
            </w:r>
          </w:p>
        </w:tc>
      </w:tr>
      <w:tr w14:paraId="18AB7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72D6827F">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6.6</w:t>
            </w:r>
          </w:p>
        </w:tc>
        <w:tc>
          <w:tcPr>
            <w:tcW w:w="5967" w:type="dxa"/>
            <w:tcBorders>
              <w:tl2br w:val="nil"/>
              <w:tr2bl w:val="nil"/>
            </w:tcBorders>
            <w:noWrap w:val="0"/>
            <w:tcMar>
              <w:top w:w="150" w:type="dxa"/>
              <w:left w:w="240" w:type="dxa"/>
              <w:bottom w:w="150" w:type="dxa"/>
              <w:right w:w="0" w:type="dxa"/>
            </w:tcMar>
            <w:vAlign w:val="center"/>
          </w:tcPr>
          <w:p w14:paraId="51F3B89A">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液态金属轴承或同等性能的高耐磨轴承</w:t>
            </w:r>
          </w:p>
        </w:tc>
      </w:tr>
      <w:tr w14:paraId="7E526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1E856B9E">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▲6.7</w:t>
            </w:r>
          </w:p>
        </w:tc>
        <w:tc>
          <w:tcPr>
            <w:tcW w:w="5967" w:type="dxa"/>
            <w:tcBorders>
              <w:tl2br w:val="nil"/>
              <w:tr2bl w:val="nil"/>
            </w:tcBorders>
            <w:noWrap w:val="0"/>
            <w:tcMar>
              <w:top w:w="150" w:type="dxa"/>
              <w:left w:w="240" w:type="dxa"/>
              <w:bottom w:w="150" w:type="dxa"/>
              <w:right w:w="0" w:type="dxa"/>
            </w:tcMar>
            <w:vAlign w:val="center"/>
          </w:tcPr>
          <w:p w14:paraId="648B91FB">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10分钟透视功率≥4500W</w:t>
            </w:r>
          </w:p>
        </w:tc>
      </w:tr>
      <w:tr w14:paraId="65568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600926E9">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6.8</w:t>
            </w:r>
          </w:p>
        </w:tc>
        <w:tc>
          <w:tcPr>
            <w:tcW w:w="5967" w:type="dxa"/>
            <w:tcBorders>
              <w:tl2br w:val="nil"/>
              <w:tr2bl w:val="nil"/>
            </w:tcBorders>
            <w:noWrap w:val="0"/>
            <w:tcMar>
              <w:top w:w="150" w:type="dxa"/>
              <w:left w:w="240" w:type="dxa"/>
              <w:bottom w:w="150" w:type="dxa"/>
              <w:right w:w="0" w:type="dxa"/>
            </w:tcMar>
            <w:vAlign w:val="center"/>
          </w:tcPr>
          <w:p w14:paraId="0BC27ECE">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球管阳极转速≤9000转/分钟</w:t>
            </w:r>
          </w:p>
        </w:tc>
      </w:tr>
      <w:tr w14:paraId="2A130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2576752C">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6.9</w:t>
            </w:r>
          </w:p>
        </w:tc>
        <w:tc>
          <w:tcPr>
            <w:tcW w:w="5967" w:type="dxa"/>
            <w:tcBorders>
              <w:tl2br w:val="nil"/>
              <w:tr2bl w:val="nil"/>
            </w:tcBorders>
            <w:noWrap w:val="0"/>
            <w:tcMar>
              <w:top w:w="150" w:type="dxa"/>
              <w:left w:w="240" w:type="dxa"/>
              <w:bottom w:w="150" w:type="dxa"/>
              <w:right w:w="0" w:type="dxa"/>
            </w:tcMar>
            <w:vAlign w:val="center"/>
          </w:tcPr>
          <w:p w14:paraId="5EA611CE">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球管焦点数量≥2个，小焦点≤0.4mm</w:t>
            </w:r>
          </w:p>
        </w:tc>
      </w:tr>
      <w:tr w14:paraId="35A46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701E992B">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6.10</w:t>
            </w:r>
          </w:p>
        </w:tc>
        <w:tc>
          <w:tcPr>
            <w:tcW w:w="5967" w:type="dxa"/>
            <w:tcBorders>
              <w:tl2br w:val="nil"/>
              <w:tr2bl w:val="nil"/>
            </w:tcBorders>
            <w:noWrap w:val="0"/>
            <w:tcMar>
              <w:top w:w="150" w:type="dxa"/>
              <w:left w:w="240" w:type="dxa"/>
              <w:bottom w:w="150" w:type="dxa"/>
              <w:right w:w="0" w:type="dxa"/>
            </w:tcMar>
            <w:vAlign w:val="center"/>
          </w:tcPr>
          <w:p w14:paraId="69FF5DAB">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大焦点≤0.9mm</w:t>
            </w:r>
          </w:p>
        </w:tc>
      </w:tr>
      <w:tr w14:paraId="3E162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0B34B304">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6.11</w:t>
            </w:r>
          </w:p>
        </w:tc>
        <w:tc>
          <w:tcPr>
            <w:tcW w:w="5967" w:type="dxa"/>
            <w:tcBorders>
              <w:tl2br w:val="nil"/>
              <w:tr2bl w:val="nil"/>
            </w:tcBorders>
            <w:noWrap w:val="0"/>
            <w:tcMar>
              <w:top w:w="150" w:type="dxa"/>
              <w:left w:w="240" w:type="dxa"/>
              <w:bottom w:w="150" w:type="dxa"/>
              <w:right w:w="0" w:type="dxa"/>
            </w:tcMar>
            <w:vAlign w:val="center"/>
          </w:tcPr>
          <w:p w14:paraId="12E59044">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最小焦点功率≤30kW</w:t>
            </w:r>
          </w:p>
        </w:tc>
      </w:tr>
      <w:tr w14:paraId="7C516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19AB26BE">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6.12</w:t>
            </w:r>
          </w:p>
        </w:tc>
        <w:tc>
          <w:tcPr>
            <w:tcW w:w="5967" w:type="dxa"/>
            <w:tcBorders>
              <w:tl2br w:val="nil"/>
              <w:tr2bl w:val="nil"/>
            </w:tcBorders>
            <w:noWrap w:val="0"/>
            <w:tcMar>
              <w:top w:w="150" w:type="dxa"/>
              <w:left w:w="240" w:type="dxa"/>
              <w:bottom w:w="150" w:type="dxa"/>
              <w:right w:w="0" w:type="dxa"/>
            </w:tcMar>
            <w:vAlign w:val="center"/>
          </w:tcPr>
          <w:p w14:paraId="5E2C04E9">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最大焦点功率≤90kW</w:t>
            </w:r>
          </w:p>
        </w:tc>
      </w:tr>
      <w:tr w14:paraId="5236C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2E2CFC3E">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6.13</w:t>
            </w:r>
          </w:p>
        </w:tc>
        <w:tc>
          <w:tcPr>
            <w:tcW w:w="5967" w:type="dxa"/>
            <w:tcBorders>
              <w:tl2br w:val="nil"/>
              <w:tr2bl w:val="nil"/>
            </w:tcBorders>
            <w:noWrap w:val="0"/>
            <w:tcMar>
              <w:top w:w="150" w:type="dxa"/>
              <w:left w:w="240" w:type="dxa"/>
              <w:bottom w:w="150" w:type="dxa"/>
              <w:right w:w="0" w:type="dxa"/>
            </w:tcMar>
            <w:vAlign w:val="center"/>
          </w:tcPr>
          <w:p w14:paraId="08458C67">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球管阳极靶面直径≥160mm</w:t>
            </w:r>
          </w:p>
        </w:tc>
      </w:tr>
      <w:tr w14:paraId="48BCC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558780AF">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6.14</w:t>
            </w:r>
          </w:p>
        </w:tc>
        <w:tc>
          <w:tcPr>
            <w:tcW w:w="5967" w:type="dxa"/>
            <w:tcBorders>
              <w:tl2br w:val="nil"/>
              <w:tr2bl w:val="nil"/>
            </w:tcBorders>
            <w:noWrap w:val="0"/>
            <w:tcMar>
              <w:top w:w="150" w:type="dxa"/>
              <w:left w:w="240" w:type="dxa"/>
              <w:bottom w:w="150" w:type="dxa"/>
              <w:right w:w="0" w:type="dxa"/>
            </w:tcMar>
            <w:vAlign w:val="center"/>
          </w:tcPr>
          <w:p w14:paraId="5DE13F90">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球管具备栅控技术（非单纯高压发生器控制），可有效消除软射线</w:t>
            </w:r>
          </w:p>
        </w:tc>
      </w:tr>
      <w:tr w14:paraId="7D02D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0C0313C8">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6.15</w:t>
            </w:r>
          </w:p>
        </w:tc>
        <w:tc>
          <w:tcPr>
            <w:tcW w:w="5967" w:type="dxa"/>
            <w:tcBorders>
              <w:tl2br w:val="nil"/>
              <w:tr2bl w:val="nil"/>
            </w:tcBorders>
            <w:noWrap w:val="0"/>
            <w:tcMar>
              <w:top w:w="150" w:type="dxa"/>
              <w:left w:w="240" w:type="dxa"/>
              <w:bottom w:w="150" w:type="dxa"/>
              <w:right w:w="0" w:type="dxa"/>
            </w:tcMar>
            <w:vAlign w:val="center"/>
          </w:tcPr>
          <w:p w14:paraId="2A6D6F1F">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球管内置多档金属铜滤片，单片最厚≥0.9mm，滤片数量≥3片，支持自动和手动切换</w:t>
            </w:r>
          </w:p>
        </w:tc>
      </w:tr>
      <w:tr w14:paraId="40322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476C23FB">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6.16</w:t>
            </w:r>
          </w:p>
        </w:tc>
        <w:tc>
          <w:tcPr>
            <w:tcW w:w="5967" w:type="dxa"/>
            <w:tcBorders>
              <w:tl2br w:val="nil"/>
              <w:tr2bl w:val="nil"/>
            </w:tcBorders>
            <w:noWrap w:val="0"/>
            <w:tcMar>
              <w:top w:w="150" w:type="dxa"/>
              <w:left w:w="240" w:type="dxa"/>
              <w:bottom w:w="150" w:type="dxa"/>
              <w:right w:w="0" w:type="dxa"/>
            </w:tcMar>
            <w:vAlign w:val="center"/>
          </w:tcPr>
          <w:p w14:paraId="0F5F47C6">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配备通用型、虹膜型等多种遮光器，遮光器位置可存储</w:t>
            </w:r>
          </w:p>
        </w:tc>
      </w:tr>
      <w:tr w14:paraId="00A11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28297BBA">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6.17</w:t>
            </w:r>
          </w:p>
        </w:tc>
        <w:tc>
          <w:tcPr>
            <w:tcW w:w="5967" w:type="dxa"/>
            <w:tcBorders>
              <w:tl2br w:val="nil"/>
              <w:tr2bl w:val="nil"/>
            </w:tcBorders>
            <w:noWrap w:val="0"/>
            <w:tcMar>
              <w:top w:w="150" w:type="dxa"/>
              <w:left w:w="240" w:type="dxa"/>
              <w:bottom w:w="150" w:type="dxa"/>
              <w:right w:w="0" w:type="dxa"/>
            </w:tcMar>
            <w:vAlign w:val="center"/>
          </w:tcPr>
          <w:p w14:paraId="458E912B">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心脏介入手术中，半透明楔形挡板可根据投照角度自动定位，在透视末帧图像上可实现无射线调节遮光板和滤线栅位置</w:t>
            </w:r>
          </w:p>
        </w:tc>
      </w:tr>
      <w:tr w14:paraId="1AB10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70A6F5C7">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7. 平板探测器</w:t>
            </w:r>
          </w:p>
        </w:tc>
        <w:tc>
          <w:tcPr>
            <w:tcW w:w="5967" w:type="dxa"/>
            <w:tcBorders>
              <w:tl2br w:val="nil"/>
              <w:tr2bl w:val="nil"/>
            </w:tcBorders>
            <w:noWrap w:val="0"/>
            <w:tcMar>
              <w:top w:w="150" w:type="dxa"/>
              <w:left w:w="240" w:type="dxa"/>
              <w:bottom w:w="150" w:type="dxa"/>
              <w:right w:w="0" w:type="dxa"/>
            </w:tcMar>
            <w:vAlign w:val="center"/>
          </w:tcPr>
          <w:p w14:paraId="0F383F8E">
            <w:pPr>
              <w:rPr>
                <w:rFonts w:hint="eastAsia" w:ascii="宋体" w:hAnsi="宋体" w:eastAsia="宋体" w:cs="宋体"/>
                <w:b w:val="0"/>
                <w:bCs w:val="0"/>
                <w:color w:val="auto"/>
                <w:sz w:val="21"/>
                <w:szCs w:val="21"/>
              </w:rPr>
            </w:pPr>
          </w:p>
        </w:tc>
      </w:tr>
      <w:tr w14:paraId="75F79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5BFC983A">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7.1</w:t>
            </w:r>
          </w:p>
        </w:tc>
        <w:tc>
          <w:tcPr>
            <w:tcW w:w="5967" w:type="dxa"/>
            <w:tcBorders>
              <w:tl2br w:val="nil"/>
              <w:tr2bl w:val="nil"/>
            </w:tcBorders>
            <w:noWrap w:val="0"/>
            <w:tcMar>
              <w:top w:w="150" w:type="dxa"/>
              <w:left w:w="240" w:type="dxa"/>
              <w:bottom w:w="150" w:type="dxa"/>
              <w:right w:w="0" w:type="dxa"/>
            </w:tcMar>
            <w:vAlign w:val="center"/>
          </w:tcPr>
          <w:p w14:paraId="35568847">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探测器类型：≥16bits非晶硅数字化平板探测器</w:t>
            </w:r>
          </w:p>
        </w:tc>
      </w:tr>
      <w:tr w14:paraId="51241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1174C417">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7.2</w:t>
            </w:r>
          </w:p>
        </w:tc>
        <w:tc>
          <w:tcPr>
            <w:tcW w:w="5967" w:type="dxa"/>
            <w:tcBorders>
              <w:tl2br w:val="nil"/>
              <w:tr2bl w:val="nil"/>
            </w:tcBorders>
            <w:noWrap w:val="0"/>
            <w:tcMar>
              <w:top w:w="150" w:type="dxa"/>
              <w:left w:w="240" w:type="dxa"/>
              <w:bottom w:w="150" w:type="dxa"/>
              <w:right w:w="0" w:type="dxa"/>
            </w:tcMar>
            <w:vAlign w:val="center"/>
          </w:tcPr>
          <w:p w14:paraId="577579FD">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最大有效成像视野（边长）≥26cm×29cm</w:t>
            </w:r>
          </w:p>
        </w:tc>
      </w:tr>
      <w:tr w14:paraId="5FD68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66788D83">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▲7.3</w:t>
            </w:r>
          </w:p>
        </w:tc>
        <w:tc>
          <w:tcPr>
            <w:tcW w:w="5967" w:type="dxa"/>
            <w:tcBorders>
              <w:tl2br w:val="nil"/>
              <w:tr2bl w:val="nil"/>
            </w:tcBorders>
            <w:noWrap w:val="0"/>
            <w:tcMar>
              <w:top w:w="150" w:type="dxa"/>
              <w:left w:w="240" w:type="dxa"/>
              <w:bottom w:w="150" w:type="dxa"/>
              <w:right w:w="0" w:type="dxa"/>
            </w:tcMar>
            <w:vAlign w:val="center"/>
          </w:tcPr>
          <w:p w14:paraId="5B84863A">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物理成像视野档位数≥7种，以适应不同部位介入需要</w:t>
            </w:r>
          </w:p>
        </w:tc>
      </w:tr>
      <w:tr w14:paraId="1C0CF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285DF2EA">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7.4</w:t>
            </w:r>
          </w:p>
        </w:tc>
        <w:tc>
          <w:tcPr>
            <w:tcW w:w="5967" w:type="dxa"/>
            <w:tcBorders>
              <w:tl2br w:val="nil"/>
              <w:tr2bl w:val="nil"/>
            </w:tcBorders>
            <w:noWrap w:val="0"/>
            <w:tcMar>
              <w:top w:w="150" w:type="dxa"/>
              <w:left w:w="240" w:type="dxa"/>
              <w:bottom w:w="150" w:type="dxa"/>
              <w:right w:w="0" w:type="dxa"/>
            </w:tcMar>
            <w:vAlign w:val="center"/>
          </w:tcPr>
          <w:p w14:paraId="64F983CA">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最大图像矩阵灰阶输出：1420×1560×16bits</w:t>
            </w:r>
          </w:p>
        </w:tc>
      </w:tr>
      <w:tr w14:paraId="0F1E7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203B3D41">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▲7.5</w:t>
            </w:r>
          </w:p>
        </w:tc>
        <w:tc>
          <w:tcPr>
            <w:tcW w:w="5967" w:type="dxa"/>
            <w:tcBorders>
              <w:tl2br w:val="nil"/>
              <w:tr2bl w:val="nil"/>
            </w:tcBorders>
            <w:noWrap w:val="0"/>
            <w:tcMar>
              <w:top w:w="150" w:type="dxa"/>
              <w:left w:w="240" w:type="dxa"/>
              <w:bottom w:w="150" w:type="dxa"/>
              <w:right w:w="0" w:type="dxa"/>
            </w:tcMar>
            <w:vAlign w:val="center"/>
          </w:tcPr>
          <w:p w14:paraId="2C6B8DDE">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平板探测器分辨率≥2.7lp/mm</w:t>
            </w:r>
          </w:p>
        </w:tc>
      </w:tr>
      <w:tr w14:paraId="20B04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4F41F06B">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7.6</w:t>
            </w:r>
          </w:p>
        </w:tc>
        <w:tc>
          <w:tcPr>
            <w:tcW w:w="5967" w:type="dxa"/>
            <w:tcBorders>
              <w:tl2br w:val="nil"/>
              <w:tr2bl w:val="nil"/>
            </w:tcBorders>
            <w:noWrap w:val="0"/>
            <w:tcMar>
              <w:top w:w="150" w:type="dxa"/>
              <w:left w:w="240" w:type="dxa"/>
              <w:bottom w:w="150" w:type="dxa"/>
              <w:right w:w="0" w:type="dxa"/>
            </w:tcMar>
            <w:vAlign w:val="center"/>
          </w:tcPr>
          <w:p w14:paraId="557FFEBF">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像素尺寸≤184μm</w:t>
            </w:r>
          </w:p>
        </w:tc>
      </w:tr>
      <w:tr w14:paraId="4072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3D779920">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7.7</w:t>
            </w:r>
          </w:p>
        </w:tc>
        <w:tc>
          <w:tcPr>
            <w:tcW w:w="5967" w:type="dxa"/>
            <w:tcBorders>
              <w:tl2br w:val="nil"/>
              <w:tr2bl w:val="nil"/>
            </w:tcBorders>
            <w:noWrap w:val="0"/>
            <w:tcMar>
              <w:top w:w="150" w:type="dxa"/>
              <w:left w:w="240" w:type="dxa"/>
              <w:bottom w:w="150" w:type="dxa"/>
              <w:right w:w="0" w:type="dxa"/>
            </w:tcMar>
            <w:vAlign w:val="center"/>
          </w:tcPr>
          <w:p w14:paraId="0E20B6F9">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0lp/mm时DQE≥70%</w:t>
            </w:r>
          </w:p>
        </w:tc>
      </w:tr>
      <w:tr w14:paraId="436A9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0DBBF493">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7.8</w:t>
            </w:r>
          </w:p>
        </w:tc>
        <w:tc>
          <w:tcPr>
            <w:tcW w:w="5967" w:type="dxa"/>
            <w:tcBorders>
              <w:tl2br w:val="nil"/>
              <w:tr2bl w:val="nil"/>
            </w:tcBorders>
            <w:noWrap w:val="0"/>
            <w:tcMar>
              <w:top w:w="150" w:type="dxa"/>
              <w:left w:w="240" w:type="dxa"/>
              <w:bottom w:w="150" w:type="dxa"/>
              <w:right w:w="0" w:type="dxa"/>
            </w:tcMar>
            <w:vAlign w:val="center"/>
          </w:tcPr>
          <w:p w14:paraId="737533EF">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平板可90°旋转，且无需水冷装置</w:t>
            </w:r>
          </w:p>
        </w:tc>
      </w:tr>
      <w:tr w14:paraId="197BE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5A82FCC7">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7.9</w:t>
            </w:r>
          </w:p>
        </w:tc>
        <w:tc>
          <w:tcPr>
            <w:tcW w:w="5967" w:type="dxa"/>
            <w:tcBorders>
              <w:tl2br w:val="nil"/>
              <w:tr2bl w:val="nil"/>
            </w:tcBorders>
            <w:noWrap w:val="0"/>
            <w:tcMar>
              <w:top w:w="150" w:type="dxa"/>
              <w:left w:w="240" w:type="dxa"/>
              <w:bottom w:w="150" w:type="dxa"/>
              <w:right w:w="0" w:type="dxa"/>
            </w:tcMar>
            <w:vAlign w:val="center"/>
          </w:tcPr>
          <w:p w14:paraId="6EDD4027">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C臂及平板探测器带有非接触式防碰撞保护装置及防碰撞自动控制</w:t>
            </w:r>
          </w:p>
        </w:tc>
      </w:tr>
      <w:tr w14:paraId="07B62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106472FA">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8. 图像显示器</w:t>
            </w:r>
          </w:p>
        </w:tc>
        <w:tc>
          <w:tcPr>
            <w:tcW w:w="5967" w:type="dxa"/>
            <w:tcBorders>
              <w:tl2br w:val="nil"/>
              <w:tr2bl w:val="nil"/>
            </w:tcBorders>
            <w:noWrap w:val="0"/>
            <w:tcMar>
              <w:top w:w="150" w:type="dxa"/>
              <w:left w:w="240" w:type="dxa"/>
              <w:bottom w:w="150" w:type="dxa"/>
              <w:right w:w="0" w:type="dxa"/>
            </w:tcMar>
            <w:vAlign w:val="center"/>
          </w:tcPr>
          <w:p w14:paraId="6F7A8163">
            <w:pPr>
              <w:rPr>
                <w:rFonts w:hint="eastAsia" w:ascii="宋体" w:hAnsi="宋体" w:eastAsia="宋体" w:cs="宋体"/>
                <w:b w:val="0"/>
                <w:bCs w:val="0"/>
                <w:color w:val="auto"/>
                <w:sz w:val="21"/>
                <w:szCs w:val="21"/>
              </w:rPr>
            </w:pPr>
          </w:p>
        </w:tc>
      </w:tr>
      <w:tr w14:paraId="2F6D9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58F30516">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8.1</w:t>
            </w:r>
          </w:p>
        </w:tc>
        <w:tc>
          <w:tcPr>
            <w:tcW w:w="5967" w:type="dxa"/>
            <w:tcBorders>
              <w:tl2br w:val="nil"/>
              <w:tr2bl w:val="nil"/>
            </w:tcBorders>
            <w:noWrap w:val="0"/>
            <w:tcMar>
              <w:top w:w="150" w:type="dxa"/>
              <w:left w:w="240" w:type="dxa"/>
              <w:bottom w:w="150" w:type="dxa"/>
              <w:right w:w="0" w:type="dxa"/>
            </w:tcMar>
            <w:vAlign w:val="center"/>
          </w:tcPr>
          <w:p w14:paraId="7F8BC122">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控制室：≥24英寸高亮医用高分辨率LCD显示器≥3台，显示分辨率≥1920×1080</w:t>
            </w:r>
          </w:p>
        </w:tc>
      </w:tr>
      <w:tr w14:paraId="29309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593012E2">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8.2</w:t>
            </w:r>
          </w:p>
        </w:tc>
        <w:tc>
          <w:tcPr>
            <w:tcW w:w="5967" w:type="dxa"/>
            <w:tcBorders>
              <w:tl2br w:val="nil"/>
              <w:tr2bl w:val="nil"/>
            </w:tcBorders>
            <w:noWrap w:val="0"/>
            <w:tcMar>
              <w:top w:w="150" w:type="dxa"/>
              <w:left w:w="240" w:type="dxa"/>
              <w:bottom w:w="150" w:type="dxa"/>
              <w:right w:w="0" w:type="dxa"/>
            </w:tcMar>
            <w:vAlign w:val="center"/>
          </w:tcPr>
          <w:p w14:paraId="1540E368">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最大视角≥178°，亮度≥400cd/m²</w:t>
            </w:r>
          </w:p>
        </w:tc>
      </w:tr>
      <w:tr w14:paraId="3EDF1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132F914A">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8.3</w:t>
            </w:r>
          </w:p>
        </w:tc>
        <w:tc>
          <w:tcPr>
            <w:tcW w:w="5967" w:type="dxa"/>
            <w:tcBorders>
              <w:tl2br w:val="nil"/>
              <w:tr2bl w:val="nil"/>
            </w:tcBorders>
            <w:noWrap w:val="0"/>
            <w:tcMar>
              <w:top w:w="150" w:type="dxa"/>
              <w:left w:w="240" w:type="dxa"/>
              <w:bottom w:w="150" w:type="dxa"/>
              <w:right w:w="0" w:type="dxa"/>
            </w:tcMar>
            <w:vAlign w:val="center"/>
          </w:tcPr>
          <w:p w14:paraId="676D3F25">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操作室：≥27英寸高亮医用高分辨率宽屏LCD显示器≥4台，显示分辨率≥1920×1080</w:t>
            </w:r>
          </w:p>
        </w:tc>
      </w:tr>
      <w:tr w14:paraId="32A6C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79264520">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8.4</w:t>
            </w:r>
          </w:p>
        </w:tc>
        <w:tc>
          <w:tcPr>
            <w:tcW w:w="5967" w:type="dxa"/>
            <w:tcBorders>
              <w:tl2br w:val="nil"/>
              <w:tr2bl w:val="nil"/>
            </w:tcBorders>
            <w:noWrap w:val="0"/>
            <w:tcMar>
              <w:top w:w="150" w:type="dxa"/>
              <w:left w:w="240" w:type="dxa"/>
              <w:bottom w:w="150" w:type="dxa"/>
              <w:right w:w="0" w:type="dxa"/>
            </w:tcMar>
            <w:vAlign w:val="center"/>
          </w:tcPr>
          <w:p w14:paraId="68FB007F">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最大视角≥178°，亮度≥650cd/m²</w:t>
            </w:r>
          </w:p>
        </w:tc>
      </w:tr>
      <w:tr w14:paraId="5F83D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7C79C4C7">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8.5</w:t>
            </w:r>
          </w:p>
        </w:tc>
        <w:tc>
          <w:tcPr>
            <w:tcW w:w="5967" w:type="dxa"/>
            <w:tcBorders>
              <w:tl2br w:val="nil"/>
              <w:tr2bl w:val="nil"/>
            </w:tcBorders>
            <w:noWrap w:val="0"/>
            <w:tcMar>
              <w:top w:w="150" w:type="dxa"/>
              <w:left w:w="240" w:type="dxa"/>
              <w:bottom w:w="150" w:type="dxa"/>
              <w:right w:w="0" w:type="dxa"/>
            </w:tcMar>
            <w:vAlign w:val="center"/>
          </w:tcPr>
          <w:p w14:paraId="096372E0">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配备≥4架位宽屏显示器吊架</w:t>
            </w:r>
          </w:p>
        </w:tc>
      </w:tr>
      <w:tr w14:paraId="0259E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7DA2B898">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8.6</w:t>
            </w:r>
          </w:p>
        </w:tc>
        <w:tc>
          <w:tcPr>
            <w:tcW w:w="5967" w:type="dxa"/>
            <w:tcBorders>
              <w:tl2br w:val="nil"/>
              <w:tr2bl w:val="nil"/>
            </w:tcBorders>
            <w:noWrap w:val="0"/>
            <w:tcMar>
              <w:top w:w="150" w:type="dxa"/>
              <w:left w:w="240" w:type="dxa"/>
              <w:bottom w:w="150" w:type="dxa"/>
              <w:right w:w="0" w:type="dxa"/>
            </w:tcMar>
            <w:vAlign w:val="center"/>
          </w:tcPr>
          <w:p w14:paraId="5842E4A8">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显示器吊架可置于床旁三侧，吊架移动范围≥330cm×300cm</w:t>
            </w:r>
          </w:p>
        </w:tc>
      </w:tr>
      <w:tr w14:paraId="7792B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0411A9C5">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8.7</w:t>
            </w:r>
          </w:p>
        </w:tc>
        <w:tc>
          <w:tcPr>
            <w:tcW w:w="5967" w:type="dxa"/>
            <w:tcBorders>
              <w:tl2br w:val="nil"/>
              <w:tr2bl w:val="nil"/>
            </w:tcBorders>
            <w:noWrap w:val="0"/>
            <w:tcMar>
              <w:top w:w="150" w:type="dxa"/>
              <w:left w:w="240" w:type="dxa"/>
              <w:bottom w:w="150" w:type="dxa"/>
              <w:right w:w="0" w:type="dxa"/>
            </w:tcMar>
            <w:vAlign w:val="center"/>
          </w:tcPr>
          <w:p w14:paraId="571EB522">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显示器吊架旋转范围≥350°</w:t>
            </w:r>
          </w:p>
        </w:tc>
      </w:tr>
      <w:tr w14:paraId="3B443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7F419777">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9. 图像系统</w:t>
            </w:r>
          </w:p>
        </w:tc>
        <w:tc>
          <w:tcPr>
            <w:tcW w:w="5967" w:type="dxa"/>
            <w:tcBorders>
              <w:tl2br w:val="nil"/>
              <w:tr2bl w:val="nil"/>
            </w:tcBorders>
            <w:noWrap w:val="0"/>
            <w:tcMar>
              <w:top w:w="150" w:type="dxa"/>
              <w:left w:w="240" w:type="dxa"/>
              <w:bottom w:w="150" w:type="dxa"/>
              <w:right w:w="0" w:type="dxa"/>
            </w:tcMar>
            <w:vAlign w:val="center"/>
          </w:tcPr>
          <w:p w14:paraId="7F059CC9">
            <w:pPr>
              <w:rPr>
                <w:rFonts w:hint="eastAsia" w:ascii="宋体" w:hAnsi="宋体" w:eastAsia="宋体" w:cs="宋体"/>
                <w:b w:val="0"/>
                <w:bCs w:val="0"/>
                <w:color w:val="auto"/>
                <w:sz w:val="21"/>
                <w:szCs w:val="21"/>
              </w:rPr>
            </w:pPr>
          </w:p>
        </w:tc>
      </w:tr>
      <w:tr w14:paraId="5FFB9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21ACB87E">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9.1</w:t>
            </w:r>
          </w:p>
        </w:tc>
        <w:tc>
          <w:tcPr>
            <w:tcW w:w="5967" w:type="dxa"/>
            <w:tcBorders>
              <w:tl2br w:val="nil"/>
              <w:tr2bl w:val="nil"/>
            </w:tcBorders>
            <w:noWrap w:val="0"/>
            <w:tcMar>
              <w:top w:w="150" w:type="dxa"/>
              <w:left w:w="240" w:type="dxa"/>
              <w:bottom w:w="150" w:type="dxa"/>
              <w:right w:w="0" w:type="dxa"/>
            </w:tcMar>
            <w:vAlign w:val="center"/>
          </w:tcPr>
          <w:p w14:paraId="79A23868">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外周采集、处理、存储采用高清矩阵</w:t>
            </w:r>
          </w:p>
        </w:tc>
      </w:tr>
      <w:tr w14:paraId="7CD8B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716FA8A9">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9.2</w:t>
            </w:r>
          </w:p>
        </w:tc>
        <w:tc>
          <w:tcPr>
            <w:tcW w:w="5967" w:type="dxa"/>
            <w:tcBorders>
              <w:tl2br w:val="nil"/>
              <w:tr2bl w:val="nil"/>
            </w:tcBorders>
            <w:noWrap w:val="0"/>
            <w:tcMar>
              <w:top w:w="150" w:type="dxa"/>
              <w:left w:w="240" w:type="dxa"/>
              <w:bottom w:w="150" w:type="dxa"/>
              <w:right w:w="0" w:type="dxa"/>
            </w:tcMar>
            <w:vAlign w:val="center"/>
          </w:tcPr>
          <w:p w14:paraId="7AB621B2">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最大采集帧率（外周模式）≥6帧/秒</w:t>
            </w:r>
          </w:p>
        </w:tc>
      </w:tr>
      <w:tr w14:paraId="269D3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41DC7F11">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9.3</w:t>
            </w:r>
          </w:p>
        </w:tc>
        <w:tc>
          <w:tcPr>
            <w:tcW w:w="5967" w:type="dxa"/>
            <w:tcBorders>
              <w:tl2br w:val="nil"/>
              <w:tr2bl w:val="nil"/>
            </w:tcBorders>
            <w:noWrap w:val="0"/>
            <w:tcMar>
              <w:top w:w="150" w:type="dxa"/>
              <w:left w:w="240" w:type="dxa"/>
              <w:bottom w:w="150" w:type="dxa"/>
              <w:right w:w="0" w:type="dxa"/>
            </w:tcMar>
            <w:vAlign w:val="center"/>
          </w:tcPr>
          <w:p w14:paraId="1639DD77">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心脏采集、处理、存储采用1024²矩阵</w:t>
            </w:r>
          </w:p>
        </w:tc>
      </w:tr>
      <w:tr w14:paraId="58BE0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5401C8D5">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9.4</w:t>
            </w:r>
          </w:p>
        </w:tc>
        <w:tc>
          <w:tcPr>
            <w:tcW w:w="5967" w:type="dxa"/>
            <w:tcBorders>
              <w:tl2br w:val="nil"/>
              <w:tr2bl w:val="nil"/>
            </w:tcBorders>
            <w:noWrap w:val="0"/>
            <w:tcMar>
              <w:top w:w="150" w:type="dxa"/>
              <w:left w:w="240" w:type="dxa"/>
              <w:bottom w:w="150" w:type="dxa"/>
              <w:right w:w="0" w:type="dxa"/>
            </w:tcMar>
            <w:vAlign w:val="center"/>
          </w:tcPr>
          <w:p w14:paraId="3C8C7DA5">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最大采集帧率（心脏模式）≥30帧/秒</w:t>
            </w:r>
          </w:p>
        </w:tc>
      </w:tr>
      <w:tr w14:paraId="409A2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5F36F331">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9.5</w:t>
            </w:r>
          </w:p>
        </w:tc>
        <w:tc>
          <w:tcPr>
            <w:tcW w:w="5967" w:type="dxa"/>
            <w:tcBorders>
              <w:tl2br w:val="nil"/>
              <w:tr2bl w:val="nil"/>
            </w:tcBorders>
            <w:noWrap w:val="0"/>
            <w:tcMar>
              <w:top w:w="150" w:type="dxa"/>
              <w:left w:w="240" w:type="dxa"/>
              <w:bottom w:w="150" w:type="dxa"/>
              <w:right w:w="0" w:type="dxa"/>
            </w:tcMar>
            <w:vAlign w:val="center"/>
          </w:tcPr>
          <w:p w14:paraId="3AB402C1">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具备实时减影功能</w:t>
            </w:r>
          </w:p>
        </w:tc>
      </w:tr>
      <w:tr w14:paraId="66253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14D217F8">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9.6</w:t>
            </w:r>
          </w:p>
        </w:tc>
        <w:tc>
          <w:tcPr>
            <w:tcW w:w="5967" w:type="dxa"/>
            <w:tcBorders>
              <w:tl2br w:val="nil"/>
              <w:tr2bl w:val="nil"/>
            </w:tcBorders>
            <w:noWrap w:val="0"/>
            <w:tcMar>
              <w:top w:w="150" w:type="dxa"/>
              <w:left w:w="240" w:type="dxa"/>
              <w:bottom w:w="150" w:type="dxa"/>
              <w:right w:w="0" w:type="dxa"/>
            </w:tcMar>
            <w:vAlign w:val="center"/>
          </w:tcPr>
          <w:p w14:paraId="66864F5B">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具备脉冲透视功能</w:t>
            </w:r>
          </w:p>
        </w:tc>
      </w:tr>
      <w:tr w14:paraId="6BB56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46EE2254">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9.7</w:t>
            </w:r>
          </w:p>
        </w:tc>
        <w:tc>
          <w:tcPr>
            <w:tcW w:w="5967" w:type="dxa"/>
            <w:tcBorders>
              <w:tl2br w:val="nil"/>
              <w:tr2bl w:val="nil"/>
            </w:tcBorders>
            <w:noWrap w:val="0"/>
            <w:tcMar>
              <w:top w:w="150" w:type="dxa"/>
              <w:left w:w="240" w:type="dxa"/>
              <w:bottom w:w="150" w:type="dxa"/>
              <w:right w:w="0" w:type="dxa"/>
            </w:tcMar>
            <w:vAlign w:val="center"/>
          </w:tcPr>
          <w:p w14:paraId="71DCDDA3">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床旁可直接选择透视剂量档位≥3档，最低档≤5伦琴/分钟</w:t>
            </w:r>
          </w:p>
        </w:tc>
      </w:tr>
      <w:tr w14:paraId="7CA1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46956E14">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9.8</w:t>
            </w:r>
          </w:p>
        </w:tc>
        <w:tc>
          <w:tcPr>
            <w:tcW w:w="5967" w:type="dxa"/>
            <w:tcBorders>
              <w:tl2br w:val="nil"/>
              <w:tr2bl w:val="nil"/>
            </w:tcBorders>
            <w:noWrap w:val="0"/>
            <w:tcMar>
              <w:top w:w="150" w:type="dxa"/>
              <w:left w:w="240" w:type="dxa"/>
              <w:bottom w:w="150" w:type="dxa"/>
              <w:right w:w="0" w:type="dxa"/>
            </w:tcMar>
            <w:vAlign w:val="center"/>
          </w:tcPr>
          <w:p w14:paraId="53AD73CF">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可存储单幅及序列透视图像（单次储存≥20秒且≥600幅连续动态透视图像），透视序列可以同屏多幅图像形式显示于参考屏上</w:t>
            </w:r>
          </w:p>
        </w:tc>
      </w:tr>
      <w:tr w14:paraId="12A05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540C4EEA">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9.9</w:t>
            </w:r>
          </w:p>
        </w:tc>
        <w:tc>
          <w:tcPr>
            <w:tcW w:w="5967" w:type="dxa"/>
            <w:tcBorders>
              <w:tl2br w:val="nil"/>
              <w:tr2bl w:val="nil"/>
            </w:tcBorders>
            <w:noWrap w:val="0"/>
            <w:tcMar>
              <w:top w:w="150" w:type="dxa"/>
              <w:left w:w="240" w:type="dxa"/>
              <w:bottom w:w="150" w:type="dxa"/>
              <w:right w:w="0" w:type="dxa"/>
            </w:tcMar>
            <w:vAlign w:val="center"/>
          </w:tcPr>
          <w:p w14:paraId="488782FF">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最大脉冲透视速度≥30幅/秒</w:t>
            </w:r>
          </w:p>
        </w:tc>
      </w:tr>
      <w:tr w14:paraId="5EE4C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0ADF8FC5">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9.10</w:t>
            </w:r>
          </w:p>
        </w:tc>
        <w:tc>
          <w:tcPr>
            <w:tcW w:w="5967" w:type="dxa"/>
            <w:tcBorders>
              <w:tl2br w:val="nil"/>
              <w:tr2bl w:val="nil"/>
            </w:tcBorders>
            <w:noWrap w:val="0"/>
            <w:tcMar>
              <w:top w:w="150" w:type="dxa"/>
              <w:left w:w="240" w:type="dxa"/>
              <w:bottom w:w="150" w:type="dxa"/>
              <w:right w:w="0" w:type="dxa"/>
            </w:tcMar>
            <w:vAlign w:val="center"/>
          </w:tcPr>
          <w:p w14:paraId="11F25C8D">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最小脉冲透视速度≤3.75幅/秒</w:t>
            </w:r>
          </w:p>
        </w:tc>
      </w:tr>
      <w:tr w14:paraId="7A082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6DDAFB84">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9.11</w:t>
            </w:r>
          </w:p>
        </w:tc>
        <w:tc>
          <w:tcPr>
            <w:tcW w:w="5967" w:type="dxa"/>
            <w:tcBorders>
              <w:tl2br w:val="nil"/>
              <w:tr2bl w:val="nil"/>
            </w:tcBorders>
            <w:noWrap w:val="0"/>
            <w:tcMar>
              <w:top w:w="150" w:type="dxa"/>
              <w:left w:w="240" w:type="dxa"/>
              <w:bottom w:w="150" w:type="dxa"/>
              <w:right w:w="0" w:type="dxa"/>
            </w:tcMar>
            <w:vAlign w:val="center"/>
          </w:tcPr>
          <w:p w14:paraId="1F4CC790">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具备透视末帧图像保持功能</w:t>
            </w:r>
          </w:p>
        </w:tc>
      </w:tr>
      <w:tr w14:paraId="2070B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786E02EB">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9.12</w:t>
            </w:r>
          </w:p>
        </w:tc>
        <w:tc>
          <w:tcPr>
            <w:tcW w:w="5967" w:type="dxa"/>
            <w:tcBorders>
              <w:tl2br w:val="nil"/>
              <w:tr2bl w:val="nil"/>
            </w:tcBorders>
            <w:noWrap w:val="0"/>
            <w:tcMar>
              <w:top w:w="150" w:type="dxa"/>
              <w:left w:w="240" w:type="dxa"/>
              <w:bottom w:w="150" w:type="dxa"/>
              <w:right w:w="0" w:type="dxa"/>
            </w:tcMar>
            <w:vAlign w:val="center"/>
          </w:tcPr>
          <w:p w14:paraId="78D463AB">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硬盘图像存储量（1024矩阵）≥50,000幅或（2048矩阵）≥12,500幅</w:t>
            </w:r>
          </w:p>
        </w:tc>
      </w:tr>
      <w:tr w14:paraId="1D6A3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5939EE41">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9.13</w:t>
            </w:r>
          </w:p>
        </w:tc>
        <w:tc>
          <w:tcPr>
            <w:tcW w:w="5967" w:type="dxa"/>
            <w:tcBorders>
              <w:tl2br w:val="nil"/>
              <w:tr2bl w:val="nil"/>
            </w:tcBorders>
            <w:noWrap w:val="0"/>
            <w:tcMar>
              <w:top w:w="150" w:type="dxa"/>
              <w:left w:w="240" w:type="dxa"/>
              <w:bottom w:w="150" w:type="dxa"/>
              <w:right w:w="0" w:type="dxa"/>
            </w:tcMar>
            <w:vAlign w:val="center"/>
          </w:tcPr>
          <w:p w14:paraId="7812D39F">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后处理功能包括：改变回放速度、选择路标图像、电子遮光器、边缘增强、图像反转、附加注解、快速选择图像、移动放大、可变速度循环放映、造影图像自动窗宽窗位调节、重定蒙片、手动/自动像素移位、三维路图、最大路径和骨标记</w:t>
            </w:r>
          </w:p>
        </w:tc>
      </w:tr>
      <w:tr w14:paraId="70A06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175CE59F">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9.14</w:t>
            </w:r>
          </w:p>
        </w:tc>
        <w:tc>
          <w:tcPr>
            <w:tcW w:w="5967" w:type="dxa"/>
            <w:tcBorders>
              <w:tl2br w:val="nil"/>
              <w:tr2bl w:val="nil"/>
            </w:tcBorders>
            <w:noWrap w:val="0"/>
            <w:tcMar>
              <w:top w:w="150" w:type="dxa"/>
              <w:left w:w="240" w:type="dxa"/>
              <w:bottom w:w="150" w:type="dxa"/>
              <w:right w:w="0" w:type="dxa"/>
            </w:tcMar>
            <w:vAlign w:val="center"/>
          </w:tcPr>
          <w:p w14:paraId="36E13C62">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具备血管序列实时DSA功能和DA功能</w:t>
            </w:r>
          </w:p>
        </w:tc>
      </w:tr>
      <w:tr w14:paraId="216D1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2B7D3525">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9.15</w:t>
            </w:r>
          </w:p>
        </w:tc>
        <w:tc>
          <w:tcPr>
            <w:tcW w:w="5967" w:type="dxa"/>
            <w:tcBorders>
              <w:tl2br w:val="nil"/>
              <w:tr2bl w:val="nil"/>
            </w:tcBorders>
            <w:noWrap w:val="0"/>
            <w:tcMar>
              <w:top w:w="150" w:type="dxa"/>
              <w:left w:w="240" w:type="dxa"/>
              <w:bottom w:w="150" w:type="dxa"/>
              <w:right w:w="0" w:type="dxa"/>
            </w:tcMar>
            <w:vAlign w:val="center"/>
          </w:tcPr>
          <w:p w14:paraId="54B20419">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图像显示功能：采集时间、日期显示、图像冻结、灰阶反转、图像标注、左/右标识、文字注释、解剖背景</w:t>
            </w:r>
          </w:p>
        </w:tc>
      </w:tr>
      <w:tr w14:paraId="7F39F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3A6CBE76">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9.16</w:t>
            </w:r>
          </w:p>
        </w:tc>
        <w:tc>
          <w:tcPr>
            <w:tcW w:w="5967" w:type="dxa"/>
            <w:tcBorders>
              <w:tl2br w:val="nil"/>
              <w:tr2bl w:val="nil"/>
            </w:tcBorders>
            <w:noWrap w:val="0"/>
            <w:tcMar>
              <w:top w:w="150" w:type="dxa"/>
              <w:left w:w="240" w:type="dxa"/>
              <w:bottom w:w="150" w:type="dxa"/>
              <w:right w:w="0" w:type="dxa"/>
            </w:tcMar>
            <w:vAlign w:val="center"/>
          </w:tcPr>
          <w:p w14:paraId="32B3BFDF">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路径图造影剂自动峰值保持功能</w:t>
            </w:r>
          </w:p>
        </w:tc>
      </w:tr>
      <w:tr w14:paraId="1C663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1E83AF3D">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9.17</w:t>
            </w:r>
          </w:p>
        </w:tc>
        <w:tc>
          <w:tcPr>
            <w:tcW w:w="5967" w:type="dxa"/>
            <w:tcBorders>
              <w:tl2br w:val="nil"/>
              <w:tr2bl w:val="nil"/>
            </w:tcBorders>
            <w:noWrap w:val="0"/>
            <w:tcMar>
              <w:top w:w="150" w:type="dxa"/>
              <w:left w:w="240" w:type="dxa"/>
              <w:bottom w:w="150" w:type="dxa"/>
              <w:right w:w="0" w:type="dxa"/>
            </w:tcMar>
            <w:vAlign w:val="center"/>
          </w:tcPr>
          <w:p w14:paraId="2F8FD32F">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支持术中事件记录并存储</w:t>
            </w:r>
          </w:p>
        </w:tc>
      </w:tr>
      <w:tr w14:paraId="44937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3CD2FC0E">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10. 测量分析（主机系统）</w:t>
            </w:r>
          </w:p>
        </w:tc>
        <w:tc>
          <w:tcPr>
            <w:tcW w:w="5967" w:type="dxa"/>
            <w:tcBorders>
              <w:tl2br w:val="nil"/>
              <w:tr2bl w:val="nil"/>
            </w:tcBorders>
            <w:noWrap w:val="0"/>
            <w:tcMar>
              <w:top w:w="150" w:type="dxa"/>
              <w:left w:w="240" w:type="dxa"/>
              <w:bottom w:w="150" w:type="dxa"/>
              <w:right w:w="0" w:type="dxa"/>
            </w:tcMar>
            <w:vAlign w:val="center"/>
          </w:tcPr>
          <w:p w14:paraId="4918B799">
            <w:pPr>
              <w:rPr>
                <w:rFonts w:hint="eastAsia" w:ascii="宋体" w:hAnsi="宋体" w:eastAsia="宋体" w:cs="宋体"/>
                <w:b w:val="0"/>
                <w:bCs w:val="0"/>
                <w:color w:val="auto"/>
                <w:sz w:val="21"/>
                <w:szCs w:val="21"/>
              </w:rPr>
            </w:pPr>
          </w:p>
        </w:tc>
      </w:tr>
      <w:tr w14:paraId="2584A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2CCD4A30">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10.1</w:t>
            </w:r>
          </w:p>
        </w:tc>
        <w:tc>
          <w:tcPr>
            <w:tcW w:w="5967" w:type="dxa"/>
            <w:tcBorders>
              <w:tl2br w:val="nil"/>
              <w:tr2bl w:val="nil"/>
            </w:tcBorders>
            <w:noWrap w:val="0"/>
            <w:tcMar>
              <w:top w:w="150" w:type="dxa"/>
              <w:left w:w="240" w:type="dxa"/>
              <w:bottom w:w="150" w:type="dxa"/>
              <w:right w:w="0" w:type="dxa"/>
            </w:tcMar>
            <w:vAlign w:val="center"/>
          </w:tcPr>
          <w:p w14:paraId="256F1AE4">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左心室分析软件：可测量舒张末期和收缩末期容积、射血分数、每搏输出量</w:t>
            </w:r>
          </w:p>
        </w:tc>
      </w:tr>
      <w:tr w14:paraId="1D308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067F0037">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10.2</w:t>
            </w:r>
          </w:p>
        </w:tc>
        <w:tc>
          <w:tcPr>
            <w:tcW w:w="5967" w:type="dxa"/>
            <w:tcBorders>
              <w:tl2br w:val="nil"/>
              <w:tr2bl w:val="nil"/>
            </w:tcBorders>
            <w:noWrap w:val="0"/>
            <w:tcMar>
              <w:top w:w="150" w:type="dxa"/>
              <w:left w:w="240" w:type="dxa"/>
              <w:bottom w:w="150" w:type="dxa"/>
              <w:right w:w="0" w:type="dxa"/>
            </w:tcMar>
            <w:vAlign w:val="center"/>
          </w:tcPr>
          <w:p w14:paraId="4D5C7D89">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提供不少于三种方法的室壁运动曲线测量</w:t>
            </w:r>
          </w:p>
        </w:tc>
      </w:tr>
      <w:tr w14:paraId="7D344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551C75D3">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10.3</w:t>
            </w:r>
          </w:p>
        </w:tc>
        <w:tc>
          <w:tcPr>
            <w:tcW w:w="5967" w:type="dxa"/>
            <w:tcBorders>
              <w:tl2br w:val="nil"/>
              <w:tr2bl w:val="nil"/>
            </w:tcBorders>
            <w:noWrap w:val="0"/>
            <w:tcMar>
              <w:top w:w="150" w:type="dxa"/>
              <w:left w:w="240" w:type="dxa"/>
              <w:bottom w:w="150" w:type="dxa"/>
              <w:right w:w="0" w:type="dxa"/>
            </w:tcMar>
            <w:vAlign w:val="center"/>
          </w:tcPr>
          <w:p w14:paraId="613FA707">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自动校正分析功能</w:t>
            </w:r>
          </w:p>
        </w:tc>
      </w:tr>
      <w:tr w14:paraId="79176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01FDF16A">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10.4</w:t>
            </w:r>
          </w:p>
        </w:tc>
        <w:tc>
          <w:tcPr>
            <w:tcW w:w="5967" w:type="dxa"/>
            <w:tcBorders>
              <w:tl2br w:val="nil"/>
              <w:tr2bl w:val="nil"/>
            </w:tcBorders>
            <w:noWrap w:val="0"/>
            <w:tcMar>
              <w:top w:w="150" w:type="dxa"/>
              <w:left w:w="240" w:type="dxa"/>
              <w:bottom w:w="150" w:type="dxa"/>
              <w:right w:w="0" w:type="dxa"/>
            </w:tcMar>
            <w:vAlign w:val="center"/>
          </w:tcPr>
          <w:p w14:paraId="1D7FA69F">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冠脉分析软件：可测量所选血管段直径、狭窄信息、截面积、狭窄百分比等</w:t>
            </w:r>
          </w:p>
        </w:tc>
      </w:tr>
      <w:tr w14:paraId="15A5C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1E796D64">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10.5</w:t>
            </w:r>
          </w:p>
        </w:tc>
        <w:tc>
          <w:tcPr>
            <w:tcW w:w="5967" w:type="dxa"/>
            <w:tcBorders>
              <w:tl2br w:val="nil"/>
              <w:tr2bl w:val="nil"/>
            </w:tcBorders>
            <w:noWrap w:val="0"/>
            <w:tcMar>
              <w:top w:w="150" w:type="dxa"/>
              <w:left w:w="240" w:type="dxa"/>
              <w:bottom w:w="150" w:type="dxa"/>
              <w:right w:w="0" w:type="dxa"/>
            </w:tcMar>
            <w:vAlign w:val="center"/>
          </w:tcPr>
          <w:p w14:paraId="5C92E504">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以上定量分析软件均可在主机（非工作站）上实现，并支持在机房内进行床边测量</w:t>
            </w:r>
          </w:p>
        </w:tc>
      </w:tr>
      <w:tr w14:paraId="7FA28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254E709D">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11. 旋转采集</w:t>
            </w:r>
          </w:p>
        </w:tc>
        <w:tc>
          <w:tcPr>
            <w:tcW w:w="5967" w:type="dxa"/>
            <w:tcBorders>
              <w:tl2br w:val="nil"/>
              <w:tr2bl w:val="nil"/>
            </w:tcBorders>
            <w:noWrap w:val="0"/>
            <w:tcMar>
              <w:top w:w="150" w:type="dxa"/>
              <w:left w:w="240" w:type="dxa"/>
              <w:bottom w:w="150" w:type="dxa"/>
              <w:right w:w="0" w:type="dxa"/>
            </w:tcMar>
            <w:vAlign w:val="center"/>
          </w:tcPr>
          <w:p w14:paraId="2B5BF290">
            <w:pPr>
              <w:rPr>
                <w:rFonts w:hint="eastAsia" w:ascii="宋体" w:hAnsi="宋体" w:eastAsia="宋体" w:cs="宋体"/>
                <w:b w:val="0"/>
                <w:bCs w:val="0"/>
                <w:color w:val="auto"/>
                <w:sz w:val="21"/>
                <w:szCs w:val="21"/>
              </w:rPr>
            </w:pPr>
          </w:p>
        </w:tc>
      </w:tr>
      <w:tr w14:paraId="0DDBA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1562AB0A">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11.1</w:t>
            </w:r>
          </w:p>
        </w:tc>
        <w:tc>
          <w:tcPr>
            <w:tcW w:w="5967" w:type="dxa"/>
            <w:tcBorders>
              <w:tl2br w:val="nil"/>
              <w:tr2bl w:val="nil"/>
            </w:tcBorders>
            <w:noWrap w:val="0"/>
            <w:tcMar>
              <w:top w:w="150" w:type="dxa"/>
              <w:left w:w="240" w:type="dxa"/>
              <w:bottom w:w="150" w:type="dxa"/>
              <w:right w:w="0" w:type="dxa"/>
            </w:tcMar>
            <w:vAlign w:val="center"/>
          </w:tcPr>
          <w:p w14:paraId="5EB9FA36">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L臂正位旋转采集时C臂旋转速度≥55°/s，有效覆盖范围≥200°</w:t>
            </w:r>
          </w:p>
        </w:tc>
      </w:tr>
      <w:tr w14:paraId="28C79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2FF9745C">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11.2</w:t>
            </w:r>
          </w:p>
        </w:tc>
        <w:tc>
          <w:tcPr>
            <w:tcW w:w="5967" w:type="dxa"/>
            <w:tcBorders>
              <w:tl2br w:val="nil"/>
              <w:tr2bl w:val="nil"/>
            </w:tcBorders>
            <w:noWrap w:val="0"/>
            <w:tcMar>
              <w:top w:w="150" w:type="dxa"/>
              <w:left w:w="240" w:type="dxa"/>
              <w:bottom w:w="150" w:type="dxa"/>
              <w:right w:w="0" w:type="dxa"/>
            </w:tcMar>
            <w:vAlign w:val="center"/>
          </w:tcPr>
          <w:p w14:paraId="6083D333">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1024采集模式下最快采集速度≥30幅/秒</w:t>
            </w:r>
          </w:p>
        </w:tc>
      </w:tr>
      <w:tr w14:paraId="7E5E4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520692CF">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11.3</w:t>
            </w:r>
          </w:p>
        </w:tc>
        <w:tc>
          <w:tcPr>
            <w:tcW w:w="5967" w:type="dxa"/>
            <w:tcBorders>
              <w:tl2br w:val="nil"/>
              <w:tr2bl w:val="nil"/>
            </w:tcBorders>
            <w:noWrap w:val="0"/>
            <w:tcMar>
              <w:top w:w="150" w:type="dxa"/>
              <w:left w:w="240" w:type="dxa"/>
              <w:bottom w:w="150" w:type="dxa"/>
              <w:right w:w="0" w:type="dxa"/>
            </w:tcMar>
            <w:vAlign w:val="center"/>
          </w:tcPr>
          <w:p w14:paraId="025283FC">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具备实时减影功能</w:t>
            </w:r>
          </w:p>
        </w:tc>
      </w:tr>
      <w:tr w14:paraId="58C63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3E797447">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12. 网络与接口</w:t>
            </w:r>
          </w:p>
        </w:tc>
        <w:tc>
          <w:tcPr>
            <w:tcW w:w="5967" w:type="dxa"/>
            <w:tcBorders>
              <w:tl2br w:val="nil"/>
              <w:tr2bl w:val="nil"/>
            </w:tcBorders>
            <w:noWrap w:val="0"/>
            <w:tcMar>
              <w:top w:w="150" w:type="dxa"/>
              <w:left w:w="240" w:type="dxa"/>
              <w:bottom w:w="150" w:type="dxa"/>
              <w:right w:w="0" w:type="dxa"/>
            </w:tcMar>
            <w:vAlign w:val="center"/>
          </w:tcPr>
          <w:p w14:paraId="7270212D">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无缝对接院内PACS、LIS系统</w:t>
            </w:r>
          </w:p>
        </w:tc>
      </w:tr>
      <w:tr w14:paraId="3DB6F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1CDF25C8">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12.1</w:t>
            </w:r>
          </w:p>
        </w:tc>
        <w:tc>
          <w:tcPr>
            <w:tcW w:w="5967" w:type="dxa"/>
            <w:tcBorders>
              <w:tl2br w:val="nil"/>
              <w:tr2bl w:val="nil"/>
            </w:tcBorders>
            <w:noWrap w:val="0"/>
            <w:tcMar>
              <w:top w:w="150" w:type="dxa"/>
              <w:left w:w="240" w:type="dxa"/>
              <w:bottom w:w="150" w:type="dxa"/>
              <w:right w:w="0" w:type="dxa"/>
            </w:tcMar>
            <w:vAlign w:val="center"/>
          </w:tcPr>
          <w:p w14:paraId="23BC876F">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具备DICOM Send功能</w:t>
            </w:r>
          </w:p>
        </w:tc>
      </w:tr>
      <w:tr w14:paraId="626EB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13826FEC">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12.2</w:t>
            </w:r>
          </w:p>
        </w:tc>
        <w:tc>
          <w:tcPr>
            <w:tcW w:w="5967" w:type="dxa"/>
            <w:tcBorders>
              <w:tl2br w:val="nil"/>
              <w:tr2bl w:val="nil"/>
            </w:tcBorders>
            <w:noWrap w:val="0"/>
            <w:tcMar>
              <w:top w:w="150" w:type="dxa"/>
              <w:left w:w="240" w:type="dxa"/>
              <w:bottom w:w="150" w:type="dxa"/>
              <w:right w:w="0" w:type="dxa"/>
            </w:tcMar>
            <w:vAlign w:val="center"/>
          </w:tcPr>
          <w:p w14:paraId="5715DCE8">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具备DICOM Print功能</w:t>
            </w:r>
          </w:p>
        </w:tc>
      </w:tr>
      <w:tr w14:paraId="3FA04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3BCE5A91">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12.3</w:t>
            </w:r>
          </w:p>
        </w:tc>
        <w:tc>
          <w:tcPr>
            <w:tcW w:w="5967" w:type="dxa"/>
            <w:tcBorders>
              <w:tl2br w:val="nil"/>
              <w:tr2bl w:val="nil"/>
            </w:tcBorders>
            <w:noWrap w:val="0"/>
            <w:tcMar>
              <w:top w:w="150" w:type="dxa"/>
              <w:left w:w="240" w:type="dxa"/>
              <w:bottom w:w="150" w:type="dxa"/>
              <w:right w:w="0" w:type="dxa"/>
            </w:tcMar>
            <w:vAlign w:val="center"/>
          </w:tcPr>
          <w:p w14:paraId="39022243">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具备DICOM Query/Retrieve功能</w:t>
            </w:r>
          </w:p>
        </w:tc>
      </w:tr>
      <w:tr w14:paraId="02EC2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5C2EA2FA">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12.4</w:t>
            </w:r>
          </w:p>
        </w:tc>
        <w:tc>
          <w:tcPr>
            <w:tcW w:w="5967" w:type="dxa"/>
            <w:tcBorders>
              <w:tl2br w:val="nil"/>
              <w:tr2bl w:val="nil"/>
            </w:tcBorders>
            <w:noWrap w:val="0"/>
            <w:tcMar>
              <w:top w:w="150" w:type="dxa"/>
              <w:left w:w="240" w:type="dxa"/>
              <w:bottom w:w="150" w:type="dxa"/>
              <w:right w:w="0" w:type="dxa"/>
            </w:tcMar>
            <w:vAlign w:val="center"/>
          </w:tcPr>
          <w:p w14:paraId="2ABD7A2D">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具备DICOM Worklist功能</w:t>
            </w:r>
          </w:p>
        </w:tc>
      </w:tr>
      <w:tr w14:paraId="3099F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1855C068">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12.5</w:t>
            </w:r>
          </w:p>
        </w:tc>
        <w:tc>
          <w:tcPr>
            <w:tcW w:w="5967" w:type="dxa"/>
            <w:tcBorders>
              <w:tl2br w:val="nil"/>
              <w:tr2bl w:val="nil"/>
            </w:tcBorders>
            <w:noWrap w:val="0"/>
            <w:tcMar>
              <w:top w:w="150" w:type="dxa"/>
              <w:left w:w="240" w:type="dxa"/>
              <w:bottom w:w="150" w:type="dxa"/>
              <w:right w:w="0" w:type="dxa"/>
            </w:tcMar>
            <w:vAlign w:val="center"/>
          </w:tcPr>
          <w:p w14:paraId="2BCF0898">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具备DICOM MPPS功能</w:t>
            </w:r>
          </w:p>
        </w:tc>
      </w:tr>
      <w:tr w14:paraId="35C15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5A1B8CA0">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12.6</w:t>
            </w:r>
          </w:p>
        </w:tc>
        <w:tc>
          <w:tcPr>
            <w:tcW w:w="5967" w:type="dxa"/>
            <w:tcBorders>
              <w:tl2br w:val="nil"/>
              <w:tr2bl w:val="nil"/>
            </w:tcBorders>
            <w:noWrap w:val="0"/>
            <w:tcMar>
              <w:top w:w="150" w:type="dxa"/>
              <w:left w:w="240" w:type="dxa"/>
              <w:bottom w:w="150" w:type="dxa"/>
              <w:right w:w="0" w:type="dxa"/>
            </w:tcMar>
            <w:vAlign w:val="center"/>
          </w:tcPr>
          <w:p w14:paraId="0F635A92">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具备激光相机接口和高压注射器接口</w:t>
            </w:r>
          </w:p>
        </w:tc>
      </w:tr>
      <w:tr w14:paraId="3A7ED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33739461">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13. 附件</w:t>
            </w:r>
          </w:p>
        </w:tc>
        <w:tc>
          <w:tcPr>
            <w:tcW w:w="5967" w:type="dxa"/>
            <w:tcBorders>
              <w:tl2br w:val="nil"/>
              <w:tr2bl w:val="nil"/>
            </w:tcBorders>
            <w:noWrap w:val="0"/>
            <w:tcMar>
              <w:top w:w="150" w:type="dxa"/>
              <w:left w:w="240" w:type="dxa"/>
              <w:bottom w:w="150" w:type="dxa"/>
              <w:right w:w="0" w:type="dxa"/>
            </w:tcMar>
            <w:vAlign w:val="center"/>
          </w:tcPr>
          <w:p w14:paraId="74EED198">
            <w:pPr>
              <w:rPr>
                <w:rFonts w:hint="eastAsia" w:ascii="宋体" w:hAnsi="宋体" w:eastAsia="宋体" w:cs="宋体"/>
                <w:b w:val="0"/>
                <w:bCs w:val="0"/>
                <w:color w:val="auto"/>
                <w:sz w:val="21"/>
                <w:szCs w:val="21"/>
              </w:rPr>
            </w:pPr>
          </w:p>
        </w:tc>
      </w:tr>
      <w:tr w14:paraId="15E01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398461FF">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13.1</w:t>
            </w:r>
          </w:p>
        </w:tc>
        <w:tc>
          <w:tcPr>
            <w:tcW w:w="5967" w:type="dxa"/>
            <w:tcBorders>
              <w:tl2br w:val="nil"/>
              <w:tr2bl w:val="nil"/>
            </w:tcBorders>
            <w:noWrap w:val="0"/>
            <w:tcMar>
              <w:top w:w="150" w:type="dxa"/>
              <w:left w:w="240" w:type="dxa"/>
              <w:bottom w:w="150" w:type="dxa"/>
              <w:right w:w="0" w:type="dxa"/>
            </w:tcMar>
            <w:vAlign w:val="center"/>
          </w:tcPr>
          <w:p w14:paraId="649400C7">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具备整个系统的升级能力</w:t>
            </w:r>
          </w:p>
        </w:tc>
      </w:tr>
      <w:tr w14:paraId="2F46F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4731360F">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13.2</w:t>
            </w:r>
          </w:p>
        </w:tc>
        <w:tc>
          <w:tcPr>
            <w:tcW w:w="5967" w:type="dxa"/>
            <w:tcBorders>
              <w:tl2br w:val="nil"/>
              <w:tr2bl w:val="nil"/>
            </w:tcBorders>
            <w:noWrap w:val="0"/>
            <w:tcMar>
              <w:top w:w="150" w:type="dxa"/>
              <w:left w:w="240" w:type="dxa"/>
              <w:bottom w:w="150" w:type="dxa"/>
              <w:right w:w="0" w:type="dxa"/>
            </w:tcMar>
            <w:vAlign w:val="center"/>
          </w:tcPr>
          <w:p w14:paraId="4D2DA928">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具备双向对讲系统</w:t>
            </w:r>
          </w:p>
        </w:tc>
      </w:tr>
      <w:tr w14:paraId="44AE3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591E985A">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13.3</w:t>
            </w:r>
          </w:p>
        </w:tc>
        <w:tc>
          <w:tcPr>
            <w:tcW w:w="5967" w:type="dxa"/>
            <w:tcBorders>
              <w:tl2br w:val="nil"/>
              <w:tr2bl w:val="nil"/>
            </w:tcBorders>
            <w:noWrap w:val="0"/>
            <w:tcMar>
              <w:top w:w="150" w:type="dxa"/>
              <w:left w:w="240" w:type="dxa"/>
              <w:bottom w:w="150" w:type="dxa"/>
              <w:right w:w="0" w:type="dxa"/>
            </w:tcMar>
            <w:vAlign w:val="center"/>
          </w:tcPr>
          <w:p w14:paraId="75C47FBE">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具备图像处理操作面板</w:t>
            </w:r>
          </w:p>
        </w:tc>
      </w:tr>
      <w:tr w14:paraId="79B79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0E686E38">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13.4</w:t>
            </w:r>
          </w:p>
        </w:tc>
        <w:tc>
          <w:tcPr>
            <w:tcW w:w="5967" w:type="dxa"/>
            <w:tcBorders>
              <w:tl2br w:val="nil"/>
              <w:tr2bl w:val="nil"/>
            </w:tcBorders>
            <w:noWrap w:val="0"/>
            <w:tcMar>
              <w:top w:w="150" w:type="dxa"/>
              <w:left w:w="240" w:type="dxa"/>
              <w:bottom w:w="150" w:type="dxa"/>
              <w:right w:w="0" w:type="dxa"/>
            </w:tcMar>
            <w:vAlign w:val="center"/>
          </w:tcPr>
          <w:p w14:paraId="6BD04941">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具备红外遥控器（≥2个）</w:t>
            </w:r>
          </w:p>
        </w:tc>
      </w:tr>
      <w:tr w14:paraId="77FE1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06C1DC98">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13.5</w:t>
            </w:r>
          </w:p>
        </w:tc>
        <w:tc>
          <w:tcPr>
            <w:tcW w:w="5967" w:type="dxa"/>
            <w:tcBorders>
              <w:tl2br w:val="nil"/>
              <w:tr2bl w:val="nil"/>
            </w:tcBorders>
            <w:noWrap w:val="0"/>
            <w:tcMar>
              <w:top w:w="150" w:type="dxa"/>
              <w:left w:w="240" w:type="dxa"/>
              <w:bottom w:w="150" w:type="dxa"/>
              <w:right w:w="0" w:type="dxa"/>
            </w:tcMar>
            <w:vAlign w:val="center"/>
          </w:tcPr>
          <w:p w14:paraId="4CB6590C">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红外遥控器具有激光灯指示功能</w:t>
            </w:r>
          </w:p>
        </w:tc>
      </w:tr>
      <w:tr w14:paraId="74923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7615F810">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13.6</w:t>
            </w:r>
          </w:p>
        </w:tc>
        <w:tc>
          <w:tcPr>
            <w:tcW w:w="5967" w:type="dxa"/>
            <w:tcBorders>
              <w:tl2br w:val="nil"/>
              <w:tr2bl w:val="nil"/>
            </w:tcBorders>
            <w:noWrap w:val="0"/>
            <w:tcMar>
              <w:top w:w="150" w:type="dxa"/>
              <w:left w:w="240" w:type="dxa"/>
              <w:bottom w:w="150" w:type="dxa"/>
              <w:right w:w="0" w:type="dxa"/>
            </w:tcMar>
            <w:vAlign w:val="center"/>
          </w:tcPr>
          <w:p w14:paraId="5422A4FC">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具备悬吊式射线防护屏</w:t>
            </w:r>
          </w:p>
        </w:tc>
      </w:tr>
      <w:tr w14:paraId="1B652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0E51F0B5">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13.7</w:t>
            </w:r>
          </w:p>
        </w:tc>
        <w:tc>
          <w:tcPr>
            <w:tcW w:w="5967" w:type="dxa"/>
            <w:tcBorders>
              <w:tl2br w:val="nil"/>
              <w:tr2bl w:val="nil"/>
            </w:tcBorders>
            <w:noWrap w:val="0"/>
            <w:tcMar>
              <w:top w:w="150" w:type="dxa"/>
              <w:left w:w="240" w:type="dxa"/>
              <w:bottom w:w="150" w:type="dxa"/>
              <w:right w:w="0" w:type="dxa"/>
            </w:tcMar>
            <w:vAlign w:val="center"/>
          </w:tcPr>
          <w:p w14:paraId="77327133">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具备床旁射线防护帘</w:t>
            </w:r>
          </w:p>
        </w:tc>
      </w:tr>
      <w:tr w14:paraId="422B6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20E99FE1">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13.8</w:t>
            </w:r>
          </w:p>
        </w:tc>
        <w:tc>
          <w:tcPr>
            <w:tcW w:w="5967" w:type="dxa"/>
            <w:tcBorders>
              <w:tl2br w:val="nil"/>
              <w:tr2bl w:val="nil"/>
            </w:tcBorders>
            <w:noWrap w:val="0"/>
            <w:tcMar>
              <w:top w:w="150" w:type="dxa"/>
              <w:left w:w="240" w:type="dxa"/>
              <w:bottom w:w="150" w:type="dxa"/>
              <w:right w:w="0" w:type="dxa"/>
            </w:tcMar>
            <w:vAlign w:val="center"/>
          </w:tcPr>
          <w:p w14:paraId="5939BA92">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具备悬吊式手术灯</w:t>
            </w:r>
          </w:p>
        </w:tc>
      </w:tr>
      <w:tr w14:paraId="6AF42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7F28A5C4">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13.9</w:t>
            </w:r>
          </w:p>
        </w:tc>
        <w:tc>
          <w:tcPr>
            <w:tcW w:w="5967" w:type="dxa"/>
            <w:tcBorders>
              <w:tl2br w:val="nil"/>
              <w:tr2bl w:val="nil"/>
            </w:tcBorders>
            <w:noWrap w:val="0"/>
            <w:tcMar>
              <w:top w:w="150" w:type="dxa"/>
              <w:left w:w="240" w:type="dxa"/>
              <w:bottom w:w="150" w:type="dxa"/>
              <w:right w:w="0" w:type="dxa"/>
            </w:tcMar>
            <w:vAlign w:val="center"/>
          </w:tcPr>
          <w:p w14:paraId="1496B397">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提供中文操作手册</w:t>
            </w:r>
          </w:p>
        </w:tc>
      </w:tr>
      <w:tr w14:paraId="599FE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19FFD612">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14. 智能路径图功能</w:t>
            </w:r>
          </w:p>
        </w:tc>
        <w:tc>
          <w:tcPr>
            <w:tcW w:w="5967" w:type="dxa"/>
            <w:tcBorders>
              <w:tl2br w:val="nil"/>
              <w:tr2bl w:val="nil"/>
            </w:tcBorders>
            <w:noWrap w:val="0"/>
            <w:tcMar>
              <w:top w:w="150" w:type="dxa"/>
              <w:left w:w="240" w:type="dxa"/>
              <w:bottom w:w="150" w:type="dxa"/>
              <w:right w:w="0" w:type="dxa"/>
            </w:tcMar>
            <w:vAlign w:val="center"/>
          </w:tcPr>
          <w:p w14:paraId="2568ADA2">
            <w:pPr>
              <w:rPr>
                <w:rFonts w:hint="eastAsia" w:ascii="宋体" w:hAnsi="宋体" w:eastAsia="宋体" w:cs="宋体"/>
                <w:b w:val="0"/>
                <w:bCs w:val="0"/>
                <w:color w:val="auto"/>
                <w:sz w:val="21"/>
                <w:szCs w:val="21"/>
              </w:rPr>
            </w:pPr>
          </w:p>
        </w:tc>
      </w:tr>
      <w:tr w14:paraId="42828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5127FAEC">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14.1</w:t>
            </w:r>
          </w:p>
        </w:tc>
        <w:tc>
          <w:tcPr>
            <w:tcW w:w="5967" w:type="dxa"/>
            <w:tcBorders>
              <w:tl2br w:val="nil"/>
              <w:tr2bl w:val="nil"/>
            </w:tcBorders>
            <w:noWrap w:val="0"/>
            <w:tcMar>
              <w:top w:w="150" w:type="dxa"/>
              <w:left w:w="240" w:type="dxa"/>
              <w:bottom w:w="150" w:type="dxa"/>
              <w:right w:w="0" w:type="dxa"/>
            </w:tcMar>
            <w:vAlign w:val="center"/>
          </w:tcPr>
          <w:p w14:paraId="56319734">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可针对脑血管、胸部、腹部等不同检查部位设置专门的路径图参数，并可在床旁液晶触摸屏上直接调整参数</w:t>
            </w:r>
          </w:p>
        </w:tc>
      </w:tr>
      <w:tr w14:paraId="3F39F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49398CF8">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14.2</w:t>
            </w:r>
          </w:p>
        </w:tc>
        <w:tc>
          <w:tcPr>
            <w:tcW w:w="5967" w:type="dxa"/>
            <w:tcBorders>
              <w:tl2br w:val="nil"/>
              <w:tr2bl w:val="nil"/>
            </w:tcBorders>
            <w:noWrap w:val="0"/>
            <w:tcMar>
              <w:top w:w="150" w:type="dxa"/>
              <w:left w:w="240" w:type="dxa"/>
              <w:bottom w:w="150" w:type="dxa"/>
              <w:right w:w="0" w:type="dxa"/>
            </w:tcMar>
            <w:vAlign w:val="center"/>
          </w:tcPr>
          <w:p w14:paraId="11D3FEA9">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可在床旁液晶触摸屏上选择针对导管引导、打胶、放置弹簧圈等不同介入操作的专门路径图模式</w:t>
            </w:r>
          </w:p>
        </w:tc>
      </w:tr>
      <w:tr w14:paraId="56663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058D9C27">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14.3</w:t>
            </w:r>
          </w:p>
        </w:tc>
        <w:tc>
          <w:tcPr>
            <w:tcW w:w="5967" w:type="dxa"/>
            <w:tcBorders>
              <w:tl2br w:val="nil"/>
              <w:tr2bl w:val="nil"/>
            </w:tcBorders>
            <w:noWrap w:val="0"/>
            <w:tcMar>
              <w:top w:w="150" w:type="dxa"/>
              <w:left w:w="240" w:type="dxa"/>
              <w:bottom w:w="150" w:type="dxa"/>
              <w:right w:w="0" w:type="dxa"/>
            </w:tcMar>
            <w:vAlign w:val="center"/>
          </w:tcPr>
          <w:p w14:paraId="01CD61A6">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医生可自定义针对特殊介入操作类型的路径图显示模式</w:t>
            </w:r>
          </w:p>
        </w:tc>
      </w:tr>
      <w:tr w14:paraId="1D048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346D5A7C">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14.4</w:t>
            </w:r>
          </w:p>
        </w:tc>
        <w:tc>
          <w:tcPr>
            <w:tcW w:w="5967" w:type="dxa"/>
            <w:tcBorders>
              <w:tl2br w:val="nil"/>
              <w:tr2bl w:val="nil"/>
            </w:tcBorders>
            <w:noWrap w:val="0"/>
            <w:tcMar>
              <w:top w:w="150" w:type="dxa"/>
              <w:left w:w="240" w:type="dxa"/>
              <w:bottom w:w="150" w:type="dxa"/>
              <w:right w:w="0" w:type="dxa"/>
            </w:tcMar>
            <w:vAlign w:val="center"/>
          </w:tcPr>
          <w:p w14:paraId="0245954B">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在不同路径图模式下，可对路径图中的减影血管影像、介入植入物（导丝导管、胶、弹簧圈等）、解剖背景的亮度分别进行独立调节，以满足复杂介入操作引导的需要</w:t>
            </w:r>
          </w:p>
        </w:tc>
      </w:tr>
      <w:tr w14:paraId="1EF7B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7BBABF76">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14.5</w:t>
            </w:r>
          </w:p>
        </w:tc>
        <w:tc>
          <w:tcPr>
            <w:tcW w:w="5967" w:type="dxa"/>
            <w:tcBorders>
              <w:tl2br w:val="nil"/>
              <w:tr2bl w:val="nil"/>
            </w:tcBorders>
            <w:noWrap w:val="0"/>
            <w:tcMar>
              <w:top w:w="150" w:type="dxa"/>
              <w:left w:w="240" w:type="dxa"/>
              <w:bottom w:w="150" w:type="dxa"/>
              <w:right w:w="0" w:type="dxa"/>
            </w:tcMar>
            <w:vAlign w:val="center"/>
          </w:tcPr>
          <w:p w14:paraId="39470895">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液晶触摸屏上具备专门的路径图运动伪影自动消除键，可随时对由于病人微小运动导致的路径图伪影进行自动实时补偿校正，有效减少运动伪影的影响</w:t>
            </w:r>
          </w:p>
        </w:tc>
      </w:tr>
      <w:tr w14:paraId="4BA14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33E8A939">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15. 组合蒙片功能</w:t>
            </w:r>
          </w:p>
        </w:tc>
        <w:tc>
          <w:tcPr>
            <w:tcW w:w="5967" w:type="dxa"/>
            <w:tcBorders>
              <w:tl2br w:val="nil"/>
              <w:tr2bl w:val="nil"/>
            </w:tcBorders>
            <w:noWrap w:val="0"/>
            <w:tcMar>
              <w:top w:w="150" w:type="dxa"/>
              <w:left w:w="240" w:type="dxa"/>
              <w:bottom w:w="150" w:type="dxa"/>
              <w:right w:w="0" w:type="dxa"/>
            </w:tcMar>
            <w:vAlign w:val="center"/>
          </w:tcPr>
          <w:p w14:paraId="77325C79">
            <w:pPr>
              <w:rPr>
                <w:rFonts w:hint="eastAsia" w:ascii="宋体" w:hAnsi="宋体" w:eastAsia="宋体" w:cs="宋体"/>
                <w:b w:val="0"/>
                <w:bCs w:val="0"/>
                <w:color w:val="auto"/>
                <w:sz w:val="21"/>
                <w:szCs w:val="21"/>
              </w:rPr>
            </w:pPr>
          </w:p>
        </w:tc>
      </w:tr>
      <w:tr w14:paraId="6191B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6842A185">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15.1</w:t>
            </w:r>
          </w:p>
        </w:tc>
        <w:tc>
          <w:tcPr>
            <w:tcW w:w="5967" w:type="dxa"/>
            <w:tcBorders>
              <w:tl2br w:val="nil"/>
              <w:tr2bl w:val="nil"/>
            </w:tcBorders>
            <w:noWrap w:val="0"/>
            <w:tcMar>
              <w:top w:w="150" w:type="dxa"/>
              <w:left w:w="240" w:type="dxa"/>
              <w:bottom w:w="150" w:type="dxa"/>
              <w:right w:w="0" w:type="dxa"/>
            </w:tcMar>
            <w:vAlign w:val="center"/>
          </w:tcPr>
          <w:p w14:paraId="6A354EBD">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可对用于实时DSA的蒙片数量进行实时组合优化，以明显降低蒙片的背景噪声，提高DSA图像质量</w:t>
            </w:r>
          </w:p>
        </w:tc>
      </w:tr>
      <w:tr w14:paraId="20F9B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73435E18">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15.2</w:t>
            </w:r>
          </w:p>
        </w:tc>
        <w:tc>
          <w:tcPr>
            <w:tcW w:w="5967" w:type="dxa"/>
            <w:tcBorders>
              <w:tl2br w:val="nil"/>
              <w:tr2bl w:val="nil"/>
            </w:tcBorders>
            <w:noWrap w:val="0"/>
            <w:tcMar>
              <w:top w:w="150" w:type="dxa"/>
              <w:left w:w="240" w:type="dxa"/>
              <w:bottom w:w="150" w:type="dxa"/>
              <w:right w:w="0" w:type="dxa"/>
            </w:tcMar>
            <w:vAlign w:val="center"/>
          </w:tcPr>
          <w:p w14:paraId="073F2983">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可对用于实时DSA的蒙片数量进行实时组合优化，在保持相同噪声水平的前提下，明显降低辐射剂量</w:t>
            </w:r>
          </w:p>
        </w:tc>
      </w:tr>
      <w:tr w14:paraId="456EA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3E35DB3E">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15.3</w:t>
            </w:r>
          </w:p>
        </w:tc>
        <w:tc>
          <w:tcPr>
            <w:tcW w:w="5967" w:type="dxa"/>
            <w:tcBorders>
              <w:tl2br w:val="nil"/>
              <w:tr2bl w:val="nil"/>
            </w:tcBorders>
            <w:noWrap w:val="0"/>
            <w:tcMar>
              <w:top w:w="150" w:type="dxa"/>
              <w:left w:w="240" w:type="dxa"/>
              <w:bottom w:w="150" w:type="dxa"/>
              <w:right w:w="0" w:type="dxa"/>
            </w:tcMar>
            <w:vAlign w:val="center"/>
          </w:tcPr>
          <w:p w14:paraId="2D5DEF30">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在实时DSA图像显示前的瞬间，可显示组合蒙片图像</w:t>
            </w:r>
          </w:p>
        </w:tc>
      </w:tr>
      <w:tr w14:paraId="45810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13B059D8">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15.4</w:t>
            </w:r>
          </w:p>
        </w:tc>
        <w:tc>
          <w:tcPr>
            <w:tcW w:w="5967" w:type="dxa"/>
            <w:tcBorders>
              <w:tl2br w:val="nil"/>
              <w:tr2bl w:val="nil"/>
            </w:tcBorders>
            <w:noWrap w:val="0"/>
            <w:tcMar>
              <w:top w:w="150" w:type="dxa"/>
              <w:left w:w="240" w:type="dxa"/>
              <w:bottom w:w="150" w:type="dxa"/>
              <w:right w:w="0" w:type="dxa"/>
            </w:tcMar>
            <w:vAlign w:val="center"/>
          </w:tcPr>
          <w:p w14:paraId="3B3479C5">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最大组合蒙片数量≥5幅</w:t>
            </w:r>
          </w:p>
        </w:tc>
      </w:tr>
      <w:tr w14:paraId="0D8CD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56E8C0B9">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15.5</w:t>
            </w:r>
          </w:p>
        </w:tc>
        <w:tc>
          <w:tcPr>
            <w:tcW w:w="5967" w:type="dxa"/>
            <w:tcBorders>
              <w:tl2br w:val="nil"/>
              <w:tr2bl w:val="nil"/>
            </w:tcBorders>
            <w:noWrap w:val="0"/>
            <w:tcMar>
              <w:top w:w="150" w:type="dxa"/>
              <w:left w:w="240" w:type="dxa"/>
              <w:bottom w:w="150" w:type="dxa"/>
              <w:right w:w="0" w:type="dxa"/>
            </w:tcMar>
            <w:vAlign w:val="center"/>
          </w:tcPr>
          <w:p w14:paraId="78EE561E">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可针对不同检查部位进行蒙片数量的个性化组合，以满足不同部位的成像特点</w:t>
            </w:r>
          </w:p>
        </w:tc>
      </w:tr>
      <w:tr w14:paraId="68732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1C7FEA81">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16. 射线剂量防护技术</w:t>
            </w:r>
          </w:p>
        </w:tc>
        <w:tc>
          <w:tcPr>
            <w:tcW w:w="5967" w:type="dxa"/>
            <w:tcBorders>
              <w:tl2br w:val="nil"/>
              <w:tr2bl w:val="nil"/>
            </w:tcBorders>
            <w:noWrap w:val="0"/>
            <w:tcMar>
              <w:top w:w="150" w:type="dxa"/>
              <w:left w:w="240" w:type="dxa"/>
              <w:bottom w:w="150" w:type="dxa"/>
              <w:right w:w="0" w:type="dxa"/>
            </w:tcMar>
            <w:vAlign w:val="center"/>
          </w:tcPr>
          <w:p w14:paraId="3871C3AC">
            <w:pPr>
              <w:rPr>
                <w:rFonts w:hint="eastAsia" w:ascii="宋体" w:hAnsi="宋体" w:eastAsia="宋体" w:cs="宋体"/>
                <w:b w:val="0"/>
                <w:bCs w:val="0"/>
                <w:color w:val="auto"/>
                <w:sz w:val="21"/>
                <w:szCs w:val="21"/>
              </w:rPr>
            </w:pPr>
          </w:p>
        </w:tc>
      </w:tr>
      <w:tr w14:paraId="3B4AB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34ABEACF">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16.1</w:t>
            </w:r>
          </w:p>
        </w:tc>
        <w:tc>
          <w:tcPr>
            <w:tcW w:w="5967" w:type="dxa"/>
            <w:tcBorders>
              <w:tl2br w:val="nil"/>
              <w:tr2bl w:val="nil"/>
            </w:tcBorders>
            <w:noWrap w:val="0"/>
            <w:tcMar>
              <w:top w:w="150" w:type="dxa"/>
              <w:left w:w="240" w:type="dxa"/>
              <w:bottom w:w="150" w:type="dxa"/>
              <w:right w:w="0" w:type="dxa"/>
            </w:tcMar>
            <w:vAlign w:val="center"/>
          </w:tcPr>
          <w:p w14:paraId="3971A88B">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采用铜滤片自动插入技术消除软射线，最厚铜滤片≥0.9mm</w:t>
            </w:r>
          </w:p>
        </w:tc>
      </w:tr>
      <w:tr w14:paraId="76C2E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0E88316E">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16.2</w:t>
            </w:r>
          </w:p>
        </w:tc>
        <w:tc>
          <w:tcPr>
            <w:tcW w:w="5967" w:type="dxa"/>
            <w:tcBorders>
              <w:tl2br w:val="nil"/>
              <w:tr2bl w:val="nil"/>
            </w:tcBorders>
            <w:noWrap w:val="0"/>
            <w:tcMar>
              <w:top w:w="150" w:type="dxa"/>
              <w:left w:w="240" w:type="dxa"/>
              <w:bottom w:w="150" w:type="dxa"/>
              <w:right w:w="0" w:type="dxa"/>
            </w:tcMar>
            <w:vAlign w:val="center"/>
          </w:tcPr>
          <w:p w14:paraId="531509EB">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铜滤片数量≥3片，具备自动和手动两种方式</w:t>
            </w:r>
          </w:p>
        </w:tc>
      </w:tr>
      <w:tr w14:paraId="7BF4C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58D36915">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16.3</w:t>
            </w:r>
          </w:p>
        </w:tc>
        <w:tc>
          <w:tcPr>
            <w:tcW w:w="5967" w:type="dxa"/>
            <w:tcBorders>
              <w:tl2br w:val="nil"/>
              <w:tr2bl w:val="nil"/>
            </w:tcBorders>
            <w:noWrap w:val="0"/>
            <w:tcMar>
              <w:top w:w="150" w:type="dxa"/>
              <w:left w:w="240" w:type="dxa"/>
              <w:bottom w:w="150" w:type="dxa"/>
              <w:right w:w="0" w:type="dxa"/>
            </w:tcMar>
            <w:vAlign w:val="center"/>
          </w:tcPr>
          <w:p w14:paraId="2C16A764">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具备球管内置栅控技术</w:t>
            </w:r>
          </w:p>
        </w:tc>
      </w:tr>
      <w:tr w14:paraId="58288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308A82AA">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16.4</w:t>
            </w:r>
          </w:p>
        </w:tc>
        <w:tc>
          <w:tcPr>
            <w:tcW w:w="5967" w:type="dxa"/>
            <w:tcBorders>
              <w:tl2br w:val="nil"/>
              <w:tr2bl w:val="nil"/>
            </w:tcBorders>
            <w:noWrap w:val="0"/>
            <w:tcMar>
              <w:top w:w="150" w:type="dxa"/>
              <w:left w:w="240" w:type="dxa"/>
              <w:bottom w:w="150" w:type="dxa"/>
              <w:right w:w="0" w:type="dxa"/>
            </w:tcMar>
            <w:vAlign w:val="center"/>
          </w:tcPr>
          <w:p w14:paraId="3C4B0FBB">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在透视冻结图像上可实现无射线调节遮光器和滤线栅位置</w:t>
            </w:r>
          </w:p>
        </w:tc>
      </w:tr>
      <w:tr w14:paraId="7DE18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2F4A39F9">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16.5</w:t>
            </w:r>
          </w:p>
        </w:tc>
        <w:tc>
          <w:tcPr>
            <w:tcW w:w="5967" w:type="dxa"/>
            <w:tcBorders>
              <w:tl2br w:val="nil"/>
              <w:tr2bl w:val="nil"/>
            </w:tcBorders>
            <w:noWrap w:val="0"/>
            <w:tcMar>
              <w:top w:w="150" w:type="dxa"/>
              <w:left w:w="240" w:type="dxa"/>
              <w:bottom w:w="150" w:type="dxa"/>
              <w:right w:w="0" w:type="dxa"/>
            </w:tcMar>
            <w:vAlign w:val="center"/>
          </w:tcPr>
          <w:p w14:paraId="3A97E7F4">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具备射线剂量监测功能：透视时显示表面剂量率；透视间期显示累积剂量、区域剂量和剂量限值</w:t>
            </w:r>
          </w:p>
        </w:tc>
      </w:tr>
      <w:tr w14:paraId="16C1F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26E9C391">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16.6</w:t>
            </w:r>
          </w:p>
        </w:tc>
        <w:tc>
          <w:tcPr>
            <w:tcW w:w="5967" w:type="dxa"/>
            <w:tcBorders>
              <w:tl2br w:val="nil"/>
              <w:tr2bl w:val="nil"/>
            </w:tcBorders>
            <w:noWrap w:val="0"/>
            <w:tcMar>
              <w:top w:w="150" w:type="dxa"/>
              <w:left w:w="240" w:type="dxa"/>
              <w:bottom w:w="150" w:type="dxa"/>
              <w:right w:w="0" w:type="dxa"/>
            </w:tcMar>
            <w:vAlign w:val="center"/>
          </w:tcPr>
          <w:p w14:paraId="088C61CB">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配备床下防护铅帘、床旁防护帘、悬吊式防护铅屏</w:t>
            </w:r>
          </w:p>
        </w:tc>
      </w:tr>
      <w:tr w14:paraId="216A3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31F164BA">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16.7</w:t>
            </w:r>
          </w:p>
        </w:tc>
        <w:tc>
          <w:tcPr>
            <w:tcW w:w="5967" w:type="dxa"/>
            <w:tcBorders>
              <w:tl2br w:val="nil"/>
              <w:tr2bl w:val="nil"/>
            </w:tcBorders>
            <w:noWrap w:val="0"/>
            <w:tcMar>
              <w:top w:w="150" w:type="dxa"/>
              <w:left w:w="240" w:type="dxa"/>
              <w:bottom w:w="150" w:type="dxa"/>
              <w:right w:w="0" w:type="dxa"/>
            </w:tcMar>
            <w:vAlign w:val="center"/>
          </w:tcPr>
          <w:p w14:paraId="336325F1">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具备无射线下定位功能</w:t>
            </w:r>
          </w:p>
        </w:tc>
      </w:tr>
      <w:tr w14:paraId="646FC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3510B328">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16.8</w:t>
            </w:r>
          </w:p>
        </w:tc>
        <w:tc>
          <w:tcPr>
            <w:tcW w:w="5967" w:type="dxa"/>
            <w:tcBorders>
              <w:tl2br w:val="nil"/>
              <w:tr2bl w:val="nil"/>
            </w:tcBorders>
            <w:noWrap w:val="0"/>
            <w:tcMar>
              <w:top w:w="150" w:type="dxa"/>
              <w:left w:w="240" w:type="dxa"/>
              <w:bottom w:w="150" w:type="dxa"/>
              <w:right w:w="0" w:type="dxa"/>
            </w:tcMar>
            <w:vAlign w:val="center"/>
          </w:tcPr>
          <w:p w14:paraId="306CD016">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检查床及平板移动或改变视野时，图像跟随位置变化并指示移动方向</w:t>
            </w:r>
          </w:p>
        </w:tc>
      </w:tr>
      <w:tr w14:paraId="0D41A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58903EC9">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16.9</w:t>
            </w:r>
          </w:p>
        </w:tc>
        <w:tc>
          <w:tcPr>
            <w:tcW w:w="5967" w:type="dxa"/>
            <w:tcBorders>
              <w:tl2br w:val="nil"/>
              <w:tr2bl w:val="nil"/>
            </w:tcBorders>
            <w:noWrap w:val="0"/>
            <w:tcMar>
              <w:top w:w="150" w:type="dxa"/>
              <w:left w:w="240" w:type="dxa"/>
              <w:bottom w:w="150" w:type="dxa"/>
              <w:right w:w="0" w:type="dxa"/>
            </w:tcMar>
            <w:vAlign w:val="center"/>
          </w:tcPr>
          <w:p w14:paraId="4CA232F0">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床旁可选择透视剂量档位≥3档，最低档位剂量≤5伦琴/分钟</w:t>
            </w:r>
          </w:p>
        </w:tc>
      </w:tr>
      <w:tr w14:paraId="65E10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4DA0F43C">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16.10</w:t>
            </w:r>
          </w:p>
        </w:tc>
        <w:tc>
          <w:tcPr>
            <w:tcW w:w="5967" w:type="dxa"/>
            <w:tcBorders>
              <w:tl2br w:val="nil"/>
              <w:tr2bl w:val="nil"/>
            </w:tcBorders>
            <w:noWrap w:val="0"/>
            <w:tcMar>
              <w:top w:w="150" w:type="dxa"/>
              <w:left w:w="240" w:type="dxa"/>
              <w:bottom w:w="150" w:type="dxa"/>
              <w:right w:w="0" w:type="dxa"/>
            </w:tcMar>
            <w:vAlign w:val="center"/>
          </w:tcPr>
          <w:p w14:paraId="545C71D8">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具备软件低剂量技术（如组合蒙片、低剂量脉冲采集等），在保证图像质量前提下整体降低医患受照剂量</w:t>
            </w:r>
          </w:p>
        </w:tc>
      </w:tr>
      <w:tr w14:paraId="2CDCF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6C9126B6">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17. 高级图像处理工作站</w:t>
            </w:r>
          </w:p>
        </w:tc>
        <w:tc>
          <w:tcPr>
            <w:tcW w:w="5967" w:type="dxa"/>
            <w:tcBorders>
              <w:tl2br w:val="nil"/>
              <w:tr2bl w:val="nil"/>
            </w:tcBorders>
            <w:noWrap w:val="0"/>
            <w:tcMar>
              <w:top w:w="150" w:type="dxa"/>
              <w:left w:w="240" w:type="dxa"/>
              <w:bottom w:w="150" w:type="dxa"/>
              <w:right w:w="0" w:type="dxa"/>
            </w:tcMar>
            <w:vAlign w:val="center"/>
          </w:tcPr>
          <w:p w14:paraId="61D40560">
            <w:pPr>
              <w:rPr>
                <w:rFonts w:hint="eastAsia" w:ascii="宋体" w:hAnsi="宋体" w:eastAsia="宋体" w:cs="宋体"/>
                <w:b w:val="0"/>
                <w:bCs w:val="0"/>
                <w:color w:val="auto"/>
                <w:sz w:val="21"/>
                <w:szCs w:val="21"/>
              </w:rPr>
            </w:pPr>
          </w:p>
        </w:tc>
      </w:tr>
      <w:tr w14:paraId="5ADBB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002CBD39">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17.1</w:t>
            </w:r>
          </w:p>
        </w:tc>
        <w:tc>
          <w:tcPr>
            <w:tcW w:w="5967" w:type="dxa"/>
            <w:tcBorders>
              <w:tl2br w:val="nil"/>
              <w:tr2bl w:val="nil"/>
            </w:tcBorders>
            <w:noWrap w:val="0"/>
            <w:tcMar>
              <w:top w:w="150" w:type="dxa"/>
              <w:left w:w="240" w:type="dxa"/>
              <w:bottom w:w="150" w:type="dxa"/>
              <w:right w:w="0" w:type="dxa"/>
            </w:tcMar>
            <w:vAlign w:val="center"/>
          </w:tcPr>
          <w:p w14:paraId="3CE998D9">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配备独立的原厂三维重建工作站（硬件和软件）</w:t>
            </w:r>
          </w:p>
        </w:tc>
      </w:tr>
      <w:tr w14:paraId="6D85E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1DD767BE">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17.2</w:t>
            </w:r>
          </w:p>
        </w:tc>
        <w:tc>
          <w:tcPr>
            <w:tcW w:w="5967" w:type="dxa"/>
            <w:tcBorders>
              <w:tl2br w:val="nil"/>
              <w:tr2bl w:val="nil"/>
            </w:tcBorders>
            <w:noWrap w:val="0"/>
            <w:tcMar>
              <w:top w:w="150" w:type="dxa"/>
              <w:left w:w="240" w:type="dxa"/>
              <w:bottom w:w="150" w:type="dxa"/>
              <w:right w:w="0" w:type="dxa"/>
            </w:tcMar>
            <w:vAlign w:val="center"/>
          </w:tcPr>
          <w:p w14:paraId="5391FB07">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机架旋转速度≥55°/s，覆盖范围≥200°</w:t>
            </w:r>
          </w:p>
        </w:tc>
      </w:tr>
      <w:tr w14:paraId="37D1F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531AB096">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17.3</w:t>
            </w:r>
          </w:p>
        </w:tc>
        <w:tc>
          <w:tcPr>
            <w:tcW w:w="5967" w:type="dxa"/>
            <w:tcBorders>
              <w:tl2br w:val="nil"/>
              <w:tr2bl w:val="nil"/>
            </w:tcBorders>
            <w:noWrap w:val="0"/>
            <w:tcMar>
              <w:top w:w="150" w:type="dxa"/>
              <w:left w:w="240" w:type="dxa"/>
              <w:bottom w:w="150" w:type="dxa"/>
              <w:right w:w="0" w:type="dxa"/>
            </w:tcMar>
            <w:vAlign w:val="center"/>
          </w:tcPr>
          <w:p w14:paraId="47B29CE7">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机架可在头位及侧位进行三维采集</w:t>
            </w:r>
          </w:p>
        </w:tc>
      </w:tr>
      <w:tr w14:paraId="138D8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16D4BCE4">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17.4</w:t>
            </w:r>
          </w:p>
        </w:tc>
        <w:tc>
          <w:tcPr>
            <w:tcW w:w="5967" w:type="dxa"/>
            <w:tcBorders>
              <w:tl2br w:val="nil"/>
              <w:tr2bl w:val="nil"/>
            </w:tcBorders>
            <w:noWrap w:val="0"/>
            <w:tcMar>
              <w:top w:w="150" w:type="dxa"/>
              <w:left w:w="240" w:type="dxa"/>
              <w:bottom w:w="150" w:type="dxa"/>
              <w:right w:w="0" w:type="dxa"/>
            </w:tcMar>
            <w:vAlign w:val="center"/>
          </w:tcPr>
          <w:p w14:paraId="55131FC9">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具备体积/表面重建、最大密度投影、虚拟支架、类CT软组织成像、虚拟内窥镜、模拟机架位、钙化斑成像、透明血管成像等功能</w:t>
            </w:r>
          </w:p>
        </w:tc>
      </w:tr>
      <w:tr w14:paraId="3ADC1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5FD7F1F7">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17.5</w:t>
            </w:r>
          </w:p>
        </w:tc>
        <w:tc>
          <w:tcPr>
            <w:tcW w:w="5967" w:type="dxa"/>
            <w:tcBorders>
              <w:tl2br w:val="nil"/>
              <w:tr2bl w:val="nil"/>
            </w:tcBorders>
            <w:noWrap w:val="0"/>
            <w:tcMar>
              <w:top w:w="150" w:type="dxa"/>
              <w:left w:w="240" w:type="dxa"/>
              <w:bottom w:w="150" w:type="dxa"/>
              <w:right w:w="0" w:type="dxa"/>
            </w:tcMar>
            <w:vAlign w:val="center"/>
          </w:tcPr>
          <w:p w14:paraId="3C4FF7A8">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具备局部放大重建功能</w:t>
            </w:r>
          </w:p>
        </w:tc>
      </w:tr>
      <w:tr w14:paraId="1463A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71430151">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17.6</w:t>
            </w:r>
          </w:p>
        </w:tc>
        <w:tc>
          <w:tcPr>
            <w:tcW w:w="5967" w:type="dxa"/>
            <w:tcBorders>
              <w:tl2br w:val="nil"/>
              <w:tr2bl w:val="nil"/>
            </w:tcBorders>
            <w:noWrap w:val="0"/>
            <w:tcMar>
              <w:top w:w="150" w:type="dxa"/>
              <w:left w:w="240" w:type="dxa"/>
              <w:bottom w:w="150" w:type="dxa"/>
              <w:right w:w="0" w:type="dxa"/>
            </w:tcMar>
            <w:vAlign w:val="center"/>
          </w:tcPr>
          <w:p w14:paraId="692E62D7">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具备专用脊柱三维采集程序及脊柱重建功能</w:t>
            </w:r>
          </w:p>
        </w:tc>
      </w:tr>
      <w:tr w14:paraId="45DFA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1F7EE189">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17.7</w:t>
            </w:r>
          </w:p>
        </w:tc>
        <w:tc>
          <w:tcPr>
            <w:tcW w:w="5967" w:type="dxa"/>
            <w:tcBorders>
              <w:tl2br w:val="nil"/>
              <w:tr2bl w:val="nil"/>
            </w:tcBorders>
            <w:noWrap w:val="0"/>
            <w:tcMar>
              <w:top w:w="150" w:type="dxa"/>
              <w:left w:w="240" w:type="dxa"/>
              <w:bottom w:w="150" w:type="dxa"/>
              <w:right w:w="0" w:type="dxa"/>
            </w:tcMar>
            <w:vAlign w:val="center"/>
          </w:tcPr>
          <w:p w14:paraId="0E64CEFF">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具备钙化斑块重建功能</w:t>
            </w:r>
          </w:p>
        </w:tc>
      </w:tr>
      <w:tr w14:paraId="2D8B4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23EBC52D">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17.8</w:t>
            </w:r>
          </w:p>
        </w:tc>
        <w:tc>
          <w:tcPr>
            <w:tcW w:w="5967" w:type="dxa"/>
            <w:tcBorders>
              <w:tl2br w:val="nil"/>
              <w:tr2bl w:val="nil"/>
            </w:tcBorders>
            <w:noWrap w:val="0"/>
            <w:tcMar>
              <w:top w:w="150" w:type="dxa"/>
              <w:left w:w="240" w:type="dxa"/>
              <w:bottom w:w="150" w:type="dxa"/>
              <w:right w:w="0" w:type="dxa"/>
            </w:tcMar>
            <w:vAlign w:val="center"/>
          </w:tcPr>
          <w:p w14:paraId="172E3A1A">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具备距离测量和体积测量功能</w:t>
            </w:r>
          </w:p>
        </w:tc>
      </w:tr>
      <w:tr w14:paraId="34A46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52A0EA6A">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17.9</w:t>
            </w:r>
          </w:p>
        </w:tc>
        <w:tc>
          <w:tcPr>
            <w:tcW w:w="5967" w:type="dxa"/>
            <w:tcBorders>
              <w:tl2br w:val="nil"/>
              <w:tr2bl w:val="nil"/>
            </w:tcBorders>
            <w:noWrap w:val="0"/>
            <w:tcMar>
              <w:top w:w="150" w:type="dxa"/>
              <w:left w:w="240" w:type="dxa"/>
              <w:bottom w:w="150" w:type="dxa"/>
              <w:right w:w="0" w:type="dxa"/>
            </w:tcMar>
            <w:vAlign w:val="center"/>
          </w:tcPr>
          <w:p w14:paraId="549A04A0">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具备三维自动血管分析功能</w:t>
            </w:r>
          </w:p>
        </w:tc>
      </w:tr>
      <w:tr w14:paraId="5D54F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30CD87A1">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17.10</w:t>
            </w:r>
          </w:p>
        </w:tc>
        <w:tc>
          <w:tcPr>
            <w:tcW w:w="5967" w:type="dxa"/>
            <w:tcBorders>
              <w:tl2br w:val="nil"/>
              <w:tr2bl w:val="nil"/>
            </w:tcBorders>
            <w:noWrap w:val="0"/>
            <w:tcMar>
              <w:top w:w="150" w:type="dxa"/>
              <w:left w:w="240" w:type="dxa"/>
              <w:bottom w:w="150" w:type="dxa"/>
              <w:right w:w="0" w:type="dxa"/>
            </w:tcMar>
            <w:vAlign w:val="center"/>
          </w:tcPr>
          <w:p w14:paraId="78DEC197">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具备头颅/脑血管专用三维采集协议，以及动脉瘤自动分析、导管头模拟塑形功能</w:t>
            </w:r>
          </w:p>
        </w:tc>
      </w:tr>
      <w:tr w14:paraId="78A0C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180C39F5">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17.11</w:t>
            </w:r>
          </w:p>
        </w:tc>
        <w:tc>
          <w:tcPr>
            <w:tcW w:w="5967" w:type="dxa"/>
            <w:tcBorders>
              <w:tl2br w:val="nil"/>
              <w:tr2bl w:val="nil"/>
            </w:tcBorders>
            <w:noWrap w:val="0"/>
            <w:tcMar>
              <w:top w:w="150" w:type="dxa"/>
              <w:left w:w="240" w:type="dxa"/>
              <w:bottom w:w="150" w:type="dxa"/>
              <w:right w:w="0" w:type="dxa"/>
            </w:tcMar>
            <w:vAlign w:val="center"/>
          </w:tcPr>
          <w:p w14:paraId="12DB20A4">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仅凭造影序列即可重建出三维图像，无需蒙片序列，以减少曝光、加快手术进程</w:t>
            </w:r>
          </w:p>
        </w:tc>
      </w:tr>
      <w:tr w14:paraId="3D0DB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14B8D6FB">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18.</w:t>
            </w:r>
          </w:p>
        </w:tc>
        <w:tc>
          <w:tcPr>
            <w:tcW w:w="5967" w:type="dxa"/>
            <w:tcBorders>
              <w:tl2br w:val="nil"/>
              <w:tr2bl w:val="nil"/>
            </w:tcBorders>
            <w:noWrap w:val="0"/>
            <w:tcMar>
              <w:top w:w="150" w:type="dxa"/>
              <w:left w:w="240" w:type="dxa"/>
              <w:bottom w:w="150" w:type="dxa"/>
              <w:right w:w="0" w:type="dxa"/>
            </w:tcMar>
            <w:vAlign w:val="center"/>
          </w:tcPr>
          <w:p w14:paraId="61C840A9">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具备下肢追踪功能</w:t>
            </w:r>
          </w:p>
        </w:tc>
      </w:tr>
      <w:tr w14:paraId="0D4C7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457482EF">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19.</w:t>
            </w:r>
          </w:p>
        </w:tc>
        <w:tc>
          <w:tcPr>
            <w:tcW w:w="5967" w:type="dxa"/>
            <w:tcBorders>
              <w:tl2br w:val="nil"/>
              <w:tr2bl w:val="nil"/>
            </w:tcBorders>
            <w:noWrap w:val="0"/>
            <w:tcMar>
              <w:top w:w="150" w:type="dxa"/>
              <w:left w:w="240" w:type="dxa"/>
              <w:bottom w:w="150" w:type="dxa"/>
              <w:right w:w="0" w:type="dxa"/>
            </w:tcMar>
            <w:vAlign w:val="center"/>
          </w:tcPr>
          <w:p w14:paraId="6F80F67A">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具备实时冠脉支架精显功能</w:t>
            </w:r>
          </w:p>
        </w:tc>
      </w:tr>
      <w:tr w14:paraId="48E12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59E61CC0">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20.</w:t>
            </w:r>
          </w:p>
        </w:tc>
        <w:tc>
          <w:tcPr>
            <w:tcW w:w="5967" w:type="dxa"/>
            <w:tcBorders>
              <w:tl2br w:val="nil"/>
              <w:tr2bl w:val="nil"/>
            </w:tcBorders>
            <w:noWrap w:val="0"/>
            <w:tcMar>
              <w:top w:w="150" w:type="dxa"/>
              <w:left w:w="240" w:type="dxa"/>
              <w:bottom w:w="150" w:type="dxa"/>
              <w:right w:w="0" w:type="dxa"/>
            </w:tcMar>
            <w:vAlign w:val="center"/>
          </w:tcPr>
          <w:p w14:paraId="2410E586">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所有高级软件保证永久使用、终身免费基础升级，无使用期限限制</w:t>
            </w:r>
          </w:p>
        </w:tc>
      </w:tr>
      <w:tr w14:paraId="36675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013" w:type="dxa"/>
            <w:gridSpan w:val="2"/>
            <w:tcBorders>
              <w:tl2br w:val="nil"/>
              <w:tr2bl w:val="nil"/>
            </w:tcBorders>
            <w:noWrap w:val="0"/>
            <w:tcMar>
              <w:top w:w="150" w:type="dxa"/>
              <w:left w:w="0" w:type="dxa"/>
              <w:bottom w:w="150" w:type="dxa"/>
              <w:right w:w="240" w:type="dxa"/>
            </w:tcMar>
            <w:vAlign w:val="center"/>
          </w:tcPr>
          <w:p w14:paraId="6667FD3A">
            <w:pPr>
              <w:jc w:val="both"/>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第三方配套设备</w:t>
            </w:r>
          </w:p>
        </w:tc>
      </w:tr>
      <w:tr w14:paraId="672A2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23D5E060">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21.1 高压注射器（1台）</w:t>
            </w:r>
          </w:p>
        </w:tc>
        <w:tc>
          <w:tcPr>
            <w:tcW w:w="5967" w:type="dxa"/>
            <w:tcBorders>
              <w:tl2br w:val="nil"/>
              <w:tr2bl w:val="nil"/>
            </w:tcBorders>
            <w:noWrap w:val="0"/>
            <w:tcMar>
              <w:top w:w="150" w:type="dxa"/>
              <w:left w:w="240" w:type="dxa"/>
              <w:bottom w:w="150" w:type="dxa"/>
              <w:right w:w="0" w:type="dxa"/>
            </w:tcMar>
            <w:vAlign w:val="center"/>
          </w:tcPr>
          <w:p w14:paraId="176076FE">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 DSA专用高压注射系统</w:t>
            </w:r>
            <w:r>
              <w:rPr>
                <w:rFonts w:hint="eastAsia" w:ascii="宋体" w:hAnsi="宋体" w:eastAsia="宋体" w:cs="宋体"/>
                <w:b w:val="0"/>
                <w:bCs w:val="0"/>
                <w:color w:val="auto"/>
                <w:spacing w:val="11"/>
                <w:kern w:val="0"/>
                <w:position w:val="0"/>
                <w:sz w:val="21"/>
                <w:szCs w:val="21"/>
                <w:lang w:val="en-US" w:eastAsia="zh-CN" w:bidi="ar"/>
              </w:rPr>
              <w:br w:type="textWrapping"/>
            </w:r>
            <w:r>
              <w:rPr>
                <w:rFonts w:hint="eastAsia" w:ascii="宋体" w:hAnsi="宋体" w:eastAsia="宋体" w:cs="宋体"/>
                <w:b w:val="0"/>
                <w:bCs w:val="0"/>
                <w:color w:val="auto"/>
                <w:spacing w:val="11"/>
                <w:kern w:val="0"/>
                <w:position w:val="0"/>
                <w:sz w:val="21"/>
                <w:szCs w:val="21"/>
                <w:lang w:val="en-US" w:eastAsia="zh-CN" w:bidi="ar"/>
              </w:rPr>
              <w:t>2. 中文操作界面：彩色LCD触控显示屏，支持中文显示</w:t>
            </w:r>
            <w:r>
              <w:rPr>
                <w:rFonts w:hint="eastAsia" w:ascii="宋体" w:hAnsi="宋体" w:eastAsia="宋体" w:cs="宋体"/>
                <w:b w:val="0"/>
                <w:bCs w:val="0"/>
                <w:color w:val="auto"/>
                <w:spacing w:val="11"/>
                <w:kern w:val="0"/>
                <w:position w:val="0"/>
                <w:sz w:val="21"/>
                <w:szCs w:val="21"/>
                <w:lang w:val="en-US" w:eastAsia="zh-CN" w:bidi="ar"/>
              </w:rPr>
              <w:br w:type="textWrapping"/>
            </w:r>
            <w:r>
              <w:rPr>
                <w:rFonts w:hint="eastAsia" w:ascii="宋体" w:hAnsi="宋体" w:eastAsia="宋体" w:cs="宋体"/>
                <w:b w:val="0"/>
                <w:bCs w:val="0"/>
                <w:color w:val="auto"/>
                <w:spacing w:val="11"/>
                <w:kern w:val="0"/>
                <w:position w:val="0"/>
                <w:sz w:val="21"/>
                <w:szCs w:val="21"/>
                <w:lang w:val="en-US" w:eastAsia="zh-CN" w:bidi="ar"/>
              </w:rPr>
              <w:t>▲3. 注射速度：0.1～45.0ml/s，增量0.1ml/s（单次和分阶段）；0.1～59.9ml/min，增量0.1ml/min（单次）</w:t>
            </w:r>
            <w:r>
              <w:rPr>
                <w:rFonts w:hint="eastAsia" w:ascii="宋体" w:hAnsi="宋体" w:eastAsia="宋体" w:cs="宋体"/>
                <w:b w:val="0"/>
                <w:bCs w:val="0"/>
                <w:color w:val="auto"/>
                <w:spacing w:val="11"/>
                <w:kern w:val="0"/>
                <w:position w:val="0"/>
                <w:sz w:val="21"/>
                <w:szCs w:val="21"/>
                <w:lang w:val="en-US" w:eastAsia="zh-CN" w:bidi="ar"/>
              </w:rPr>
              <w:br w:type="textWrapping"/>
            </w:r>
            <w:r>
              <w:rPr>
                <w:rFonts w:hint="eastAsia" w:ascii="宋体" w:hAnsi="宋体" w:eastAsia="宋体" w:cs="宋体"/>
                <w:b w:val="0"/>
                <w:bCs w:val="0"/>
                <w:color w:val="auto"/>
                <w:spacing w:val="11"/>
                <w:kern w:val="0"/>
                <w:position w:val="0"/>
                <w:sz w:val="21"/>
                <w:szCs w:val="21"/>
                <w:lang w:val="en-US" w:eastAsia="zh-CN" w:bidi="ar"/>
              </w:rPr>
              <w:t>4. 具备可变流速注射功能，匹配手控开关操作，变速注射流速1～10ml/s，以0.1ml/s递增</w:t>
            </w:r>
            <w:r>
              <w:rPr>
                <w:rFonts w:hint="eastAsia" w:ascii="宋体" w:hAnsi="宋体" w:eastAsia="宋体" w:cs="宋体"/>
                <w:b w:val="0"/>
                <w:bCs w:val="0"/>
                <w:color w:val="auto"/>
                <w:spacing w:val="11"/>
                <w:kern w:val="0"/>
                <w:position w:val="0"/>
                <w:sz w:val="21"/>
                <w:szCs w:val="21"/>
                <w:lang w:val="en-US" w:eastAsia="zh-CN" w:bidi="ar"/>
              </w:rPr>
              <w:br w:type="textWrapping"/>
            </w:r>
            <w:r>
              <w:rPr>
                <w:rFonts w:hint="eastAsia" w:ascii="宋体" w:hAnsi="宋体" w:eastAsia="宋体" w:cs="宋体"/>
                <w:b w:val="0"/>
                <w:bCs w:val="0"/>
                <w:color w:val="auto"/>
                <w:spacing w:val="11"/>
                <w:kern w:val="0"/>
                <w:position w:val="0"/>
                <w:sz w:val="21"/>
                <w:szCs w:val="21"/>
                <w:lang w:val="en-US" w:eastAsia="zh-CN" w:bidi="ar"/>
              </w:rPr>
              <w:t>5. 可存储最近50次注射历史记录</w:t>
            </w:r>
            <w:r>
              <w:rPr>
                <w:rFonts w:hint="eastAsia" w:ascii="宋体" w:hAnsi="宋体" w:eastAsia="宋体" w:cs="宋体"/>
                <w:b w:val="0"/>
                <w:bCs w:val="0"/>
                <w:color w:val="auto"/>
                <w:spacing w:val="11"/>
                <w:kern w:val="0"/>
                <w:position w:val="0"/>
                <w:sz w:val="21"/>
                <w:szCs w:val="21"/>
                <w:lang w:val="en-US" w:eastAsia="zh-CN" w:bidi="ar"/>
              </w:rPr>
              <w:br w:type="textWrapping"/>
            </w:r>
            <w:r>
              <w:rPr>
                <w:rFonts w:hint="eastAsia" w:ascii="宋体" w:hAnsi="宋体" w:eastAsia="宋体" w:cs="宋体"/>
                <w:b w:val="0"/>
                <w:bCs w:val="0"/>
                <w:color w:val="auto"/>
                <w:spacing w:val="11"/>
                <w:kern w:val="0"/>
                <w:position w:val="0"/>
                <w:sz w:val="21"/>
                <w:szCs w:val="21"/>
                <w:lang w:val="en-US" w:eastAsia="zh-CN" w:bidi="ar"/>
              </w:rPr>
              <w:t>6. 注射时相≥4相</w:t>
            </w:r>
            <w:r>
              <w:rPr>
                <w:rFonts w:hint="eastAsia" w:ascii="宋体" w:hAnsi="宋体" w:eastAsia="宋体" w:cs="宋体"/>
                <w:b w:val="0"/>
                <w:bCs w:val="0"/>
                <w:color w:val="auto"/>
                <w:spacing w:val="11"/>
                <w:kern w:val="0"/>
                <w:position w:val="0"/>
                <w:sz w:val="21"/>
                <w:szCs w:val="21"/>
                <w:lang w:val="en-US" w:eastAsia="zh-CN" w:bidi="ar"/>
              </w:rPr>
              <w:br w:type="textWrapping"/>
            </w:r>
            <w:r>
              <w:rPr>
                <w:rFonts w:hint="eastAsia" w:ascii="宋体" w:hAnsi="宋体" w:eastAsia="宋体" w:cs="宋体"/>
                <w:b w:val="0"/>
                <w:bCs w:val="0"/>
                <w:color w:val="auto"/>
                <w:spacing w:val="11"/>
                <w:kern w:val="0"/>
                <w:position w:val="0"/>
                <w:sz w:val="21"/>
                <w:szCs w:val="21"/>
                <w:lang w:val="en-US" w:eastAsia="zh-CN" w:bidi="ar"/>
              </w:rPr>
              <w:t>7. 注射头具备位置传感器，可感应吸药、自动排气及识别注射操作的正确位置</w:t>
            </w:r>
            <w:r>
              <w:rPr>
                <w:rFonts w:hint="eastAsia" w:ascii="宋体" w:hAnsi="宋体" w:eastAsia="宋体" w:cs="宋体"/>
                <w:b w:val="0"/>
                <w:bCs w:val="0"/>
                <w:color w:val="auto"/>
                <w:spacing w:val="11"/>
                <w:kern w:val="0"/>
                <w:position w:val="0"/>
                <w:sz w:val="21"/>
                <w:szCs w:val="21"/>
                <w:lang w:val="en-US" w:eastAsia="zh-CN" w:bidi="ar"/>
              </w:rPr>
              <w:br w:type="textWrapping"/>
            </w:r>
            <w:r>
              <w:rPr>
                <w:rFonts w:hint="eastAsia" w:ascii="宋体" w:hAnsi="宋体" w:eastAsia="宋体" w:cs="宋体"/>
                <w:b w:val="0"/>
                <w:bCs w:val="0"/>
                <w:color w:val="auto"/>
                <w:spacing w:val="11"/>
                <w:kern w:val="0"/>
                <w:position w:val="0"/>
                <w:sz w:val="21"/>
                <w:szCs w:val="21"/>
                <w:lang w:val="en-US" w:eastAsia="zh-CN" w:bidi="ar"/>
              </w:rPr>
              <w:t>8. 压力范围100～1200psi，增量1psi</w:t>
            </w:r>
          </w:p>
        </w:tc>
      </w:tr>
      <w:tr w14:paraId="18CBD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15AC29FA">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21.2 监护仪（1台）</w:t>
            </w:r>
          </w:p>
        </w:tc>
        <w:tc>
          <w:tcPr>
            <w:tcW w:w="5967" w:type="dxa"/>
            <w:tcBorders>
              <w:tl2br w:val="nil"/>
              <w:tr2bl w:val="nil"/>
            </w:tcBorders>
            <w:noWrap w:val="0"/>
            <w:tcMar>
              <w:top w:w="150" w:type="dxa"/>
              <w:left w:w="240" w:type="dxa"/>
              <w:bottom w:w="150" w:type="dxa"/>
              <w:right w:w="0" w:type="dxa"/>
            </w:tcMar>
            <w:vAlign w:val="center"/>
          </w:tcPr>
          <w:p w14:paraId="5E3D3ECF">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 主机屏幕≥12英寸彩色医用专业显示屏，支持棉签操作，减少交叉感染；分辨率≥1280×800</w:t>
            </w:r>
            <w:r>
              <w:rPr>
                <w:rFonts w:hint="eastAsia" w:ascii="宋体" w:hAnsi="宋体" w:eastAsia="宋体" w:cs="宋体"/>
                <w:b w:val="0"/>
                <w:bCs w:val="0"/>
                <w:color w:val="auto"/>
                <w:spacing w:val="11"/>
                <w:kern w:val="0"/>
                <w:position w:val="0"/>
                <w:sz w:val="21"/>
                <w:szCs w:val="21"/>
                <w:lang w:val="en-US" w:eastAsia="zh-CN" w:bidi="ar"/>
              </w:rPr>
              <w:br w:type="textWrapping"/>
            </w:r>
            <w:r>
              <w:rPr>
                <w:rFonts w:hint="eastAsia" w:ascii="宋体" w:hAnsi="宋体" w:eastAsia="宋体" w:cs="宋体"/>
                <w:b w:val="0"/>
                <w:bCs w:val="0"/>
                <w:color w:val="auto"/>
                <w:spacing w:val="11"/>
                <w:kern w:val="0"/>
                <w:position w:val="0"/>
                <w:sz w:val="21"/>
                <w:szCs w:val="21"/>
                <w:lang w:val="en-US" w:eastAsia="zh-CN" w:bidi="ar"/>
              </w:rPr>
              <w:t>2. 多功能测量模块：一个模块可同时整合呼气末二氧化碳、有创血压和体温三个监测参数</w:t>
            </w:r>
            <w:r>
              <w:rPr>
                <w:rFonts w:hint="eastAsia" w:ascii="宋体" w:hAnsi="宋体" w:eastAsia="宋体" w:cs="宋体"/>
                <w:b w:val="0"/>
                <w:bCs w:val="0"/>
                <w:color w:val="auto"/>
                <w:spacing w:val="11"/>
                <w:kern w:val="0"/>
                <w:position w:val="0"/>
                <w:sz w:val="21"/>
                <w:szCs w:val="21"/>
                <w:lang w:val="en-US" w:eastAsia="zh-CN" w:bidi="ar"/>
              </w:rPr>
              <w:br w:type="textWrapping"/>
            </w:r>
            <w:r>
              <w:rPr>
                <w:rFonts w:hint="eastAsia" w:ascii="宋体" w:hAnsi="宋体" w:eastAsia="宋体" w:cs="宋体"/>
                <w:b w:val="0"/>
                <w:bCs w:val="0"/>
                <w:color w:val="auto"/>
                <w:spacing w:val="11"/>
                <w:kern w:val="0"/>
                <w:position w:val="0"/>
                <w:sz w:val="21"/>
                <w:szCs w:val="21"/>
                <w:lang w:val="en-US" w:eastAsia="zh-CN" w:bidi="ar"/>
              </w:rPr>
              <w:t>3. 心电监测：采用≤6个电极获得12导联心电，测量准确；心电分析算法须采用国际公认的三种金标准算法（如Marquette 12SL、Mortara ECG等）之一</w:t>
            </w:r>
            <w:r>
              <w:rPr>
                <w:rFonts w:hint="eastAsia" w:ascii="宋体" w:hAnsi="宋体" w:eastAsia="宋体" w:cs="宋体"/>
                <w:b w:val="0"/>
                <w:bCs w:val="0"/>
                <w:color w:val="auto"/>
                <w:spacing w:val="11"/>
                <w:kern w:val="0"/>
                <w:position w:val="0"/>
                <w:sz w:val="21"/>
                <w:szCs w:val="21"/>
                <w:lang w:val="en-US" w:eastAsia="zh-CN" w:bidi="ar"/>
              </w:rPr>
              <w:br w:type="textWrapping"/>
            </w:r>
            <w:r>
              <w:rPr>
                <w:rFonts w:hint="eastAsia" w:ascii="宋体" w:hAnsi="宋体" w:eastAsia="宋体" w:cs="宋体"/>
                <w:b w:val="0"/>
                <w:bCs w:val="0"/>
                <w:color w:val="auto"/>
                <w:spacing w:val="11"/>
                <w:kern w:val="0"/>
                <w:position w:val="0"/>
                <w:sz w:val="21"/>
                <w:szCs w:val="21"/>
                <w:lang w:val="en-US" w:eastAsia="zh-CN" w:bidi="ar"/>
              </w:rPr>
              <w:t>4. 无创血压双参考点校正（血管内测量法和水银柱测量法）；具有手动、自动、快速及序列四种监测模式</w:t>
            </w:r>
            <w:r>
              <w:rPr>
                <w:rFonts w:hint="eastAsia" w:ascii="宋体" w:hAnsi="宋体" w:eastAsia="宋体" w:cs="宋体"/>
                <w:b w:val="0"/>
                <w:bCs w:val="0"/>
                <w:color w:val="auto"/>
                <w:spacing w:val="11"/>
                <w:kern w:val="0"/>
                <w:position w:val="0"/>
                <w:sz w:val="21"/>
                <w:szCs w:val="21"/>
                <w:lang w:val="en-US" w:eastAsia="zh-CN" w:bidi="ar"/>
              </w:rPr>
              <w:br w:type="textWrapping"/>
            </w:r>
            <w:r>
              <w:rPr>
                <w:rFonts w:hint="eastAsia" w:ascii="宋体" w:hAnsi="宋体" w:eastAsia="宋体" w:cs="宋体"/>
                <w:b w:val="0"/>
                <w:bCs w:val="0"/>
                <w:color w:val="auto"/>
                <w:spacing w:val="11"/>
                <w:kern w:val="0"/>
                <w:position w:val="0"/>
                <w:sz w:val="21"/>
                <w:szCs w:val="21"/>
                <w:lang w:val="en-US" w:eastAsia="zh-CN" w:bidi="ar"/>
              </w:rPr>
              <w:t>5. 脉搏血氧饱和度：具备防运动和抗低灌注干扰功能，提供灌注指数（Perf）和信号质量指示器，评估患者末梢灌注和数值可靠性</w:t>
            </w:r>
            <w:r>
              <w:rPr>
                <w:rFonts w:hint="eastAsia" w:ascii="宋体" w:hAnsi="宋体" w:eastAsia="宋体" w:cs="宋体"/>
                <w:b w:val="0"/>
                <w:bCs w:val="0"/>
                <w:color w:val="auto"/>
                <w:spacing w:val="11"/>
                <w:kern w:val="0"/>
                <w:position w:val="0"/>
                <w:sz w:val="21"/>
                <w:szCs w:val="21"/>
                <w:lang w:val="en-US" w:eastAsia="zh-CN" w:bidi="ar"/>
              </w:rPr>
              <w:br w:type="textWrapping"/>
            </w:r>
            <w:r>
              <w:rPr>
                <w:rFonts w:hint="eastAsia" w:ascii="宋体" w:hAnsi="宋体" w:eastAsia="宋体" w:cs="宋体"/>
                <w:b w:val="0"/>
                <w:bCs w:val="0"/>
                <w:color w:val="auto"/>
                <w:spacing w:val="11"/>
                <w:kern w:val="0"/>
                <w:position w:val="0"/>
                <w:sz w:val="21"/>
                <w:szCs w:val="21"/>
                <w:lang w:val="en-US" w:eastAsia="zh-CN" w:bidi="ar"/>
              </w:rPr>
              <w:t>6. 体温：可升级一次性和可重复使用体温探头，根据不同测量部位显示相应温度标识（如皮肤温、肛温、鼻咽温等）</w:t>
            </w:r>
            <w:r>
              <w:rPr>
                <w:rFonts w:hint="eastAsia" w:ascii="宋体" w:hAnsi="宋体" w:eastAsia="宋体" w:cs="宋体"/>
                <w:b w:val="0"/>
                <w:bCs w:val="0"/>
                <w:color w:val="auto"/>
                <w:spacing w:val="11"/>
                <w:kern w:val="0"/>
                <w:position w:val="0"/>
                <w:sz w:val="21"/>
                <w:szCs w:val="21"/>
                <w:lang w:val="en-US" w:eastAsia="zh-CN" w:bidi="ar"/>
              </w:rPr>
              <w:br w:type="textWrapping"/>
            </w:r>
            <w:r>
              <w:rPr>
                <w:rFonts w:hint="eastAsia" w:ascii="宋体" w:hAnsi="宋体" w:eastAsia="宋体" w:cs="宋体"/>
                <w:b w:val="0"/>
                <w:bCs w:val="0"/>
                <w:color w:val="auto"/>
                <w:spacing w:val="11"/>
                <w:kern w:val="0"/>
                <w:position w:val="0"/>
                <w:sz w:val="21"/>
                <w:szCs w:val="21"/>
                <w:lang w:val="en-US" w:eastAsia="zh-CN" w:bidi="ar"/>
              </w:rPr>
              <w:t>7. 呼气末二氧化碳：可升级，支持主路与旁路一体化设计，通过更换附件实现两种监测方式</w:t>
            </w:r>
            <w:r>
              <w:rPr>
                <w:rFonts w:hint="eastAsia" w:ascii="宋体" w:hAnsi="宋体" w:eastAsia="宋体" w:cs="宋体"/>
                <w:b w:val="0"/>
                <w:bCs w:val="0"/>
                <w:color w:val="auto"/>
                <w:spacing w:val="11"/>
                <w:kern w:val="0"/>
                <w:position w:val="0"/>
                <w:sz w:val="21"/>
                <w:szCs w:val="21"/>
                <w:lang w:val="en-US" w:eastAsia="zh-CN" w:bidi="ar"/>
              </w:rPr>
              <w:br w:type="textWrapping"/>
            </w:r>
            <w:r>
              <w:rPr>
                <w:rFonts w:hint="eastAsia" w:ascii="宋体" w:hAnsi="宋体" w:eastAsia="宋体" w:cs="宋体"/>
                <w:b w:val="0"/>
                <w:bCs w:val="0"/>
                <w:color w:val="auto"/>
                <w:spacing w:val="11"/>
                <w:kern w:val="0"/>
                <w:position w:val="0"/>
                <w:sz w:val="21"/>
                <w:szCs w:val="21"/>
                <w:lang w:val="en-US" w:eastAsia="zh-CN" w:bidi="ar"/>
              </w:rPr>
              <w:t>8. 十二导联ST段分析：数值以环形图形式标记，动态观察ST段变化趋势，辅助心肌缺血定位和临床治疗</w:t>
            </w:r>
          </w:p>
        </w:tc>
      </w:tr>
      <w:tr w14:paraId="24770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4707E21D">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21.3 除颤仪（1台）</w:t>
            </w:r>
          </w:p>
        </w:tc>
        <w:tc>
          <w:tcPr>
            <w:tcW w:w="5967" w:type="dxa"/>
            <w:tcBorders>
              <w:tl2br w:val="nil"/>
              <w:tr2bl w:val="nil"/>
            </w:tcBorders>
            <w:noWrap w:val="0"/>
            <w:tcMar>
              <w:top w:w="150" w:type="dxa"/>
              <w:left w:w="240" w:type="dxa"/>
              <w:bottom w:w="150" w:type="dxa"/>
              <w:right w:w="0" w:type="dxa"/>
            </w:tcMar>
            <w:vAlign w:val="center"/>
          </w:tcPr>
          <w:p w14:paraId="6F290F7F">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 低能量智能双相截顶波，根据病人阻抗调整除颤波形，保持最有效的经心电流；除颤最高能量≤200J，能量选择级数≥20级</w:t>
            </w:r>
            <w:r>
              <w:rPr>
                <w:rFonts w:hint="eastAsia" w:ascii="宋体" w:hAnsi="宋体" w:eastAsia="宋体" w:cs="宋体"/>
                <w:b w:val="0"/>
                <w:bCs w:val="0"/>
                <w:color w:val="auto"/>
                <w:spacing w:val="11"/>
                <w:kern w:val="0"/>
                <w:position w:val="0"/>
                <w:sz w:val="21"/>
                <w:szCs w:val="21"/>
                <w:lang w:val="en-US" w:eastAsia="zh-CN" w:bidi="ar"/>
              </w:rPr>
              <w:br w:type="textWrapping"/>
            </w:r>
            <w:r>
              <w:rPr>
                <w:rFonts w:hint="eastAsia" w:ascii="宋体" w:hAnsi="宋体" w:eastAsia="宋体" w:cs="宋体"/>
                <w:b w:val="0"/>
                <w:bCs w:val="0"/>
                <w:color w:val="auto"/>
                <w:spacing w:val="11"/>
                <w:kern w:val="0"/>
                <w:position w:val="0"/>
                <w:sz w:val="21"/>
                <w:szCs w:val="21"/>
                <w:lang w:val="en-US" w:eastAsia="zh-CN" w:bidi="ar"/>
              </w:rPr>
              <w:t>2. 显示屏≥7英寸高分辨率彩色TFT</w:t>
            </w:r>
            <w:r>
              <w:rPr>
                <w:rFonts w:hint="eastAsia" w:ascii="宋体" w:hAnsi="宋体" w:eastAsia="宋体" w:cs="宋体"/>
                <w:b w:val="0"/>
                <w:bCs w:val="0"/>
                <w:color w:val="auto"/>
                <w:spacing w:val="11"/>
                <w:kern w:val="0"/>
                <w:position w:val="0"/>
                <w:sz w:val="21"/>
                <w:szCs w:val="21"/>
                <w:lang w:val="en-US" w:eastAsia="zh-CN" w:bidi="ar"/>
              </w:rPr>
              <w:br w:type="textWrapping"/>
            </w:r>
            <w:r>
              <w:rPr>
                <w:rFonts w:hint="eastAsia" w:ascii="宋体" w:hAnsi="宋体" w:eastAsia="宋体" w:cs="宋体"/>
                <w:b w:val="0"/>
                <w:bCs w:val="0"/>
                <w:color w:val="auto"/>
                <w:spacing w:val="11"/>
                <w:kern w:val="0"/>
                <w:position w:val="0"/>
                <w:sz w:val="21"/>
                <w:szCs w:val="21"/>
                <w:lang w:val="en-US" w:eastAsia="zh-CN" w:bidi="ar"/>
              </w:rPr>
              <w:t>3. 每次充电到最高能量的时间≤6秒；AED成人模式下固定能量≤160J</w:t>
            </w:r>
            <w:r>
              <w:rPr>
                <w:rFonts w:hint="eastAsia" w:ascii="宋体" w:hAnsi="宋体" w:eastAsia="宋体" w:cs="宋体"/>
                <w:b w:val="0"/>
                <w:bCs w:val="0"/>
                <w:color w:val="auto"/>
                <w:spacing w:val="11"/>
                <w:kern w:val="0"/>
                <w:position w:val="0"/>
                <w:sz w:val="21"/>
                <w:szCs w:val="21"/>
                <w:lang w:val="en-US" w:eastAsia="zh-CN" w:bidi="ar"/>
              </w:rPr>
              <w:br w:type="textWrapping"/>
            </w:r>
            <w:r>
              <w:rPr>
                <w:rFonts w:hint="eastAsia" w:ascii="宋体" w:hAnsi="宋体" w:eastAsia="宋体" w:cs="宋体"/>
                <w:b w:val="0"/>
                <w:bCs w:val="0"/>
                <w:color w:val="auto"/>
                <w:spacing w:val="11"/>
                <w:kern w:val="0"/>
                <w:position w:val="0"/>
                <w:sz w:val="21"/>
                <w:szCs w:val="21"/>
                <w:lang w:val="en-US" w:eastAsia="zh-CN" w:bidi="ar"/>
              </w:rPr>
              <w:t>4. 手动除颤最小能量1J</w:t>
            </w:r>
            <w:r>
              <w:rPr>
                <w:rFonts w:hint="eastAsia" w:ascii="宋体" w:hAnsi="宋体" w:eastAsia="宋体" w:cs="宋体"/>
                <w:b w:val="0"/>
                <w:bCs w:val="0"/>
                <w:color w:val="auto"/>
                <w:spacing w:val="11"/>
                <w:kern w:val="0"/>
                <w:position w:val="0"/>
                <w:sz w:val="21"/>
                <w:szCs w:val="21"/>
                <w:lang w:val="en-US" w:eastAsia="zh-CN" w:bidi="ar"/>
              </w:rPr>
              <w:br w:type="textWrapping"/>
            </w:r>
            <w:r>
              <w:rPr>
                <w:rFonts w:hint="eastAsia" w:ascii="宋体" w:hAnsi="宋体" w:eastAsia="宋体" w:cs="宋体"/>
                <w:b w:val="0"/>
                <w:bCs w:val="0"/>
                <w:color w:val="auto"/>
                <w:spacing w:val="11"/>
                <w:kern w:val="0"/>
                <w:position w:val="0"/>
                <w:sz w:val="21"/>
                <w:szCs w:val="21"/>
                <w:lang w:val="en-US" w:eastAsia="zh-CN" w:bidi="ar"/>
              </w:rPr>
              <w:t>5. 标配手动除颤、AED和同步电复律功能</w:t>
            </w:r>
            <w:r>
              <w:rPr>
                <w:rFonts w:hint="eastAsia" w:ascii="宋体" w:hAnsi="宋体" w:eastAsia="宋体" w:cs="宋体"/>
                <w:b w:val="0"/>
                <w:bCs w:val="0"/>
                <w:color w:val="auto"/>
                <w:spacing w:val="11"/>
                <w:kern w:val="0"/>
                <w:position w:val="0"/>
                <w:sz w:val="21"/>
                <w:szCs w:val="21"/>
                <w:lang w:val="en-US" w:eastAsia="zh-CN" w:bidi="ar"/>
              </w:rPr>
              <w:br w:type="textWrapping"/>
            </w:r>
            <w:r>
              <w:rPr>
                <w:rFonts w:hint="eastAsia" w:ascii="宋体" w:hAnsi="宋体" w:eastAsia="宋体" w:cs="宋体"/>
                <w:b w:val="0"/>
                <w:bCs w:val="0"/>
                <w:color w:val="auto"/>
                <w:spacing w:val="11"/>
                <w:kern w:val="0"/>
                <w:position w:val="0"/>
                <w:sz w:val="21"/>
                <w:szCs w:val="21"/>
                <w:lang w:val="en-US" w:eastAsia="zh-CN" w:bidi="ar"/>
              </w:rPr>
              <w:t>6. 具有快速电击技术，从启动AED模式到通电完成时间≤8秒</w:t>
            </w:r>
            <w:r>
              <w:rPr>
                <w:rFonts w:hint="eastAsia" w:ascii="宋体" w:hAnsi="宋体" w:eastAsia="宋体" w:cs="宋体"/>
                <w:b w:val="0"/>
                <w:bCs w:val="0"/>
                <w:color w:val="auto"/>
                <w:spacing w:val="11"/>
                <w:kern w:val="0"/>
                <w:position w:val="0"/>
                <w:sz w:val="21"/>
                <w:szCs w:val="21"/>
                <w:lang w:val="en-US" w:eastAsia="zh-CN" w:bidi="ar"/>
              </w:rPr>
              <w:br w:type="textWrapping"/>
            </w:r>
            <w:r>
              <w:rPr>
                <w:rFonts w:hint="eastAsia" w:ascii="宋体" w:hAnsi="宋体" w:eastAsia="宋体" w:cs="宋体"/>
                <w:b w:val="0"/>
                <w:bCs w:val="0"/>
                <w:color w:val="auto"/>
                <w:spacing w:val="11"/>
                <w:kern w:val="0"/>
                <w:position w:val="0"/>
                <w:sz w:val="21"/>
                <w:szCs w:val="21"/>
                <w:lang w:val="en-US" w:eastAsia="zh-CN" w:bidi="ar"/>
              </w:rPr>
              <w:t>7. 主机≥3道波形显示，可进行持续心电监护，可识别≥9种常见心率/心律失常报警（包括心动过速/过缓、停搏、室颤/室速、室性过速、极度过速/过缓、PVC速率、起搏无法捕获、起搏器未起搏）</w:t>
            </w:r>
            <w:r>
              <w:rPr>
                <w:rFonts w:hint="eastAsia" w:ascii="宋体" w:hAnsi="宋体" w:eastAsia="宋体" w:cs="宋体"/>
                <w:b w:val="0"/>
                <w:bCs w:val="0"/>
                <w:color w:val="auto"/>
                <w:spacing w:val="11"/>
                <w:kern w:val="0"/>
                <w:position w:val="0"/>
                <w:sz w:val="21"/>
                <w:szCs w:val="21"/>
                <w:lang w:val="en-US" w:eastAsia="zh-CN" w:bidi="ar"/>
              </w:rPr>
              <w:br w:type="textWrapping"/>
            </w:r>
            <w:r>
              <w:rPr>
                <w:rFonts w:hint="eastAsia" w:ascii="宋体" w:hAnsi="宋体" w:eastAsia="宋体" w:cs="宋体"/>
                <w:b w:val="0"/>
                <w:bCs w:val="0"/>
                <w:color w:val="auto"/>
                <w:spacing w:val="11"/>
                <w:kern w:val="0"/>
                <w:position w:val="0"/>
                <w:sz w:val="21"/>
                <w:szCs w:val="21"/>
                <w:lang w:val="en-US" w:eastAsia="zh-CN" w:bidi="ar"/>
              </w:rPr>
              <w:t>8. 频率响应：诊断性0.05～150Hz，监护0.15～40Hz</w:t>
            </w:r>
          </w:p>
        </w:tc>
      </w:tr>
      <w:tr w14:paraId="74F8D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1E9098CF">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21.4 血管内超声（IVUS，1台）</w:t>
            </w:r>
          </w:p>
        </w:tc>
        <w:tc>
          <w:tcPr>
            <w:tcW w:w="5967" w:type="dxa"/>
            <w:tcBorders>
              <w:tl2br w:val="nil"/>
              <w:tr2bl w:val="nil"/>
            </w:tcBorders>
            <w:noWrap w:val="0"/>
            <w:tcMar>
              <w:top w:w="150" w:type="dxa"/>
              <w:left w:w="240" w:type="dxa"/>
              <w:bottom w:w="150" w:type="dxa"/>
              <w:right w:w="0" w:type="dxa"/>
            </w:tcMar>
            <w:vAlign w:val="center"/>
          </w:tcPr>
          <w:p w14:paraId="220346E7">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1.1 多功能超声介入诊断设备，支持≥45MHz机械旋转式超声导管，用于血管内超声诊断</w:t>
            </w:r>
            <w:r>
              <w:rPr>
                <w:rFonts w:hint="eastAsia" w:ascii="宋体" w:hAnsi="宋体" w:eastAsia="宋体" w:cs="宋体"/>
                <w:b w:val="0"/>
                <w:bCs w:val="0"/>
                <w:color w:val="auto"/>
                <w:spacing w:val="11"/>
                <w:kern w:val="0"/>
                <w:position w:val="0"/>
                <w:sz w:val="21"/>
                <w:szCs w:val="21"/>
                <w:lang w:val="en-US" w:eastAsia="zh-CN" w:bidi="ar"/>
              </w:rPr>
              <w:br w:type="textWrapping"/>
            </w:r>
            <w:r>
              <w:rPr>
                <w:rFonts w:hint="eastAsia" w:ascii="宋体" w:hAnsi="宋体" w:eastAsia="宋体" w:cs="宋体"/>
                <w:b w:val="0"/>
                <w:bCs w:val="0"/>
                <w:color w:val="auto"/>
                <w:spacing w:val="11"/>
                <w:kern w:val="0"/>
                <w:position w:val="0"/>
                <w:sz w:val="21"/>
                <w:szCs w:val="21"/>
                <w:lang w:val="en-US" w:eastAsia="zh-CN" w:bidi="ar"/>
              </w:rPr>
              <w:t>1.2 最大回撤速度≥10mm/s</w:t>
            </w:r>
            <w:r>
              <w:rPr>
                <w:rFonts w:hint="eastAsia" w:ascii="宋体" w:hAnsi="宋体" w:eastAsia="宋体" w:cs="宋体"/>
                <w:b w:val="0"/>
                <w:bCs w:val="0"/>
                <w:color w:val="auto"/>
                <w:spacing w:val="11"/>
                <w:kern w:val="0"/>
                <w:position w:val="0"/>
                <w:sz w:val="21"/>
                <w:szCs w:val="21"/>
                <w:lang w:val="en-US" w:eastAsia="zh-CN" w:bidi="ar"/>
              </w:rPr>
              <w:br w:type="textWrapping"/>
            </w:r>
            <w:r>
              <w:rPr>
                <w:rFonts w:hint="eastAsia" w:ascii="宋体" w:hAnsi="宋体" w:eastAsia="宋体" w:cs="宋体"/>
                <w:b w:val="0"/>
                <w:bCs w:val="0"/>
                <w:color w:val="auto"/>
                <w:spacing w:val="11"/>
                <w:kern w:val="0"/>
                <w:position w:val="0"/>
                <w:sz w:val="21"/>
                <w:szCs w:val="21"/>
                <w:lang w:val="en-US" w:eastAsia="zh-CN" w:bidi="ar"/>
              </w:rPr>
              <w:t>1.3 最大回撤距离≥150mm</w:t>
            </w:r>
            <w:r>
              <w:rPr>
                <w:rFonts w:hint="eastAsia" w:ascii="宋体" w:hAnsi="宋体" w:eastAsia="宋体" w:cs="宋体"/>
                <w:b w:val="0"/>
                <w:bCs w:val="0"/>
                <w:color w:val="auto"/>
                <w:spacing w:val="11"/>
                <w:kern w:val="0"/>
                <w:position w:val="0"/>
                <w:sz w:val="21"/>
                <w:szCs w:val="21"/>
                <w:lang w:val="en-US" w:eastAsia="zh-CN" w:bidi="ar"/>
              </w:rPr>
              <w:br w:type="textWrapping"/>
            </w:r>
            <w:r>
              <w:rPr>
                <w:rFonts w:hint="eastAsia" w:ascii="宋体" w:hAnsi="宋体" w:eastAsia="宋体" w:cs="宋体"/>
                <w:b w:val="0"/>
                <w:bCs w:val="0"/>
                <w:color w:val="auto"/>
                <w:spacing w:val="11"/>
                <w:kern w:val="0"/>
                <w:position w:val="0"/>
                <w:sz w:val="21"/>
                <w:szCs w:val="21"/>
                <w:lang w:val="en-US" w:eastAsia="zh-CN" w:bidi="ar"/>
              </w:rPr>
              <w:t>1.4 成像直径≥20mm</w:t>
            </w:r>
            <w:r>
              <w:rPr>
                <w:rFonts w:hint="eastAsia" w:ascii="宋体" w:hAnsi="宋体" w:eastAsia="宋体" w:cs="宋体"/>
                <w:b w:val="0"/>
                <w:bCs w:val="0"/>
                <w:color w:val="auto"/>
                <w:spacing w:val="11"/>
                <w:kern w:val="0"/>
                <w:position w:val="0"/>
                <w:sz w:val="21"/>
                <w:szCs w:val="21"/>
                <w:lang w:val="en-US" w:eastAsia="zh-CN" w:bidi="ar"/>
              </w:rPr>
              <w:br w:type="textWrapping"/>
            </w:r>
            <w:r>
              <w:rPr>
                <w:rFonts w:hint="eastAsia" w:ascii="宋体" w:hAnsi="宋体" w:eastAsia="宋体" w:cs="宋体"/>
                <w:b w:val="0"/>
                <w:bCs w:val="0"/>
                <w:color w:val="auto"/>
                <w:spacing w:val="11"/>
                <w:kern w:val="0"/>
                <w:position w:val="0"/>
                <w:sz w:val="21"/>
                <w:szCs w:val="21"/>
                <w:lang w:val="en-US" w:eastAsia="zh-CN" w:bidi="ar"/>
              </w:rPr>
              <w:t>2.1 管腔识别功能：自动识别管腔内膜和外弹力膜（EEL），自动计算面积、最大直径和最小直径</w:t>
            </w:r>
            <w:r>
              <w:rPr>
                <w:rFonts w:hint="eastAsia" w:ascii="宋体" w:hAnsi="宋体" w:eastAsia="宋体" w:cs="宋体"/>
                <w:b w:val="0"/>
                <w:bCs w:val="0"/>
                <w:color w:val="auto"/>
                <w:spacing w:val="11"/>
                <w:kern w:val="0"/>
                <w:position w:val="0"/>
                <w:sz w:val="21"/>
                <w:szCs w:val="21"/>
                <w:lang w:val="en-US" w:eastAsia="zh-CN" w:bidi="ar"/>
              </w:rPr>
              <w:br w:type="textWrapping"/>
            </w:r>
            <w:r>
              <w:rPr>
                <w:rFonts w:hint="eastAsia" w:ascii="宋体" w:hAnsi="宋体" w:eastAsia="宋体" w:cs="宋体"/>
                <w:b w:val="0"/>
                <w:bCs w:val="0"/>
                <w:color w:val="auto"/>
                <w:spacing w:val="11"/>
                <w:kern w:val="0"/>
                <w:position w:val="0"/>
                <w:sz w:val="21"/>
                <w:szCs w:val="21"/>
                <w:lang w:val="en-US" w:eastAsia="zh-CN" w:bidi="ar"/>
              </w:rPr>
              <w:t>2.2 具备次级标记功能，可在饼图任意位置标记分支或病变，长轴同步显示标记位置；测量标签距离时次级标记位置不参与测量</w:t>
            </w:r>
            <w:r>
              <w:rPr>
                <w:rFonts w:hint="eastAsia" w:ascii="宋体" w:hAnsi="宋体" w:eastAsia="宋体" w:cs="宋体"/>
                <w:b w:val="0"/>
                <w:bCs w:val="0"/>
                <w:color w:val="auto"/>
                <w:spacing w:val="11"/>
                <w:kern w:val="0"/>
                <w:position w:val="0"/>
                <w:sz w:val="21"/>
                <w:szCs w:val="21"/>
                <w:lang w:val="en-US" w:eastAsia="zh-CN" w:bidi="ar"/>
              </w:rPr>
              <w:br w:type="textWrapping"/>
            </w:r>
            <w:r>
              <w:rPr>
                <w:rFonts w:hint="eastAsia" w:ascii="宋体" w:hAnsi="宋体" w:eastAsia="宋体" w:cs="宋体"/>
                <w:b w:val="0"/>
                <w:bCs w:val="0"/>
                <w:color w:val="auto"/>
                <w:spacing w:val="11"/>
                <w:kern w:val="0"/>
                <w:position w:val="0"/>
                <w:sz w:val="21"/>
                <w:szCs w:val="21"/>
                <w:lang w:val="en-US" w:eastAsia="zh-CN" w:bidi="ar"/>
              </w:rPr>
              <w:t>2.3 图像显示模式：支持单横切面、单横切面+纵切面、双横切面+纵切面等多种查看模式；可对比查看多个血管截面或不同回撤影像</w:t>
            </w:r>
            <w:r>
              <w:rPr>
                <w:rFonts w:hint="eastAsia" w:ascii="宋体" w:hAnsi="宋体" w:eastAsia="宋体" w:cs="宋体"/>
                <w:b w:val="0"/>
                <w:bCs w:val="0"/>
                <w:color w:val="auto"/>
                <w:spacing w:val="11"/>
                <w:kern w:val="0"/>
                <w:position w:val="0"/>
                <w:sz w:val="21"/>
                <w:szCs w:val="21"/>
                <w:lang w:val="en-US" w:eastAsia="zh-CN" w:bidi="ar"/>
              </w:rPr>
              <w:br w:type="textWrapping"/>
            </w:r>
            <w:r>
              <w:rPr>
                <w:rFonts w:hint="eastAsia" w:ascii="宋体" w:hAnsi="宋体" w:eastAsia="宋体" w:cs="宋体"/>
                <w:b w:val="0"/>
                <w:bCs w:val="0"/>
                <w:color w:val="auto"/>
                <w:spacing w:val="11"/>
                <w:kern w:val="0"/>
                <w:position w:val="0"/>
                <w:sz w:val="21"/>
                <w:szCs w:val="21"/>
                <w:lang w:val="en-US" w:eastAsia="zh-CN" w:bidi="ar"/>
              </w:rPr>
              <w:t>2.4 具备3D重建功能，能显示分支开口，可360°旋转观察，具有一个或两个相互垂直的血管纵视图；具备3D飞行导航功能，可快速浏览3D重建后的血管内情况</w:t>
            </w:r>
            <w:r>
              <w:rPr>
                <w:rFonts w:hint="eastAsia" w:ascii="宋体" w:hAnsi="宋体" w:eastAsia="宋体" w:cs="宋体"/>
                <w:b w:val="0"/>
                <w:bCs w:val="0"/>
                <w:color w:val="auto"/>
                <w:spacing w:val="11"/>
                <w:kern w:val="0"/>
                <w:position w:val="0"/>
                <w:sz w:val="21"/>
                <w:szCs w:val="21"/>
                <w:lang w:val="en-US" w:eastAsia="zh-CN" w:bidi="ar"/>
              </w:rPr>
              <w:br w:type="textWrapping"/>
            </w:r>
            <w:r>
              <w:rPr>
                <w:rFonts w:hint="eastAsia" w:ascii="宋体" w:hAnsi="宋体" w:eastAsia="宋体" w:cs="宋体"/>
                <w:b w:val="0"/>
                <w:bCs w:val="0"/>
                <w:color w:val="auto"/>
                <w:spacing w:val="11"/>
                <w:kern w:val="0"/>
                <w:position w:val="0"/>
                <w:sz w:val="21"/>
                <w:szCs w:val="21"/>
                <w:lang w:val="en-US" w:eastAsia="zh-CN" w:bidi="ar"/>
              </w:rPr>
              <w:t>3.1 导管中心频率≥45MHz</w:t>
            </w:r>
            <w:r>
              <w:rPr>
                <w:rFonts w:hint="eastAsia" w:ascii="宋体" w:hAnsi="宋体" w:eastAsia="宋体" w:cs="宋体"/>
                <w:b w:val="0"/>
                <w:bCs w:val="0"/>
                <w:color w:val="auto"/>
                <w:spacing w:val="11"/>
                <w:kern w:val="0"/>
                <w:position w:val="0"/>
                <w:sz w:val="21"/>
                <w:szCs w:val="21"/>
                <w:lang w:val="en-US" w:eastAsia="zh-CN" w:bidi="ar"/>
              </w:rPr>
              <w:br w:type="textWrapping"/>
            </w:r>
            <w:r>
              <w:rPr>
                <w:rFonts w:hint="eastAsia" w:ascii="宋体" w:hAnsi="宋体" w:eastAsia="宋体" w:cs="宋体"/>
                <w:b w:val="0"/>
                <w:bCs w:val="0"/>
                <w:color w:val="auto"/>
                <w:spacing w:val="11"/>
                <w:kern w:val="0"/>
                <w:position w:val="0"/>
                <w:sz w:val="21"/>
                <w:szCs w:val="21"/>
                <w:lang w:val="en-US" w:eastAsia="zh-CN" w:bidi="ar"/>
              </w:rPr>
              <w:t>3.2 工作长度≥1465mm</w:t>
            </w:r>
          </w:p>
        </w:tc>
      </w:tr>
      <w:tr w14:paraId="7ED7B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5071CE9F">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21.5 医用吊塔（1套）</w:t>
            </w:r>
          </w:p>
        </w:tc>
        <w:tc>
          <w:tcPr>
            <w:tcW w:w="5967" w:type="dxa"/>
            <w:tcBorders>
              <w:tl2br w:val="nil"/>
              <w:tr2bl w:val="nil"/>
            </w:tcBorders>
            <w:noWrap w:val="0"/>
            <w:tcMar>
              <w:top w:w="150" w:type="dxa"/>
              <w:left w:w="240" w:type="dxa"/>
              <w:bottom w:w="150" w:type="dxa"/>
              <w:right w:w="0" w:type="dxa"/>
            </w:tcMar>
            <w:vAlign w:val="center"/>
          </w:tcPr>
          <w:p w14:paraId="01806F25">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11"/>
                <w:kern w:val="0"/>
                <w:position w:val="0"/>
                <w:sz w:val="21"/>
                <w:szCs w:val="21"/>
                <w:lang w:val="en-US" w:eastAsia="zh-CN" w:bidi="ar"/>
              </w:rPr>
              <w:t>1. 横臂活动半径：700～1800mm</w:t>
            </w:r>
            <w:r>
              <w:rPr>
                <w:rFonts w:hint="eastAsia" w:ascii="宋体" w:hAnsi="宋体" w:eastAsia="宋体" w:cs="宋体"/>
                <w:b w:val="0"/>
                <w:bCs w:val="0"/>
                <w:color w:val="auto"/>
                <w:spacing w:val="11"/>
                <w:kern w:val="0"/>
                <w:position w:val="0"/>
                <w:sz w:val="21"/>
                <w:szCs w:val="21"/>
                <w:lang w:val="en-US" w:eastAsia="zh-CN" w:bidi="ar"/>
              </w:rPr>
              <w:br w:type="textWrapping"/>
            </w:r>
            <w:r>
              <w:rPr>
                <w:rFonts w:hint="eastAsia" w:ascii="宋体" w:hAnsi="宋体" w:eastAsia="宋体" w:cs="宋体"/>
                <w:b w:val="0"/>
                <w:bCs w:val="0"/>
                <w:color w:val="auto"/>
                <w:spacing w:val="11"/>
                <w:kern w:val="0"/>
                <w:position w:val="0"/>
                <w:sz w:val="21"/>
                <w:szCs w:val="21"/>
                <w:lang w:val="en-US" w:eastAsia="zh-CN" w:bidi="ar"/>
              </w:rPr>
              <w:t>2. 水平旋转角度：0～340°，横臂和终端箱体可分别或同时水平旋转</w:t>
            </w:r>
            <w:r>
              <w:rPr>
                <w:rFonts w:hint="eastAsia" w:ascii="宋体" w:hAnsi="宋体" w:eastAsia="宋体" w:cs="宋体"/>
                <w:b w:val="0"/>
                <w:bCs w:val="0"/>
                <w:color w:val="auto"/>
                <w:spacing w:val="11"/>
                <w:kern w:val="0"/>
                <w:position w:val="0"/>
                <w:sz w:val="21"/>
                <w:szCs w:val="21"/>
                <w:lang w:val="en-US" w:eastAsia="zh-CN" w:bidi="ar"/>
              </w:rPr>
              <w:br w:type="textWrapping"/>
            </w:r>
            <w:r>
              <w:rPr>
                <w:rFonts w:hint="eastAsia" w:ascii="宋体" w:hAnsi="宋体" w:eastAsia="宋体" w:cs="宋体"/>
                <w:b w:val="0"/>
                <w:bCs w:val="0"/>
                <w:color w:val="auto"/>
                <w:spacing w:val="11"/>
                <w:kern w:val="0"/>
                <w:position w:val="0"/>
                <w:sz w:val="21"/>
                <w:szCs w:val="21"/>
                <w:lang w:val="en-US" w:eastAsia="zh-CN" w:bidi="ar"/>
              </w:rPr>
              <w:t>3. 气体接口配置（氧气2个、负压吸引2个、压缩空气2个）：接口颜色及形状不同，防接错；插拔次数≥2万次；采用二次密封，带三状态（通、断、拔），可带气维修</w:t>
            </w:r>
            <w:r>
              <w:rPr>
                <w:rFonts w:hint="eastAsia" w:ascii="宋体" w:hAnsi="宋体" w:eastAsia="宋体" w:cs="宋体"/>
                <w:b w:val="0"/>
                <w:bCs w:val="0"/>
                <w:color w:val="auto"/>
                <w:spacing w:val="11"/>
                <w:kern w:val="0"/>
                <w:position w:val="0"/>
                <w:sz w:val="21"/>
                <w:szCs w:val="21"/>
                <w:lang w:val="en-US" w:eastAsia="zh-CN" w:bidi="ar"/>
              </w:rPr>
              <w:br w:type="textWrapping"/>
            </w:r>
            <w:r>
              <w:rPr>
                <w:rFonts w:hint="eastAsia" w:ascii="宋体" w:hAnsi="宋体" w:eastAsia="宋体" w:cs="宋体"/>
                <w:b w:val="0"/>
                <w:bCs w:val="0"/>
                <w:color w:val="auto"/>
                <w:spacing w:val="11"/>
                <w:kern w:val="0"/>
                <w:position w:val="0"/>
                <w:sz w:val="21"/>
                <w:szCs w:val="21"/>
                <w:lang w:val="en-US" w:eastAsia="zh-CN" w:bidi="ar"/>
              </w:rPr>
              <w:t>4. 电源插座：10个（220V，10A）；等电位接地端子2个；网络接口2个</w:t>
            </w:r>
            <w:r>
              <w:rPr>
                <w:rFonts w:hint="eastAsia" w:ascii="宋体" w:hAnsi="宋体" w:eastAsia="宋体" w:cs="宋体"/>
                <w:b w:val="0"/>
                <w:bCs w:val="0"/>
                <w:color w:val="auto"/>
                <w:spacing w:val="11"/>
                <w:kern w:val="0"/>
                <w:position w:val="0"/>
                <w:sz w:val="21"/>
                <w:szCs w:val="21"/>
                <w:lang w:val="en-US" w:eastAsia="zh-CN" w:bidi="ar"/>
              </w:rPr>
              <w:br w:type="textWrapping"/>
            </w:r>
            <w:r>
              <w:rPr>
                <w:rFonts w:hint="eastAsia" w:ascii="宋体" w:hAnsi="宋体" w:eastAsia="宋体" w:cs="宋体"/>
                <w:b w:val="0"/>
                <w:bCs w:val="0"/>
                <w:color w:val="auto"/>
                <w:spacing w:val="11"/>
                <w:kern w:val="0"/>
                <w:position w:val="0"/>
                <w:sz w:val="21"/>
                <w:szCs w:val="21"/>
                <w:lang w:val="en-US" w:eastAsia="zh-CN" w:bidi="ar"/>
              </w:rPr>
              <w:t>5. 主体材料采用高强度铝合金型材</w:t>
            </w:r>
          </w:p>
        </w:tc>
      </w:tr>
      <w:tr w14:paraId="2F8B0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589A91EF">
            <w:pPr>
              <w:keepNext w:val="0"/>
              <w:keepLines w:val="0"/>
              <w:widowControl/>
              <w:suppressLineNumbers w:val="0"/>
              <w:jc w:val="left"/>
              <w:rPr>
                <w:rFonts w:hint="default" w:ascii="宋体" w:hAnsi="宋体" w:eastAsia="宋体" w:cs="宋体"/>
                <w:b w:val="0"/>
                <w:bCs w:val="0"/>
                <w:color w:val="auto"/>
                <w:sz w:val="21"/>
                <w:szCs w:val="21"/>
                <w:highlight w:val="none"/>
                <w:lang w:val="en-US"/>
              </w:rPr>
            </w:pPr>
            <w:r>
              <w:rPr>
                <w:rFonts w:hint="eastAsia" w:ascii="宋体" w:hAnsi="宋体" w:eastAsia="宋体" w:cs="宋体"/>
                <w:b w:val="0"/>
                <w:bCs w:val="0"/>
                <w:color w:val="auto"/>
                <w:spacing w:val="11"/>
                <w:kern w:val="0"/>
                <w:position w:val="0"/>
                <w:sz w:val="21"/>
                <w:szCs w:val="21"/>
                <w:highlight w:val="none"/>
                <w:lang w:val="en-US" w:eastAsia="zh-CN" w:bidi="ar"/>
              </w:rPr>
              <w:t>21.6 铅衣/铅帽/围脖(各4套)</w:t>
            </w:r>
          </w:p>
        </w:tc>
        <w:tc>
          <w:tcPr>
            <w:tcW w:w="5967" w:type="dxa"/>
            <w:tcBorders>
              <w:tl2br w:val="nil"/>
              <w:tr2bl w:val="nil"/>
            </w:tcBorders>
            <w:noWrap w:val="0"/>
            <w:tcMar>
              <w:top w:w="150" w:type="dxa"/>
              <w:left w:w="240" w:type="dxa"/>
              <w:bottom w:w="150" w:type="dxa"/>
              <w:right w:w="0" w:type="dxa"/>
            </w:tcMar>
            <w:vAlign w:val="center"/>
          </w:tcPr>
          <w:p w14:paraId="7FA4318F">
            <w:pPr>
              <w:keepNext w:val="0"/>
              <w:keepLines w:val="0"/>
              <w:widowControl/>
              <w:suppressLineNumbers w:val="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铅衣（S、M、L、XL码各一套）</w:t>
            </w:r>
          </w:p>
        </w:tc>
      </w:tr>
      <w:tr w14:paraId="76A99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18F7B787">
            <w:pPr>
              <w:keepNext w:val="0"/>
              <w:keepLines w:val="0"/>
              <w:widowControl/>
              <w:suppressLineNumbers w:val="0"/>
              <w:jc w:val="left"/>
              <w:rPr>
                <w:rFonts w:hint="default" w:ascii="宋体" w:hAnsi="宋体" w:eastAsia="宋体" w:cs="宋体"/>
                <w:b w:val="0"/>
                <w:bCs w:val="0"/>
                <w:color w:val="auto"/>
                <w:sz w:val="21"/>
                <w:szCs w:val="21"/>
                <w:highlight w:val="none"/>
                <w:lang w:val="en-US"/>
              </w:rPr>
            </w:pPr>
            <w:r>
              <w:rPr>
                <w:rFonts w:hint="eastAsia" w:ascii="宋体" w:hAnsi="宋体" w:eastAsia="宋体" w:cs="宋体"/>
                <w:b w:val="0"/>
                <w:bCs w:val="0"/>
                <w:color w:val="auto"/>
                <w:spacing w:val="11"/>
                <w:kern w:val="0"/>
                <w:position w:val="0"/>
                <w:sz w:val="21"/>
                <w:szCs w:val="21"/>
                <w:highlight w:val="none"/>
                <w:lang w:val="en-US" w:eastAsia="zh-CN" w:bidi="ar"/>
              </w:rPr>
              <w:t>21.7 除湿机（1台)</w:t>
            </w:r>
          </w:p>
        </w:tc>
        <w:tc>
          <w:tcPr>
            <w:tcW w:w="5967" w:type="dxa"/>
            <w:tcBorders>
              <w:tl2br w:val="nil"/>
              <w:tr2bl w:val="nil"/>
            </w:tcBorders>
            <w:noWrap w:val="0"/>
            <w:tcMar>
              <w:top w:w="150" w:type="dxa"/>
              <w:left w:w="240" w:type="dxa"/>
              <w:bottom w:w="150" w:type="dxa"/>
              <w:right w:w="0" w:type="dxa"/>
            </w:tcMar>
            <w:vAlign w:val="center"/>
          </w:tcPr>
          <w:p w14:paraId="7E684FF3">
            <w:pPr>
              <w:keepNext w:val="0"/>
              <w:keepLines w:val="0"/>
              <w:widowControl/>
              <w:suppressLineNumbers w:val="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1、适用导管室大空间除湿，控湿范围30%-70%。</w:t>
            </w:r>
          </w:p>
          <w:p w14:paraId="5CDF5FF3">
            <w:pPr>
              <w:keepNext w:val="0"/>
              <w:keepLines w:val="0"/>
              <w:widowControl/>
              <w:suppressLineNumbers w:val="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2、除湿原理:压缩机式</w:t>
            </w:r>
          </w:p>
          <w:p w14:paraId="626BA6D7">
            <w:pPr>
              <w:keepNext w:val="0"/>
              <w:keepLines w:val="0"/>
              <w:widowControl/>
              <w:suppressLineNumbers w:val="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3、排水方式:直排水，无水箱</w:t>
            </w:r>
          </w:p>
        </w:tc>
      </w:tr>
      <w:tr w14:paraId="683B5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46" w:type="dxa"/>
            <w:tcBorders>
              <w:tl2br w:val="nil"/>
              <w:tr2bl w:val="nil"/>
            </w:tcBorders>
            <w:noWrap w:val="0"/>
            <w:tcMar>
              <w:top w:w="150" w:type="dxa"/>
              <w:left w:w="0" w:type="dxa"/>
              <w:bottom w:w="150" w:type="dxa"/>
              <w:right w:w="240" w:type="dxa"/>
            </w:tcMar>
            <w:vAlign w:val="center"/>
          </w:tcPr>
          <w:p w14:paraId="2FBF3E2D">
            <w:pPr>
              <w:keepNext w:val="0"/>
              <w:keepLines w:val="0"/>
              <w:widowControl/>
              <w:suppressLineNumbers w:val="0"/>
              <w:jc w:val="left"/>
              <w:rPr>
                <w:rFonts w:hint="default" w:ascii="宋体" w:hAnsi="宋体" w:eastAsia="宋体" w:cs="宋体"/>
                <w:b w:val="0"/>
                <w:bCs w:val="0"/>
                <w:color w:val="auto"/>
                <w:sz w:val="21"/>
                <w:szCs w:val="21"/>
                <w:highlight w:val="none"/>
                <w:lang w:val="en-US"/>
              </w:rPr>
            </w:pPr>
            <w:r>
              <w:rPr>
                <w:rFonts w:hint="eastAsia" w:ascii="宋体" w:hAnsi="宋体" w:eastAsia="宋体" w:cs="宋体"/>
                <w:b w:val="0"/>
                <w:bCs w:val="0"/>
                <w:color w:val="auto"/>
                <w:spacing w:val="11"/>
                <w:kern w:val="0"/>
                <w:position w:val="0"/>
                <w:sz w:val="21"/>
                <w:szCs w:val="21"/>
                <w:highlight w:val="none"/>
                <w:lang w:val="en-US" w:eastAsia="zh-CN" w:bidi="ar"/>
              </w:rPr>
              <w:t>21.8 空气消毒机(2台)</w:t>
            </w:r>
          </w:p>
        </w:tc>
        <w:tc>
          <w:tcPr>
            <w:tcW w:w="5967" w:type="dxa"/>
            <w:tcBorders>
              <w:tl2br w:val="nil"/>
              <w:tr2bl w:val="nil"/>
            </w:tcBorders>
            <w:noWrap w:val="0"/>
            <w:tcMar>
              <w:top w:w="150" w:type="dxa"/>
              <w:left w:w="240" w:type="dxa"/>
              <w:bottom w:w="150" w:type="dxa"/>
              <w:right w:w="0" w:type="dxa"/>
            </w:tcMar>
            <w:vAlign w:val="center"/>
          </w:tcPr>
          <w:p w14:paraId="677D509D">
            <w:pPr>
              <w:keepNext w:val="0"/>
              <w:keepLines w:val="0"/>
              <w:widowControl/>
              <w:suppressLineNumbers w:val="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1、安装方式:壁挂式</w:t>
            </w:r>
          </w:p>
          <w:p w14:paraId="20B6DDD2">
            <w:pPr>
              <w:keepNext w:val="0"/>
              <w:keepLines w:val="0"/>
              <w:widowControl/>
              <w:suppressLineNumbers w:val="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2、净化方式:等离子、静电吸附式，符合手术室院感标准。</w:t>
            </w:r>
          </w:p>
          <w:p w14:paraId="59E8E3B1">
            <w:pPr>
              <w:keepNext w:val="0"/>
              <w:keepLines w:val="0"/>
              <w:widowControl/>
              <w:suppressLineNumbers w:val="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3、等离子强度≥6000</w:t>
            </w:r>
          </w:p>
        </w:tc>
      </w:tr>
    </w:tbl>
    <w:p w14:paraId="06D10F9B">
      <w:pPr>
        <w:spacing w:line="360" w:lineRule="auto"/>
        <w:rPr>
          <w:rFonts w:hint="eastAsia" w:ascii="黑体" w:hAnsi="黑体" w:eastAsia="黑体"/>
          <w:color w:val="auto"/>
          <w:sz w:val="28"/>
          <w:szCs w:val="28"/>
        </w:rPr>
      </w:pPr>
    </w:p>
    <w:p w14:paraId="61093BD9">
      <w:pPr>
        <w:spacing w:line="360" w:lineRule="auto"/>
        <w:ind w:firstLine="2800" w:firstLineChars="1000"/>
        <w:rPr>
          <w:rFonts w:ascii="黑体" w:hAnsi="黑体" w:eastAsia="黑体"/>
          <w:color w:val="auto"/>
          <w:sz w:val="28"/>
          <w:szCs w:val="28"/>
        </w:rPr>
      </w:pPr>
      <w:r>
        <w:rPr>
          <w:rFonts w:hint="eastAsia" w:ascii="黑体" w:hAnsi="黑体" w:eastAsia="黑体"/>
          <w:color w:val="auto"/>
          <w:sz w:val="28"/>
          <w:szCs w:val="28"/>
        </w:rPr>
        <w:t>第三节 商务</w:t>
      </w:r>
      <w:r>
        <w:rPr>
          <w:rFonts w:ascii="黑体" w:hAnsi="黑体" w:eastAsia="黑体"/>
          <w:color w:val="auto"/>
          <w:sz w:val="28"/>
          <w:szCs w:val="28"/>
        </w:rPr>
        <w:t>要求</w:t>
      </w:r>
    </w:p>
    <w:p w14:paraId="373EC73B">
      <w:pPr>
        <w:pStyle w:val="7"/>
        <w:ind w:firstLine="480"/>
        <w:rPr>
          <w:color w:val="auto"/>
        </w:rPr>
      </w:pPr>
    </w:p>
    <w:bookmarkEnd w:id="4"/>
    <w:p w14:paraId="75A0759B">
      <w:pPr>
        <w:spacing w:line="360" w:lineRule="auto"/>
        <w:rPr>
          <w:rFonts w:hint="eastAsia" w:ascii="宋体" w:hAnsi="宋体" w:cs="宋体"/>
          <w:color w:val="auto"/>
          <w:szCs w:val="21"/>
        </w:rPr>
      </w:pPr>
      <w:r>
        <w:rPr>
          <w:rFonts w:hint="eastAsia" w:ascii="宋体" w:hAnsi="宋体" w:cs="宋体"/>
          <w:color w:val="auto"/>
          <w:szCs w:val="21"/>
        </w:rPr>
        <w:t>一、主要商务要求</w:t>
      </w:r>
    </w:p>
    <w:p w14:paraId="4B6F1F34">
      <w:pPr>
        <w:adjustRightInd w:val="0"/>
        <w:snapToGrid w:val="0"/>
        <w:spacing w:line="360" w:lineRule="auto"/>
        <w:ind w:left="1470" w:hanging="1470" w:hangingChars="700"/>
        <w:rPr>
          <w:rFonts w:hint="eastAsia" w:ascii="宋体" w:hAnsi="宋体" w:eastAsia="宋体" w:cs="宋体"/>
          <w:color w:val="auto"/>
          <w:szCs w:val="21"/>
          <w:lang w:eastAsia="zh-CN"/>
        </w:rPr>
      </w:pPr>
      <w:r>
        <w:rPr>
          <w:rFonts w:hint="eastAsia" w:ascii="宋体" w:hAnsi="宋体" w:cs="宋体"/>
          <w:color w:val="auto"/>
          <w:szCs w:val="21"/>
        </w:rPr>
        <w:t>1、项目名称：</w:t>
      </w:r>
      <w:r>
        <w:rPr>
          <w:rFonts w:hint="eastAsia" w:ascii="宋体" w:hAnsi="宋体" w:cs="宋体"/>
          <w:color w:val="auto"/>
          <w:szCs w:val="21"/>
          <w:lang w:eastAsia="zh-CN"/>
        </w:rPr>
        <w:t>华容县人民医院紧密型县域医共体暨医疗卫生强基工程提标扩能项目数字减影血管造影系统（DSA）设备采购</w:t>
      </w:r>
    </w:p>
    <w:p w14:paraId="231057EF">
      <w:pPr>
        <w:numPr>
          <w:ilvl w:val="0"/>
          <w:numId w:val="0"/>
        </w:numPr>
        <w:snapToGrid w:val="0"/>
        <w:spacing w:line="360" w:lineRule="auto"/>
        <w:textAlignment w:val="baseline"/>
        <w:rPr>
          <w:rFonts w:hint="eastAsia" w:ascii="宋体" w:hAnsi="宋体" w:eastAsia="宋体" w:cs="宋体"/>
          <w:color w:val="auto"/>
          <w:szCs w:val="21"/>
          <w:highlight w:val="none"/>
          <w:lang w:eastAsia="zh-CN"/>
        </w:rPr>
      </w:pPr>
      <w:r>
        <w:rPr>
          <w:rFonts w:hint="eastAsia" w:ascii="宋体" w:hAnsi="宋体" w:cs="宋体"/>
          <w:color w:val="auto"/>
          <w:szCs w:val="21"/>
        </w:rPr>
        <w:t>2、采购项目预算：</w:t>
      </w:r>
      <w:r>
        <w:rPr>
          <w:rFonts w:hint="eastAsia" w:ascii="宋体" w:hAnsi="宋体" w:cs="宋体"/>
          <w:color w:val="auto"/>
          <w:szCs w:val="21"/>
          <w:lang w:eastAsia="zh-CN"/>
        </w:rPr>
        <w:t>600000</w:t>
      </w:r>
      <w:r>
        <w:rPr>
          <w:rFonts w:hint="eastAsia" w:ascii="宋体" w:hAnsi="宋体" w:cs="宋体"/>
          <w:color w:val="auto"/>
          <w:szCs w:val="21"/>
          <w:highlight w:val="none"/>
          <w:lang w:eastAsia="zh-CN"/>
        </w:rPr>
        <w:t>0元</w:t>
      </w:r>
    </w:p>
    <w:p w14:paraId="4E45FE8C">
      <w:pPr>
        <w:adjustRightInd w:val="0"/>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cs="宋体"/>
          <w:color w:val="auto"/>
          <w:szCs w:val="21"/>
          <w:highlight w:val="none"/>
        </w:rPr>
        <w:t>3、交货时间及要求：</w:t>
      </w:r>
      <w:r>
        <w:rPr>
          <w:rFonts w:hint="eastAsia" w:ascii="宋体" w:hAnsi="宋体" w:eastAsia="宋体" w:cs="宋体"/>
          <w:color w:val="auto"/>
          <w:sz w:val="21"/>
          <w:szCs w:val="21"/>
          <w:highlight w:val="none"/>
          <w:lang w:val="en-US" w:eastAsia="zh-CN"/>
        </w:rPr>
        <w:t>合同签订后二个月完成供货到院及安装调试并验收合格。</w:t>
      </w:r>
    </w:p>
    <w:p w14:paraId="4AEB8B17">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4、项目现场：采购人指定地点</w:t>
      </w:r>
    </w:p>
    <w:p w14:paraId="0141A15C">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5、交货方式：货到指定地点完成安装调试且验收合格，并按合同约定移交有关资料。</w:t>
      </w:r>
    </w:p>
    <w:p w14:paraId="6C96DCFF">
      <w:pPr>
        <w:numPr>
          <w:ilvl w:val="0"/>
          <w:numId w:val="0"/>
        </w:numPr>
        <w:snapToGrid w:val="0"/>
        <w:spacing w:line="360" w:lineRule="auto"/>
        <w:textAlignment w:val="baseline"/>
        <w:rPr>
          <w:rFonts w:hint="eastAsia" w:ascii="宋体" w:hAnsi="宋体" w:eastAsia="宋体" w:cs="宋体"/>
          <w:b w:val="0"/>
          <w:bCs w:val="0"/>
          <w:color w:val="auto"/>
          <w:sz w:val="21"/>
          <w:szCs w:val="21"/>
          <w:highlight w:val="none"/>
          <w:lang w:val="en-US" w:eastAsia="zh-CN"/>
        </w:rPr>
      </w:pPr>
      <w:r>
        <w:rPr>
          <w:rFonts w:hint="eastAsia" w:ascii="宋体" w:hAnsi="宋体" w:cs="宋体"/>
          <w:color w:val="auto"/>
          <w:szCs w:val="21"/>
          <w:highlight w:val="none"/>
        </w:rPr>
        <w:t>6、★质量保证期：项</w:t>
      </w:r>
      <w:r>
        <w:rPr>
          <w:rFonts w:hint="eastAsia" w:ascii="宋体" w:hAnsi="宋体" w:eastAsia="宋体" w:cs="宋体"/>
          <w:color w:val="auto"/>
          <w:szCs w:val="21"/>
          <w:highlight w:val="none"/>
        </w:rPr>
        <w:t>目整体提供</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lang w:eastAsia="zh-CN"/>
        </w:rPr>
        <w:t>原厂</w:t>
      </w:r>
      <w:r>
        <w:rPr>
          <w:rFonts w:hint="eastAsia" w:ascii="宋体" w:hAnsi="宋体" w:eastAsia="宋体" w:cs="宋体"/>
          <w:b w:val="0"/>
          <w:bCs w:val="0"/>
          <w:color w:val="auto"/>
          <w:szCs w:val="21"/>
          <w:highlight w:val="none"/>
          <w:lang w:eastAsia="zh-CN"/>
        </w:rPr>
        <w:t>全保</w:t>
      </w:r>
      <w:r>
        <w:rPr>
          <w:rFonts w:hint="eastAsia" w:ascii="宋体" w:hAnsi="宋体" w:eastAsia="宋体" w:cs="宋体"/>
          <w:b w:val="0"/>
          <w:bCs w:val="0"/>
          <w:color w:val="auto"/>
          <w:szCs w:val="21"/>
          <w:highlight w:val="none"/>
        </w:rPr>
        <w:t>，</w:t>
      </w:r>
      <w:r>
        <w:rPr>
          <w:rFonts w:hint="eastAsia" w:ascii="宋体" w:hAnsi="宋体" w:eastAsia="宋体" w:cs="宋体"/>
          <w:b w:val="0"/>
          <w:bCs w:val="0"/>
          <w:color w:val="auto"/>
          <w:sz w:val="21"/>
          <w:szCs w:val="21"/>
          <w:highlight w:val="none"/>
        </w:rPr>
        <w:t>质保期从验收合格之日开始计算。</w:t>
      </w:r>
      <w:r>
        <w:rPr>
          <w:rFonts w:hint="eastAsia" w:ascii="宋体" w:hAnsi="宋体" w:eastAsia="宋体" w:cs="宋体"/>
          <w:b w:val="0"/>
          <w:bCs w:val="0"/>
          <w:i w:val="0"/>
          <w:iCs w:val="0"/>
          <w:caps w:val="0"/>
          <w:color w:val="auto"/>
          <w:spacing w:val="0"/>
          <w:sz w:val="21"/>
          <w:szCs w:val="21"/>
          <w:highlight w:val="none"/>
          <w:shd w:val="clear" w:color="auto" w:fill="FFFFFF"/>
        </w:rPr>
        <w:t>全保范围包括但不限于以下核心部件：球管、平板探测器、高压发生器、主机、影像后处理工作站、DSA操控手柄、DSA手术床、医用显示屏及框架等设备所有备件的维修、更换和保养</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注：①保修期内因故障引起一周以上的停机，在故障处理完后保修期向后推移，必要时赔偿损失；②终身提供软件升级服务。</w:t>
      </w:r>
      <w:r>
        <w:rPr>
          <w:rFonts w:hint="eastAsia" w:ascii="宋体" w:hAnsi="宋体" w:eastAsia="宋体" w:cs="宋体"/>
          <w:color w:val="auto"/>
          <w:sz w:val="21"/>
          <w:szCs w:val="21"/>
          <w:highlight w:val="none"/>
          <w:lang w:eastAsia="zh-CN"/>
        </w:rPr>
        <w:t>）</w:t>
      </w:r>
    </w:p>
    <w:p w14:paraId="687E2A67">
      <w:pPr>
        <w:numPr>
          <w:ilvl w:val="0"/>
          <w:numId w:val="0"/>
        </w:numPr>
        <w:snapToGrid w:val="0"/>
        <w:spacing w:line="360" w:lineRule="auto"/>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投标人应在投标文件中提供按出厂标准供应的主要备品备件/消耗品/维修零配件/常用耗材/选购件价格清单及其制造商名称、地址、使用寿命。如采购人质保期后购买备品备件/消耗品/维修零配件/常用耗材/选购件，其价格不能超过此清单价格及折扣。</w:t>
      </w:r>
    </w:p>
    <w:p w14:paraId="072D4032">
      <w:pPr>
        <w:numPr>
          <w:ilvl w:val="0"/>
          <w:numId w:val="0"/>
        </w:numPr>
        <w:snapToGrid w:val="0"/>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投标人所投核心产品制造商在国内至少有一家零部件仓库（投标时提供相应证明文件），保证10年以上的供应期。在设备正常有效期寿命内提供各种零备件维修、供应、更换服务，并且保证每周7天向采购人开放。所需零配件根据采购人要求以最快方式迅速发送。</w:t>
      </w:r>
    </w:p>
    <w:p w14:paraId="51763FAD">
      <w:pPr>
        <w:numPr>
          <w:ilvl w:val="0"/>
          <w:numId w:val="0"/>
        </w:numPr>
        <w:snapToGrid w:val="0"/>
        <w:spacing w:line="360" w:lineRule="auto"/>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9、投标人（制造商或销售商）需设有专业的售后服务机构和设施，并配备受过专业培训的售后服务人员，应对所提供的设备提供相应的售后服务承诺（售后服务承诺书）。</w:t>
      </w:r>
    </w:p>
    <w:p w14:paraId="4DF43C5F">
      <w:pPr>
        <w:numPr>
          <w:ilvl w:val="0"/>
          <w:numId w:val="0"/>
        </w:numPr>
        <w:snapToGrid w:val="0"/>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、售后响应时间：7*24小时</w:t>
      </w:r>
    </w:p>
    <w:p w14:paraId="3B7ED4A9">
      <w:pPr>
        <w:numPr>
          <w:ilvl w:val="0"/>
          <w:numId w:val="0"/>
        </w:numPr>
        <w:snapToGrid w:val="0"/>
        <w:spacing w:line="360" w:lineRule="auto"/>
        <w:textAlignment w:val="baseline"/>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11、付款方式：合同签订后，采购人向中标单位支付合同总金额的30%预付款（支付预付款前，中标单位须提供等额银行预付款保函；保函期限必须覆盖：从合同签订至设备验收合格的全周期，需提供国有/股份制银行保函，不接受公司自行出具担保函，保函到期后如设备未完成验收，乙方应续保）；设备安装、调试、培训完毕并交付临床正常使用一个月,再由设备线组织验收，验收合格后 ，采购人支付合同总金额的67%（累计支付至97%）；设备正常使用满一年若无质量问题，一次性付清合同全部余款（注:</w:t>
      </w:r>
      <w:r>
        <w:rPr>
          <w:rFonts w:hint="default" w:ascii="Calibri" w:hAnsi="Calibri" w:eastAsia="宋体" w:cs="Calibri"/>
          <w:color w:val="auto"/>
          <w:sz w:val="21"/>
          <w:szCs w:val="21"/>
          <w:highlight w:val="none"/>
          <w:lang w:val="en-US" w:eastAsia="zh-CN"/>
        </w:rPr>
        <w:t>①</w:t>
      </w:r>
      <w:r>
        <w:rPr>
          <w:rFonts w:hint="eastAsia" w:ascii="宋体" w:hAnsi="宋体" w:eastAsia="宋体" w:cs="宋体"/>
          <w:color w:val="auto"/>
          <w:sz w:val="21"/>
          <w:szCs w:val="21"/>
          <w:highlight w:val="none"/>
          <w:lang w:val="en-US" w:eastAsia="zh-CN"/>
        </w:rPr>
        <w:t>所有款项不计利息；</w:t>
      </w:r>
      <w:r>
        <w:rPr>
          <w:rFonts w:hint="default" w:ascii="Calibri" w:hAnsi="Calibri" w:eastAsia="宋体" w:cs="Calibri"/>
          <w:color w:val="auto"/>
          <w:sz w:val="21"/>
          <w:szCs w:val="21"/>
          <w:highlight w:val="none"/>
          <w:lang w:val="en-US" w:eastAsia="zh-CN"/>
        </w:rPr>
        <w:t>②</w:t>
      </w:r>
      <w:r>
        <w:rPr>
          <w:rFonts w:hint="eastAsia" w:ascii="宋体" w:hAnsi="宋体" w:eastAsia="宋体" w:cs="宋体"/>
          <w:color w:val="auto"/>
          <w:sz w:val="21"/>
          <w:szCs w:val="21"/>
          <w:highlight w:val="none"/>
          <w:lang w:val="en-US" w:eastAsia="zh-CN"/>
        </w:rPr>
        <w:t>满一年从验收合格之日起开始计算）。</w:t>
      </w:r>
    </w:p>
    <w:p w14:paraId="408F6C3B">
      <w:pPr>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、报价要求：本项目采用费用包干方式 (即交钥匙工程)，投标报价是投标人为完成本项目要求所需的一切费用，包括所投货物价款及其备品、备件费用、运至最终目的地的运输装卸费、通过相关质检部门检测费用及有关保险费、售后服务、利润及其他各项应有费用，采购人不再单独支付其他任何费用。</w:t>
      </w:r>
    </w:p>
    <w:p w14:paraId="511805E1">
      <w:pPr>
        <w:spacing w:line="360" w:lineRule="auto"/>
        <w:rPr>
          <w:rFonts w:hint="eastAsia" w:ascii="宋体" w:hAnsi="宋体" w:eastAsia="宋体" w:cs="宋体"/>
          <w:b w:val="0"/>
          <w:bCs w:val="0"/>
          <w:color w:val="auto"/>
          <w:sz w:val="21"/>
          <w:szCs w:val="21"/>
          <w:highlight w:val="none"/>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二</w:t>
      </w:r>
      <w:r>
        <w:rPr>
          <w:rFonts w:hint="eastAsia" w:ascii="宋体" w:hAnsi="宋体" w:eastAsia="宋体" w:cs="宋体"/>
          <w:b/>
          <w:bCs/>
          <w:color w:val="auto"/>
          <w:sz w:val="21"/>
          <w:szCs w:val="21"/>
          <w:highlight w:val="none"/>
          <w:lang w:eastAsia="zh-CN"/>
        </w:rPr>
        <w:t>）</w:t>
      </w:r>
      <w:r>
        <w:rPr>
          <w:rFonts w:hint="eastAsia" w:ascii="宋体" w:hAnsi="宋体" w:eastAsia="宋体" w:cs="宋体"/>
          <w:b w:val="0"/>
          <w:bCs w:val="0"/>
          <w:color w:val="auto"/>
          <w:sz w:val="21"/>
          <w:szCs w:val="21"/>
          <w:highlight w:val="none"/>
        </w:rPr>
        <w:t xml:space="preserve">产品运输、保管及保险 </w:t>
      </w:r>
    </w:p>
    <w:p w14:paraId="6F5C84FC">
      <w:pPr>
        <w:spacing w:line="360" w:lineRule="auto"/>
        <w:ind w:firstLine="420" w:firstLineChars="20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1、中标人负责产品到交货地点的全部运输，包括装卸及现场搬运等。由于搬运、装卸、吊装及运输不当造成的各种事故责任和损失由中标人承担。 </w:t>
      </w:r>
    </w:p>
    <w:p w14:paraId="4E325F96">
      <w:pPr>
        <w:spacing w:line="360" w:lineRule="auto"/>
        <w:ind w:firstLine="420" w:firstLineChars="20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2、中标人应对提供的货物在运输、存放及交货过程中的毁损或灭失进行保险投保，负责其派出的安装、服务等人员的人身意外保险</w:t>
      </w:r>
    </w:p>
    <w:p w14:paraId="13CED7C2">
      <w:pPr>
        <w:spacing w:line="360" w:lineRule="auto"/>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三</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售后服务</w:t>
      </w:r>
    </w:p>
    <w:p w14:paraId="63C12F04">
      <w:pPr>
        <w:spacing w:line="360" w:lineRule="auto"/>
        <w:ind w:firstLine="420" w:firstLineChars="20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所有设备</w:t>
      </w:r>
      <w:r>
        <w:rPr>
          <w:rFonts w:hint="eastAsia" w:ascii="宋体" w:hAnsi="宋体" w:eastAsia="宋体" w:cs="宋体"/>
          <w:b w:val="0"/>
          <w:bCs w:val="0"/>
          <w:color w:val="auto"/>
          <w:sz w:val="21"/>
          <w:szCs w:val="21"/>
          <w:highlight w:val="none"/>
          <w:lang w:val="en-US" w:eastAsia="zh-CN"/>
        </w:rPr>
        <w:t>和产品</w:t>
      </w:r>
      <w:r>
        <w:rPr>
          <w:rFonts w:hint="eastAsia" w:ascii="宋体" w:hAnsi="宋体" w:eastAsia="宋体" w:cs="宋体"/>
          <w:b w:val="0"/>
          <w:bCs w:val="0"/>
          <w:color w:val="auto"/>
          <w:sz w:val="21"/>
          <w:szCs w:val="21"/>
          <w:highlight w:val="none"/>
        </w:rPr>
        <w:t>质保期</w:t>
      </w:r>
      <w:r>
        <w:rPr>
          <w:rFonts w:hint="eastAsia" w:ascii="宋体" w:hAnsi="宋体" w:eastAsia="宋体" w:cs="宋体"/>
          <w:b w:val="0"/>
          <w:bCs w:val="0"/>
          <w:color w:val="auto"/>
          <w:sz w:val="21"/>
          <w:szCs w:val="21"/>
          <w:highlight w:val="none"/>
          <w:lang w:eastAsia="zh-CN"/>
        </w:rPr>
        <w:t>不少于</w:t>
      </w:r>
      <w:r>
        <w:rPr>
          <w:rFonts w:hint="eastAsia" w:ascii="宋体" w:hAnsi="宋体" w:eastAsia="宋体" w:cs="宋体"/>
          <w:b w:val="0"/>
          <w:bCs w:val="0"/>
          <w:color w:val="auto"/>
          <w:sz w:val="21"/>
          <w:szCs w:val="21"/>
          <w:highlight w:val="none"/>
          <w:lang w:val="en-US" w:eastAsia="zh-CN"/>
        </w:rPr>
        <w:t>三</w:t>
      </w:r>
      <w:r>
        <w:rPr>
          <w:rFonts w:hint="eastAsia" w:ascii="宋体" w:hAnsi="宋体" w:eastAsia="宋体" w:cs="宋体"/>
          <w:b w:val="0"/>
          <w:bCs w:val="0"/>
          <w:color w:val="auto"/>
          <w:sz w:val="21"/>
          <w:szCs w:val="21"/>
          <w:highlight w:val="none"/>
          <w:lang w:eastAsia="zh-CN"/>
        </w:rPr>
        <w:t>年</w:t>
      </w:r>
      <w:r>
        <w:rPr>
          <w:rFonts w:hint="eastAsia" w:ascii="宋体" w:hAnsi="宋体" w:eastAsia="宋体" w:cs="宋体"/>
          <w:b w:val="0"/>
          <w:bCs w:val="0"/>
          <w:color w:val="auto"/>
          <w:sz w:val="21"/>
          <w:szCs w:val="21"/>
          <w:highlight w:val="none"/>
          <w:lang w:val="en-US" w:eastAsia="zh-CN"/>
        </w:rPr>
        <w:t>，所有设备和产品质保期外提供终身成本价维修服务</w:t>
      </w:r>
      <w:r>
        <w:rPr>
          <w:rFonts w:hint="eastAsia" w:ascii="宋体" w:hAnsi="宋体" w:eastAsia="宋体" w:cs="宋体"/>
          <w:b w:val="0"/>
          <w:bCs w:val="0"/>
          <w:color w:val="auto"/>
          <w:sz w:val="21"/>
          <w:szCs w:val="21"/>
          <w:highlight w:val="none"/>
        </w:rPr>
        <w:t>。</w:t>
      </w:r>
    </w:p>
    <w:p w14:paraId="368F7C87">
      <w:pPr>
        <w:spacing w:line="360" w:lineRule="auto"/>
        <w:ind w:firstLine="420" w:firstLineChars="20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提供7*24小时技术咨询及上门服务，对于用户提出的技术问题或故障通知，专业技术人员应在2小时内响应，24小时内到达现场。对于用户提出的紧急问题，专业技术人员在接到用户通知后立即予以响应并解决。</w:t>
      </w:r>
    </w:p>
    <w:p w14:paraId="7A03768E">
      <w:pPr>
        <w:spacing w:line="360" w:lineRule="auto"/>
        <w:ind w:firstLine="420" w:firstLineChars="20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3</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供应商应指派专业技术人员在项目安装调试完成后，按采购人指定的时间、地点对采购人指定的相关管理、维护、操作人员等进行培训，培训内容包括产品基本原理、安装、调试、操作使用和维护保养等，并提供相关技术资料，达到用户相关人员熟练掌握操作技能、排除一般故障等的程度。供应商派出的培训人员的食宿及交通等费用自理。</w:t>
      </w:r>
    </w:p>
    <w:p w14:paraId="3DC7D5C2">
      <w:pPr>
        <w:spacing w:line="360" w:lineRule="auto"/>
        <w:ind w:firstLine="420" w:firstLineChars="20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4</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投标单位所递交的投标报价均应包含本项目所有货物的购置、运输、安装、调试、验收等过程中的一切费用，包括人工费、机械费、材料（主材、辅材等）费、管理费、利润、税费、保险费等一切费用。采购人不再另行支付其它费用，全部由投标人负责。</w:t>
      </w:r>
    </w:p>
    <w:p w14:paraId="58FF39EE">
      <w:pPr>
        <w:spacing w:line="360" w:lineRule="auto"/>
        <w:ind w:firstLine="420" w:firstLineChars="20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四</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kern w:val="0"/>
          <w:sz w:val="21"/>
          <w:szCs w:val="21"/>
          <w:highlight w:val="none"/>
          <w:lang w:bidi="ar"/>
        </w:rPr>
        <w:t xml:space="preserve">其他要求及说明 </w:t>
      </w:r>
    </w:p>
    <w:p w14:paraId="6309768D">
      <w:pPr>
        <w:widowControl/>
        <w:spacing w:line="360" w:lineRule="auto"/>
        <w:ind w:firstLine="420" w:firstLineChars="20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bidi="ar"/>
        </w:rPr>
        <w:t xml:space="preserve">1、本项目所列的国家或行业相关标准要求，如与最新出台的国家或行业标准相冲突的，按最新的标准执行。 </w:t>
      </w:r>
    </w:p>
    <w:p w14:paraId="320E031E">
      <w:pPr>
        <w:pStyle w:val="9"/>
        <w:spacing w:line="360" w:lineRule="auto"/>
        <w:ind w:firstLine="420" w:firstLineChars="20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2、采购人不组织现场踏勘，投标人在投标前，如需踏勘现场，有关费用自理，踏勘期间发生的意外自负。</w:t>
      </w:r>
    </w:p>
    <w:p w14:paraId="56CA0268">
      <w:r>
        <w:rPr>
          <w:rFonts w:hint="eastAsia" w:ascii="宋体" w:hAnsi="宋体" w:eastAsia="宋体" w:cs="宋体"/>
          <w:color w:val="auto"/>
          <w:kern w:val="0"/>
          <w:sz w:val="21"/>
          <w:szCs w:val="21"/>
          <w:highlight w:val="none"/>
          <w:lang w:bidi="ar"/>
        </w:rPr>
        <w:t>3、其他未尽事宜由采购人和中标人在采购合同中详细约定。</w:t>
      </w:r>
      <w:bookmarkStart w:id="5" w:name="_GoBack"/>
      <w:bookmarkEnd w:id="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8A4E6DD-5559-49CB-86EE-732BE48C1CC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54BD4339-92E5-4288-B99F-FD02665E65DE}"/>
  </w:font>
  <w:font w:name="华文中宋">
    <w:panose1 w:val="02010600040101010101"/>
    <w:charset w:val="86"/>
    <w:family w:val="auto"/>
    <w:pitch w:val="default"/>
    <w:sig w:usb0="00000287" w:usb1="080F0000" w:usb2="00000000" w:usb3="00000000" w:csb0="0004009F" w:csb1="DFD70000"/>
    <w:embedRegular r:id="rId3" w:fontKey="{4E709EFD-0FE4-498C-9E33-1DB02FDB495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8AD08F2"/>
    <w:rsid w:val="7B8160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jc w:val="center"/>
      <w:outlineLvl w:val="0"/>
    </w:pPr>
    <w:rPr>
      <w:b/>
      <w:bCs/>
      <w:sz w:val="24"/>
      <w:szCs w:val="20"/>
    </w:rPr>
  </w:style>
  <w:style w:type="paragraph" w:styleId="4">
    <w:name w:val="heading 2"/>
    <w:basedOn w:val="1"/>
    <w:next w:val="1"/>
    <w:qFormat/>
    <w:uiPriority w:val="0"/>
    <w:pPr>
      <w:keepNext/>
      <w:keepLines/>
      <w:spacing w:line="360" w:lineRule="auto"/>
      <w:outlineLvl w:val="1"/>
    </w:pPr>
    <w:rPr>
      <w:rFonts w:ascii="Arial" w:hAnsi="Arial"/>
      <w:b/>
      <w:bCs/>
      <w:sz w:val="24"/>
      <w:szCs w:val="32"/>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kern w:val="0"/>
      <w:szCs w:val="20"/>
      <w:lang w:val="zh-CN"/>
    </w:rPr>
  </w:style>
  <w:style w:type="paragraph" w:customStyle="1" w:styleId="7">
    <w:name w:val="列出段落1"/>
    <w:basedOn w:val="8"/>
    <w:qFormat/>
    <w:uiPriority w:val="0"/>
    <w:pPr>
      <w:ind w:firstLine="420" w:firstLineChars="200"/>
    </w:pPr>
    <w:rPr>
      <w:szCs w:val="21"/>
    </w:rPr>
  </w:style>
  <w:style w:type="paragraph" w:customStyle="1" w:styleId="8">
    <w:name w:val="正文_11_0"/>
    <w:next w:val="7"/>
    <w:qFormat/>
    <w:uiPriority w:val="0"/>
    <w:pPr>
      <w:widowControl w:val="0"/>
      <w:jc w:val="both"/>
    </w:pPr>
    <w:rPr>
      <w:rFonts w:ascii="Calibri" w:hAnsi="Calibri" w:eastAsia="宋体" w:cs="Times New Roman"/>
      <w:kern w:val="2"/>
      <w:sz w:val="24"/>
      <w:szCs w:val="22"/>
      <w:lang w:val="en-US" w:eastAsia="zh-CN" w:bidi="ar-SA"/>
    </w:rPr>
  </w:style>
  <w:style w:type="paragraph" w:customStyle="1" w:styleId="9">
    <w:name w:val="正文_1"/>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2024-08-12T01:08:00Z</dcterms:created>
  <dc:creator>Administrator</dc:creator>
  <cp:lastModifiedBy>Administrator</cp:lastModifiedBy>
  <dcterms:modified xsi:type="dcterms:W3CDTF">2026-07-30T09:11:02Z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74DAF67EC332429A83FECA46C9575A8B_12</vt:lpwstr>
  </property>
  <property fmtid="{D5CDD505-2E9C-101B-9397-08002B2CF9AE}" pid="4" name="KSOTemplateDocerSaveRecord">
    <vt:lpwstr>eyJoZGlkIjoiOWRmZjc4ODEwN2IwMGU1MTM1MTE1OWZiM2VlY2Q4NjUiLCJ1c2VySWQiOiI1MzQyMDAxNDAifQ==</vt:lpwstr>
  </property>
</Properties>
</file>